
<file path=[Content_Types].xml><?xml version="1.0" encoding="utf-8"?>
<Types xmlns="http://schemas.openxmlformats.org/package/2006/content-types">
  <Default Extension="xml" ContentType="application/xml"/>
  <Default Extension="wmf" ContentType="image/x-wmf"/>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w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0C63189">
      <w:pPr>
        <w:widowControl/>
        <w:ind w:left="0" w:leftChars="0" w:firstLine="0" w:firstLineChars="0"/>
        <w:jc w:val="left"/>
        <w:rPr>
          <w:rFonts w:hint="default" w:ascii="Times New Roman" w:hAnsi="Times New Roman" w:cs="Times New Roman"/>
          <w:b/>
          <w:bCs/>
          <w:color w:val="auto"/>
          <w:sz w:val="28"/>
          <w:szCs w:val="28"/>
        </w:rPr>
        <w:sectPr>
          <w:headerReference r:id="rId5" w:type="default"/>
          <w:footerReference r:id="rId6" w:type="default"/>
          <w:pgSz w:w="11906" w:h="16838"/>
          <w:pgMar w:top="1440" w:right="1800" w:bottom="1440" w:left="1800" w:header="851" w:footer="992" w:gutter="0"/>
          <w:pgBorders>
            <w:top w:val="none" w:sz="0" w:space="0"/>
            <w:left w:val="none" w:sz="0" w:space="0"/>
            <w:bottom w:val="none" w:sz="0" w:space="0"/>
            <w:right w:val="none" w:sz="0" w:space="0"/>
          </w:pgBorders>
          <w:pgNumType w:fmt="upperRoman" w:start="1"/>
          <w:cols w:space="720" w:num="1"/>
          <w:docGrid w:type="lines" w:linePitch="312" w:charSpace="0"/>
        </w:sectPr>
      </w:pPr>
      <w:r>
        <w:rPr>
          <w:color w:val="auto"/>
        </w:rPr>
        <w:drawing>
          <wp:inline distT="0" distB="0" distL="114300" distR="114300">
            <wp:extent cx="5168900" cy="8121650"/>
            <wp:effectExtent l="0" t="0" r="0" b="0"/>
            <wp:docPr id="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6"/>
                    <pic:cNvPicPr>
                      <a:picLocks noChangeAspect="1"/>
                    </pic:cNvPicPr>
                  </pic:nvPicPr>
                  <pic:blipFill>
                    <a:blip r:embed="rId13"/>
                    <a:srcRect l="13799" b="39"/>
                    <a:stretch>
                      <a:fillRect/>
                    </a:stretch>
                  </pic:blipFill>
                  <pic:spPr>
                    <a:xfrm>
                      <a:off x="0" y="0"/>
                      <a:ext cx="5168900" cy="8121650"/>
                    </a:xfrm>
                    <a:prstGeom prst="rect">
                      <a:avLst/>
                    </a:prstGeom>
                    <a:noFill/>
                    <a:ln>
                      <a:noFill/>
                    </a:ln>
                  </pic:spPr>
                </pic:pic>
              </a:graphicData>
            </a:graphic>
          </wp:inline>
        </w:drawing>
      </w:r>
    </w:p>
    <w:p w14:paraId="18511644">
      <w:pPr>
        <w:pStyle w:val="25"/>
        <w:ind w:firstLine="480"/>
        <w:rPr>
          <w:rFonts w:hint="default" w:ascii="Times New Roman" w:hAnsi="Times New Roman" w:cs="Times New Roman"/>
          <w:color w:val="auto"/>
        </w:rPr>
        <w:sectPr>
          <w:pgSz w:w="11906" w:h="16838"/>
          <w:pgMar w:top="1440" w:right="1800" w:bottom="1440" w:left="1800" w:header="851" w:footer="992" w:gutter="0"/>
          <w:pgBorders>
            <w:top w:val="none" w:sz="0" w:space="0"/>
            <w:left w:val="none" w:sz="0" w:space="0"/>
            <w:bottom w:val="none" w:sz="0" w:space="0"/>
            <w:right w:val="none" w:sz="0" w:space="0"/>
          </w:pgBorders>
          <w:pgNumType w:fmt="upperRoman" w:start="1"/>
          <w:cols w:space="720" w:num="1"/>
          <w:docGrid w:type="lines" w:linePitch="312" w:charSpace="0"/>
        </w:sectPr>
      </w:pPr>
      <w:r>
        <w:rPr>
          <w:color w:val="auto"/>
        </w:rPr>
        <w:drawing>
          <wp:inline distT="0" distB="0" distL="114300" distR="114300">
            <wp:extent cx="5269865" cy="7531735"/>
            <wp:effectExtent l="0" t="0" r="6985" b="12065"/>
            <wp:docPr id="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
                    <pic:cNvPicPr>
                      <a:picLocks noChangeAspect="1"/>
                    </pic:cNvPicPr>
                  </pic:nvPicPr>
                  <pic:blipFill>
                    <a:blip r:embed="rId14"/>
                    <a:stretch>
                      <a:fillRect/>
                    </a:stretch>
                  </pic:blipFill>
                  <pic:spPr>
                    <a:xfrm>
                      <a:off x="0" y="0"/>
                      <a:ext cx="5269865" cy="7531735"/>
                    </a:xfrm>
                    <a:prstGeom prst="rect">
                      <a:avLst/>
                    </a:prstGeom>
                    <a:noFill/>
                    <a:ln>
                      <a:noFill/>
                    </a:ln>
                  </pic:spPr>
                </pic:pic>
              </a:graphicData>
            </a:graphic>
          </wp:inline>
        </w:drawing>
      </w:r>
    </w:p>
    <w:p w14:paraId="6939D681">
      <w:pPr>
        <w:pStyle w:val="2"/>
        <w:bidi w:val="0"/>
        <w:jc w:val="center"/>
        <w:rPr>
          <w:rFonts w:hint="default" w:ascii="Times New Roman" w:hAnsi="Times New Roman" w:cs="Times New Roman"/>
          <w:color w:val="auto"/>
          <w:lang w:val="en-US" w:eastAsia="zh-CN"/>
        </w:rPr>
      </w:pPr>
      <w:bookmarkStart w:id="0" w:name="_Toc6433"/>
      <w:bookmarkStart w:id="1" w:name="_Toc17656"/>
      <w:r>
        <w:rPr>
          <w:rFonts w:hint="default" w:ascii="Times New Roman" w:hAnsi="Times New Roman" w:cs="Times New Roman"/>
          <w:color w:val="auto"/>
          <w:lang w:val="en-US" w:eastAsia="zh-CN"/>
        </w:rPr>
        <w:t>目录</w:t>
      </w:r>
      <w:bookmarkEnd w:id="0"/>
      <w:bookmarkEnd w:id="1"/>
    </w:p>
    <w:p w14:paraId="434354F7">
      <w:pPr>
        <w:pStyle w:val="15"/>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TOC \o "1-2" \h \u </w:instrText>
      </w:r>
      <w:r>
        <w:rPr>
          <w:rFonts w:hint="default" w:ascii="Times New Roman" w:hAnsi="Times New Roman" w:cs="Times New Roman"/>
          <w:color w:val="auto"/>
        </w:rPr>
        <w:fldChar w:fldCharType="separate"/>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_Toc20472 </w:instrText>
      </w:r>
      <w:r>
        <w:rPr>
          <w:rFonts w:hint="default" w:ascii="Times New Roman" w:hAnsi="Times New Roman" w:cs="Times New Roman"/>
          <w:color w:val="auto"/>
        </w:rPr>
        <w:fldChar w:fldCharType="separate"/>
      </w:r>
      <w:r>
        <w:rPr>
          <w:rFonts w:hint="default" w:ascii="Times New Roman" w:hAnsi="Times New Roman" w:cs="Times New Roman"/>
          <w:color w:val="auto"/>
        </w:rPr>
        <w:t>1概述</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_Toc20472 \h </w:instrText>
      </w:r>
      <w:r>
        <w:rPr>
          <w:rFonts w:hint="default" w:ascii="Times New Roman" w:hAnsi="Times New Roman" w:cs="Times New Roman"/>
          <w:color w:val="auto"/>
        </w:rPr>
        <w:fldChar w:fldCharType="separate"/>
      </w:r>
      <w:r>
        <w:rPr>
          <w:rFonts w:hint="default" w:ascii="Times New Roman" w:hAnsi="Times New Roman" w:cs="Times New Roman"/>
          <w:color w:val="auto"/>
        </w:rPr>
        <w:t>1</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458B6E31">
      <w:pPr>
        <w:pStyle w:val="16"/>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_Toc20367 </w:instrText>
      </w:r>
      <w:r>
        <w:rPr>
          <w:rFonts w:hint="default" w:ascii="Times New Roman" w:hAnsi="Times New Roman" w:cs="Times New Roman"/>
          <w:color w:val="auto"/>
        </w:rPr>
        <w:fldChar w:fldCharType="separate"/>
      </w:r>
      <w:r>
        <w:rPr>
          <w:rFonts w:hint="default" w:ascii="Times New Roman" w:hAnsi="Times New Roman" w:cs="Times New Roman"/>
          <w:color w:val="auto"/>
        </w:rPr>
        <w:t>1.1项目由来</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_Toc20367 \h </w:instrText>
      </w:r>
      <w:r>
        <w:rPr>
          <w:rFonts w:hint="default" w:ascii="Times New Roman" w:hAnsi="Times New Roman" w:cs="Times New Roman"/>
          <w:color w:val="auto"/>
        </w:rPr>
        <w:fldChar w:fldCharType="separate"/>
      </w:r>
      <w:r>
        <w:rPr>
          <w:rFonts w:hint="default" w:ascii="Times New Roman" w:hAnsi="Times New Roman" w:cs="Times New Roman"/>
          <w:color w:val="auto"/>
        </w:rPr>
        <w:t>1</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4CD39BEA">
      <w:pPr>
        <w:pStyle w:val="16"/>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_Toc9468 </w:instrText>
      </w:r>
      <w:r>
        <w:rPr>
          <w:rFonts w:hint="default" w:ascii="Times New Roman" w:hAnsi="Times New Roman" w:cs="Times New Roman"/>
          <w:color w:val="auto"/>
        </w:rPr>
        <w:fldChar w:fldCharType="separate"/>
      </w:r>
      <w:r>
        <w:rPr>
          <w:rFonts w:hint="default" w:ascii="Times New Roman" w:hAnsi="Times New Roman" w:cs="Times New Roman"/>
          <w:color w:val="auto"/>
        </w:rPr>
        <w:t>1.2项目特点</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_Toc9468 \h </w:instrText>
      </w:r>
      <w:r>
        <w:rPr>
          <w:rFonts w:hint="default" w:ascii="Times New Roman" w:hAnsi="Times New Roman" w:cs="Times New Roman"/>
          <w:color w:val="auto"/>
        </w:rPr>
        <w:fldChar w:fldCharType="separate"/>
      </w:r>
      <w:r>
        <w:rPr>
          <w:rFonts w:hint="default" w:ascii="Times New Roman" w:hAnsi="Times New Roman" w:cs="Times New Roman"/>
          <w:color w:val="auto"/>
        </w:rPr>
        <w:t>5</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42378DB3">
      <w:pPr>
        <w:pStyle w:val="16"/>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_Toc17999 </w:instrText>
      </w:r>
      <w:r>
        <w:rPr>
          <w:rFonts w:hint="default" w:ascii="Times New Roman" w:hAnsi="Times New Roman" w:cs="Times New Roman"/>
          <w:color w:val="auto"/>
        </w:rPr>
        <w:fldChar w:fldCharType="separate"/>
      </w:r>
      <w:r>
        <w:rPr>
          <w:rFonts w:hint="default" w:ascii="Times New Roman" w:hAnsi="Times New Roman" w:cs="Times New Roman"/>
          <w:color w:val="auto"/>
        </w:rPr>
        <w:t>1.3环境影响评价工作过程</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_Toc17999 \h </w:instrText>
      </w:r>
      <w:r>
        <w:rPr>
          <w:rFonts w:hint="default" w:ascii="Times New Roman" w:hAnsi="Times New Roman" w:cs="Times New Roman"/>
          <w:color w:val="auto"/>
        </w:rPr>
        <w:fldChar w:fldCharType="separate"/>
      </w:r>
      <w:r>
        <w:rPr>
          <w:rFonts w:hint="default" w:ascii="Times New Roman" w:hAnsi="Times New Roman" w:cs="Times New Roman"/>
          <w:color w:val="auto"/>
        </w:rPr>
        <w:t>6</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40D0996A">
      <w:pPr>
        <w:pStyle w:val="16"/>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_Toc25333 </w:instrText>
      </w:r>
      <w:r>
        <w:rPr>
          <w:rFonts w:hint="default" w:ascii="Times New Roman" w:hAnsi="Times New Roman" w:cs="Times New Roman"/>
          <w:color w:val="auto"/>
        </w:rPr>
        <w:fldChar w:fldCharType="separate"/>
      </w:r>
      <w:r>
        <w:rPr>
          <w:rFonts w:hint="default" w:ascii="Times New Roman" w:hAnsi="Times New Roman" w:cs="Times New Roman"/>
          <w:color w:val="auto"/>
        </w:rPr>
        <w:t>1.</w:t>
      </w:r>
      <w:r>
        <w:rPr>
          <w:rFonts w:hint="default" w:ascii="Times New Roman" w:hAnsi="Times New Roman" w:cs="Times New Roman"/>
          <w:color w:val="auto"/>
          <w:highlight w:val="none"/>
        </w:rPr>
        <w:t>4分析判定相关情况</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_Toc25333 \h </w:instrText>
      </w:r>
      <w:r>
        <w:rPr>
          <w:rFonts w:hint="default" w:ascii="Times New Roman" w:hAnsi="Times New Roman" w:cs="Times New Roman"/>
          <w:color w:val="auto"/>
        </w:rPr>
        <w:fldChar w:fldCharType="separate"/>
      </w:r>
      <w:r>
        <w:rPr>
          <w:rFonts w:hint="default" w:ascii="Times New Roman" w:hAnsi="Times New Roman" w:cs="Times New Roman"/>
          <w:color w:val="auto"/>
        </w:rPr>
        <w:t>8</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2FF0326E">
      <w:pPr>
        <w:pStyle w:val="16"/>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_Toc6867 </w:instrText>
      </w:r>
      <w:r>
        <w:rPr>
          <w:rFonts w:hint="default" w:ascii="Times New Roman" w:hAnsi="Times New Roman" w:cs="Times New Roman"/>
          <w:color w:val="auto"/>
        </w:rPr>
        <w:fldChar w:fldCharType="separate"/>
      </w:r>
      <w:r>
        <w:rPr>
          <w:rFonts w:hint="default" w:ascii="Times New Roman" w:hAnsi="Times New Roman" w:cs="Times New Roman"/>
          <w:color w:val="auto"/>
          <w:highlight w:val="none"/>
        </w:rPr>
        <w:t>1.5关注的主要环境问题</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_Toc6867 \h </w:instrText>
      </w:r>
      <w:r>
        <w:rPr>
          <w:rFonts w:hint="default" w:ascii="Times New Roman" w:hAnsi="Times New Roman" w:cs="Times New Roman"/>
          <w:color w:val="auto"/>
        </w:rPr>
        <w:fldChar w:fldCharType="separate"/>
      </w:r>
      <w:r>
        <w:rPr>
          <w:rFonts w:hint="default" w:ascii="Times New Roman" w:hAnsi="Times New Roman" w:cs="Times New Roman"/>
          <w:color w:val="auto"/>
        </w:rPr>
        <w:t>33</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439B06FF">
      <w:pPr>
        <w:pStyle w:val="16"/>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_Toc23226 </w:instrText>
      </w:r>
      <w:r>
        <w:rPr>
          <w:rFonts w:hint="default" w:ascii="Times New Roman" w:hAnsi="Times New Roman" w:cs="Times New Roman"/>
          <w:color w:val="auto"/>
        </w:rPr>
        <w:fldChar w:fldCharType="separate"/>
      </w:r>
      <w:r>
        <w:rPr>
          <w:rFonts w:hint="default" w:ascii="Times New Roman" w:hAnsi="Times New Roman" w:cs="Times New Roman"/>
          <w:color w:val="auto"/>
          <w:highlight w:val="none"/>
        </w:rPr>
        <w:t>1.6环境影响评价主要结论</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_Toc23226 \h </w:instrText>
      </w:r>
      <w:r>
        <w:rPr>
          <w:rFonts w:hint="default" w:ascii="Times New Roman" w:hAnsi="Times New Roman" w:cs="Times New Roman"/>
          <w:color w:val="auto"/>
        </w:rPr>
        <w:fldChar w:fldCharType="separate"/>
      </w:r>
      <w:r>
        <w:rPr>
          <w:rFonts w:hint="default" w:ascii="Times New Roman" w:hAnsi="Times New Roman" w:cs="Times New Roman"/>
          <w:color w:val="auto"/>
        </w:rPr>
        <w:t>34</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6B291894">
      <w:pPr>
        <w:pStyle w:val="15"/>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_Toc29103 </w:instrText>
      </w:r>
      <w:r>
        <w:rPr>
          <w:rFonts w:hint="default" w:ascii="Times New Roman" w:hAnsi="Times New Roman" w:cs="Times New Roman"/>
          <w:color w:val="auto"/>
        </w:rPr>
        <w:fldChar w:fldCharType="separate"/>
      </w:r>
      <w:r>
        <w:rPr>
          <w:rFonts w:hint="default" w:ascii="Times New Roman" w:hAnsi="Times New Roman" w:cs="Times New Roman"/>
          <w:color w:val="auto"/>
        </w:rPr>
        <w:t>2总则</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_Toc29103 \h </w:instrText>
      </w:r>
      <w:r>
        <w:rPr>
          <w:rFonts w:hint="default" w:ascii="Times New Roman" w:hAnsi="Times New Roman" w:cs="Times New Roman"/>
          <w:color w:val="auto"/>
        </w:rPr>
        <w:fldChar w:fldCharType="separate"/>
      </w:r>
      <w:r>
        <w:rPr>
          <w:rFonts w:hint="default" w:ascii="Times New Roman" w:hAnsi="Times New Roman" w:cs="Times New Roman"/>
          <w:color w:val="auto"/>
        </w:rPr>
        <w:t>35</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37C49378">
      <w:pPr>
        <w:pStyle w:val="16"/>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_Toc16703 </w:instrText>
      </w:r>
      <w:r>
        <w:rPr>
          <w:rFonts w:hint="default" w:ascii="Times New Roman" w:hAnsi="Times New Roman" w:cs="Times New Roman"/>
          <w:color w:val="auto"/>
        </w:rPr>
        <w:fldChar w:fldCharType="separate"/>
      </w:r>
      <w:r>
        <w:rPr>
          <w:rFonts w:hint="default" w:ascii="Times New Roman" w:hAnsi="Times New Roman" w:cs="Times New Roman"/>
          <w:color w:val="auto"/>
          <w:highlight w:val="none"/>
        </w:rPr>
        <w:t>2.1评价目的</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_Toc16703 \h </w:instrText>
      </w:r>
      <w:r>
        <w:rPr>
          <w:rFonts w:hint="default" w:ascii="Times New Roman" w:hAnsi="Times New Roman" w:cs="Times New Roman"/>
          <w:color w:val="auto"/>
        </w:rPr>
        <w:fldChar w:fldCharType="separate"/>
      </w:r>
      <w:r>
        <w:rPr>
          <w:rFonts w:hint="default" w:ascii="Times New Roman" w:hAnsi="Times New Roman" w:cs="Times New Roman"/>
          <w:color w:val="auto"/>
        </w:rPr>
        <w:t>35</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4C3DD018">
      <w:pPr>
        <w:pStyle w:val="16"/>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_Toc3061 </w:instrText>
      </w:r>
      <w:r>
        <w:rPr>
          <w:rFonts w:hint="default" w:ascii="Times New Roman" w:hAnsi="Times New Roman" w:cs="Times New Roman"/>
          <w:color w:val="auto"/>
        </w:rPr>
        <w:fldChar w:fldCharType="separate"/>
      </w:r>
      <w:r>
        <w:rPr>
          <w:rFonts w:hint="default" w:ascii="Times New Roman" w:hAnsi="Times New Roman" w:cs="Times New Roman"/>
          <w:color w:val="auto"/>
        </w:rPr>
        <w:t>2.2评价原则</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_Toc3061 \h </w:instrText>
      </w:r>
      <w:r>
        <w:rPr>
          <w:rFonts w:hint="default" w:ascii="Times New Roman" w:hAnsi="Times New Roman" w:cs="Times New Roman"/>
          <w:color w:val="auto"/>
        </w:rPr>
        <w:fldChar w:fldCharType="separate"/>
      </w:r>
      <w:r>
        <w:rPr>
          <w:rFonts w:hint="default" w:ascii="Times New Roman" w:hAnsi="Times New Roman" w:cs="Times New Roman"/>
          <w:color w:val="auto"/>
        </w:rPr>
        <w:t>35</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16D53614">
      <w:pPr>
        <w:pStyle w:val="16"/>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_Toc23442 </w:instrText>
      </w:r>
      <w:r>
        <w:rPr>
          <w:rFonts w:hint="default" w:ascii="Times New Roman" w:hAnsi="Times New Roman" w:cs="Times New Roman"/>
          <w:color w:val="auto"/>
        </w:rPr>
        <w:fldChar w:fldCharType="separate"/>
      </w:r>
      <w:r>
        <w:rPr>
          <w:rFonts w:hint="default" w:ascii="Times New Roman" w:hAnsi="Times New Roman" w:cs="Times New Roman"/>
          <w:color w:val="auto"/>
          <w:highlight w:val="none"/>
        </w:rPr>
        <w:t>2.3编制依据</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_Toc23442 \h </w:instrText>
      </w:r>
      <w:r>
        <w:rPr>
          <w:rFonts w:hint="default" w:ascii="Times New Roman" w:hAnsi="Times New Roman" w:cs="Times New Roman"/>
          <w:color w:val="auto"/>
        </w:rPr>
        <w:fldChar w:fldCharType="separate"/>
      </w:r>
      <w:r>
        <w:rPr>
          <w:rFonts w:hint="default" w:ascii="Times New Roman" w:hAnsi="Times New Roman" w:cs="Times New Roman"/>
          <w:color w:val="auto"/>
        </w:rPr>
        <w:t>36</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67083DEB">
      <w:pPr>
        <w:pStyle w:val="16"/>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_Toc2482 </w:instrText>
      </w:r>
      <w:r>
        <w:rPr>
          <w:rFonts w:hint="default" w:ascii="Times New Roman" w:hAnsi="Times New Roman" w:cs="Times New Roman"/>
          <w:color w:val="auto"/>
        </w:rPr>
        <w:fldChar w:fldCharType="separate"/>
      </w:r>
      <w:r>
        <w:rPr>
          <w:rFonts w:hint="default" w:ascii="Times New Roman" w:hAnsi="Times New Roman" w:cs="Times New Roman"/>
          <w:color w:val="auto"/>
          <w:highlight w:val="none"/>
        </w:rPr>
        <w:t>2.4环境影响因素识别与评价因子筛选</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_Toc2482 \h </w:instrText>
      </w:r>
      <w:r>
        <w:rPr>
          <w:rFonts w:hint="default" w:ascii="Times New Roman" w:hAnsi="Times New Roman" w:cs="Times New Roman"/>
          <w:color w:val="auto"/>
        </w:rPr>
        <w:fldChar w:fldCharType="separate"/>
      </w:r>
      <w:r>
        <w:rPr>
          <w:rFonts w:hint="default" w:ascii="Times New Roman" w:hAnsi="Times New Roman" w:cs="Times New Roman"/>
          <w:color w:val="auto"/>
        </w:rPr>
        <w:t>39</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70CAC8CD">
      <w:pPr>
        <w:pStyle w:val="16"/>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_Toc25561 </w:instrText>
      </w:r>
      <w:r>
        <w:rPr>
          <w:rFonts w:hint="default" w:ascii="Times New Roman" w:hAnsi="Times New Roman" w:cs="Times New Roman"/>
          <w:color w:val="auto"/>
        </w:rPr>
        <w:fldChar w:fldCharType="separate"/>
      </w:r>
      <w:r>
        <w:rPr>
          <w:rFonts w:hint="default" w:ascii="Times New Roman" w:hAnsi="Times New Roman" w:cs="Times New Roman"/>
          <w:color w:val="auto"/>
          <w:highlight w:val="none"/>
        </w:rPr>
        <w:t>2.5评价标准</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_Toc25561 \h </w:instrText>
      </w:r>
      <w:r>
        <w:rPr>
          <w:rFonts w:hint="default" w:ascii="Times New Roman" w:hAnsi="Times New Roman" w:cs="Times New Roman"/>
          <w:color w:val="auto"/>
        </w:rPr>
        <w:fldChar w:fldCharType="separate"/>
      </w:r>
      <w:r>
        <w:rPr>
          <w:rFonts w:hint="default" w:ascii="Times New Roman" w:hAnsi="Times New Roman" w:cs="Times New Roman"/>
          <w:color w:val="auto"/>
        </w:rPr>
        <w:t>44</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2E8018AF">
      <w:pPr>
        <w:pStyle w:val="16"/>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_Toc13693 </w:instrText>
      </w:r>
      <w:r>
        <w:rPr>
          <w:rFonts w:hint="default" w:ascii="Times New Roman" w:hAnsi="Times New Roman" w:cs="Times New Roman"/>
          <w:color w:val="auto"/>
        </w:rPr>
        <w:fldChar w:fldCharType="separate"/>
      </w:r>
      <w:r>
        <w:rPr>
          <w:rFonts w:hint="default" w:ascii="Times New Roman" w:hAnsi="Times New Roman" w:cs="Times New Roman"/>
          <w:color w:val="auto"/>
          <w:highlight w:val="none"/>
        </w:rPr>
        <w:t>2.6评价工作等级</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_Toc13693 \h </w:instrText>
      </w:r>
      <w:r>
        <w:rPr>
          <w:rFonts w:hint="default" w:ascii="Times New Roman" w:hAnsi="Times New Roman" w:cs="Times New Roman"/>
          <w:color w:val="auto"/>
        </w:rPr>
        <w:fldChar w:fldCharType="separate"/>
      </w:r>
      <w:r>
        <w:rPr>
          <w:rFonts w:hint="default" w:ascii="Times New Roman" w:hAnsi="Times New Roman" w:cs="Times New Roman"/>
          <w:color w:val="auto"/>
        </w:rPr>
        <w:t>50</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6F0927A2">
      <w:pPr>
        <w:pStyle w:val="16"/>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_Toc14133 </w:instrText>
      </w:r>
      <w:r>
        <w:rPr>
          <w:rFonts w:hint="default" w:ascii="Times New Roman" w:hAnsi="Times New Roman" w:cs="Times New Roman"/>
          <w:color w:val="auto"/>
        </w:rPr>
        <w:fldChar w:fldCharType="separate"/>
      </w:r>
      <w:r>
        <w:rPr>
          <w:rFonts w:hint="default" w:ascii="Times New Roman" w:hAnsi="Times New Roman" w:cs="Times New Roman"/>
          <w:color w:val="auto"/>
          <w:highlight w:val="none"/>
        </w:rPr>
        <w:t>2.7评价范围及评价时段</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_Toc14133 \h </w:instrText>
      </w:r>
      <w:r>
        <w:rPr>
          <w:rFonts w:hint="default" w:ascii="Times New Roman" w:hAnsi="Times New Roman" w:cs="Times New Roman"/>
          <w:color w:val="auto"/>
        </w:rPr>
        <w:fldChar w:fldCharType="separate"/>
      </w:r>
      <w:r>
        <w:rPr>
          <w:rFonts w:hint="default" w:ascii="Times New Roman" w:hAnsi="Times New Roman" w:cs="Times New Roman"/>
          <w:color w:val="auto"/>
        </w:rPr>
        <w:t>60</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1F32A3A2">
      <w:pPr>
        <w:pStyle w:val="16"/>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_Toc18767 </w:instrText>
      </w:r>
      <w:r>
        <w:rPr>
          <w:rFonts w:hint="default" w:ascii="Times New Roman" w:hAnsi="Times New Roman" w:cs="Times New Roman"/>
          <w:color w:val="auto"/>
        </w:rPr>
        <w:fldChar w:fldCharType="separate"/>
      </w:r>
      <w:r>
        <w:rPr>
          <w:rFonts w:hint="default" w:ascii="Times New Roman" w:hAnsi="Times New Roman" w:cs="Times New Roman"/>
          <w:color w:val="auto"/>
          <w:highlight w:val="none"/>
        </w:rPr>
        <w:t>2.8污染控制与环境保护目标</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_Toc18767 \h </w:instrText>
      </w:r>
      <w:r>
        <w:rPr>
          <w:rFonts w:hint="default" w:ascii="Times New Roman" w:hAnsi="Times New Roman" w:cs="Times New Roman"/>
          <w:color w:val="auto"/>
        </w:rPr>
        <w:fldChar w:fldCharType="separate"/>
      </w:r>
      <w:r>
        <w:rPr>
          <w:rFonts w:hint="default" w:ascii="Times New Roman" w:hAnsi="Times New Roman" w:cs="Times New Roman"/>
          <w:color w:val="auto"/>
        </w:rPr>
        <w:t>62</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0BFBA2A2">
      <w:pPr>
        <w:pStyle w:val="15"/>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_Toc7087 </w:instrText>
      </w:r>
      <w:r>
        <w:rPr>
          <w:rFonts w:hint="default" w:ascii="Times New Roman" w:hAnsi="Times New Roman" w:cs="Times New Roman"/>
          <w:color w:val="auto"/>
        </w:rPr>
        <w:fldChar w:fldCharType="separate"/>
      </w:r>
      <w:r>
        <w:rPr>
          <w:rFonts w:hint="default" w:ascii="Times New Roman" w:hAnsi="Times New Roman" w:cs="Times New Roman"/>
          <w:color w:val="auto"/>
          <w:highlight w:val="none"/>
        </w:rPr>
        <w:t>3建设项目工程分析</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_Toc7087 \h </w:instrText>
      </w:r>
      <w:r>
        <w:rPr>
          <w:rFonts w:hint="default" w:ascii="Times New Roman" w:hAnsi="Times New Roman" w:cs="Times New Roman"/>
          <w:color w:val="auto"/>
        </w:rPr>
        <w:fldChar w:fldCharType="separate"/>
      </w:r>
      <w:r>
        <w:rPr>
          <w:rFonts w:hint="default" w:ascii="Times New Roman" w:hAnsi="Times New Roman" w:cs="Times New Roman"/>
          <w:color w:val="auto"/>
        </w:rPr>
        <w:t>67</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4DEF832A">
      <w:pPr>
        <w:pStyle w:val="16"/>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_Toc24373 </w:instrText>
      </w:r>
      <w:r>
        <w:rPr>
          <w:rFonts w:hint="default" w:ascii="Times New Roman" w:hAnsi="Times New Roman" w:cs="Times New Roman"/>
          <w:color w:val="auto"/>
        </w:rPr>
        <w:fldChar w:fldCharType="separate"/>
      </w:r>
      <w:r>
        <w:rPr>
          <w:rFonts w:hint="default" w:ascii="Times New Roman" w:hAnsi="Times New Roman" w:cs="Times New Roman"/>
          <w:color w:val="auto"/>
          <w:highlight w:val="none"/>
        </w:rPr>
        <w:t>3.1项目概况</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_Toc24373 \h </w:instrText>
      </w:r>
      <w:r>
        <w:rPr>
          <w:rFonts w:hint="default" w:ascii="Times New Roman" w:hAnsi="Times New Roman" w:cs="Times New Roman"/>
          <w:color w:val="auto"/>
        </w:rPr>
        <w:fldChar w:fldCharType="separate"/>
      </w:r>
      <w:r>
        <w:rPr>
          <w:rFonts w:hint="default" w:ascii="Times New Roman" w:hAnsi="Times New Roman" w:cs="Times New Roman"/>
          <w:color w:val="auto"/>
        </w:rPr>
        <w:t>67</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23486BC8">
      <w:pPr>
        <w:pStyle w:val="16"/>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_Toc9885 </w:instrText>
      </w:r>
      <w:r>
        <w:rPr>
          <w:rFonts w:hint="default" w:ascii="Times New Roman" w:hAnsi="Times New Roman" w:cs="Times New Roman"/>
          <w:color w:val="auto"/>
        </w:rPr>
        <w:fldChar w:fldCharType="separate"/>
      </w:r>
      <w:r>
        <w:rPr>
          <w:rFonts w:hint="default" w:ascii="Times New Roman" w:hAnsi="Times New Roman" w:cs="Times New Roman"/>
          <w:color w:val="auto"/>
          <w:highlight w:val="none"/>
        </w:rPr>
        <w:t>3.2工艺流程及产污环节</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_Toc9885 \h </w:instrText>
      </w:r>
      <w:r>
        <w:rPr>
          <w:rFonts w:hint="default" w:ascii="Times New Roman" w:hAnsi="Times New Roman" w:cs="Times New Roman"/>
          <w:color w:val="auto"/>
        </w:rPr>
        <w:fldChar w:fldCharType="separate"/>
      </w:r>
      <w:r>
        <w:rPr>
          <w:rFonts w:hint="default" w:ascii="Times New Roman" w:hAnsi="Times New Roman" w:cs="Times New Roman"/>
          <w:color w:val="auto"/>
        </w:rPr>
        <w:t>94</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359A5C30">
      <w:pPr>
        <w:pStyle w:val="16"/>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_Toc5291 </w:instrText>
      </w:r>
      <w:r>
        <w:rPr>
          <w:rFonts w:hint="default" w:ascii="Times New Roman" w:hAnsi="Times New Roman" w:cs="Times New Roman"/>
          <w:color w:val="auto"/>
        </w:rPr>
        <w:fldChar w:fldCharType="separate"/>
      </w:r>
      <w:r>
        <w:rPr>
          <w:rFonts w:hint="default" w:ascii="Times New Roman" w:hAnsi="Times New Roman" w:cs="Times New Roman"/>
          <w:color w:val="auto"/>
          <w:highlight w:val="none"/>
        </w:rPr>
        <w:t>3.3工程污染源强分析</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_Toc5291 \h </w:instrText>
      </w:r>
      <w:r>
        <w:rPr>
          <w:rFonts w:hint="default" w:ascii="Times New Roman" w:hAnsi="Times New Roman" w:cs="Times New Roman"/>
          <w:color w:val="auto"/>
        </w:rPr>
        <w:fldChar w:fldCharType="separate"/>
      </w:r>
      <w:r>
        <w:rPr>
          <w:rFonts w:hint="default" w:ascii="Times New Roman" w:hAnsi="Times New Roman" w:cs="Times New Roman"/>
          <w:color w:val="auto"/>
        </w:rPr>
        <w:t>97</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5751DFF6">
      <w:pPr>
        <w:pStyle w:val="15"/>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_Toc20255 </w:instrText>
      </w:r>
      <w:r>
        <w:rPr>
          <w:rFonts w:hint="default" w:ascii="Times New Roman" w:hAnsi="Times New Roman" w:cs="Times New Roman"/>
          <w:color w:val="auto"/>
        </w:rPr>
        <w:fldChar w:fldCharType="separate"/>
      </w:r>
      <w:r>
        <w:rPr>
          <w:rFonts w:hint="default" w:ascii="Times New Roman" w:hAnsi="Times New Roman" w:cs="Times New Roman"/>
          <w:color w:val="auto"/>
        </w:rPr>
        <w:t>4环境现状调查与评价</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_Toc20255 \h </w:instrText>
      </w:r>
      <w:r>
        <w:rPr>
          <w:rFonts w:hint="default" w:ascii="Times New Roman" w:hAnsi="Times New Roman" w:cs="Times New Roman"/>
          <w:color w:val="auto"/>
        </w:rPr>
        <w:fldChar w:fldCharType="separate"/>
      </w:r>
      <w:r>
        <w:rPr>
          <w:rFonts w:hint="default" w:ascii="Times New Roman" w:hAnsi="Times New Roman" w:cs="Times New Roman"/>
          <w:color w:val="auto"/>
        </w:rPr>
        <w:t>109</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7E8BF33E">
      <w:pPr>
        <w:pStyle w:val="16"/>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_Toc23958 </w:instrText>
      </w:r>
      <w:r>
        <w:rPr>
          <w:rFonts w:hint="default" w:ascii="Times New Roman" w:hAnsi="Times New Roman" w:cs="Times New Roman"/>
          <w:color w:val="auto"/>
        </w:rPr>
        <w:fldChar w:fldCharType="separate"/>
      </w:r>
      <w:r>
        <w:rPr>
          <w:rFonts w:hint="default" w:ascii="Times New Roman" w:hAnsi="Times New Roman" w:cs="Times New Roman"/>
          <w:color w:val="auto"/>
        </w:rPr>
        <w:t>4.1自然环境概况</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_Toc23958 \h </w:instrText>
      </w:r>
      <w:r>
        <w:rPr>
          <w:rFonts w:hint="default" w:ascii="Times New Roman" w:hAnsi="Times New Roman" w:cs="Times New Roman"/>
          <w:color w:val="auto"/>
        </w:rPr>
        <w:fldChar w:fldCharType="separate"/>
      </w:r>
      <w:r>
        <w:rPr>
          <w:rFonts w:hint="default" w:ascii="Times New Roman" w:hAnsi="Times New Roman" w:cs="Times New Roman"/>
          <w:color w:val="auto"/>
        </w:rPr>
        <w:t>109</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5BB0813A">
      <w:pPr>
        <w:pStyle w:val="16"/>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_Toc21931 </w:instrText>
      </w:r>
      <w:r>
        <w:rPr>
          <w:rFonts w:hint="default" w:ascii="Times New Roman" w:hAnsi="Times New Roman" w:cs="Times New Roman"/>
          <w:color w:val="auto"/>
        </w:rPr>
        <w:fldChar w:fldCharType="separate"/>
      </w:r>
      <w:r>
        <w:rPr>
          <w:rFonts w:hint="default" w:ascii="Times New Roman" w:hAnsi="Times New Roman" w:cs="Times New Roman"/>
          <w:color w:val="auto"/>
        </w:rPr>
        <w:t>4.2环境质量现状调查</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_Toc21931 \h </w:instrText>
      </w:r>
      <w:r>
        <w:rPr>
          <w:rFonts w:hint="default" w:ascii="Times New Roman" w:hAnsi="Times New Roman" w:cs="Times New Roman"/>
          <w:color w:val="auto"/>
        </w:rPr>
        <w:fldChar w:fldCharType="separate"/>
      </w:r>
      <w:r>
        <w:rPr>
          <w:rFonts w:hint="default" w:ascii="Times New Roman" w:hAnsi="Times New Roman" w:cs="Times New Roman"/>
          <w:color w:val="auto"/>
        </w:rPr>
        <w:t>126</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6009336A">
      <w:pPr>
        <w:pStyle w:val="16"/>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_Toc11314 </w:instrText>
      </w:r>
      <w:r>
        <w:rPr>
          <w:rFonts w:hint="default" w:ascii="Times New Roman" w:hAnsi="Times New Roman" w:cs="Times New Roman"/>
          <w:color w:val="auto"/>
        </w:rPr>
        <w:fldChar w:fldCharType="separate"/>
      </w:r>
      <w:r>
        <w:rPr>
          <w:rFonts w:hint="default" w:ascii="Times New Roman" w:hAnsi="Times New Roman" w:cs="Times New Roman"/>
          <w:color w:val="auto"/>
        </w:rPr>
        <w:t>4.3区域污染源调查</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_Toc11314 \h </w:instrText>
      </w:r>
      <w:r>
        <w:rPr>
          <w:rFonts w:hint="default" w:ascii="Times New Roman" w:hAnsi="Times New Roman" w:cs="Times New Roman"/>
          <w:color w:val="auto"/>
        </w:rPr>
        <w:fldChar w:fldCharType="separate"/>
      </w:r>
      <w:r>
        <w:rPr>
          <w:rFonts w:hint="default" w:ascii="Times New Roman" w:hAnsi="Times New Roman" w:cs="Times New Roman"/>
          <w:color w:val="auto"/>
        </w:rPr>
        <w:t>161</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602295F7">
      <w:pPr>
        <w:pStyle w:val="16"/>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_Toc12472 </w:instrText>
      </w:r>
      <w:r>
        <w:rPr>
          <w:rFonts w:hint="default" w:ascii="Times New Roman" w:hAnsi="Times New Roman" w:cs="Times New Roman"/>
          <w:color w:val="auto"/>
        </w:rPr>
        <w:fldChar w:fldCharType="separate"/>
      </w:r>
      <w:r>
        <w:rPr>
          <w:rFonts w:hint="default" w:ascii="Times New Roman" w:hAnsi="Times New Roman" w:cs="Times New Roman"/>
          <w:color w:val="auto"/>
        </w:rPr>
        <w:t>4.4环境敏感保护目标调查</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_Toc12472 \h </w:instrText>
      </w:r>
      <w:r>
        <w:rPr>
          <w:rFonts w:hint="default" w:ascii="Times New Roman" w:hAnsi="Times New Roman" w:cs="Times New Roman"/>
          <w:color w:val="auto"/>
        </w:rPr>
        <w:fldChar w:fldCharType="separate"/>
      </w:r>
      <w:r>
        <w:rPr>
          <w:rFonts w:hint="default" w:ascii="Times New Roman" w:hAnsi="Times New Roman" w:cs="Times New Roman"/>
          <w:color w:val="auto"/>
        </w:rPr>
        <w:t>161</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49BCF9C9">
      <w:pPr>
        <w:pStyle w:val="15"/>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_Toc32128 </w:instrText>
      </w:r>
      <w:r>
        <w:rPr>
          <w:rFonts w:hint="default" w:ascii="Times New Roman" w:hAnsi="Times New Roman" w:cs="Times New Roman"/>
          <w:color w:val="auto"/>
        </w:rPr>
        <w:fldChar w:fldCharType="separate"/>
      </w:r>
      <w:r>
        <w:rPr>
          <w:rFonts w:hint="default" w:ascii="Times New Roman" w:hAnsi="Times New Roman" w:cs="Times New Roman"/>
          <w:color w:val="auto"/>
          <w:highlight w:val="none"/>
        </w:rPr>
        <w:t>5环境影响预测与评价</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_Toc32128 \h </w:instrText>
      </w:r>
      <w:r>
        <w:rPr>
          <w:rFonts w:hint="default" w:ascii="Times New Roman" w:hAnsi="Times New Roman" w:cs="Times New Roman"/>
          <w:color w:val="auto"/>
        </w:rPr>
        <w:fldChar w:fldCharType="separate"/>
      </w:r>
      <w:r>
        <w:rPr>
          <w:rFonts w:hint="default" w:ascii="Times New Roman" w:hAnsi="Times New Roman" w:cs="Times New Roman"/>
          <w:color w:val="auto"/>
        </w:rPr>
        <w:t>163</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651B766D">
      <w:pPr>
        <w:pStyle w:val="16"/>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_Toc28686 </w:instrText>
      </w:r>
      <w:r>
        <w:rPr>
          <w:rFonts w:hint="default" w:ascii="Times New Roman" w:hAnsi="Times New Roman" w:cs="Times New Roman"/>
          <w:color w:val="auto"/>
        </w:rPr>
        <w:fldChar w:fldCharType="separate"/>
      </w:r>
      <w:r>
        <w:rPr>
          <w:rFonts w:hint="default" w:ascii="Times New Roman" w:hAnsi="Times New Roman" w:cs="Times New Roman"/>
          <w:color w:val="auto"/>
          <w:highlight w:val="none"/>
        </w:rPr>
        <w:t>5.1施工期环境影响分析</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_Toc28686 \h </w:instrText>
      </w:r>
      <w:r>
        <w:rPr>
          <w:rFonts w:hint="default" w:ascii="Times New Roman" w:hAnsi="Times New Roman" w:cs="Times New Roman"/>
          <w:color w:val="auto"/>
        </w:rPr>
        <w:fldChar w:fldCharType="separate"/>
      </w:r>
      <w:r>
        <w:rPr>
          <w:rFonts w:hint="default" w:ascii="Times New Roman" w:hAnsi="Times New Roman" w:cs="Times New Roman"/>
          <w:color w:val="auto"/>
        </w:rPr>
        <w:t>163</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127A549F">
      <w:pPr>
        <w:pStyle w:val="16"/>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_Toc5607 </w:instrText>
      </w:r>
      <w:r>
        <w:rPr>
          <w:rFonts w:hint="default" w:ascii="Times New Roman" w:hAnsi="Times New Roman" w:cs="Times New Roman"/>
          <w:color w:val="auto"/>
        </w:rPr>
        <w:fldChar w:fldCharType="separate"/>
      </w:r>
      <w:r>
        <w:rPr>
          <w:rFonts w:hint="default" w:ascii="Times New Roman" w:hAnsi="Times New Roman" w:cs="Times New Roman"/>
          <w:color w:val="auto"/>
          <w:highlight w:val="none"/>
        </w:rPr>
        <w:t>5.</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生态恢复期影响分析</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_Toc5607 \h </w:instrText>
      </w:r>
      <w:r>
        <w:rPr>
          <w:rFonts w:hint="default" w:ascii="Times New Roman" w:hAnsi="Times New Roman" w:cs="Times New Roman"/>
          <w:color w:val="auto"/>
        </w:rPr>
        <w:fldChar w:fldCharType="separate"/>
      </w:r>
      <w:r>
        <w:rPr>
          <w:rFonts w:hint="default" w:ascii="Times New Roman" w:hAnsi="Times New Roman" w:cs="Times New Roman"/>
          <w:color w:val="auto"/>
        </w:rPr>
        <w:t>182</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2CDB3E59">
      <w:pPr>
        <w:pStyle w:val="16"/>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_Toc21314 </w:instrText>
      </w:r>
      <w:r>
        <w:rPr>
          <w:rFonts w:hint="default" w:ascii="Times New Roman" w:hAnsi="Times New Roman" w:cs="Times New Roman"/>
          <w:color w:val="auto"/>
        </w:rPr>
        <w:fldChar w:fldCharType="separate"/>
      </w:r>
      <w:r>
        <w:rPr>
          <w:rFonts w:hint="default" w:ascii="Times New Roman" w:hAnsi="Times New Roman" w:cs="Times New Roman"/>
          <w:color w:val="auto"/>
          <w:highlight w:val="none"/>
        </w:rPr>
        <w:t>5.</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环境风险分析</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_Toc21314 \h </w:instrText>
      </w:r>
      <w:r>
        <w:rPr>
          <w:rFonts w:hint="default" w:ascii="Times New Roman" w:hAnsi="Times New Roman" w:cs="Times New Roman"/>
          <w:color w:val="auto"/>
        </w:rPr>
        <w:fldChar w:fldCharType="separate"/>
      </w:r>
      <w:r>
        <w:rPr>
          <w:rFonts w:hint="default" w:ascii="Times New Roman" w:hAnsi="Times New Roman" w:cs="Times New Roman"/>
          <w:color w:val="auto"/>
        </w:rPr>
        <w:t>183</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241FBC58">
      <w:pPr>
        <w:pStyle w:val="15"/>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_Toc22574 </w:instrText>
      </w:r>
      <w:r>
        <w:rPr>
          <w:rFonts w:hint="default" w:ascii="Times New Roman" w:hAnsi="Times New Roman" w:cs="Times New Roman"/>
          <w:color w:val="auto"/>
        </w:rPr>
        <w:fldChar w:fldCharType="separate"/>
      </w:r>
      <w:r>
        <w:rPr>
          <w:rFonts w:hint="default" w:ascii="Times New Roman" w:hAnsi="Times New Roman" w:cs="Times New Roman"/>
          <w:color w:val="auto"/>
        </w:rPr>
        <w:t>6环境保护措施及其可行性论证</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_Toc22574 \h </w:instrText>
      </w:r>
      <w:r>
        <w:rPr>
          <w:rFonts w:hint="default" w:ascii="Times New Roman" w:hAnsi="Times New Roman" w:cs="Times New Roman"/>
          <w:color w:val="auto"/>
        </w:rPr>
        <w:fldChar w:fldCharType="separate"/>
      </w:r>
      <w:r>
        <w:rPr>
          <w:rFonts w:hint="default" w:ascii="Times New Roman" w:hAnsi="Times New Roman" w:cs="Times New Roman"/>
          <w:color w:val="auto"/>
        </w:rPr>
        <w:t>184</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2A1EFBEC">
      <w:pPr>
        <w:pStyle w:val="16"/>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_Toc30054 </w:instrText>
      </w:r>
      <w:r>
        <w:rPr>
          <w:rFonts w:hint="default" w:ascii="Times New Roman" w:hAnsi="Times New Roman" w:cs="Times New Roman"/>
          <w:color w:val="auto"/>
        </w:rPr>
        <w:fldChar w:fldCharType="separate"/>
      </w:r>
      <w:r>
        <w:rPr>
          <w:rFonts w:hint="default" w:ascii="Times New Roman" w:hAnsi="Times New Roman" w:cs="Times New Roman"/>
          <w:color w:val="auto"/>
        </w:rPr>
        <w:t>6.1施工期环境保护措施</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_Toc30054 \h </w:instrText>
      </w:r>
      <w:r>
        <w:rPr>
          <w:rFonts w:hint="default" w:ascii="Times New Roman" w:hAnsi="Times New Roman" w:cs="Times New Roman"/>
          <w:color w:val="auto"/>
        </w:rPr>
        <w:fldChar w:fldCharType="separate"/>
      </w:r>
      <w:r>
        <w:rPr>
          <w:rFonts w:hint="default" w:ascii="Times New Roman" w:hAnsi="Times New Roman" w:cs="Times New Roman"/>
          <w:color w:val="auto"/>
        </w:rPr>
        <w:t>184</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67C497AC">
      <w:pPr>
        <w:pStyle w:val="16"/>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_Toc12536 </w:instrText>
      </w:r>
      <w:r>
        <w:rPr>
          <w:rFonts w:hint="default" w:ascii="Times New Roman" w:hAnsi="Times New Roman" w:cs="Times New Roman"/>
          <w:color w:val="auto"/>
        </w:rPr>
        <w:fldChar w:fldCharType="separate"/>
      </w:r>
      <w:r>
        <w:rPr>
          <w:rFonts w:hint="default" w:ascii="Times New Roman" w:hAnsi="Times New Roman" w:cs="Times New Roman"/>
          <w:color w:val="auto"/>
        </w:rPr>
        <w:t>6.</w:t>
      </w:r>
      <w:r>
        <w:rPr>
          <w:rFonts w:hint="default" w:ascii="Times New Roman" w:hAnsi="Times New Roman" w:cs="Times New Roman"/>
          <w:color w:val="auto"/>
          <w:lang w:val="en-US" w:eastAsia="zh-CN"/>
        </w:rPr>
        <w:t>2</w:t>
      </w:r>
      <w:r>
        <w:rPr>
          <w:rFonts w:hint="default" w:ascii="Times New Roman" w:hAnsi="Times New Roman" w:cs="Times New Roman"/>
          <w:color w:val="auto"/>
        </w:rPr>
        <w:t>生态恢复期保护措施</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_Toc12536 \h </w:instrText>
      </w:r>
      <w:r>
        <w:rPr>
          <w:rFonts w:hint="default" w:ascii="Times New Roman" w:hAnsi="Times New Roman" w:cs="Times New Roman"/>
          <w:color w:val="auto"/>
        </w:rPr>
        <w:fldChar w:fldCharType="separate"/>
      </w:r>
      <w:r>
        <w:rPr>
          <w:rFonts w:hint="default" w:ascii="Times New Roman" w:hAnsi="Times New Roman" w:cs="Times New Roman"/>
          <w:color w:val="auto"/>
        </w:rPr>
        <w:t>197</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0C53081B">
      <w:pPr>
        <w:pStyle w:val="16"/>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_Toc16126 </w:instrText>
      </w:r>
      <w:r>
        <w:rPr>
          <w:rFonts w:hint="default" w:ascii="Times New Roman" w:hAnsi="Times New Roman" w:cs="Times New Roman"/>
          <w:color w:val="auto"/>
        </w:rPr>
        <w:fldChar w:fldCharType="separate"/>
      </w:r>
      <w:r>
        <w:rPr>
          <w:rFonts w:hint="default" w:ascii="Times New Roman" w:hAnsi="Times New Roman" w:cs="Times New Roman"/>
          <w:color w:val="auto"/>
        </w:rPr>
        <w:t>6.</w:t>
      </w:r>
      <w:r>
        <w:rPr>
          <w:rFonts w:hint="default" w:ascii="Times New Roman" w:hAnsi="Times New Roman" w:cs="Times New Roman"/>
          <w:color w:val="auto"/>
          <w:lang w:val="en-US" w:eastAsia="zh-CN"/>
        </w:rPr>
        <w:t>3</w:t>
      </w:r>
      <w:r>
        <w:rPr>
          <w:rFonts w:hint="default" w:ascii="Times New Roman" w:hAnsi="Times New Roman" w:cs="Times New Roman"/>
          <w:color w:val="auto"/>
        </w:rPr>
        <w:t>环境保护投资</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_Toc16126 \h </w:instrText>
      </w:r>
      <w:r>
        <w:rPr>
          <w:rFonts w:hint="default" w:ascii="Times New Roman" w:hAnsi="Times New Roman" w:cs="Times New Roman"/>
          <w:color w:val="auto"/>
        </w:rPr>
        <w:fldChar w:fldCharType="separate"/>
      </w:r>
      <w:r>
        <w:rPr>
          <w:rFonts w:hint="default" w:ascii="Times New Roman" w:hAnsi="Times New Roman" w:cs="Times New Roman"/>
          <w:color w:val="auto"/>
        </w:rPr>
        <w:t>197</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042FF264">
      <w:pPr>
        <w:pStyle w:val="15"/>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_Toc9064 </w:instrText>
      </w:r>
      <w:r>
        <w:rPr>
          <w:rFonts w:hint="default" w:ascii="Times New Roman" w:hAnsi="Times New Roman" w:cs="Times New Roman"/>
          <w:color w:val="auto"/>
        </w:rPr>
        <w:fldChar w:fldCharType="separate"/>
      </w:r>
      <w:r>
        <w:rPr>
          <w:rFonts w:hint="default" w:ascii="Times New Roman" w:hAnsi="Times New Roman" w:cs="Times New Roman"/>
          <w:color w:val="auto"/>
        </w:rPr>
        <w:t>7环境影响经济损益分析</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_Toc9064 \h </w:instrText>
      </w:r>
      <w:r>
        <w:rPr>
          <w:rFonts w:hint="default" w:ascii="Times New Roman" w:hAnsi="Times New Roman" w:cs="Times New Roman"/>
          <w:color w:val="auto"/>
        </w:rPr>
        <w:fldChar w:fldCharType="separate"/>
      </w:r>
      <w:r>
        <w:rPr>
          <w:rFonts w:hint="default" w:ascii="Times New Roman" w:hAnsi="Times New Roman" w:cs="Times New Roman"/>
          <w:color w:val="auto"/>
        </w:rPr>
        <w:t>199</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0F56C15D">
      <w:pPr>
        <w:pStyle w:val="16"/>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_Toc6313 </w:instrText>
      </w:r>
      <w:r>
        <w:rPr>
          <w:rFonts w:hint="default" w:ascii="Times New Roman" w:hAnsi="Times New Roman" w:cs="Times New Roman"/>
          <w:color w:val="auto"/>
        </w:rPr>
        <w:fldChar w:fldCharType="separate"/>
      </w:r>
      <w:r>
        <w:rPr>
          <w:rFonts w:hint="default" w:ascii="Times New Roman" w:hAnsi="Times New Roman" w:cs="Times New Roman"/>
          <w:color w:val="auto"/>
        </w:rPr>
        <w:t>7.1社会经济效益分析</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_Toc6313 \h </w:instrText>
      </w:r>
      <w:r>
        <w:rPr>
          <w:rFonts w:hint="default" w:ascii="Times New Roman" w:hAnsi="Times New Roman" w:cs="Times New Roman"/>
          <w:color w:val="auto"/>
        </w:rPr>
        <w:fldChar w:fldCharType="separate"/>
      </w:r>
      <w:r>
        <w:rPr>
          <w:rFonts w:hint="default" w:ascii="Times New Roman" w:hAnsi="Times New Roman" w:cs="Times New Roman"/>
          <w:color w:val="auto"/>
        </w:rPr>
        <w:t>199</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61B7A996">
      <w:pPr>
        <w:pStyle w:val="16"/>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_Toc10134 </w:instrText>
      </w:r>
      <w:r>
        <w:rPr>
          <w:rFonts w:hint="default" w:ascii="Times New Roman" w:hAnsi="Times New Roman" w:cs="Times New Roman"/>
          <w:color w:val="auto"/>
        </w:rPr>
        <w:fldChar w:fldCharType="separate"/>
      </w:r>
      <w:r>
        <w:rPr>
          <w:rFonts w:hint="default" w:ascii="Times New Roman" w:hAnsi="Times New Roman" w:cs="Times New Roman"/>
          <w:color w:val="auto"/>
        </w:rPr>
        <w:t>7.2经济损益分析</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_Toc10134 \h </w:instrText>
      </w:r>
      <w:r>
        <w:rPr>
          <w:rFonts w:hint="default" w:ascii="Times New Roman" w:hAnsi="Times New Roman" w:cs="Times New Roman"/>
          <w:color w:val="auto"/>
        </w:rPr>
        <w:fldChar w:fldCharType="separate"/>
      </w:r>
      <w:r>
        <w:rPr>
          <w:rFonts w:hint="default" w:ascii="Times New Roman" w:hAnsi="Times New Roman" w:cs="Times New Roman"/>
          <w:color w:val="auto"/>
        </w:rPr>
        <w:t>199</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04EE353A">
      <w:pPr>
        <w:pStyle w:val="16"/>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_Toc27695 </w:instrText>
      </w:r>
      <w:r>
        <w:rPr>
          <w:rFonts w:hint="default" w:ascii="Times New Roman" w:hAnsi="Times New Roman" w:cs="Times New Roman"/>
          <w:color w:val="auto"/>
        </w:rPr>
        <w:fldChar w:fldCharType="separate"/>
      </w:r>
      <w:r>
        <w:rPr>
          <w:rFonts w:hint="default" w:ascii="Times New Roman" w:hAnsi="Times New Roman" w:cs="Times New Roman"/>
          <w:color w:val="auto"/>
        </w:rPr>
        <w:t>7.3环境效益分析</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_Toc27695 \h </w:instrText>
      </w:r>
      <w:r>
        <w:rPr>
          <w:rFonts w:hint="default" w:ascii="Times New Roman" w:hAnsi="Times New Roman" w:cs="Times New Roman"/>
          <w:color w:val="auto"/>
        </w:rPr>
        <w:fldChar w:fldCharType="separate"/>
      </w:r>
      <w:r>
        <w:rPr>
          <w:rFonts w:hint="default" w:ascii="Times New Roman" w:hAnsi="Times New Roman" w:cs="Times New Roman"/>
          <w:color w:val="auto"/>
        </w:rPr>
        <w:t>199</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10010755">
      <w:pPr>
        <w:pStyle w:val="16"/>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_Toc20986 </w:instrText>
      </w:r>
      <w:r>
        <w:rPr>
          <w:rFonts w:hint="default" w:ascii="Times New Roman" w:hAnsi="Times New Roman" w:cs="Times New Roman"/>
          <w:color w:val="auto"/>
        </w:rPr>
        <w:fldChar w:fldCharType="separate"/>
      </w:r>
      <w:r>
        <w:rPr>
          <w:rFonts w:hint="default" w:ascii="Times New Roman" w:hAnsi="Times New Roman" w:cs="Times New Roman"/>
          <w:color w:val="auto"/>
        </w:rPr>
        <w:t>7.4小结</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_Toc20986 \h </w:instrText>
      </w:r>
      <w:r>
        <w:rPr>
          <w:rFonts w:hint="default" w:ascii="Times New Roman" w:hAnsi="Times New Roman" w:cs="Times New Roman"/>
          <w:color w:val="auto"/>
        </w:rPr>
        <w:fldChar w:fldCharType="separate"/>
      </w:r>
      <w:r>
        <w:rPr>
          <w:rFonts w:hint="default" w:ascii="Times New Roman" w:hAnsi="Times New Roman" w:cs="Times New Roman"/>
          <w:color w:val="auto"/>
        </w:rPr>
        <w:t>200</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4598FD08">
      <w:pPr>
        <w:pStyle w:val="15"/>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_Toc11974 </w:instrText>
      </w:r>
      <w:r>
        <w:rPr>
          <w:rFonts w:hint="default" w:ascii="Times New Roman" w:hAnsi="Times New Roman" w:cs="Times New Roman"/>
          <w:color w:val="auto"/>
        </w:rPr>
        <w:fldChar w:fldCharType="separate"/>
      </w:r>
      <w:r>
        <w:rPr>
          <w:rFonts w:hint="default" w:ascii="Times New Roman" w:hAnsi="Times New Roman" w:cs="Times New Roman"/>
          <w:color w:val="auto"/>
        </w:rPr>
        <w:t>8环境管理与监测计划</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_Toc11974 \h </w:instrText>
      </w:r>
      <w:r>
        <w:rPr>
          <w:rFonts w:hint="default" w:ascii="Times New Roman" w:hAnsi="Times New Roman" w:cs="Times New Roman"/>
          <w:color w:val="auto"/>
        </w:rPr>
        <w:fldChar w:fldCharType="separate"/>
      </w:r>
      <w:r>
        <w:rPr>
          <w:rFonts w:hint="default" w:ascii="Times New Roman" w:hAnsi="Times New Roman" w:cs="Times New Roman"/>
          <w:color w:val="auto"/>
        </w:rPr>
        <w:t>201</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0E9EE368">
      <w:pPr>
        <w:pStyle w:val="16"/>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_Toc13059 </w:instrText>
      </w:r>
      <w:r>
        <w:rPr>
          <w:rFonts w:hint="default" w:ascii="Times New Roman" w:hAnsi="Times New Roman" w:cs="Times New Roman"/>
          <w:color w:val="auto"/>
        </w:rPr>
        <w:fldChar w:fldCharType="separate"/>
      </w:r>
      <w:r>
        <w:rPr>
          <w:rFonts w:hint="default" w:ascii="Times New Roman" w:hAnsi="Times New Roman" w:cs="Times New Roman"/>
          <w:color w:val="auto"/>
        </w:rPr>
        <w:t>8.1环境管理</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_Toc13059 \h </w:instrText>
      </w:r>
      <w:r>
        <w:rPr>
          <w:rFonts w:hint="default" w:ascii="Times New Roman" w:hAnsi="Times New Roman" w:cs="Times New Roman"/>
          <w:color w:val="auto"/>
        </w:rPr>
        <w:fldChar w:fldCharType="separate"/>
      </w:r>
      <w:r>
        <w:rPr>
          <w:rFonts w:hint="default" w:ascii="Times New Roman" w:hAnsi="Times New Roman" w:cs="Times New Roman"/>
          <w:color w:val="auto"/>
        </w:rPr>
        <w:t>201</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08F572D8">
      <w:pPr>
        <w:pStyle w:val="16"/>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_Toc18136 </w:instrText>
      </w:r>
      <w:r>
        <w:rPr>
          <w:rFonts w:hint="default" w:ascii="Times New Roman" w:hAnsi="Times New Roman" w:cs="Times New Roman"/>
          <w:color w:val="auto"/>
        </w:rPr>
        <w:fldChar w:fldCharType="separate"/>
      </w:r>
      <w:r>
        <w:rPr>
          <w:rFonts w:hint="default" w:ascii="Times New Roman" w:hAnsi="Times New Roman" w:cs="Times New Roman"/>
          <w:color w:val="auto"/>
        </w:rPr>
        <w:t>8.2生态恢复期环境监测计划</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_Toc18136 \h </w:instrText>
      </w:r>
      <w:r>
        <w:rPr>
          <w:rFonts w:hint="default" w:ascii="Times New Roman" w:hAnsi="Times New Roman" w:cs="Times New Roman"/>
          <w:color w:val="auto"/>
        </w:rPr>
        <w:fldChar w:fldCharType="separate"/>
      </w:r>
      <w:r>
        <w:rPr>
          <w:rFonts w:hint="default" w:ascii="Times New Roman" w:hAnsi="Times New Roman" w:cs="Times New Roman"/>
          <w:color w:val="auto"/>
        </w:rPr>
        <w:t>205</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4580BAEA">
      <w:pPr>
        <w:pStyle w:val="16"/>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_Toc6246 </w:instrText>
      </w:r>
      <w:r>
        <w:rPr>
          <w:rFonts w:hint="default" w:ascii="Times New Roman" w:hAnsi="Times New Roman" w:cs="Times New Roman"/>
          <w:color w:val="auto"/>
        </w:rPr>
        <w:fldChar w:fldCharType="separate"/>
      </w:r>
      <w:r>
        <w:rPr>
          <w:rFonts w:hint="default" w:ascii="Times New Roman" w:hAnsi="Times New Roman" w:cs="Times New Roman"/>
          <w:color w:val="auto"/>
        </w:rPr>
        <w:t>8.2.1环境监测机构设置及职责</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_Toc6246 \h </w:instrText>
      </w:r>
      <w:r>
        <w:rPr>
          <w:rFonts w:hint="default" w:ascii="Times New Roman" w:hAnsi="Times New Roman" w:cs="Times New Roman"/>
          <w:color w:val="auto"/>
        </w:rPr>
        <w:fldChar w:fldCharType="separate"/>
      </w:r>
      <w:r>
        <w:rPr>
          <w:rFonts w:hint="default" w:ascii="Times New Roman" w:hAnsi="Times New Roman" w:cs="Times New Roman"/>
          <w:color w:val="auto"/>
        </w:rPr>
        <w:t>205</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0127586A">
      <w:pPr>
        <w:pStyle w:val="16"/>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_Toc28809 </w:instrText>
      </w:r>
      <w:r>
        <w:rPr>
          <w:rFonts w:hint="default" w:ascii="Times New Roman" w:hAnsi="Times New Roman" w:cs="Times New Roman"/>
          <w:color w:val="auto"/>
        </w:rPr>
        <w:fldChar w:fldCharType="separate"/>
      </w:r>
      <w:r>
        <w:rPr>
          <w:rFonts w:hint="default" w:ascii="Times New Roman" w:hAnsi="Times New Roman" w:cs="Times New Roman"/>
          <w:color w:val="auto"/>
        </w:rPr>
        <w:t>8.3环境保护竣工验收</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_Toc28809 \h </w:instrText>
      </w:r>
      <w:r>
        <w:rPr>
          <w:rFonts w:hint="default" w:ascii="Times New Roman" w:hAnsi="Times New Roman" w:cs="Times New Roman"/>
          <w:color w:val="auto"/>
        </w:rPr>
        <w:fldChar w:fldCharType="separate"/>
      </w:r>
      <w:r>
        <w:rPr>
          <w:rFonts w:hint="default" w:ascii="Times New Roman" w:hAnsi="Times New Roman" w:cs="Times New Roman"/>
          <w:color w:val="auto"/>
        </w:rPr>
        <w:t>207</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157530BF">
      <w:pPr>
        <w:pStyle w:val="16"/>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_Toc26093 </w:instrText>
      </w:r>
      <w:r>
        <w:rPr>
          <w:rFonts w:hint="default" w:ascii="Times New Roman" w:hAnsi="Times New Roman" w:cs="Times New Roman"/>
          <w:color w:val="auto"/>
        </w:rPr>
        <w:fldChar w:fldCharType="separate"/>
      </w:r>
      <w:r>
        <w:rPr>
          <w:rFonts w:hint="default" w:ascii="Times New Roman" w:hAnsi="Times New Roman" w:cs="Times New Roman"/>
          <w:color w:val="auto"/>
        </w:rPr>
        <w:t>8.4总量控制</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_Toc26093 \h </w:instrText>
      </w:r>
      <w:r>
        <w:rPr>
          <w:rFonts w:hint="default" w:ascii="Times New Roman" w:hAnsi="Times New Roman" w:cs="Times New Roman"/>
          <w:color w:val="auto"/>
        </w:rPr>
        <w:fldChar w:fldCharType="separate"/>
      </w:r>
      <w:r>
        <w:rPr>
          <w:rFonts w:hint="default" w:ascii="Times New Roman" w:hAnsi="Times New Roman" w:cs="Times New Roman"/>
          <w:color w:val="auto"/>
        </w:rPr>
        <w:t>209</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39A0CD62">
      <w:pPr>
        <w:pStyle w:val="15"/>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_Toc8136 </w:instrText>
      </w:r>
      <w:r>
        <w:rPr>
          <w:rFonts w:hint="default" w:ascii="Times New Roman" w:hAnsi="Times New Roman" w:cs="Times New Roman"/>
          <w:color w:val="auto"/>
        </w:rPr>
        <w:fldChar w:fldCharType="separate"/>
      </w:r>
      <w:r>
        <w:rPr>
          <w:rFonts w:hint="default" w:ascii="Times New Roman" w:hAnsi="Times New Roman" w:cs="Times New Roman"/>
          <w:color w:val="auto"/>
          <w:highlight w:val="none"/>
        </w:rPr>
        <w:t>9环境影响评价结论</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_Toc8136 \h </w:instrText>
      </w:r>
      <w:r>
        <w:rPr>
          <w:rFonts w:hint="default" w:ascii="Times New Roman" w:hAnsi="Times New Roman" w:cs="Times New Roman"/>
          <w:color w:val="auto"/>
        </w:rPr>
        <w:fldChar w:fldCharType="separate"/>
      </w:r>
      <w:r>
        <w:rPr>
          <w:rFonts w:hint="default" w:ascii="Times New Roman" w:hAnsi="Times New Roman" w:cs="Times New Roman"/>
          <w:color w:val="auto"/>
        </w:rPr>
        <w:t>210</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39D0A9A3">
      <w:pPr>
        <w:pStyle w:val="16"/>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_Toc10710 </w:instrText>
      </w:r>
      <w:r>
        <w:rPr>
          <w:rFonts w:hint="default" w:ascii="Times New Roman" w:hAnsi="Times New Roman" w:cs="Times New Roman"/>
          <w:color w:val="auto"/>
        </w:rPr>
        <w:fldChar w:fldCharType="separate"/>
      </w:r>
      <w:r>
        <w:rPr>
          <w:rFonts w:hint="default" w:ascii="Times New Roman" w:hAnsi="Times New Roman" w:cs="Times New Roman"/>
          <w:snapToGrid w:val="0"/>
          <w:color w:val="auto"/>
          <w:highlight w:val="none"/>
        </w:rPr>
        <w:t>9.1评价结论</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_Toc10710 \h </w:instrText>
      </w:r>
      <w:r>
        <w:rPr>
          <w:rFonts w:hint="default" w:ascii="Times New Roman" w:hAnsi="Times New Roman" w:cs="Times New Roman"/>
          <w:color w:val="auto"/>
        </w:rPr>
        <w:fldChar w:fldCharType="separate"/>
      </w:r>
      <w:r>
        <w:rPr>
          <w:rFonts w:hint="default" w:ascii="Times New Roman" w:hAnsi="Times New Roman" w:cs="Times New Roman"/>
          <w:color w:val="auto"/>
        </w:rPr>
        <w:t>210</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0DCA5862">
      <w:pPr>
        <w:pStyle w:val="16"/>
        <w:tabs>
          <w:tab w:val="right" w:leader="dot" w:pos="8306"/>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_Toc5055 </w:instrText>
      </w:r>
      <w:r>
        <w:rPr>
          <w:rFonts w:hint="default" w:ascii="Times New Roman" w:hAnsi="Times New Roman" w:cs="Times New Roman"/>
          <w:color w:val="auto"/>
        </w:rPr>
        <w:fldChar w:fldCharType="separate"/>
      </w:r>
      <w:r>
        <w:rPr>
          <w:rFonts w:hint="default" w:ascii="Times New Roman" w:hAnsi="Times New Roman" w:cs="Times New Roman"/>
          <w:snapToGrid w:val="0"/>
          <w:color w:val="auto"/>
          <w:highlight w:val="none"/>
        </w:rPr>
        <w:t>9.2建议</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_Toc5055 \h </w:instrText>
      </w:r>
      <w:r>
        <w:rPr>
          <w:rFonts w:hint="default" w:ascii="Times New Roman" w:hAnsi="Times New Roman" w:cs="Times New Roman"/>
          <w:color w:val="auto"/>
        </w:rPr>
        <w:fldChar w:fldCharType="separate"/>
      </w:r>
      <w:r>
        <w:rPr>
          <w:rFonts w:hint="default" w:ascii="Times New Roman" w:hAnsi="Times New Roman" w:cs="Times New Roman"/>
          <w:color w:val="auto"/>
        </w:rPr>
        <w:t>215</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p>
    <w:p w14:paraId="33F2429A">
      <w:pPr>
        <w:pStyle w:val="25"/>
        <w:ind w:firstLine="480"/>
        <w:rPr>
          <w:rFonts w:hint="default" w:ascii="Times New Roman" w:hAnsi="Times New Roman" w:cs="Times New Roman"/>
          <w:color w:val="auto"/>
        </w:rPr>
        <w:sectPr>
          <w:pgSz w:w="11906" w:h="16838"/>
          <w:pgMar w:top="1440" w:right="1800" w:bottom="1440" w:left="1800" w:header="851" w:footer="992" w:gutter="0"/>
          <w:pgBorders>
            <w:top w:val="none" w:sz="0" w:space="0"/>
            <w:left w:val="none" w:sz="0" w:space="0"/>
            <w:bottom w:val="none" w:sz="0" w:space="0"/>
            <w:right w:val="none" w:sz="0" w:space="0"/>
          </w:pgBorders>
          <w:pgNumType w:fmt="upperRoman" w:start="1"/>
          <w:cols w:space="720" w:num="1"/>
          <w:docGrid w:type="lines" w:linePitch="312" w:charSpace="0"/>
        </w:sectPr>
      </w:pPr>
      <w:r>
        <w:rPr>
          <w:rFonts w:hint="default" w:ascii="Times New Roman" w:hAnsi="Times New Roman" w:cs="Times New Roman"/>
          <w:color w:val="auto"/>
        </w:rPr>
        <w:fldChar w:fldCharType="end"/>
      </w:r>
    </w:p>
    <w:p w14:paraId="5E513B32">
      <w:pPr>
        <w:pStyle w:val="42"/>
        <w:rPr>
          <w:rFonts w:hint="default" w:ascii="Times New Roman" w:hAnsi="Times New Roman" w:cs="Times New Roman"/>
          <w:color w:val="auto"/>
        </w:rPr>
      </w:pPr>
      <w:bookmarkStart w:id="2" w:name="_Toc479252796"/>
      <w:bookmarkStart w:id="3" w:name="_Toc119316781"/>
      <w:bookmarkStart w:id="4" w:name="_Toc152926798"/>
      <w:bookmarkStart w:id="5" w:name="_Toc20472"/>
      <w:bookmarkStart w:id="6" w:name="_Toc5986"/>
      <w:r>
        <w:rPr>
          <w:rFonts w:hint="default" w:ascii="Times New Roman" w:hAnsi="Times New Roman" w:cs="Times New Roman"/>
          <w:color w:val="auto"/>
        </w:rPr>
        <w:t>1概述</w:t>
      </w:r>
      <w:bookmarkEnd w:id="2"/>
      <w:bookmarkEnd w:id="3"/>
      <w:bookmarkEnd w:id="4"/>
      <w:bookmarkEnd w:id="5"/>
      <w:bookmarkEnd w:id="6"/>
    </w:p>
    <w:p w14:paraId="6D58D7B6">
      <w:pPr>
        <w:pStyle w:val="41"/>
        <w:rPr>
          <w:rFonts w:hint="default" w:ascii="Times New Roman" w:hAnsi="Times New Roman" w:cs="Times New Roman"/>
          <w:color w:val="auto"/>
        </w:rPr>
      </w:pPr>
      <w:bookmarkStart w:id="7" w:name="_Toc14819"/>
      <w:bookmarkStart w:id="8" w:name="_Toc152926799"/>
      <w:bookmarkStart w:id="9" w:name="_Toc119316782"/>
      <w:bookmarkStart w:id="10" w:name="_Toc20367"/>
      <w:r>
        <w:rPr>
          <w:rFonts w:hint="default" w:ascii="Times New Roman" w:hAnsi="Times New Roman" w:cs="Times New Roman"/>
          <w:color w:val="auto"/>
        </w:rPr>
        <w:t>1.1项目由来</w:t>
      </w:r>
      <w:bookmarkEnd w:id="7"/>
      <w:bookmarkEnd w:id="8"/>
      <w:bookmarkEnd w:id="9"/>
      <w:bookmarkEnd w:id="10"/>
    </w:p>
    <w:p w14:paraId="5BA15228">
      <w:pPr>
        <w:pStyle w:val="25"/>
        <w:ind w:firstLine="480"/>
        <w:rPr>
          <w:rFonts w:hint="default" w:ascii="Times New Roman" w:hAnsi="Times New Roman" w:cs="Times New Roman"/>
          <w:snapToGrid w:val="0"/>
          <w:color w:val="auto"/>
          <w:lang w:val="en-US" w:eastAsia="zh-CN"/>
        </w:rPr>
      </w:pPr>
      <w:bookmarkStart w:id="11" w:name="_Toc524431260"/>
      <w:bookmarkStart w:id="12" w:name="_Toc15991611"/>
      <w:r>
        <w:rPr>
          <w:rFonts w:hint="default" w:ascii="Times New Roman" w:hAnsi="Times New Roman" w:cs="Times New Roman"/>
          <w:snapToGrid w:val="0"/>
          <w:color w:val="auto"/>
        </w:rPr>
        <w:t>鸡西市是东北老工业基地主要城市之一，东北地区最大煤城、黑龙江省“四大煤城”之首，是一座百年历史的综合性工业城市。鸡西市是中国重要的煤炭基地及石墨的生产地，矿产资源开采国民经济发展做出了重大贡献的同时，使鸡西市城子河区满目疮痍，伤痕累累。由于当时粗放开采，缺乏必要的治理政策、技术与资金，致使矿山开采后造成的矿山地质环境问题及地质灾害越来越明显，也越来越严重。项目区内分布着数个裸露边坡和废弃采坑，废弃建筑垃圾遍地堆积，压占土地资源，改变原有地形地貌，破坏原生地质环境，矿山的开采致使地质环境破坏严重。为了改善城子河区域内的地质环境和生态环境，开展废弃矿山的生态修复及保护。</w:t>
      </w:r>
      <w:r>
        <w:rPr>
          <w:rFonts w:hint="eastAsia" w:cs="Times New Roman"/>
          <w:snapToGrid w:val="0"/>
          <w:color w:val="auto"/>
          <w:lang w:val="en-US" w:eastAsia="zh-CN"/>
        </w:rPr>
        <w:t>鸡西市自然资源局共批复44处历史遗留矿山进行修复（附件9），本次仅针对2#、14#、15#、16#、21#、59#、60#、25#、41#、31#、45#、47# 地块进行恢复治理，</w:t>
      </w:r>
      <w:r>
        <w:rPr>
          <w:rFonts w:hint="default" w:ascii="Times New Roman" w:hAnsi="Times New Roman" w:cs="Times New Roman"/>
          <w:snapToGrid w:val="0"/>
          <w:color w:val="auto"/>
          <w:lang w:val="en-US" w:eastAsia="zh-CN"/>
        </w:rPr>
        <w:t>恢复地块现状情况如下：</w:t>
      </w:r>
    </w:p>
    <w:p w14:paraId="4F1D0B72">
      <w:pPr>
        <w:pStyle w:val="25"/>
        <w:ind w:firstLine="480"/>
        <w:rPr>
          <w:rFonts w:hint="default" w:ascii="Times New Roman" w:hAnsi="Times New Roman" w:cs="Times New Roman"/>
          <w:snapToGrid w:val="0"/>
          <w:color w:val="auto"/>
          <w:lang w:val="en-US" w:eastAsia="zh-CN"/>
        </w:rPr>
      </w:pPr>
      <w:r>
        <w:rPr>
          <w:rFonts w:hint="default" w:ascii="Times New Roman" w:hAnsi="Times New Roman" w:cs="Times New Roman"/>
          <w:snapToGrid w:val="0"/>
          <w:color w:val="auto"/>
          <w:lang w:val="en-US" w:eastAsia="zh-CN"/>
        </w:rPr>
        <w:t>1）2#：项目区位于鸡西市城子河区中北部，城海村西南方向0.3km。所属地貌单元为丘陵，地势起伏较大，项目区周边主要为林地。经现场调查，该 场地原为鸡西市城子河区兴顺釆石场，前些年已经政策性关闭，损毁的土 地权属为城子河矿林场。矿山开釆形成了较深的凹陷釆坑，釆坑边坡多在 65-75°之间，釆坑南侧堆积了少量废弃土石。项目区整体矿山地质环境较差，裸露的开采面上没有植被，釆坑内有积水。</w:t>
      </w:r>
    </w:p>
    <w:p w14:paraId="62AB1402">
      <w:pPr>
        <w:pStyle w:val="25"/>
        <w:ind w:firstLine="480"/>
        <w:rPr>
          <w:rFonts w:hint="default" w:ascii="Times New Roman" w:hAnsi="Times New Roman" w:cs="Times New Roman"/>
          <w:snapToGrid w:val="0"/>
          <w:color w:val="auto"/>
          <w:lang w:val="en-US" w:eastAsia="zh-CN"/>
        </w:rPr>
      </w:pPr>
      <w:r>
        <w:rPr>
          <w:rFonts w:hint="default" w:ascii="Times New Roman" w:hAnsi="Times New Roman" w:cs="Times New Roman"/>
          <w:snapToGrid w:val="0"/>
          <w:color w:val="auto"/>
          <w:lang w:val="en-US" w:eastAsia="zh-CN"/>
        </w:rPr>
        <w:t>2）14#：项目区位于鸡西市城子河区中北部，城东一队侧东侧。所属地貌单元为丘陵，地势起伏较大，项目区周边主要为林地。经现场调查，该场地原为采石场，现已废弃，损毁的土地权属为城子河矿林场。矿山开采形成了较大面积的开采剥离面，边坡多在67-80°之间，坡下平台堆积了大量废弃土石渣，同时场地内有碎石加工厂的房屋。项目区整体矿山地质环境较差，裸露的开采面上没有植被。</w:t>
      </w:r>
    </w:p>
    <w:p w14:paraId="0D2CE3FF">
      <w:pPr>
        <w:pStyle w:val="25"/>
        <w:numPr>
          <w:ilvl w:val="0"/>
          <w:numId w:val="0"/>
        </w:numPr>
        <w:ind w:firstLine="480" w:firstLineChars="200"/>
        <w:rPr>
          <w:rFonts w:hint="default" w:ascii="Times New Roman" w:hAnsi="Times New Roman" w:cs="Times New Roman"/>
          <w:snapToGrid w:val="0"/>
          <w:color w:val="auto"/>
          <w:lang w:val="en-US" w:eastAsia="zh-CN"/>
        </w:rPr>
      </w:pPr>
      <w:r>
        <w:rPr>
          <w:rFonts w:hint="default" w:ascii="Times New Roman" w:hAnsi="Times New Roman" w:eastAsia="宋体" w:cs="Times New Roman"/>
          <w:snapToGrid w:val="0"/>
          <w:color w:val="auto"/>
          <w:kern w:val="2"/>
          <w:sz w:val="24"/>
          <w:szCs w:val="24"/>
          <w:lang w:val="en-US" w:eastAsia="zh-CN" w:bidi="ar-SA"/>
        </w:rPr>
        <w:t>3）</w:t>
      </w:r>
      <w:r>
        <w:rPr>
          <w:rFonts w:hint="default" w:ascii="Times New Roman" w:hAnsi="Times New Roman" w:cs="Times New Roman"/>
          <w:snapToGrid w:val="0"/>
          <w:color w:val="auto"/>
          <w:lang w:val="en-US" w:eastAsia="zh-CN"/>
        </w:rPr>
        <w:t>15#：项目区位于鸡西市城子河区中北部，城东一队侧东侧。所属地貌单元为丘陵，地势起伏较大，项目区周边主要为林地。经现场调查，该场地原为采石场，现已废弃，损毁的土地权属为城子河矿林场。矿山开采形成了较大面积的开采剥离面，边坡多在55-70°之间，坡下平台堆积了少量废弃土石渣，同时场地内有采矿废弃房屋。项目区整体矿山地质环境较差，裸露的开采面上没有植被。</w:t>
      </w:r>
    </w:p>
    <w:p w14:paraId="64E2FF88">
      <w:pPr>
        <w:pStyle w:val="25"/>
        <w:numPr>
          <w:ilvl w:val="0"/>
          <w:numId w:val="1"/>
        </w:numPr>
        <w:ind w:firstLine="480" w:firstLineChars="200"/>
        <w:rPr>
          <w:rFonts w:hint="default" w:ascii="Times New Roman" w:hAnsi="Times New Roman" w:eastAsia="宋体" w:cs="Times New Roman"/>
          <w:snapToGrid w:val="0"/>
          <w:color w:val="auto"/>
          <w:kern w:val="2"/>
          <w:sz w:val="24"/>
          <w:szCs w:val="24"/>
          <w:lang w:val="en-US" w:eastAsia="zh-CN" w:bidi="ar-SA"/>
        </w:rPr>
      </w:pPr>
      <w:r>
        <w:rPr>
          <w:rFonts w:hint="default" w:ascii="Times New Roman" w:hAnsi="Times New Roman" w:cs="Times New Roman"/>
          <w:snapToGrid w:val="0"/>
          <w:color w:val="auto"/>
          <w:kern w:val="2"/>
          <w:sz w:val="24"/>
          <w:szCs w:val="24"/>
          <w:lang w:val="en-US" w:eastAsia="zh-CN" w:bidi="ar-SA"/>
        </w:rPr>
        <w:t>16#：</w:t>
      </w:r>
      <w:r>
        <w:rPr>
          <w:rFonts w:hint="default" w:ascii="Times New Roman" w:hAnsi="Times New Roman" w:eastAsia="宋体" w:cs="Times New Roman"/>
          <w:snapToGrid w:val="0"/>
          <w:color w:val="auto"/>
          <w:kern w:val="2"/>
          <w:sz w:val="24"/>
          <w:szCs w:val="24"/>
          <w:lang w:val="en-US" w:eastAsia="zh-CN" w:bidi="ar-SA"/>
        </w:rPr>
        <w:t>项目区位于鸡西市城子河区中北部，城东一队侧东侧。所属地貌单元为丘陵，地势起伏较大，项目区周边主要为林地。经现场调查，该场地原为采石场，现已废弃，损毁的土地权属为城子河矿林场。矿山开采形成了较大面积的开采剥离面，边坡多在50-65°之间，坡下平台堆积了少量废弃土石渣。项目区整体矿山地质环境较差，裸露的开采面上没有植被。</w:t>
      </w:r>
    </w:p>
    <w:p w14:paraId="145E83F1">
      <w:pPr>
        <w:pStyle w:val="25"/>
        <w:numPr>
          <w:ilvl w:val="0"/>
          <w:numId w:val="1"/>
        </w:numPr>
        <w:ind w:firstLine="480" w:firstLineChars="200"/>
        <w:rPr>
          <w:rFonts w:hint="default" w:ascii="Times New Roman" w:hAnsi="Times New Roman" w:eastAsia="宋体" w:cs="Times New Roman"/>
          <w:snapToGrid w:val="0"/>
          <w:color w:val="auto"/>
          <w:kern w:val="2"/>
          <w:sz w:val="24"/>
          <w:szCs w:val="24"/>
          <w:lang w:val="en-US" w:eastAsia="zh-CN" w:bidi="ar-SA"/>
        </w:rPr>
      </w:pPr>
      <w:r>
        <w:rPr>
          <w:rFonts w:hint="default" w:ascii="Times New Roman" w:hAnsi="Times New Roman" w:cs="Times New Roman"/>
          <w:snapToGrid w:val="0"/>
          <w:color w:val="auto"/>
          <w:kern w:val="2"/>
          <w:sz w:val="24"/>
          <w:szCs w:val="24"/>
          <w:lang w:val="en-US" w:eastAsia="zh-CN" w:bidi="ar-SA"/>
        </w:rPr>
        <w:t>21#：项目区位于鸡西市城子河区中北部，城东四队南方向0.7km。所属地貌单元为丘陵，地势起伏较大，项目区周边主要为林地。经现场调查，该场地原为采石场，现已废弃，损毁的土地权属为城子河矿林场和城子河村所有。北侧采面边坡多在 45-65°之间，采面南侧堆积了少量废弃土石项目区整体矿山地质环境较差，裸露的开采面上没有植被。</w:t>
      </w:r>
    </w:p>
    <w:p w14:paraId="1B5090DD">
      <w:pPr>
        <w:pStyle w:val="25"/>
        <w:numPr>
          <w:ilvl w:val="0"/>
          <w:numId w:val="1"/>
        </w:numPr>
        <w:ind w:firstLine="480" w:firstLineChars="200"/>
        <w:rPr>
          <w:rFonts w:hint="default" w:ascii="Times New Roman" w:hAnsi="Times New Roman" w:eastAsia="宋体" w:cs="Times New Roman"/>
          <w:snapToGrid w:val="0"/>
          <w:color w:val="auto"/>
          <w:kern w:val="2"/>
          <w:sz w:val="24"/>
          <w:szCs w:val="24"/>
          <w:lang w:val="en-US" w:eastAsia="zh-CN" w:bidi="ar-SA"/>
        </w:rPr>
      </w:pPr>
      <w:r>
        <w:rPr>
          <w:rFonts w:hint="default" w:ascii="Times New Roman" w:hAnsi="Times New Roman" w:cs="Times New Roman"/>
          <w:snapToGrid w:val="0"/>
          <w:color w:val="auto"/>
          <w:kern w:val="2"/>
          <w:sz w:val="24"/>
          <w:szCs w:val="24"/>
          <w:lang w:val="en-US" w:eastAsia="zh-CN" w:bidi="ar-SA"/>
        </w:rPr>
        <w:t>25#：项目区位于鸡西市城子河区正阳村西0.4km，所属地貌单元为河谷平原。经现场调查，该场地原为鸡西市兴锦煤矿工业广场，于2007年第二批公吿关闭，项目区损毁的土地原地类主要为采矿用地，权属为正阳村。项目区内标高243.8-251.9m，北侧有废弃的房屋和围墙，南侧有废弃料石堆、矸石堆。项目区整体矿山地质环境较差，随意堆放的矸石堆、砂石堆使原本平坦开阔的原始地形地貌遭到一定程度的破坏，地表荒芜、废弃房屋随意弃置，严重破坏了区域内的地形地貌景观。</w:t>
      </w:r>
    </w:p>
    <w:p w14:paraId="237C1B15">
      <w:pPr>
        <w:pStyle w:val="25"/>
        <w:numPr>
          <w:ilvl w:val="0"/>
          <w:numId w:val="1"/>
        </w:numPr>
        <w:ind w:firstLine="480" w:firstLineChars="200"/>
        <w:rPr>
          <w:rFonts w:hint="default" w:ascii="Times New Roman" w:hAnsi="Times New Roman" w:eastAsia="宋体" w:cs="Times New Roman"/>
          <w:snapToGrid w:val="0"/>
          <w:color w:val="auto"/>
          <w:kern w:val="2"/>
          <w:sz w:val="24"/>
          <w:szCs w:val="24"/>
          <w:lang w:val="en-US" w:eastAsia="zh-CN" w:bidi="ar-SA"/>
        </w:rPr>
      </w:pPr>
      <w:r>
        <w:rPr>
          <w:rFonts w:hint="default" w:ascii="Times New Roman" w:hAnsi="Times New Roman" w:cs="Times New Roman"/>
          <w:snapToGrid w:val="0"/>
          <w:color w:val="auto"/>
          <w:kern w:val="2"/>
          <w:sz w:val="24"/>
          <w:szCs w:val="24"/>
          <w:lang w:val="en-US" w:eastAsia="zh-CN" w:bidi="ar-SA"/>
        </w:rPr>
        <w:t>31#：项目区位于鸡西市城子河区西北部，新城四队东南侧。所属地貌单元丘陵，项目区周边为旱地、建设用地，地势略起伏。经现场调查，该场地为鸡西市城子河区新立煤矿工业广场，土地权属为新城村所有，该矿山已关闭。矿山工业广场内的井口均已回填，场地内堆有研石，现场地废弃闲置。项目区整体矿山地质环境较差，随意堆放的研石使原本平坦开阔的原始地形地貌遭到一定程度的破坏，地表荒芜，严重破坏了区域内的地形地貌景观。</w:t>
      </w:r>
    </w:p>
    <w:p w14:paraId="4A1C7812">
      <w:pPr>
        <w:pStyle w:val="25"/>
        <w:numPr>
          <w:ilvl w:val="0"/>
          <w:numId w:val="1"/>
        </w:numPr>
        <w:ind w:firstLine="480" w:firstLineChars="200"/>
        <w:rPr>
          <w:rFonts w:hint="default" w:ascii="Times New Roman" w:hAnsi="Times New Roman" w:eastAsia="宋体" w:cs="Times New Roman"/>
          <w:snapToGrid w:val="0"/>
          <w:color w:val="auto"/>
          <w:kern w:val="2"/>
          <w:sz w:val="24"/>
          <w:szCs w:val="24"/>
          <w:lang w:val="en-US" w:eastAsia="zh-CN" w:bidi="ar-SA"/>
        </w:rPr>
      </w:pPr>
      <w:r>
        <w:rPr>
          <w:rFonts w:hint="default" w:ascii="Times New Roman" w:hAnsi="Times New Roman" w:cs="Times New Roman"/>
          <w:snapToGrid w:val="0"/>
          <w:color w:val="auto"/>
          <w:kern w:val="2"/>
          <w:sz w:val="24"/>
          <w:szCs w:val="24"/>
          <w:lang w:val="en-US" w:eastAsia="zh-CN" w:bidi="ar-SA"/>
        </w:rPr>
        <w:t>41#：</w:t>
      </w:r>
      <w:r>
        <w:rPr>
          <w:rFonts w:hint="default" w:ascii="Times New Roman" w:hAnsi="Times New Roman" w:eastAsia="宋体" w:cs="Times New Roman"/>
          <w:snapToGrid w:val="0"/>
          <w:color w:val="auto"/>
          <w:kern w:val="2"/>
          <w:sz w:val="24"/>
          <w:szCs w:val="24"/>
          <w:lang w:val="en-US" w:eastAsia="zh-CN" w:bidi="ar-SA"/>
        </w:rPr>
        <w:t>项目区位于鸡西市城子河区中部，城西村北1.5km，G201在附近通过。所属地貌单元为河谷平原，项目区内南侧堆积的研石使地势起伏略大，在建的丹阿高速公路自项目区中部东西向穿过。项目区周边北侧为林地，南侧为建设用地。由于周边煤矿开采在此堆积</w:t>
      </w:r>
      <w:r>
        <w:rPr>
          <w:rFonts w:hint="default" w:ascii="Times New Roman" w:hAnsi="Times New Roman" w:cs="Times New Roman"/>
          <w:snapToGrid w:val="0"/>
          <w:color w:val="auto"/>
          <w:kern w:val="2"/>
          <w:sz w:val="24"/>
          <w:szCs w:val="24"/>
          <w:lang w:val="en-US" w:eastAsia="zh-CN" w:bidi="ar-SA"/>
        </w:rPr>
        <w:t>矸</w:t>
      </w:r>
      <w:r>
        <w:rPr>
          <w:rFonts w:hint="default" w:ascii="Times New Roman" w:hAnsi="Times New Roman" w:eastAsia="宋体" w:cs="Times New Roman"/>
          <w:snapToGrid w:val="0"/>
          <w:color w:val="auto"/>
          <w:kern w:val="2"/>
          <w:sz w:val="24"/>
          <w:szCs w:val="24"/>
          <w:lang w:val="en-US" w:eastAsia="zh-CN" w:bidi="ar-SA"/>
        </w:rPr>
        <w:t>石，导致项目区内土地资源被压占，灰黑色矸石堆造成地貌景观破坏项目区整体矿山地质环境较差，随意堆放的研石使原本平坦开阔、植被覆盖率较高的原始地形地貌遭到严重破坏，造成如今灰褐色研石堆堆放突兀、地表荒芜</w:t>
      </w:r>
      <w:r>
        <w:rPr>
          <w:rFonts w:hint="default" w:ascii="Times New Roman" w:hAnsi="Times New Roman" w:cs="Times New Roman"/>
          <w:snapToGrid w:val="0"/>
          <w:color w:val="auto"/>
          <w:kern w:val="2"/>
          <w:sz w:val="24"/>
          <w:szCs w:val="24"/>
          <w:lang w:val="en-US" w:eastAsia="zh-CN" w:bidi="ar-SA"/>
        </w:rPr>
        <w:t>。</w:t>
      </w:r>
    </w:p>
    <w:p w14:paraId="2B21227A">
      <w:pPr>
        <w:pStyle w:val="25"/>
        <w:numPr>
          <w:ilvl w:val="0"/>
          <w:numId w:val="1"/>
        </w:numPr>
        <w:ind w:firstLine="480" w:firstLineChars="200"/>
        <w:rPr>
          <w:rFonts w:hint="default" w:ascii="Times New Roman" w:hAnsi="Times New Roman" w:eastAsia="宋体" w:cs="Times New Roman"/>
          <w:snapToGrid w:val="0"/>
          <w:color w:val="auto"/>
          <w:kern w:val="2"/>
          <w:sz w:val="24"/>
          <w:szCs w:val="24"/>
          <w:lang w:val="en-US" w:eastAsia="zh-CN" w:bidi="ar-SA"/>
        </w:rPr>
      </w:pPr>
      <w:r>
        <w:rPr>
          <w:rFonts w:hint="default" w:ascii="Times New Roman" w:hAnsi="Times New Roman" w:cs="Times New Roman"/>
          <w:snapToGrid w:val="0"/>
          <w:color w:val="auto"/>
          <w:kern w:val="2"/>
          <w:sz w:val="24"/>
          <w:szCs w:val="24"/>
          <w:lang w:val="en-US" w:eastAsia="zh-CN" w:bidi="ar-SA"/>
        </w:rPr>
        <w:t>45#：项目区位于城子河区中部仲兴村北2.2km，穆棱河左岸，鹤大线、建鸡高速附近。所属地貌单元为低山丘陵，地势起伏较大，项目区内矸石在沟谷内、坡顶堆积，项目区周边为林地、旱地，由于周边煤矿开采在此堆积矸石，导致项目区内土地资源被压占，灰黑色矸石堆造成地貌景观破坏。项目区整体矿山地质环境较差，随意堆放的矸石使植被覆盖率较高的原始地形地貌遭到严重破坏，造成如今灰褐色矸石堆堆放突兀、地表荒芜、废弃房屋随意弃置，严重破坏了区域内的地形地貌景观。</w:t>
      </w:r>
    </w:p>
    <w:p w14:paraId="2DC201DC">
      <w:pPr>
        <w:pStyle w:val="25"/>
        <w:numPr>
          <w:ilvl w:val="0"/>
          <w:numId w:val="1"/>
        </w:numPr>
        <w:ind w:firstLine="480" w:firstLineChars="200"/>
        <w:rPr>
          <w:rFonts w:hint="default" w:ascii="Times New Roman" w:hAnsi="Times New Roman" w:eastAsia="宋体" w:cs="Times New Roman"/>
          <w:snapToGrid w:val="0"/>
          <w:color w:val="auto"/>
          <w:kern w:val="2"/>
          <w:sz w:val="24"/>
          <w:szCs w:val="24"/>
          <w:lang w:val="en-US" w:eastAsia="zh-CN" w:bidi="ar-SA"/>
        </w:rPr>
      </w:pPr>
      <w:r>
        <w:rPr>
          <w:rFonts w:hint="default" w:ascii="Times New Roman" w:hAnsi="Times New Roman" w:cs="Times New Roman"/>
          <w:snapToGrid w:val="0"/>
          <w:color w:val="auto"/>
          <w:kern w:val="2"/>
          <w:sz w:val="24"/>
          <w:szCs w:val="24"/>
          <w:lang w:val="en-US" w:eastAsia="zh-CN" w:bidi="ar-SA"/>
        </w:rPr>
        <w:t>47#：项目区位于鸡西市城子河区西北部，新城四队龙山屯北侧。所属地貌单元为丘陵，地势起伏较大，项目区周边主要为林地。经现场调查，该场地原为采石场，现已废弃，损毁的土地权属为新城村。矿山开采形成了较大面积的开采剥离面，边坡多在65-75°之间，坡下平台堆积了少量废弃土石，临近公路一侧边坡坡角较陡。项目区整体矿山地质环境较差，裸露的开采面上没有植被，废弃土石堆压占土地浪费资源，地表杂草丛生。</w:t>
      </w:r>
    </w:p>
    <w:p w14:paraId="53A18B0A">
      <w:pPr>
        <w:pStyle w:val="25"/>
        <w:numPr>
          <w:ilvl w:val="0"/>
          <w:numId w:val="1"/>
        </w:numPr>
        <w:ind w:firstLine="480" w:firstLineChars="200"/>
        <w:rPr>
          <w:rFonts w:hint="default" w:ascii="Times New Roman" w:hAnsi="Times New Roman" w:eastAsia="宋体" w:cs="Times New Roman"/>
          <w:snapToGrid w:val="0"/>
          <w:color w:val="auto"/>
          <w:kern w:val="2"/>
          <w:sz w:val="24"/>
          <w:szCs w:val="24"/>
          <w:lang w:val="en-US" w:eastAsia="zh-CN" w:bidi="ar-SA"/>
        </w:rPr>
      </w:pPr>
      <w:r>
        <w:rPr>
          <w:rFonts w:hint="default" w:ascii="Times New Roman" w:hAnsi="Times New Roman" w:cs="Times New Roman"/>
          <w:snapToGrid w:val="0"/>
          <w:color w:val="auto"/>
          <w:kern w:val="2"/>
          <w:sz w:val="24"/>
          <w:szCs w:val="24"/>
          <w:lang w:val="en-US" w:eastAsia="zh-CN" w:bidi="ar-SA"/>
        </w:rPr>
        <w:t>59#：项目区位于鸡西市城子河区城海村东南1.7km，所属地貌单元为丘陵地势起伏较大，项目区周边主要为林地。经现场调查，该场地原为采石场现已废弃多年，损毁的土地权属为城子河区长青乡林场所矿林场。矿山开采活动在项目区北侧形成了深浅不一的采坑，山体表面斑驳植被缺失。项目区整体矿山地质环境较差，裸露的开采面上没有植被，废弃土石堆压占土地浪费资源，地表杂草丛生。</w:t>
      </w:r>
    </w:p>
    <w:p w14:paraId="7587E15F">
      <w:pPr>
        <w:pStyle w:val="25"/>
        <w:numPr>
          <w:ilvl w:val="0"/>
          <w:numId w:val="1"/>
        </w:numPr>
        <w:ind w:firstLine="480" w:firstLineChars="200"/>
        <w:rPr>
          <w:rFonts w:hint="default" w:ascii="Times New Roman" w:hAnsi="Times New Roman" w:eastAsia="宋体" w:cs="Times New Roman"/>
          <w:snapToGrid w:val="0"/>
          <w:color w:val="auto"/>
          <w:kern w:val="2"/>
          <w:sz w:val="24"/>
          <w:szCs w:val="24"/>
          <w:lang w:val="en-US" w:eastAsia="zh-CN" w:bidi="ar-SA"/>
        </w:rPr>
      </w:pPr>
      <w:r>
        <w:rPr>
          <w:rFonts w:hint="default" w:ascii="Times New Roman" w:hAnsi="Times New Roman" w:eastAsia="宋体" w:cs="Times New Roman"/>
          <w:snapToGrid w:val="0"/>
          <w:color w:val="auto"/>
          <w:kern w:val="2"/>
          <w:sz w:val="24"/>
          <w:szCs w:val="24"/>
          <w:lang w:val="en-US" w:eastAsia="zh-CN" w:bidi="ar-SA"/>
        </w:rPr>
        <w:t>项目区位于鸡西市城子河区城海村东南2.7km,所属地貌单元为丘陵, 地势起伏较大，项目区周边主要为林地、草地。经现场调查，该场地原为 釆石场，已废弃多年，损毁的土地权属为长青乡林场。矿山开釆活动在项目区北侧坡形成了较大的开釆剥离面，在南侧形成了小型釆坑。项目区整体矿山地质环境较差，裸露的开采面上没有植被， 废弃土石堆压占土地浪费资源，</w:t>
      </w:r>
      <w:r>
        <w:rPr>
          <w:rFonts w:hint="default" w:ascii="Times New Roman" w:hAnsi="Times New Roman" w:cs="Times New Roman"/>
          <w:snapToGrid w:val="0"/>
          <w:color w:val="auto"/>
          <w:kern w:val="2"/>
          <w:sz w:val="24"/>
          <w:szCs w:val="24"/>
          <w:lang w:val="en-US" w:eastAsia="zh-CN" w:bidi="ar-SA"/>
        </w:rPr>
        <w:t>地表</w:t>
      </w:r>
      <w:r>
        <w:rPr>
          <w:rFonts w:hint="default" w:ascii="Times New Roman" w:hAnsi="Times New Roman" w:eastAsia="宋体" w:cs="Times New Roman"/>
          <w:snapToGrid w:val="0"/>
          <w:color w:val="auto"/>
          <w:kern w:val="2"/>
          <w:sz w:val="24"/>
          <w:szCs w:val="24"/>
          <w:lang w:val="en-US" w:eastAsia="zh-CN" w:bidi="ar-SA"/>
        </w:rPr>
        <w:t>杂草丛生。</w:t>
      </w:r>
    </w:p>
    <w:p w14:paraId="4989C75A">
      <w:pPr>
        <w:pStyle w:val="25"/>
        <w:ind w:firstLine="480"/>
        <w:rPr>
          <w:rFonts w:hint="default" w:ascii="Times New Roman" w:hAnsi="Times New Roman" w:cs="Times New Roman"/>
          <w:snapToGrid w:val="0"/>
          <w:color w:val="auto"/>
          <w:lang w:val="en-US" w:eastAsia="zh-CN"/>
        </w:rPr>
      </w:pPr>
      <w:r>
        <w:rPr>
          <w:rFonts w:hint="default" w:ascii="Times New Roman" w:hAnsi="Times New Roman" w:cs="Times New Roman"/>
          <w:snapToGrid w:val="0"/>
          <w:color w:val="auto"/>
        </w:rPr>
        <w:t>鉴于上述</w:t>
      </w:r>
      <w:r>
        <w:rPr>
          <w:rFonts w:hint="default" w:ascii="Times New Roman" w:hAnsi="Times New Roman" w:cs="Times New Roman"/>
          <w:snapToGrid w:val="0"/>
          <w:color w:val="auto"/>
          <w:lang w:val="en-US" w:eastAsia="zh-CN"/>
        </w:rPr>
        <w:t>12个项目区</w:t>
      </w:r>
      <w:r>
        <w:rPr>
          <w:rFonts w:hint="default" w:ascii="Times New Roman" w:hAnsi="Times New Roman" w:cs="Times New Roman"/>
          <w:snapToGrid w:val="0"/>
          <w:color w:val="auto"/>
        </w:rPr>
        <w:t>情况鸡西市城子河区住房和城乡建设局拟投资</w:t>
      </w:r>
      <w:r>
        <w:rPr>
          <w:rFonts w:hint="eastAsia" w:cs="Times New Roman"/>
          <w:snapToGrid w:val="0"/>
          <w:color w:val="auto"/>
          <w:lang w:eastAsia="zh-CN"/>
        </w:rPr>
        <w:t>4552.91</w:t>
      </w:r>
      <w:r>
        <w:rPr>
          <w:rFonts w:hint="default" w:ascii="Times New Roman" w:hAnsi="Times New Roman" w:cs="Times New Roman"/>
          <w:snapToGrid w:val="0"/>
          <w:color w:val="auto"/>
        </w:rPr>
        <w:t>万元对历史遗留废弃矿山进行生态修复，修复废弃矿山类型包括露天采石场、煤矿工业广场和矸石堆场等，</w:t>
      </w:r>
      <w:bookmarkStart w:id="13" w:name="OLE_LINK18"/>
      <w:r>
        <w:rPr>
          <w:rFonts w:hint="default" w:ascii="Times New Roman" w:hAnsi="Times New Roman" w:cs="Times New Roman"/>
          <w:snapToGrid w:val="0"/>
          <w:color w:val="auto"/>
        </w:rPr>
        <w:t>修复治理面积</w:t>
      </w:r>
      <w:r>
        <w:rPr>
          <w:rFonts w:hint="eastAsia" w:cs="Times New Roman"/>
          <w:snapToGrid w:val="0"/>
          <w:color w:val="auto"/>
          <w:lang w:eastAsia="zh-CN"/>
        </w:rPr>
        <w:t>26.648</w:t>
      </w:r>
      <w:r>
        <w:rPr>
          <w:rFonts w:hint="default" w:ascii="Times New Roman" w:hAnsi="Times New Roman" w:cs="Times New Roman"/>
          <w:snapToGrid w:val="0"/>
          <w:color w:val="auto"/>
        </w:rPr>
        <w:t>hm</w:t>
      </w:r>
      <w:r>
        <w:rPr>
          <w:rFonts w:hint="default" w:ascii="Times New Roman" w:hAnsi="Times New Roman" w:cs="Times New Roman"/>
          <w:snapToGrid w:val="0"/>
          <w:color w:val="auto"/>
          <w:vertAlign w:val="superscript"/>
        </w:rPr>
        <w:t>2</w:t>
      </w:r>
      <w:bookmarkEnd w:id="13"/>
      <w:r>
        <w:rPr>
          <w:rFonts w:hint="default" w:ascii="Times New Roman" w:hAnsi="Times New Roman" w:cs="Times New Roman"/>
          <w:snapToGrid w:val="0"/>
          <w:color w:val="auto"/>
        </w:rPr>
        <w:t>，拟建项目修复历史遗留废弃矿山共计12个，</w:t>
      </w:r>
      <w:bookmarkStart w:id="14" w:name="OLE_LINK16"/>
      <w:r>
        <w:rPr>
          <w:rFonts w:hint="default" w:ascii="Times New Roman" w:hAnsi="Times New Roman" w:cs="Times New Roman"/>
          <w:snapToGrid w:val="0"/>
          <w:color w:val="auto"/>
          <w:highlight w:val="none"/>
        </w:rPr>
        <w:t>其中包括露天采石厂8个、煤矿工业广场2个、矸石堆场2个</w:t>
      </w:r>
      <w:r>
        <w:rPr>
          <w:rFonts w:hint="default" w:ascii="Times New Roman" w:hAnsi="Times New Roman" w:cs="Times New Roman"/>
          <w:snapToGrid w:val="0"/>
          <w:color w:val="auto"/>
          <w:highlight w:val="none"/>
          <w:lang w:eastAsia="zh-CN"/>
        </w:rPr>
        <w:t>，</w:t>
      </w:r>
      <w:r>
        <w:rPr>
          <w:rFonts w:hint="default" w:ascii="Times New Roman" w:hAnsi="Times New Roman" w:cs="Times New Roman"/>
          <w:snapToGrid w:val="0"/>
          <w:color w:val="auto"/>
        </w:rPr>
        <w:t>结合每一处修复场地实际情况，制定专属修复方案，涉及的修复工程内容主要包括清理工程、场地平整工程、回填工程、挡土墙工程、截排水沟工程和植被恢复工程等</w:t>
      </w:r>
      <w:bookmarkEnd w:id="14"/>
      <w:r>
        <w:rPr>
          <w:rFonts w:hint="default" w:ascii="Times New Roman" w:hAnsi="Times New Roman" w:cs="Times New Roman"/>
          <w:snapToGrid w:val="0"/>
          <w:color w:val="auto"/>
        </w:rPr>
        <w:t>。</w:t>
      </w:r>
      <w:r>
        <w:rPr>
          <w:rFonts w:hint="default" w:ascii="Times New Roman" w:hAnsi="Times New Roman" w:cs="Times New Roman"/>
          <w:snapToGrid w:val="0"/>
          <w:color w:val="auto"/>
          <w:lang w:val="en-US" w:eastAsia="zh-CN"/>
        </w:rPr>
        <w:t>主要工程内容见下表。</w:t>
      </w:r>
    </w:p>
    <w:p w14:paraId="700BFBBE">
      <w:pPr>
        <w:pStyle w:val="27"/>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表1-1-1  主要工程内容</w:t>
      </w:r>
    </w:p>
    <w:tbl>
      <w:tblPr>
        <w:tblStyle w:val="20"/>
        <w:tblW w:w="4632"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579"/>
        <w:gridCol w:w="2017"/>
        <w:gridCol w:w="3711"/>
        <w:gridCol w:w="1588"/>
      </w:tblGrid>
      <w:tr w14:paraId="446FF18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tblHeader/>
          <w:jc w:val="center"/>
        </w:trPr>
        <w:tc>
          <w:tcPr>
            <w:tcW w:w="366" w:type="pct"/>
            <w:vMerge w:val="restart"/>
            <w:tcBorders>
              <w:tl2br w:val="nil"/>
              <w:tr2bl w:val="nil"/>
            </w:tcBorders>
            <w:vAlign w:val="center"/>
          </w:tcPr>
          <w:p w14:paraId="2CF51630">
            <w:pPr>
              <w:pStyle w:val="44"/>
              <w:bidi w:val="0"/>
              <w:rPr>
                <w:rFonts w:hint="default" w:ascii="Times New Roman" w:hAnsi="Times New Roman" w:cs="Times New Roman"/>
                <w:color w:val="auto"/>
              </w:rPr>
            </w:pPr>
            <w:r>
              <w:rPr>
                <w:rFonts w:hint="default" w:ascii="Times New Roman" w:hAnsi="Times New Roman" w:cs="Times New Roman"/>
                <w:color w:val="auto"/>
              </w:rPr>
              <w:t>序号</w:t>
            </w:r>
          </w:p>
        </w:tc>
        <w:tc>
          <w:tcPr>
            <w:tcW w:w="1277" w:type="pct"/>
            <w:vMerge w:val="restart"/>
            <w:tcBorders>
              <w:right w:val="single" w:color="auto" w:sz="4" w:space="0"/>
              <w:tl2br w:val="nil"/>
              <w:tr2bl w:val="nil"/>
            </w:tcBorders>
            <w:vAlign w:val="center"/>
          </w:tcPr>
          <w:p w14:paraId="58C711A0">
            <w:pPr>
              <w:pStyle w:val="44"/>
              <w:bidi w:val="0"/>
              <w:rPr>
                <w:rFonts w:hint="default" w:ascii="Times New Roman" w:hAnsi="Times New Roman" w:cs="Times New Roman"/>
                <w:color w:val="auto"/>
              </w:rPr>
            </w:pPr>
            <w:r>
              <w:rPr>
                <w:rFonts w:hint="default" w:ascii="Times New Roman" w:hAnsi="Times New Roman" w:cs="Times New Roman"/>
                <w:color w:val="auto"/>
              </w:rPr>
              <w:t>矿山名称</w:t>
            </w:r>
          </w:p>
        </w:tc>
        <w:tc>
          <w:tcPr>
            <w:tcW w:w="2350" w:type="pct"/>
            <w:vMerge w:val="restart"/>
            <w:tcBorders>
              <w:left w:val="single" w:color="auto" w:sz="4" w:space="0"/>
              <w:tl2br w:val="nil"/>
              <w:tr2bl w:val="nil"/>
            </w:tcBorders>
            <w:vAlign w:val="center"/>
          </w:tcPr>
          <w:p w14:paraId="393EF345">
            <w:pPr>
              <w:pStyle w:val="44"/>
              <w:bidi w:val="0"/>
              <w:rPr>
                <w:rFonts w:hint="default" w:ascii="Times New Roman" w:hAnsi="Times New Roman" w:cs="Times New Roman"/>
                <w:color w:val="auto"/>
              </w:rPr>
            </w:pPr>
            <w:r>
              <w:rPr>
                <w:rFonts w:hint="default" w:ascii="Times New Roman" w:hAnsi="Times New Roman" w:cs="Times New Roman"/>
                <w:color w:val="auto"/>
              </w:rPr>
              <w:t>工程方案</w:t>
            </w:r>
          </w:p>
        </w:tc>
        <w:tc>
          <w:tcPr>
            <w:tcW w:w="1005" w:type="pct"/>
            <w:vMerge w:val="restart"/>
            <w:tcBorders>
              <w:tl2br w:val="nil"/>
              <w:tr2bl w:val="nil"/>
            </w:tcBorders>
            <w:vAlign w:val="center"/>
          </w:tcPr>
          <w:p w14:paraId="5A9A9A39">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施工时间</w:t>
            </w:r>
          </w:p>
        </w:tc>
      </w:tr>
      <w:tr w14:paraId="38B56D6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tblHeader/>
          <w:jc w:val="center"/>
        </w:trPr>
        <w:tc>
          <w:tcPr>
            <w:tcW w:w="366" w:type="pct"/>
            <w:vMerge w:val="continue"/>
            <w:tcBorders>
              <w:tl2br w:val="nil"/>
              <w:tr2bl w:val="nil"/>
            </w:tcBorders>
            <w:vAlign w:val="center"/>
          </w:tcPr>
          <w:p w14:paraId="22EDD65C">
            <w:pPr>
              <w:pStyle w:val="44"/>
              <w:bidi w:val="0"/>
              <w:rPr>
                <w:rFonts w:hint="default" w:ascii="Times New Roman" w:hAnsi="Times New Roman" w:cs="Times New Roman"/>
                <w:color w:val="auto"/>
              </w:rPr>
            </w:pPr>
          </w:p>
        </w:tc>
        <w:tc>
          <w:tcPr>
            <w:tcW w:w="1277" w:type="pct"/>
            <w:vMerge w:val="continue"/>
            <w:tcBorders>
              <w:right w:val="single" w:color="auto" w:sz="4" w:space="0"/>
              <w:tl2br w:val="nil"/>
              <w:tr2bl w:val="nil"/>
            </w:tcBorders>
            <w:vAlign w:val="center"/>
          </w:tcPr>
          <w:p w14:paraId="71996B88">
            <w:pPr>
              <w:pStyle w:val="44"/>
              <w:bidi w:val="0"/>
              <w:rPr>
                <w:rFonts w:hint="default" w:ascii="Times New Roman" w:hAnsi="Times New Roman" w:cs="Times New Roman"/>
                <w:color w:val="auto"/>
              </w:rPr>
            </w:pPr>
          </w:p>
        </w:tc>
        <w:tc>
          <w:tcPr>
            <w:tcW w:w="2350" w:type="pct"/>
            <w:vMerge w:val="continue"/>
            <w:tcBorders>
              <w:left w:val="single" w:color="auto" w:sz="4" w:space="0"/>
              <w:tl2br w:val="nil"/>
              <w:tr2bl w:val="nil"/>
            </w:tcBorders>
            <w:vAlign w:val="center"/>
          </w:tcPr>
          <w:p w14:paraId="6DFAC3F5">
            <w:pPr>
              <w:pStyle w:val="44"/>
              <w:bidi w:val="0"/>
              <w:rPr>
                <w:rFonts w:hint="default" w:ascii="Times New Roman" w:hAnsi="Times New Roman" w:cs="Times New Roman"/>
                <w:color w:val="auto"/>
              </w:rPr>
            </w:pPr>
          </w:p>
        </w:tc>
        <w:tc>
          <w:tcPr>
            <w:tcW w:w="1005" w:type="pct"/>
            <w:vMerge w:val="continue"/>
            <w:tcBorders>
              <w:tl2br w:val="nil"/>
              <w:tr2bl w:val="nil"/>
            </w:tcBorders>
            <w:vAlign w:val="center"/>
          </w:tcPr>
          <w:p w14:paraId="1BE15E7B">
            <w:pPr>
              <w:pStyle w:val="44"/>
              <w:bidi w:val="0"/>
              <w:rPr>
                <w:rFonts w:hint="default" w:ascii="Times New Roman" w:hAnsi="Times New Roman" w:cs="Times New Roman"/>
                <w:color w:val="auto"/>
              </w:rPr>
            </w:pPr>
          </w:p>
        </w:tc>
      </w:tr>
      <w:tr w14:paraId="18706D1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366" w:type="pct"/>
            <w:vMerge w:val="restart"/>
            <w:tcBorders>
              <w:tl2br w:val="nil"/>
              <w:tr2bl w:val="nil"/>
            </w:tcBorders>
            <w:vAlign w:val="center"/>
          </w:tcPr>
          <w:p w14:paraId="1A20F17F">
            <w:pPr>
              <w:pStyle w:val="44"/>
              <w:bidi w:val="0"/>
              <w:rPr>
                <w:rFonts w:hint="default" w:ascii="Times New Roman" w:hAnsi="Times New Roman" w:cs="Times New Roman"/>
                <w:color w:val="auto"/>
              </w:rPr>
            </w:pPr>
            <w:r>
              <w:rPr>
                <w:rFonts w:hint="default" w:ascii="Times New Roman" w:hAnsi="Times New Roman" w:cs="Times New Roman"/>
                <w:color w:val="auto"/>
              </w:rPr>
              <w:t>1</w:t>
            </w:r>
          </w:p>
        </w:tc>
        <w:tc>
          <w:tcPr>
            <w:tcW w:w="1277" w:type="pct"/>
            <w:vMerge w:val="restart"/>
            <w:tcBorders>
              <w:right w:val="single" w:color="auto" w:sz="4" w:space="0"/>
              <w:tl2br w:val="nil"/>
              <w:tr2bl w:val="nil"/>
            </w:tcBorders>
            <w:vAlign w:val="center"/>
          </w:tcPr>
          <w:p w14:paraId="57A7E47F">
            <w:pPr>
              <w:pStyle w:val="44"/>
              <w:bidi w:val="0"/>
              <w:rPr>
                <w:rFonts w:hint="default" w:ascii="Times New Roman" w:hAnsi="Times New Roman" w:cs="Times New Roman"/>
                <w:color w:val="auto"/>
              </w:rPr>
            </w:pPr>
            <w:r>
              <w:rPr>
                <w:rFonts w:hint="default" w:ascii="Times New Roman" w:hAnsi="Times New Roman" w:cs="Times New Roman"/>
                <w:color w:val="auto"/>
              </w:rPr>
              <w:t>鸡西市城子河区兴顺采石场(2#)</w:t>
            </w:r>
          </w:p>
        </w:tc>
        <w:tc>
          <w:tcPr>
            <w:tcW w:w="2350" w:type="pct"/>
            <w:vMerge w:val="restart"/>
            <w:tcBorders>
              <w:left w:val="single" w:color="auto" w:sz="4" w:space="0"/>
              <w:tl2br w:val="nil"/>
              <w:tr2bl w:val="nil"/>
            </w:tcBorders>
            <w:vAlign w:val="center"/>
          </w:tcPr>
          <w:p w14:paraId="0F3647AC">
            <w:pPr>
              <w:pStyle w:val="44"/>
              <w:bidi w:val="0"/>
              <w:rPr>
                <w:rFonts w:hint="default" w:ascii="Times New Roman" w:hAnsi="Times New Roman" w:cs="Times New Roman"/>
                <w:color w:val="auto"/>
              </w:rPr>
            </w:pPr>
            <w:r>
              <w:rPr>
                <w:rFonts w:hint="default" w:ascii="Times New Roman" w:hAnsi="Times New Roman" w:cs="Times New Roman"/>
                <w:color w:val="auto"/>
              </w:rPr>
              <w:t>清理工程</w:t>
            </w:r>
          </w:p>
          <w:p w14:paraId="040B2D04">
            <w:pPr>
              <w:pStyle w:val="44"/>
              <w:bidi w:val="0"/>
              <w:rPr>
                <w:rFonts w:hint="default" w:ascii="Times New Roman" w:hAnsi="Times New Roman" w:cs="Times New Roman"/>
                <w:color w:val="auto"/>
              </w:rPr>
            </w:pPr>
            <w:r>
              <w:rPr>
                <w:rFonts w:hint="default" w:ascii="Times New Roman" w:hAnsi="Times New Roman" w:cs="Times New Roman"/>
                <w:color w:val="auto"/>
              </w:rPr>
              <w:t>场地平整</w:t>
            </w:r>
          </w:p>
          <w:p w14:paraId="23870AE1">
            <w:pPr>
              <w:pStyle w:val="44"/>
              <w:bidi w:val="0"/>
              <w:rPr>
                <w:rFonts w:hint="default" w:ascii="Times New Roman" w:hAnsi="Times New Roman" w:cs="Times New Roman"/>
                <w:color w:val="auto"/>
              </w:rPr>
            </w:pPr>
            <w:r>
              <w:rPr>
                <w:rFonts w:hint="default" w:ascii="Times New Roman" w:hAnsi="Times New Roman" w:cs="Times New Roman"/>
                <w:color w:val="auto"/>
              </w:rPr>
              <w:t>挡土墙工程</w:t>
            </w:r>
          </w:p>
          <w:p w14:paraId="7586992D">
            <w:pPr>
              <w:pStyle w:val="44"/>
              <w:bidi w:val="0"/>
              <w:rPr>
                <w:rFonts w:hint="default" w:ascii="Times New Roman" w:hAnsi="Times New Roman" w:cs="Times New Roman"/>
                <w:color w:val="auto"/>
              </w:rPr>
            </w:pPr>
            <w:r>
              <w:rPr>
                <w:rFonts w:hint="default" w:ascii="Times New Roman" w:hAnsi="Times New Roman" w:cs="Times New Roman"/>
                <w:color w:val="auto"/>
              </w:rPr>
              <w:t>截排水沟工程</w:t>
            </w:r>
          </w:p>
          <w:p w14:paraId="48841C4C">
            <w:pPr>
              <w:pStyle w:val="44"/>
              <w:bidi w:val="0"/>
              <w:rPr>
                <w:rFonts w:hint="default" w:ascii="Times New Roman" w:hAnsi="Times New Roman" w:cs="Times New Roman"/>
                <w:color w:val="auto"/>
              </w:rPr>
            </w:pPr>
            <w:r>
              <w:rPr>
                <w:rFonts w:hint="default" w:ascii="Times New Roman" w:hAnsi="Times New Roman" w:cs="Times New Roman"/>
                <w:color w:val="auto"/>
              </w:rPr>
              <w:t>植被恢复工程</w:t>
            </w:r>
          </w:p>
          <w:p w14:paraId="0A3888F5">
            <w:pPr>
              <w:pStyle w:val="44"/>
              <w:bidi w:val="0"/>
              <w:rPr>
                <w:rFonts w:hint="default" w:ascii="Times New Roman" w:hAnsi="Times New Roman" w:cs="Times New Roman"/>
                <w:color w:val="auto"/>
              </w:rPr>
            </w:pPr>
            <w:r>
              <w:rPr>
                <w:rFonts w:hint="default" w:ascii="Times New Roman" w:hAnsi="Times New Roman" w:cs="Times New Roman"/>
                <w:color w:val="auto"/>
              </w:rPr>
              <w:t>回填工程</w:t>
            </w:r>
          </w:p>
        </w:tc>
        <w:tc>
          <w:tcPr>
            <w:tcW w:w="1005" w:type="pct"/>
            <w:vMerge w:val="restart"/>
            <w:tcBorders>
              <w:tl2br w:val="nil"/>
              <w:tr2bl w:val="nil"/>
            </w:tcBorders>
            <w:vAlign w:val="center"/>
          </w:tcPr>
          <w:p w14:paraId="22AD533F">
            <w:pPr>
              <w:pStyle w:val="44"/>
              <w:bidi w:val="0"/>
              <w:rPr>
                <w:rFonts w:hint="default" w:ascii="Times New Roman" w:hAnsi="Times New Roman" w:cs="Times New Roman"/>
                <w:color w:val="auto"/>
              </w:rPr>
            </w:pPr>
            <w:r>
              <w:rPr>
                <w:rFonts w:hint="default" w:ascii="Times New Roman" w:hAnsi="Times New Roman" w:cs="Times New Roman"/>
                <w:snapToGrid w:val="0"/>
                <w:color w:val="auto"/>
                <w:highlight w:val="none"/>
              </w:rPr>
              <w:t>202</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年</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月</w:t>
            </w:r>
            <w:r>
              <w:rPr>
                <w:rFonts w:hint="default" w:ascii="Times New Roman" w:hAnsi="Times New Roman" w:cs="Times New Roman"/>
                <w:snapToGrid w:val="0"/>
                <w:color w:val="auto"/>
                <w:highlight w:val="none"/>
                <w:lang w:val="en-US" w:eastAsia="zh-CN"/>
              </w:rPr>
              <w:t>~</w:t>
            </w:r>
            <w:r>
              <w:rPr>
                <w:rFonts w:hint="default" w:ascii="Times New Roman" w:hAnsi="Times New Roman" w:cs="Times New Roman"/>
                <w:snapToGrid w:val="0"/>
                <w:color w:val="auto"/>
                <w:highlight w:val="none"/>
              </w:rPr>
              <w:t>202</w:t>
            </w:r>
            <w:r>
              <w:rPr>
                <w:rFonts w:hint="default" w:ascii="Times New Roman" w:hAnsi="Times New Roman" w:cs="Times New Roman"/>
                <w:snapToGrid w:val="0"/>
                <w:color w:val="auto"/>
                <w:highlight w:val="none"/>
                <w:lang w:val="en-US" w:eastAsia="zh-CN"/>
              </w:rPr>
              <w:t>6</w:t>
            </w:r>
            <w:r>
              <w:rPr>
                <w:rFonts w:hint="default" w:ascii="Times New Roman" w:hAnsi="Times New Roman" w:cs="Times New Roman"/>
                <w:snapToGrid w:val="0"/>
                <w:color w:val="auto"/>
                <w:highlight w:val="none"/>
              </w:rPr>
              <w:t>年</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月</w:t>
            </w:r>
          </w:p>
        </w:tc>
      </w:tr>
      <w:tr w14:paraId="78545EF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366" w:type="pct"/>
            <w:vMerge w:val="continue"/>
            <w:tcBorders>
              <w:tl2br w:val="nil"/>
              <w:tr2bl w:val="nil"/>
            </w:tcBorders>
            <w:vAlign w:val="center"/>
          </w:tcPr>
          <w:p w14:paraId="5971D6FD">
            <w:pPr>
              <w:pStyle w:val="44"/>
              <w:bidi w:val="0"/>
              <w:rPr>
                <w:rFonts w:hint="default" w:ascii="Times New Roman" w:hAnsi="Times New Roman" w:cs="Times New Roman"/>
                <w:color w:val="auto"/>
              </w:rPr>
            </w:pPr>
          </w:p>
        </w:tc>
        <w:tc>
          <w:tcPr>
            <w:tcW w:w="1277" w:type="pct"/>
            <w:vMerge w:val="continue"/>
            <w:tcBorders>
              <w:right w:val="single" w:color="auto" w:sz="4" w:space="0"/>
              <w:tl2br w:val="nil"/>
              <w:tr2bl w:val="nil"/>
            </w:tcBorders>
            <w:vAlign w:val="center"/>
          </w:tcPr>
          <w:p w14:paraId="125BFC4D">
            <w:pPr>
              <w:pStyle w:val="44"/>
              <w:bidi w:val="0"/>
              <w:rPr>
                <w:rFonts w:hint="default" w:ascii="Times New Roman" w:hAnsi="Times New Roman" w:cs="Times New Roman"/>
                <w:color w:val="auto"/>
              </w:rPr>
            </w:pPr>
          </w:p>
        </w:tc>
        <w:tc>
          <w:tcPr>
            <w:tcW w:w="2350" w:type="pct"/>
            <w:vMerge w:val="continue"/>
            <w:tcBorders>
              <w:left w:val="single" w:color="auto" w:sz="4" w:space="0"/>
              <w:tl2br w:val="nil"/>
              <w:tr2bl w:val="nil"/>
            </w:tcBorders>
            <w:vAlign w:val="center"/>
          </w:tcPr>
          <w:p w14:paraId="69D65EFD">
            <w:pPr>
              <w:pStyle w:val="44"/>
              <w:bidi w:val="0"/>
              <w:rPr>
                <w:rFonts w:hint="default" w:ascii="Times New Roman" w:hAnsi="Times New Roman" w:cs="Times New Roman"/>
                <w:color w:val="auto"/>
              </w:rPr>
            </w:pPr>
          </w:p>
        </w:tc>
        <w:tc>
          <w:tcPr>
            <w:tcW w:w="1005" w:type="pct"/>
            <w:vMerge w:val="continue"/>
            <w:tcBorders>
              <w:tl2br w:val="nil"/>
              <w:tr2bl w:val="nil"/>
            </w:tcBorders>
            <w:vAlign w:val="center"/>
          </w:tcPr>
          <w:p w14:paraId="1479D863">
            <w:pPr>
              <w:pStyle w:val="44"/>
              <w:bidi w:val="0"/>
              <w:rPr>
                <w:rFonts w:hint="default" w:ascii="Times New Roman" w:hAnsi="Times New Roman" w:cs="Times New Roman"/>
                <w:color w:val="auto"/>
              </w:rPr>
            </w:pPr>
          </w:p>
        </w:tc>
      </w:tr>
      <w:tr w14:paraId="42CC33E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37" w:hRule="atLeast"/>
          <w:jc w:val="center"/>
        </w:trPr>
        <w:tc>
          <w:tcPr>
            <w:tcW w:w="366" w:type="pct"/>
            <w:vMerge w:val="continue"/>
            <w:tcBorders>
              <w:tl2br w:val="nil"/>
              <w:tr2bl w:val="nil"/>
            </w:tcBorders>
            <w:vAlign w:val="center"/>
          </w:tcPr>
          <w:p w14:paraId="76A679B7">
            <w:pPr>
              <w:pStyle w:val="44"/>
              <w:bidi w:val="0"/>
              <w:rPr>
                <w:rFonts w:hint="default" w:ascii="Times New Roman" w:hAnsi="Times New Roman" w:cs="Times New Roman"/>
                <w:color w:val="auto"/>
              </w:rPr>
            </w:pPr>
          </w:p>
        </w:tc>
        <w:tc>
          <w:tcPr>
            <w:tcW w:w="1277" w:type="pct"/>
            <w:vMerge w:val="continue"/>
            <w:tcBorders>
              <w:right w:val="single" w:color="auto" w:sz="4" w:space="0"/>
              <w:tl2br w:val="nil"/>
              <w:tr2bl w:val="nil"/>
            </w:tcBorders>
            <w:vAlign w:val="center"/>
          </w:tcPr>
          <w:p w14:paraId="0E5B3F84">
            <w:pPr>
              <w:pStyle w:val="44"/>
              <w:bidi w:val="0"/>
              <w:rPr>
                <w:rFonts w:hint="default" w:ascii="Times New Roman" w:hAnsi="Times New Roman" w:cs="Times New Roman"/>
                <w:color w:val="auto"/>
              </w:rPr>
            </w:pPr>
          </w:p>
        </w:tc>
        <w:tc>
          <w:tcPr>
            <w:tcW w:w="2350" w:type="pct"/>
            <w:vMerge w:val="continue"/>
            <w:tcBorders>
              <w:left w:val="single" w:color="auto" w:sz="4" w:space="0"/>
              <w:tl2br w:val="nil"/>
              <w:tr2bl w:val="nil"/>
            </w:tcBorders>
            <w:vAlign w:val="center"/>
          </w:tcPr>
          <w:p w14:paraId="0D63149F">
            <w:pPr>
              <w:pStyle w:val="44"/>
              <w:bidi w:val="0"/>
              <w:rPr>
                <w:rFonts w:hint="default" w:ascii="Times New Roman" w:hAnsi="Times New Roman" w:cs="Times New Roman"/>
                <w:color w:val="auto"/>
              </w:rPr>
            </w:pPr>
          </w:p>
        </w:tc>
        <w:tc>
          <w:tcPr>
            <w:tcW w:w="1005" w:type="pct"/>
            <w:vMerge w:val="continue"/>
            <w:tcBorders>
              <w:tl2br w:val="nil"/>
              <w:tr2bl w:val="nil"/>
            </w:tcBorders>
            <w:vAlign w:val="center"/>
          </w:tcPr>
          <w:p w14:paraId="2C5A249B">
            <w:pPr>
              <w:pStyle w:val="44"/>
              <w:bidi w:val="0"/>
              <w:rPr>
                <w:rFonts w:hint="default" w:ascii="Times New Roman" w:hAnsi="Times New Roman" w:cs="Times New Roman"/>
                <w:color w:val="auto"/>
              </w:rPr>
            </w:pPr>
          </w:p>
        </w:tc>
      </w:tr>
      <w:tr w14:paraId="3232145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366" w:type="pct"/>
            <w:vMerge w:val="restart"/>
            <w:tcBorders>
              <w:tl2br w:val="nil"/>
              <w:tr2bl w:val="nil"/>
            </w:tcBorders>
            <w:vAlign w:val="center"/>
          </w:tcPr>
          <w:p w14:paraId="2556120D">
            <w:pPr>
              <w:pStyle w:val="44"/>
              <w:bidi w:val="0"/>
              <w:rPr>
                <w:rFonts w:hint="default" w:ascii="Times New Roman" w:hAnsi="Times New Roman" w:cs="Times New Roman"/>
                <w:color w:val="auto"/>
              </w:rPr>
            </w:pPr>
            <w:r>
              <w:rPr>
                <w:rFonts w:hint="default" w:ascii="Times New Roman" w:hAnsi="Times New Roman" w:cs="Times New Roman"/>
                <w:color w:val="auto"/>
              </w:rPr>
              <w:t>2</w:t>
            </w:r>
          </w:p>
        </w:tc>
        <w:tc>
          <w:tcPr>
            <w:tcW w:w="1277" w:type="pct"/>
            <w:vMerge w:val="restart"/>
            <w:tcBorders>
              <w:right w:val="single" w:color="auto" w:sz="4" w:space="0"/>
              <w:tl2br w:val="nil"/>
              <w:tr2bl w:val="nil"/>
            </w:tcBorders>
            <w:vAlign w:val="center"/>
          </w:tcPr>
          <w:p w14:paraId="5462673E">
            <w:pPr>
              <w:pStyle w:val="44"/>
              <w:bidi w:val="0"/>
              <w:rPr>
                <w:rFonts w:hint="default" w:ascii="Times New Roman" w:hAnsi="Times New Roman" w:cs="Times New Roman"/>
                <w:color w:val="auto"/>
              </w:rPr>
            </w:pPr>
            <w:r>
              <w:rPr>
                <w:rFonts w:hint="default" w:ascii="Times New Roman" w:hAnsi="Times New Roman" w:cs="Times New Roman"/>
                <w:color w:val="auto"/>
              </w:rPr>
              <w:t>鸡西市城子河区城东一队废弃采石场（14#）</w:t>
            </w:r>
          </w:p>
        </w:tc>
        <w:tc>
          <w:tcPr>
            <w:tcW w:w="2350" w:type="pct"/>
            <w:vMerge w:val="restart"/>
            <w:tcBorders>
              <w:left w:val="single" w:color="auto" w:sz="4" w:space="0"/>
              <w:tl2br w:val="nil"/>
              <w:tr2bl w:val="nil"/>
            </w:tcBorders>
            <w:vAlign w:val="center"/>
          </w:tcPr>
          <w:p w14:paraId="7B9A22BF">
            <w:pPr>
              <w:pStyle w:val="44"/>
              <w:bidi w:val="0"/>
              <w:rPr>
                <w:rFonts w:hint="default" w:ascii="Times New Roman" w:hAnsi="Times New Roman" w:eastAsia="宋体" w:cs="Times New Roman"/>
                <w:color w:val="auto"/>
                <w:lang w:eastAsia="zh-CN"/>
              </w:rPr>
            </w:pPr>
            <w:r>
              <w:rPr>
                <w:rFonts w:hint="default" w:ascii="Times New Roman" w:hAnsi="Times New Roman" w:cs="Times New Roman"/>
                <w:color w:val="auto"/>
              </w:rPr>
              <w:t>危岩清理边坡整形工程</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人工清理</w:t>
            </w:r>
            <w:r>
              <w:rPr>
                <w:rFonts w:hint="default" w:ascii="Times New Roman" w:hAnsi="Times New Roman" w:cs="Times New Roman"/>
                <w:color w:val="auto"/>
                <w:lang w:eastAsia="zh-CN"/>
              </w:rPr>
              <w:t>）</w:t>
            </w:r>
          </w:p>
          <w:p w14:paraId="794B569E">
            <w:pPr>
              <w:pStyle w:val="44"/>
              <w:bidi w:val="0"/>
              <w:rPr>
                <w:rFonts w:hint="default" w:ascii="Times New Roman" w:hAnsi="Times New Roman" w:cs="Times New Roman"/>
                <w:color w:val="auto"/>
              </w:rPr>
            </w:pPr>
            <w:r>
              <w:rPr>
                <w:rFonts w:hint="default" w:ascii="Times New Roman" w:hAnsi="Times New Roman" w:cs="Times New Roman"/>
                <w:color w:val="auto"/>
              </w:rPr>
              <w:t>场地平整</w:t>
            </w:r>
          </w:p>
          <w:p w14:paraId="6ED97DE3">
            <w:pPr>
              <w:pStyle w:val="44"/>
              <w:bidi w:val="0"/>
              <w:rPr>
                <w:rFonts w:hint="default" w:ascii="Times New Roman" w:hAnsi="Times New Roman" w:cs="Times New Roman"/>
                <w:color w:val="auto"/>
              </w:rPr>
            </w:pPr>
            <w:r>
              <w:rPr>
                <w:rFonts w:hint="default" w:ascii="Times New Roman" w:hAnsi="Times New Roman" w:cs="Times New Roman"/>
                <w:color w:val="auto"/>
              </w:rPr>
              <w:t>CBS植被混凝土边坡绿化</w:t>
            </w:r>
          </w:p>
          <w:p w14:paraId="5A7C63F9">
            <w:pPr>
              <w:pStyle w:val="44"/>
              <w:bidi w:val="0"/>
              <w:rPr>
                <w:rFonts w:hint="default" w:ascii="Times New Roman" w:hAnsi="Times New Roman" w:cs="Times New Roman"/>
                <w:color w:val="auto"/>
              </w:rPr>
            </w:pPr>
            <w:r>
              <w:rPr>
                <w:rFonts w:hint="default" w:ascii="Times New Roman" w:hAnsi="Times New Roman" w:cs="Times New Roman"/>
                <w:color w:val="auto"/>
              </w:rPr>
              <w:t>挡土墙工程</w:t>
            </w:r>
          </w:p>
          <w:p w14:paraId="5E6D7A96">
            <w:pPr>
              <w:pStyle w:val="44"/>
              <w:bidi w:val="0"/>
              <w:rPr>
                <w:rFonts w:hint="default" w:ascii="Times New Roman" w:hAnsi="Times New Roman" w:cs="Times New Roman"/>
                <w:color w:val="auto"/>
              </w:rPr>
            </w:pPr>
            <w:r>
              <w:rPr>
                <w:rFonts w:hint="default" w:ascii="Times New Roman" w:hAnsi="Times New Roman" w:cs="Times New Roman"/>
                <w:color w:val="auto"/>
              </w:rPr>
              <w:t>截排水工程</w:t>
            </w:r>
          </w:p>
          <w:p w14:paraId="3FC0372C">
            <w:pPr>
              <w:pStyle w:val="44"/>
              <w:bidi w:val="0"/>
              <w:rPr>
                <w:rFonts w:hint="default" w:ascii="Times New Roman" w:hAnsi="Times New Roman" w:eastAsia="宋体" w:cs="Times New Roman"/>
                <w:color w:val="auto"/>
                <w:lang w:eastAsia="zh-CN"/>
              </w:rPr>
            </w:pPr>
            <w:r>
              <w:rPr>
                <w:rFonts w:hint="default" w:ascii="Times New Roman" w:hAnsi="Times New Roman" w:cs="Times New Roman"/>
                <w:color w:val="auto"/>
              </w:rPr>
              <w:t>植被</w:t>
            </w:r>
            <w:r>
              <w:rPr>
                <w:rFonts w:hint="default" w:ascii="Times New Roman" w:hAnsi="Times New Roman" w:cs="Times New Roman"/>
                <w:color w:val="auto"/>
                <w:lang w:val="en-US" w:eastAsia="zh-CN"/>
              </w:rPr>
              <w:t>恢复</w:t>
            </w:r>
          </w:p>
        </w:tc>
        <w:tc>
          <w:tcPr>
            <w:tcW w:w="1005" w:type="pct"/>
            <w:vMerge w:val="restart"/>
            <w:tcBorders>
              <w:tl2br w:val="nil"/>
              <w:tr2bl w:val="nil"/>
            </w:tcBorders>
            <w:vAlign w:val="center"/>
          </w:tcPr>
          <w:p w14:paraId="1A2B7E2D">
            <w:pPr>
              <w:pStyle w:val="44"/>
              <w:bidi w:val="0"/>
              <w:rPr>
                <w:rFonts w:hint="default" w:ascii="Times New Roman" w:hAnsi="Times New Roman" w:cs="Times New Roman"/>
                <w:color w:val="auto"/>
                <w:lang w:eastAsia="zh-CN"/>
              </w:rPr>
            </w:pPr>
            <w:r>
              <w:rPr>
                <w:rFonts w:hint="default" w:ascii="Times New Roman" w:hAnsi="Times New Roman" w:cs="Times New Roman"/>
                <w:snapToGrid w:val="0"/>
                <w:color w:val="auto"/>
                <w:highlight w:val="none"/>
              </w:rPr>
              <w:t>202</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年</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月</w:t>
            </w:r>
            <w:r>
              <w:rPr>
                <w:rFonts w:hint="default" w:ascii="Times New Roman" w:hAnsi="Times New Roman" w:cs="Times New Roman"/>
                <w:snapToGrid w:val="0"/>
                <w:color w:val="auto"/>
                <w:highlight w:val="none"/>
                <w:lang w:val="en-US" w:eastAsia="zh-CN"/>
              </w:rPr>
              <w:t>~</w:t>
            </w:r>
            <w:r>
              <w:rPr>
                <w:rFonts w:hint="default" w:ascii="Times New Roman" w:hAnsi="Times New Roman" w:cs="Times New Roman"/>
                <w:snapToGrid w:val="0"/>
                <w:color w:val="auto"/>
                <w:highlight w:val="none"/>
              </w:rPr>
              <w:t>202</w:t>
            </w:r>
            <w:r>
              <w:rPr>
                <w:rFonts w:hint="default" w:ascii="Times New Roman" w:hAnsi="Times New Roman" w:cs="Times New Roman"/>
                <w:snapToGrid w:val="0"/>
                <w:color w:val="auto"/>
                <w:highlight w:val="none"/>
                <w:lang w:val="en-US" w:eastAsia="zh-CN"/>
              </w:rPr>
              <w:t>6</w:t>
            </w:r>
            <w:r>
              <w:rPr>
                <w:rFonts w:hint="default" w:ascii="Times New Roman" w:hAnsi="Times New Roman" w:cs="Times New Roman"/>
                <w:snapToGrid w:val="0"/>
                <w:color w:val="auto"/>
                <w:highlight w:val="none"/>
              </w:rPr>
              <w:t>年</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月</w:t>
            </w:r>
          </w:p>
        </w:tc>
      </w:tr>
      <w:tr w14:paraId="39AB0F0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366" w:type="pct"/>
            <w:vMerge w:val="continue"/>
            <w:tcBorders>
              <w:tl2br w:val="nil"/>
              <w:tr2bl w:val="nil"/>
            </w:tcBorders>
            <w:vAlign w:val="center"/>
          </w:tcPr>
          <w:p w14:paraId="59B58E58">
            <w:pPr>
              <w:pStyle w:val="44"/>
              <w:bidi w:val="0"/>
              <w:rPr>
                <w:rFonts w:hint="default" w:ascii="Times New Roman" w:hAnsi="Times New Roman" w:cs="Times New Roman"/>
                <w:color w:val="auto"/>
              </w:rPr>
            </w:pPr>
          </w:p>
        </w:tc>
        <w:tc>
          <w:tcPr>
            <w:tcW w:w="1277" w:type="pct"/>
            <w:vMerge w:val="continue"/>
            <w:tcBorders>
              <w:right w:val="single" w:color="auto" w:sz="4" w:space="0"/>
              <w:tl2br w:val="nil"/>
              <w:tr2bl w:val="nil"/>
            </w:tcBorders>
            <w:vAlign w:val="center"/>
          </w:tcPr>
          <w:p w14:paraId="2DB28FF5">
            <w:pPr>
              <w:pStyle w:val="44"/>
              <w:bidi w:val="0"/>
              <w:rPr>
                <w:rFonts w:hint="default" w:ascii="Times New Roman" w:hAnsi="Times New Roman" w:cs="Times New Roman"/>
                <w:color w:val="auto"/>
              </w:rPr>
            </w:pPr>
          </w:p>
        </w:tc>
        <w:tc>
          <w:tcPr>
            <w:tcW w:w="2350" w:type="pct"/>
            <w:vMerge w:val="continue"/>
            <w:tcBorders>
              <w:left w:val="single" w:color="auto" w:sz="4" w:space="0"/>
              <w:tl2br w:val="nil"/>
              <w:tr2bl w:val="nil"/>
            </w:tcBorders>
            <w:vAlign w:val="center"/>
          </w:tcPr>
          <w:p w14:paraId="4324F2DB">
            <w:pPr>
              <w:pStyle w:val="44"/>
              <w:bidi w:val="0"/>
              <w:rPr>
                <w:rFonts w:hint="default" w:ascii="Times New Roman" w:hAnsi="Times New Roman" w:cs="Times New Roman"/>
                <w:color w:val="auto"/>
              </w:rPr>
            </w:pPr>
          </w:p>
        </w:tc>
        <w:tc>
          <w:tcPr>
            <w:tcW w:w="1005" w:type="pct"/>
            <w:vMerge w:val="continue"/>
            <w:tcBorders>
              <w:tl2br w:val="nil"/>
              <w:tr2bl w:val="nil"/>
            </w:tcBorders>
            <w:vAlign w:val="center"/>
          </w:tcPr>
          <w:p w14:paraId="2C79FFB7">
            <w:pPr>
              <w:pStyle w:val="44"/>
              <w:bidi w:val="0"/>
              <w:rPr>
                <w:rFonts w:hint="default" w:ascii="Times New Roman" w:hAnsi="Times New Roman" w:cs="Times New Roman"/>
                <w:color w:val="auto"/>
              </w:rPr>
            </w:pPr>
          </w:p>
        </w:tc>
      </w:tr>
      <w:tr w14:paraId="131808E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37" w:hRule="atLeast"/>
          <w:jc w:val="center"/>
        </w:trPr>
        <w:tc>
          <w:tcPr>
            <w:tcW w:w="366" w:type="pct"/>
            <w:vMerge w:val="continue"/>
            <w:tcBorders>
              <w:tl2br w:val="nil"/>
              <w:tr2bl w:val="nil"/>
            </w:tcBorders>
            <w:vAlign w:val="center"/>
          </w:tcPr>
          <w:p w14:paraId="671108C1">
            <w:pPr>
              <w:pStyle w:val="44"/>
              <w:bidi w:val="0"/>
              <w:rPr>
                <w:rFonts w:hint="default" w:ascii="Times New Roman" w:hAnsi="Times New Roman" w:cs="Times New Roman"/>
                <w:color w:val="auto"/>
              </w:rPr>
            </w:pPr>
          </w:p>
        </w:tc>
        <w:tc>
          <w:tcPr>
            <w:tcW w:w="1277" w:type="pct"/>
            <w:vMerge w:val="continue"/>
            <w:tcBorders>
              <w:right w:val="single" w:color="auto" w:sz="4" w:space="0"/>
              <w:tl2br w:val="nil"/>
              <w:tr2bl w:val="nil"/>
            </w:tcBorders>
            <w:vAlign w:val="center"/>
          </w:tcPr>
          <w:p w14:paraId="23960A49">
            <w:pPr>
              <w:pStyle w:val="44"/>
              <w:bidi w:val="0"/>
              <w:rPr>
                <w:rFonts w:hint="default" w:ascii="Times New Roman" w:hAnsi="Times New Roman" w:cs="Times New Roman"/>
                <w:color w:val="auto"/>
              </w:rPr>
            </w:pPr>
          </w:p>
        </w:tc>
        <w:tc>
          <w:tcPr>
            <w:tcW w:w="2350" w:type="pct"/>
            <w:vMerge w:val="continue"/>
            <w:tcBorders>
              <w:left w:val="single" w:color="auto" w:sz="4" w:space="0"/>
              <w:tl2br w:val="nil"/>
              <w:tr2bl w:val="nil"/>
            </w:tcBorders>
            <w:vAlign w:val="center"/>
          </w:tcPr>
          <w:p w14:paraId="65EA3254">
            <w:pPr>
              <w:pStyle w:val="44"/>
              <w:bidi w:val="0"/>
              <w:rPr>
                <w:rFonts w:hint="default" w:ascii="Times New Roman" w:hAnsi="Times New Roman" w:cs="Times New Roman"/>
                <w:color w:val="auto"/>
              </w:rPr>
            </w:pPr>
          </w:p>
        </w:tc>
        <w:tc>
          <w:tcPr>
            <w:tcW w:w="1005" w:type="pct"/>
            <w:vMerge w:val="continue"/>
            <w:tcBorders>
              <w:tl2br w:val="nil"/>
              <w:tr2bl w:val="nil"/>
            </w:tcBorders>
            <w:vAlign w:val="center"/>
          </w:tcPr>
          <w:p w14:paraId="432B9EE6">
            <w:pPr>
              <w:pStyle w:val="44"/>
              <w:bidi w:val="0"/>
              <w:rPr>
                <w:rFonts w:hint="default" w:ascii="Times New Roman" w:hAnsi="Times New Roman" w:cs="Times New Roman"/>
                <w:color w:val="auto"/>
              </w:rPr>
            </w:pPr>
          </w:p>
        </w:tc>
      </w:tr>
      <w:tr w14:paraId="36C93B5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366" w:type="pct"/>
            <w:vMerge w:val="restart"/>
            <w:tcBorders>
              <w:tl2br w:val="nil"/>
              <w:tr2bl w:val="nil"/>
            </w:tcBorders>
            <w:vAlign w:val="center"/>
          </w:tcPr>
          <w:p w14:paraId="03CA8122">
            <w:pPr>
              <w:pStyle w:val="44"/>
              <w:bidi w:val="0"/>
              <w:rPr>
                <w:rFonts w:hint="default" w:ascii="Times New Roman" w:hAnsi="Times New Roman" w:cs="Times New Roman"/>
                <w:color w:val="auto"/>
              </w:rPr>
            </w:pPr>
            <w:r>
              <w:rPr>
                <w:rFonts w:hint="default" w:ascii="Times New Roman" w:hAnsi="Times New Roman" w:cs="Times New Roman"/>
                <w:color w:val="auto"/>
              </w:rPr>
              <w:t>3</w:t>
            </w:r>
          </w:p>
        </w:tc>
        <w:tc>
          <w:tcPr>
            <w:tcW w:w="1277" w:type="pct"/>
            <w:vMerge w:val="restart"/>
            <w:tcBorders>
              <w:right w:val="single" w:color="auto" w:sz="4" w:space="0"/>
              <w:tl2br w:val="nil"/>
              <w:tr2bl w:val="nil"/>
            </w:tcBorders>
            <w:vAlign w:val="center"/>
          </w:tcPr>
          <w:p w14:paraId="41ED590F">
            <w:pPr>
              <w:pStyle w:val="44"/>
              <w:bidi w:val="0"/>
              <w:rPr>
                <w:rFonts w:hint="default" w:ascii="Times New Roman" w:hAnsi="Times New Roman" w:cs="Times New Roman"/>
                <w:color w:val="auto"/>
              </w:rPr>
            </w:pPr>
            <w:r>
              <w:rPr>
                <w:rFonts w:hint="default" w:ascii="Times New Roman" w:hAnsi="Times New Roman" w:cs="Times New Roman"/>
                <w:color w:val="auto"/>
              </w:rPr>
              <w:t>鸡西市城子河区城东一队东0.2km废弃采石场（15#）</w:t>
            </w:r>
          </w:p>
        </w:tc>
        <w:tc>
          <w:tcPr>
            <w:tcW w:w="2350" w:type="pct"/>
            <w:vMerge w:val="restart"/>
            <w:tcBorders>
              <w:left w:val="single" w:color="auto" w:sz="4" w:space="0"/>
              <w:tl2br w:val="nil"/>
              <w:tr2bl w:val="nil"/>
            </w:tcBorders>
            <w:vAlign w:val="center"/>
          </w:tcPr>
          <w:p w14:paraId="2BF289E1">
            <w:pPr>
              <w:pStyle w:val="44"/>
              <w:bidi w:val="0"/>
              <w:rPr>
                <w:rFonts w:hint="default" w:ascii="Times New Roman" w:hAnsi="Times New Roman" w:eastAsia="宋体" w:cs="Times New Roman"/>
                <w:color w:val="auto"/>
                <w:lang w:eastAsia="zh-CN"/>
              </w:rPr>
            </w:pPr>
            <w:r>
              <w:rPr>
                <w:rFonts w:hint="default" w:ascii="Times New Roman" w:hAnsi="Times New Roman" w:cs="Times New Roman"/>
                <w:color w:val="auto"/>
              </w:rPr>
              <w:t>危岩清理边坡整形工程</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人工清理</w:t>
            </w:r>
            <w:r>
              <w:rPr>
                <w:rFonts w:hint="default" w:ascii="Times New Roman" w:hAnsi="Times New Roman" w:cs="Times New Roman"/>
                <w:color w:val="auto"/>
                <w:lang w:eastAsia="zh-CN"/>
              </w:rPr>
              <w:t>）</w:t>
            </w:r>
          </w:p>
          <w:p w14:paraId="5ADD40D6">
            <w:pPr>
              <w:pStyle w:val="44"/>
              <w:bidi w:val="0"/>
              <w:rPr>
                <w:rFonts w:hint="default" w:ascii="Times New Roman" w:hAnsi="Times New Roman" w:cs="Times New Roman"/>
                <w:color w:val="auto"/>
              </w:rPr>
            </w:pPr>
            <w:r>
              <w:rPr>
                <w:rFonts w:hint="default" w:ascii="Times New Roman" w:hAnsi="Times New Roman" w:cs="Times New Roman"/>
                <w:color w:val="auto"/>
              </w:rPr>
              <w:t>场地平整</w:t>
            </w:r>
          </w:p>
          <w:p w14:paraId="0A93BEAD">
            <w:pPr>
              <w:pStyle w:val="44"/>
              <w:bidi w:val="0"/>
              <w:rPr>
                <w:rFonts w:hint="default" w:ascii="Times New Roman" w:hAnsi="Times New Roman" w:cs="Times New Roman"/>
                <w:color w:val="auto"/>
              </w:rPr>
            </w:pPr>
            <w:r>
              <w:rPr>
                <w:rFonts w:hint="default" w:ascii="Times New Roman" w:hAnsi="Times New Roman" w:cs="Times New Roman"/>
                <w:color w:val="auto"/>
              </w:rPr>
              <w:t>清理工程</w:t>
            </w:r>
          </w:p>
          <w:p w14:paraId="763D939D">
            <w:pPr>
              <w:pStyle w:val="44"/>
              <w:bidi w:val="0"/>
              <w:rPr>
                <w:rFonts w:hint="default" w:ascii="Times New Roman" w:hAnsi="Times New Roman" w:cs="Times New Roman"/>
                <w:color w:val="auto"/>
              </w:rPr>
            </w:pPr>
            <w:r>
              <w:rPr>
                <w:rFonts w:hint="default" w:ascii="Times New Roman" w:hAnsi="Times New Roman" w:cs="Times New Roman"/>
                <w:color w:val="auto"/>
              </w:rPr>
              <w:t>CBS植被混凝土边坡绿化</w:t>
            </w:r>
          </w:p>
          <w:p w14:paraId="49897F24">
            <w:pPr>
              <w:pStyle w:val="44"/>
              <w:bidi w:val="0"/>
              <w:rPr>
                <w:rFonts w:hint="default" w:ascii="Times New Roman" w:hAnsi="Times New Roman" w:cs="Times New Roman"/>
                <w:color w:val="auto"/>
              </w:rPr>
            </w:pPr>
            <w:r>
              <w:rPr>
                <w:rFonts w:hint="default" w:ascii="Times New Roman" w:hAnsi="Times New Roman" w:cs="Times New Roman"/>
                <w:color w:val="auto"/>
              </w:rPr>
              <w:t>植被恢复</w:t>
            </w:r>
          </w:p>
          <w:p w14:paraId="5B71A66B">
            <w:pPr>
              <w:pStyle w:val="44"/>
              <w:bidi w:val="0"/>
              <w:rPr>
                <w:rFonts w:hint="default" w:ascii="Times New Roman" w:hAnsi="Times New Roman" w:cs="Times New Roman"/>
                <w:color w:val="auto"/>
              </w:rPr>
            </w:pPr>
            <w:r>
              <w:rPr>
                <w:rFonts w:hint="default" w:ascii="Times New Roman" w:hAnsi="Times New Roman" w:cs="Times New Roman"/>
                <w:color w:val="auto"/>
              </w:rPr>
              <w:t>挡土墙工程</w:t>
            </w:r>
          </w:p>
        </w:tc>
        <w:tc>
          <w:tcPr>
            <w:tcW w:w="1005" w:type="pct"/>
            <w:vMerge w:val="restart"/>
            <w:tcBorders>
              <w:tl2br w:val="nil"/>
              <w:tr2bl w:val="nil"/>
            </w:tcBorders>
            <w:vAlign w:val="center"/>
          </w:tcPr>
          <w:p w14:paraId="61FBD1B5">
            <w:pPr>
              <w:pStyle w:val="44"/>
              <w:bidi w:val="0"/>
              <w:rPr>
                <w:rFonts w:hint="default" w:ascii="Times New Roman" w:hAnsi="Times New Roman" w:cs="Times New Roman"/>
                <w:color w:val="auto"/>
                <w:lang w:eastAsia="zh-CN"/>
              </w:rPr>
            </w:pPr>
            <w:r>
              <w:rPr>
                <w:rFonts w:hint="default" w:ascii="Times New Roman" w:hAnsi="Times New Roman" w:cs="Times New Roman"/>
                <w:snapToGrid w:val="0"/>
                <w:color w:val="auto"/>
                <w:highlight w:val="none"/>
              </w:rPr>
              <w:t>202</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年</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月</w:t>
            </w:r>
            <w:r>
              <w:rPr>
                <w:rFonts w:hint="default" w:ascii="Times New Roman" w:hAnsi="Times New Roman" w:cs="Times New Roman"/>
                <w:snapToGrid w:val="0"/>
                <w:color w:val="auto"/>
                <w:highlight w:val="none"/>
                <w:lang w:val="en-US" w:eastAsia="zh-CN"/>
              </w:rPr>
              <w:t>~</w:t>
            </w:r>
            <w:r>
              <w:rPr>
                <w:rFonts w:hint="default" w:ascii="Times New Roman" w:hAnsi="Times New Roman" w:cs="Times New Roman"/>
                <w:snapToGrid w:val="0"/>
                <w:color w:val="auto"/>
                <w:highlight w:val="none"/>
              </w:rPr>
              <w:t>202</w:t>
            </w:r>
            <w:r>
              <w:rPr>
                <w:rFonts w:hint="default" w:ascii="Times New Roman" w:hAnsi="Times New Roman" w:cs="Times New Roman"/>
                <w:snapToGrid w:val="0"/>
                <w:color w:val="auto"/>
                <w:highlight w:val="none"/>
                <w:lang w:val="en-US" w:eastAsia="zh-CN"/>
              </w:rPr>
              <w:t>6</w:t>
            </w:r>
            <w:r>
              <w:rPr>
                <w:rFonts w:hint="default" w:ascii="Times New Roman" w:hAnsi="Times New Roman" w:cs="Times New Roman"/>
                <w:snapToGrid w:val="0"/>
                <w:color w:val="auto"/>
                <w:highlight w:val="none"/>
              </w:rPr>
              <w:t>年</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月</w:t>
            </w:r>
          </w:p>
        </w:tc>
      </w:tr>
      <w:tr w14:paraId="2EB640C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366" w:type="pct"/>
            <w:vMerge w:val="continue"/>
            <w:tcBorders>
              <w:tl2br w:val="nil"/>
              <w:tr2bl w:val="nil"/>
            </w:tcBorders>
            <w:vAlign w:val="center"/>
          </w:tcPr>
          <w:p w14:paraId="35C57554">
            <w:pPr>
              <w:pStyle w:val="44"/>
              <w:bidi w:val="0"/>
              <w:rPr>
                <w:rFonts w:hint="default" w:ascii="Times New Roman" w:hAnsi="Times New Roman" w:cs="Times New Roman"/>
                <w:color w:val="auto"/>
              </w:rPr>
            </w:pPr>
          </w:p>
        </w:tc>
        <w:tc>
          <w:tcPr>
            <w:tcW w:w="1277" w:type="pct"/>
            <w:vMerge w:val="continue"/>
            <w:tcBorders>
              <w:right w:val="single" w:color="auto" w:sz="4" w:space="0"/>
              <w:tl2br w:val="nil"/>
              <w:tr2bl w:val="nil"/>
            </w:tcBorders>
            <w:vAlign w:val="center"/>
          </w:tcPr>
          <w:p w14:paraId="4F372C9C">
            <w:pPr>
              <w:pStyle w:val="44"/>
              <w:bidi w:val="0"/>
              <w:rPr>
                <w:rFonts w:hint="default" w:ascii="Times New Roman" w:hAnsi="Times New Roman" w:cs="Times New Roman"/>
                <w:color w:val="auto"/>
              </w:rPr>
            </w:pPr>
          </w:p>
        </w:tc>
        <w:tc>
          <w:tcPr>
            <w:tcW w:w="2350" w:type="pct"/>
            <w:vMerge w:val="continue"/>
            <w:tcBorders>
              <w:left w:val="single" w:color="auto" w:sz="4" w:space="0"/>
              <w:tl2br w:val="nil"/>
              <w:tr2bl w:val="nil"/>
            </w:tcBorders>
            <w:vAlign w:val="center"/>
          </w:tcPr>
          <w:p w14:paraId="594CD75D">
            <w:pPr>
              <w:pStyle w:val="44"/>
              <w:bidi w:val="0"/>
              <w:rPr>
                <w:rFonts w:hint="default" w:ascii="Times New Roman" w:hAnsi="Times New Roman" w:cs="Times New Roman"/>
                <w:color w:val="auto"/>
              </w:rPr>
            </w:pPr>
          </w:p>
        </w:tc>
        <w:tc>
          <w:tcPr>
            <w:tcW w:w="1005" w:type="pct"/>
            <w:vMerge w:val="continue"/>
            <w:tcBorders>
              <w:tl2br w:val="nil"/>
              <w:tr2bl w:val="nil"/>
            </w:tcBorders>
            <w:vAlign w:val="center"/>
          </w:tcPr>
          <w:p w14:paraId="2FA7222E">
            <w:pPr>
              <w:pStyle w:val="44"/>
              <w:bidi w:val="0"/>
              <w:rPr>
                <w:rFonts w:hint="default" w:ascii="Times New Roman" w:hAnsi="Times New Roman" w:cs="Times New Roman"/>
                <w:color w:val="auto"/>
              </w:rPr>
            </w:pPr>
          </w:p>
        </w:tc>
      </w:tr>
      <w:tr w14:paraId="31D11D2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37" w:hRule="atLeast"/>
          <w:jc w:val="center"/>
        </w:trPr>
        <w:tc>
          <w:tcPr>
            <w:tcW w:w="366" w:type="pct"/>
            <w:vMerge w:val="continue"/>
            <w:tcBorders>
              <w:tl2br w:val="nil"/>
              <w:tr2bl w:val="nil"/>
            </w:tcBorders>
            <w:vAlign w:val="center"/>
          </w:tcPr>
          <w:p w14:paraId="1EDB6266">
            <w:pPr>
              <w:pStyle w:val="44"/>
              <w:bidi w:val="0"/>
              <w:rPr>
                <w:rFonts w:hint="default" w:ascii="Times New Roman" w:hAnsi="Times New Roman" w:cs="Times New Roman"/>
                <w:color w:val="auto"/>
              </w:rPr>
            </w:pPr>
          </w:p>
        </w:tc>
        <w:tc>
          <w:tcPr>
            <w:tcW w:w="1277" w:type="pct"/>
            <w:vMerge w:val="continue"/>
            <w:tcBorders>
              <w:right w:val="single" w:color="auto" w:sz="4" w:space="0"/>
              <w:tl2br w:val="nil"/>
              <w:tr2bl w:val="nil"/>
            </w:tcBorders>
            <w:vAlign w:val="center"/>
          </w:tcPr>
          <w:p w14:paraId="3E7BEC81">
            <w:pPr>
              <w:pStyle w:val="44"/>
              <w:bidi w:val="0"/>
              <w:rPr>
                <w:rFonts w:hint="default" w:ascii="Times New Roman" w:hAnsi="Times New Roman" w:cs="Times New Roman"/>
                <w:color w:val="auto"/>
              </w:rPr>
            </w:pPr>
          </w:p>
        </w:tc>
        <w:tc>
          <w:tcPr>
            <w:tcW w:w="2350" w:type="pct"/>
            <w:vMerge w:val="continue"/>
            <w:tcBorders>
              <w:left w:val="single" w:color="auto" w:sz="4" w:space="0"/>
              <w:tl2br w:val="nil"/>
              <w:tr2bl w:val="nil"/>
            </w:tcBorders>
            <w:vAlign w:val="center"/>
          </w:tcPr>
          <w:p w14:paraId="66079A20">
            <w:pPr>
              <w:pStyle w:val="44"/>
              <w:bidi w:val="0"/>
              <w:rPr>
                <w:rFonts w:hint="default" w:ascii="Times New Roman" w:hAnsi="Times New Roman" w:cs="Times New Roman"/>
                <w:color w:val="auto"/>
              </w:rPr>
            </w:pPr>
          </w:p>
        </w:tc>
        <w:tc>
          <w:tcPr>
            <w:tcW w:w="1005" w:type="pct"/>
            <w:vMerge w:val="continue"/>
            <w:tcBorders>
              <w:tl2br w:val="nil"/>
              <w:tr2bl w:val="nil"/>
            </w:tcBorders>
            <w:vAlign w:val="center"/>
          </w:tcPr>
          <w:p w14:paraId="23389DA6">
            <w:pPr>
              <w:pStyle w:val="44"/>
              <w:bidi w:val="0"/>
              <w:rPr>
                <w:rFonts w:hint="default" w:ascii="Times New Roman" w:hAnsi="Times New Roman" w:cs="Times New Roman"/>
                <w:color w:val="auto"/>
              </w:rPr>
            </w:pPr>
          </w:p>
        </w:tc>
      </w:tr>
      <w:tr w14:paraId="4DB29F9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366" w:type="pct"/>
            <w:vMerge w:val="restart"/>
            <w:tcBorders>
              <w:tl2br w:val="nil"/>
              <w:tr2bl w:val="nil"/>
            </w:tcBorders>
            <w:vAlign w:val="center"/>
          </w:tcPr>
          <w:p w14:paraId="23EBC2F5">
            <w:pPr>
              <w:pStyle w:val="44"/>
              <w:bidi w:val="0"/>
              <w:rPr>
                <w:rFonts w:hint="default" w:ascii="Times New Roman" w:hAnsi="Times New Roman" w:cs="Times New Roman"/>
                <w:color w:val="auto"/>
              </w:rPr>
            </w:pPr>
            <w:r>
              <w:rPr>
                <w:rFonts w:hint="default" w:ascii="Times New Roman" w:hAnsi="Times New Roman" w:cs="Times New Roman"/>
                <w:color w:val="auto"/>
              </w:rPr>
              <w:t>4</w:t>
            </w:r>
          </w:p>
        </w:tc>
        <w:tc>
          <w:tcPr>
            <w:tcW w:w="1277" w:type="pct"/>
            <w:vMerge w:val="restart"/>
            <w:tcBorders>
              <w:right w:val="single" w:color="auto" w:sz="4" w:space="0"/>
              <w:tl2br w:val="nil"/>
              <w:tr2bl w:val="nil"/>
            </w:tcBorders>
            <w:vAlign w:val="center"/>
          </w:tcPr>
          <w:p w14:paraId="2E8E811B">
            <w:pPr>
              <w:pStyle w:val="44"/>
              <w:bidi w:val="0"/>
              <w:rPr>
                <w:rFonts w:hint="default" w:ascii="Times New Roman" w:hAnsi="Times New Roman" w:cs="Times New Roman"/>
                <w:color w:val="auto"/>
              </w:rPr>
            </w:pPr>
            <w:r>
              <w:rPr>
                <w:rFonts w:hint="default" w:ascii="Times New Roman" w:hAnsi="Times New Roman" w:cs="Times New Roman"/>
                <w:color w:val="auto"/>
              </w:rPr>
              <w:t>鸡西市城子河区城东一队东南0.4km废弃采石场（16#）</w:t>
            </w:r>
          </w:p>
        </w:tc>
        <w:tc>
          <w:tcPr>
            <w:tcW w:w="2350" w:type="pct"/>
            <w:vMerge w:val="restart"/>
            <w:tcBorders>
              <w:left w:val="single" w:color="auto" w:sz="4" w:space="0"/>
              <w:tl2br w:val="nil"/>
              <w:tr2bl w:val="nil"/>
            </w:tcBorders>
            <w:vAlign w:val="center"/>
          </w:tcPr>
          <w:p w14:paraId="3B26C464">
            <w:pPr>
              <w:pStyle w:val="44"/>
              <w:bidi w:val="0"/>
              <w:rPr>
                <w:rFonts w:hint="default" w:ascii="Times New Roman" w:hAnsi="Times New Roman" w:eastAsia="宋体" w:cs="Times New Roman"/>
                <w:color w:val="auto"/>
                <w:lang w:eastAsia="zh-CN"/>
              </w:rPr>
            </w:pPr>
            <w:r>
              <w:rPr>
                <w:rFonts w:hint="default" w:ascii="Times New Roman" w:hAnsi="Times New Roman" w:cs="Times New Roman"/>
                <w:color w:val="auto"/>
              </w:rPr>
              <w:t>危岩清理边坡整形工程</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人工清理</w:t>
            </w:r>
            <w:r>
              <w:rPr>
                <w:rFonts w:hint="default" w:ascii="Times New Roman" w:hAnsi="Times New Roman" w:cs="Times New Roman"/>
                <w:color w:val="auto"/>
                <w:lang w:eastAsia="zh-CN"/>
              </w:rPr>
              <w:t>）</w:t>
            </w:r>
          </w:p>
          <w:p w14:paraId="4105CDE0">
            <w:pPr>
              <w:pStyle w:val="44"/>
              <w:bidi w:val="0"/>
              <w:rPr>
                <w:rFonts w:hint="default" w:ascii="Times New Roman" w:hAnsi="Times New Roman" w:cs="Times New Roman"/>
                <w:color w:val="auto"/>
              </w:rPr>
            </w:pPr>
            <w:r>
              <w:rPr>
                <w:rFonts w:hint="default" w:ascii="Times New Roman" w:hAnsi="Times New Roman" w:cs="Times New Roman"/>
                <w:color w:val="auto"/>
              </w:rPr>
              <w:t>场地平整</w:t>
            </w:r>
          </w:p>
          <w:p w14:paraId="1E8289B9">
            <w:pPr>
              <w:pStyle w:val="44"/>
              <w:bidi w:val="0"/>
              <w:rPr>
                <w:rFonts w:hint="default" w:ascii="Times New Roman" w:hAnsi="Times New Roman" w:cs="Times New Roman"/>
                <w:color w:val="auto"/>
              </w:rPr>
            </w:pPr>
            <w:r>
              <w:rPr>
                <w:rFonts w:hint="default" w:ascii="Times New Roman" w:hAnsi="Times New Roman" w:cs="Times New Roman"/>
                <w:color w:val="auto"/>
              </w:rPr>
              <w:t>CBS植被混凝土边坡绿化</w:t>
            </w:r>
          </w:p>
          <w:p w14:paraId="393A0033">
            <w:pPr>
              <w:pStyle w:val="44"/>
              <w:bidi w:val="0"/>
              <w:rPr>
                <w:rFonts w:hint="default" w:ascii="Times New Roman" w:hAnsi="Times New Roman" w:eastAsia="宋体" w:cs="Times New Roman"/>
                <w:color w:val="auto"/>
                <w:lang w:eastAsia="zh-CN"/>
              </w:rPr>
            </w:pPr>
            <w:r>
              <w:rPr>
                <w:rFonts w:hint="default" w:ascii="Times New Roman" w:hAnsi="Times New Roman" w:cs="Times New Roman"/>
                <w:color w:val="auto"/>
              </w:rPr>
              <w:t>植被</w:t>
            </w:r>
            <w:r>
              <w:rPr>
                <w:rFonts w:hint="default" w:ascii="Times New Roman" w:hAnsi="Times New Roman" w:cs="Times New Roman"/>
                <w:color w:val="auto"/>
                <w:lang w:val="en-US" w:eastAsia="zh-CN"/>
              </w:rPr>
              <w:t>恢复</w:t>
            </w:r>
          </w:p>
        </w:tc>
        <w:tc>
          <w:tcPr>
            <w:tcW w:w="1005" w:type="pct"/>
            <w:vMerge w:val="restart"/>
            <w:tcBorders>
              <w:tl2br w:val="nil"/>
              <w:tr2bl w:val="nil"/>
            </w:tcBorders>
            <w:vAlign w:val="center"/>
          </w:tcPr>
          <w:p w14:paraId="4728F0D0">
            <w:pPr>
              <w:pStyle w:val="44"/>
              <w:bidi w:val="0"/>
              <w:rPr>
                <w:rFonts w:hint="default" w:ascii="Times New Roman" w:hAnsi="Times New Roman" w:cs="Times New Roman"/>
                <w:color w:val="auto"/>
                <w:lang w:eastAsia="zh-CN"/>
              </w:rPr>
            </w:pPr>
            <w:r>
              <w:rPr>
                <w:rFonts w:hint="default" w:ascii="Times New Roman" w:hAnsi="Times New Roman" w:cs="Times New Roman"/>
                <w:snapToGrid w:val="0"/>
                <w:color w:val="auto"/>
                <w:highlight w:val="none"/>
              </w:rPr>
              <w:t>202</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年</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月</w:t>
            </w:r>
            <w:r>
              <w:rPr>
                <w:rFonts w:hint="default" w:ascii="Times New Roman" w:hAnsi="Times New Roman" w:cs="Times New Roman"/>
                <w:snapToGrid w:val="0"/>
                <w:color w:val="auto"/>
                <w:highlight w:val="none"/>
                <w:lang w:val="en-US" w:eastAsia="zh-CN"/>
              </w:rPr>
              <w:t>~</w:t>
            </w:r>
            <w:r>
              <w:rPr>
                <w:rFonts w:hint="default" w:ascii="Times New Roman" w:hAnsi="Times New Roman" w:cs="Times New Roman"/>
                <w:snapToGrid w:val="0"/>
                <w:color w:val="auto"/>
                <w:highlight w:val="none"/>
              </w:rPr>
              <w:t>202</w:t>
            </w:r>
            <w:r>
              <w:rPr>
                <w:rFonts w:hint="default" w:ascii="Times New Roman" w:hAnsi="Times New Roman" w:cs="Times New Roman"/>
                <w:snapToGrid w:val="0"/>
                <w:color w:val="auto"/>
                <w:highlight w:val="none"/>
                <w:lang w:val="en-US" w:eastAsia="zh-CN"/>
              </w:rPr>
              <w:t>6</w:t>
            </w:r>
            <w:r>
              <w:rPr>
                <w:rFonts w:hint="default" w:ascii="Times New Roman" w:hAnsi="Times New Roman" w:cs="Times New Roman"/>
                <w:snapToGrid w:val="0"/>
                <w:color w:val="auto"/>
                <w:highlight w:val="none"/>
              </w:rPr>
              <w:t>年</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月</w:t>
            </w:r>
          </w:p>
        </w:tc>
      </w:tr>
      <w:tr w14:paraId="3419E27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366" w:type="pct"/>
            <w:vMerge w:val="continue"/>
            <w:tcBorders>
              <w:tl2br w:val="nil"/>
              <w:tr2bl w:val="nil"/>
            </w:tcBorders>
            <w:vAlign w:val="center"/>
          </w:tcPr>
          <w:p w14:paraId="3F98AEAC">
            <w:pPr>
              <w:pStyle w:val="44"/>
              <w:bidi w:val="0"/>
              <w:rPr>
                <w:rFonts w:hint="default" w:ascii="Times New Roman" w:hAnsi="Times New Roman" w:cs="Times New Roman"/>
                <w:color w:val="auto"/>
              </w:rPr>
            </w:pPr>
          </w:p>
        </w:tc>
        <w:tc>
          <w:tcPr>
            <w:tcW w:w="1277" w:type="pct"/>
            <w:vMerge w:val="continue"/>
            <w:tcBorders>
              <w:right w:val="single" w:color="auto" w:sz="4" w:space="0"/>
              <w:tl2br w:val="nil"/>
              <w:tr2bl w:val="nil"/>
            </w:tcBorders>
            <w:vAlign w:val="center"/>
          </w:tcPr>
          <w:p w14:paraId="1F3EC32C">
            <w:pPr>
              <w:pStyle w:val="44"/>
              <w:bidi w:val="0"/>
              <w:rPr>
                <w:rFonts w:hint="default" w:ascii="Times New Roman" w:hAnsi="Times New Roman" w:cs="Times New Roman"/>
                <w:color w:val="auto"/>
              </w:rPr>
            </w:pPr>
          </w:p>
        </w:tc>
        <w:tc>
          <w:tcPr>
            <w:tcW w:w="2350" w:type="pct"/>
            <w:vMerge w:val="continue"/>
            <w:tcBorders>
              <w:left w:val="single" w:color="auto" w:sz="4" w:space="0"/>
              <w:tl2br w:val="nil"/>
              <w:tr2bl w:val="nil"/>
            </w:tcBorders>
            <w:vAlign w:val="center"/>
          </w:tcPr>
          <w:p w14:paraId="19C2F68A">
            <w:pPr>
              <w:pStyle w:val="44"/>
              <w:bidi w:val="0"/>
              <w:rPr>
                <w:rFonts w:hint="default" w:ascii="Times New Roman" w:hAnsi="Times New Roman" w:cs="Times New Roman"/>
                <w:color w:val="auto"/>
              </w:rPr>
            </w:pPr>
          </w:p>
        </w:tc>
        <w:tc>
          <w:tcPr>
            <w:tcW w:w="1005" w:type="pct"/>
            <w:vMerge w:val="continue"/>
            <w:tcBorders>
              <w:tl2br w:val="nil"/>
              <w:tr2bl w:val="nil"/>
            </w:tcBorders>
            <w:vAlign w:val="center"/>
          </w:tcPr>
          <w:p w14:paraId="6E4BDE9B">
            <w:pPr>
              <w:pStyle w:val="44"/>
              <w:bidi w:val="0"/>
              <w:rPr>
                <w:rFonts w:hint="default" w:ascii="Times New Roman" w:hAnsi="Times New Roman" w:cs="Times New Roman"/>
                <w:color w:val="auto"/>
              </w:rPr>
            </w:pPr>
          </w:p>
        </w:tc>
      </w:tr>
      <w:tr w14:paraId="778ACF7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0" w:hRule="atLeast"/>
          <w:jc w:val="center"/>
        </w:trPr>
        <w:tc>
          <w:tcPr>
            <w:tcW w:w="366" w:type="pct"/>
            <w:vMerge w:val="continue"/>
            <w:tcBorders>
              <w:tl2br w:val="nil"/>
              <w:tr2bl w:val="nil"/>
            </w:tcBorders>
            <w:vAlign w:val="center"/>
          </w:tcPr>
          <w:p w14:paraId="28D62BBA">
            <w:pPr>
              <w:pStyle w:val="44"/>
              <w:bidi w:val="0"/>
              <w:rPr>
                <w:rFonts w:hint="default" w:ascii="Times New Roman" w:hAnsi="Times New Roman" w:cs="Times New Roman"/>
                <w:color w:val="auto"/>
              </w:rPr>
            </w:pPr>
          </w:p>
        </w:tc>
        <w:tc>
          <w:tcPr>
            <w:tcW w:w="1277" w:type="pct"/>
            <w:vMerge w:val="continue"/>
            <w:tcBorders>
              <w:right w:val="single" w:color="auto" w:sz="4" w:space="0"/>
              <w:tl2br w:val="nil"/>
              <w:tr2bl w:val="nil"/>
            </w:tcBorders>
            <w:vAlign w:val="center"/>
          </w:tcPr>
          <w:p w14:paraId="31F1F0D1">
            <w:pPr>
              <w:pStyle w:val="44"/>
              <w:bidi w:val="0"/>
              <w:rPr>
                <w:rFonts w:hint="default" w:ascii="Times New Roman" w:hAnsi="Times New Roman" w:cs="Times New Roman"/>
                <w:color w:val="auto"/>
              </w:rPr>
            </w:pPr>
          </w:p>
        </w:tc>
        <w:tc>
          <w:tcPr>
            <w:tcW w:w="2350" w:type="pct"/>
            <w:vMerge w:val="continue"/>
            <w:tcBorders>
              <w:left w:val="single" w:color="auto" w:sz="4" w:space="0"/>
              <w:tl2br w:val="nil"/>
              <w:tr2bl w:val="nil"/>
            </w:tcBorders>
            <w:vAlign w:val="center"/>
          </w:tcPr>
          <w:p w14:paraId="3B03A106">
            <w:pPr>
              <w:pStyle w:val="44"/>
              <w:bidi w:val="0"/>
              <w:rPr>
                <w:rFonts w:hint="default" w:ascii="Times New Roman" w:hAnsi="Times New Roman" w:cs="Times New Roman"/>
                <w:color w:val="auto"/>
              </w:rPr>
            </w:pPr>
          </w:p>
        </w:tc>
        <w:tc>
          <w:tcPr>
            <w:tcW w:w="1005" w:type="pct"/>
            <w:vMerge w:val="continue"/>
            <w:tcBorders>
              <w:tl2br w:val="nil"/>
              <w:tr2bl w:val="nil"/>
            </w:tcBorders>
            <w:vAlign w:val="center"/>
          </w:tcPr>
          <w:p w14:paraId="77E5EAA6">
            <w:pPr>
              <w:pStyle w:val="44"/>
              <w:bidi w:val="0"/>
              <w:rPr>
                <w:rFonts w:hint="default" w:ascii="Times New Roman" w:hAnsi="Times New Roman" w:cs="Times New Roman"/>
                <w:color w:val="auto"/>
              </w:rPr>
            </w:pPr>
          </w:p>
        </w:tc>
      </w:tr>
      <w:tr w14:paraId="24BEBAB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366" w:type="pct"/>
            <w:vMerge w:val="restart"/>
            <w:tcBorders>
              <w:tl2br w:val="nil"/>
              <w:tr2bl w:val="nil"/>
            </w:tcBorders>
            <w:vAlign w:val="center"/>
          </w:tcPr>
          <w:p w14:paraId="569D5A64">
            <w:pPr>
              <w:pStyle w:val="44"/>
              <w:bidi w:val="0"/>
              <w:rPr>
                <w:rFonts w:hint="default" w:ascii="Times New Roman" w:hAnsi="Times New Roman" w:cs="Times New Roman"/>
                <w:color w:val="auto"/>
              </w:rPr>
            </w:pPr>
            <w:r>
              <w:rPr>
                <w:rFonts w:hint="default" w:ascii="Times New Roman" w:hAnsi="Times New Roman" w:cs="Times New Roman"/>
                <w:color w:val="auto"/>
              </w:rPr>
              <w:t>5</w:t>
            </w:r>
          </w:p>
        </w:tc>
        <w:tc>
          <w:tcPr>
            <w:tcW w:w="1277" w:type="pct"/>
            <w:vMerge w:val="restart"/>
            <w:tcBorders>
              <w:right w:val="single" w:color="auto" w:sz="4" w:space="0"/>
              <w:tl2br w:val="nil"/>
              <w:tr2bl w:val="nil"/>
            </w:tcBorders>
            <w:vAlign w:val="center"/>
          </w:tcPr>
          <w:p w14:paraId="3B24D58D">
            <w:pPr>
              <w:pStyle w:val="44"/>
              <w:bidi w:val="0"/>
              <w:rPr>
                <w:rFonts w:hint="default" w:ascii="Times New Roman" w:hAnsi="Times New Roman" w:cs="Times New Roman"/>
                <w:color w:val="auto"/>
              </w:rPr>
            </w:pPr>
            <w:r>
              <w:rPr>
                <w:rFonts w:hint="default" w:ascii="Times New Roman" w:hAnsi="Times New Roman" w:cs="Times New Roman"/>
                <w:color w:val="auto"/>
              </w:rPr>
              <w:t>鸡西市城子河区水泥厂后山废弃采石场</w:t>
            </w:r>
          </w:p>
          <w:p w14:paraId="649110C8">
            <w:pPr>
              <w:pStyle w:val="44"/>
              <w:bidi w:val="0"/>
              <w:rPr>
                <w:rFonts w:hint="default" w:ascii="Times New Roman" w:hAnsi="Times New Roman" w:cs="Times New Roman"/>
                <w:color w:val="auto"/>
              </w:rPr>
            </w:pPr>
            <w:r>
              <w:rPr>
                <w:rFonts w:hint="default" w:ascii="Times New Roman" w:hAnsi="Times New Roman" w:cs="Times New Roman"/>
                <w:color w:val="auto"/>
              </w:rPr>
              <w:t>(21#)</w:t>
            </w:r>
          </w:p>
        </w:tc>
        <w:tc>
          <w:tcPr>
            <w:tcW w:w="2350" w:type="pct"/>
            <w:vMerge w:val="restart"/>
            <w:tcBorders>
              <w:left w:val="single" w:color="auto" w:sz="4" w:space="0"/>
              <w:tl2br w:val="nil"/>
              <w:tr2bl w:val="nil"/>
            </w:tcBorders>
            <w:vAlign w:val="center"/>
          </w:tcPr>
          <w:p w14:paraId="74F9C0F9">
            <w:pPr>
              <w:pStyle w:val="44"/>
              <w:bidi w:val="0"/>
              <w:rPr>
                <w:rFonts w:hint="default" w:ascii="Times New Roman" w:hAnsi="Times New Roman" w:cs="Times New Roman"/>
                <w:color w:val="auto"/>
              </w:rPr>
            </w:pPr>
            <w:r>
              <w:rPr>
                <w:rFonts w:hint="default" w:ascii="Times New Roman" w:hAnsi="Times New Roman" w:cs="Times New Roman"/>
                <w:color w:val="auto"/>
              </w:rPr>
              <w:t>清理工程</w:t>
            </w:r>
          </w:p>
          <w:p w14:paraId="623D811F">
            <w:pPr>
              <w:pStyle w:val="44"/>
              <w:bidi w:val="0"/>
              <w:rPr>
                <w:rFonts w:hint="default" w:ascii="Times New Roman" w:hAnsi="Times New Roman" w:cs="Times New Roman"/>
                <w:color w:val="auto"/>
              </w:rPr>
            </w:pPr>
            <w:r>
              <w:rPr>
                <w:rFonts w:hint="default" w:ascii="Times New Roman" w:hAnsi="Times New Roman" w:cs="Times New Roman"/>
                <w:color w:val="auto"/>
              </w:rPr>
              <w:t>场地平整工程</w:t>
            </w:r>
          </w:p>
          <w:p w14:paraId="13F7F3EF">
            <w:pPr>
              <w:pStyle w:val="44"/>
              <w:bidi w:val="0"/>
              <w:rPr>
                <w:rFonts w:hint="default" w:ascii="Times New Roman" w:hAnsi="Times New Roman" w:cs="Times New Roman"/>
                <w:color w:val="auto"/>
              </w:rPr>
            </w:pPr>
            <w:r>
              <w:rPr>
                <w:rFonts w:hint="default" w:ascii="Times New Roman" w:hAnsi="Times New Roman" w:cs="Times New Roman"/>
                <w:color w:val="auto"/>
              </w:rPr>
              <w:t>挡土墙工程</w:t>
            </w:r>
          </w:p>
          <w:p w14:paraId="21F557E5">
            <w:pPr>
              <w:pStyle w:val="44"/>
              <w:bidi w:val="0"/>
              <w:rPr>
                <w:rFonts w:hint="default" w:ascii="Times New Roman" w:hAnsi="Times New Roman" w:cs="Times New Roman"/>
                <w:color w:val="auto"/>
              </w:rPr>
            </w:pPr>
            <w:r>
              <w:rPr>
                <w:rFonts w:hint="default" w:ascii="Times New Roman" w:hAnsi="Times New Roman" w:cs="Times New Roman"/>
                <w:color w:val="auto"/>
              </w:rPr>
              <w:t>截排水沟工程</w:t>
            </w:r>
          </w:p>
          <w:p w14:paraId="4DFBACC7">
            <w:pPr>
              <w:pStyle w:val="44"/>
              <w:bidi w:val="0"/>
              <w:rPr>
                <w:rFonts w:hint="default" w:ascii="Times New Roman" w:hAnsi="Times New Roman" w:cs="Times New Roman"/>
                <w:color w:val="auto"/>
              </w:rPr>
            </w:pPr>
            <w:r>
              <w:rPr>
                <w:rFonts w:hint="default" w:ascii="Times New Roman" w:hAnsi="Times New Roman" w:cs="Times New Roman"/>
                <w:color w:val="auto"/>
              </w:rPr>
              <w:t>植被恢复工程</w:t>
            </w:r>
          </w:p>
        </w:tc>
        <w:tc>
          <w:tcPr>
            <w:tcW w:w="1005" w:type="pct"/>
            <w:vMerge w:val="restart"/>
            <w:tcBorders>
              <w:tl2br w:val="nil"/>
              <w:tr2bl w:val="nil"/>
            </w:tcBorders>
            <w:vAlign w:val="center"/>
          </w:tcPr>
          <w:p w14:paraId="71DA66D3">
            <w:pPr>
              <w:pStyle w:val="44"/>
              <w:bidi w:val="0"/>
              <w:rPr>
                <w:rFonts w:hint="default" w:ascii="Times New Roman" w:hAnsi="Times New Roman" w:cs="Times New Roman"/>
                <w:color w:val="auto"/>
              </w:rPr>
            </w:pPr>
            <w:r>
              <w:rPr>
                <w:rFonts w:hint="default" w:ascii="Times New Roman" w:hAnsi="Times New Roman" w:cs="Times New Roman"/>
                <w:snapToGrid w:val="0"/>
                <w:color w:val="auto"/>
                <w:highlight w:val="none"/>
              </w:rPr>
              <w:t>202</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年</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月</w:t>
            </w:r>
            <w:r>
              <w:rPr>
                <w:rFonts w:hint="default" w:ascii="Times New Roman" w:hAnsi="Times New Roman" w:cs="Times New Roman"/>
                <w:snapToGrid w:val="0"/>
                <w:color w:val="auto"/>
                <w:highlight w:val="none"/>
                <w:lang w:val="en-US" w:eastAsia="zh-CN"/>
              </w:rPr>
              <w:t>~</w:t>
            </w:r>
            <w:r>
              <w:rPr>
                <w:rFonts w:hint="default" w:ascii="Times New Roman" w:hAnsi="Times New Roman" w:cs="Times New Roman"/>
                <w:snapToGrid w:val="0"/>
                <w:color w:val="auto"/>
                <w:highlight w:val="none"/>
              </w:rPr>
              <w:t>202</w:t>
            </w:r>
            <w:r>
              <w:rPr>
                <w:rFonts w:hint="default" w:ascii="Times New Roman" w:hAnsi="Times New Roman" w:cs="Times New Roman"/>
                <w:snapToGrid w:val="0"/>
                <w:color w:val="auto"/>
                <w:highlight w:val="none"/>
                <w:lang w:val="en-US" w:eastAsia="zh-CN"/>
              </w:rPr>
              <w:t>6</w:t>
            </w:r>
            <w:r>
              <w:rPr>
                <w:rFonts w:hint="default" w:ascii="Times New Roman" w:hAnsi="Times New Roman" w:cs="Times New Roman"/>
                <w:snapToGrid w:val="0"/>
                <w:color w:val="auto"/>
                <w:highlight w:val="none"/>
              </w:rPr>
              <w:t>年</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月</w:t>
            </w:r>
          </w:p>
        </w:tc>
      </w:tr>
      <w:tr w14:paraId="700654A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366" w:type="pct"/>
            <w:vMerge w:val="continue"/>
            <w:tcBorders>
              <w:tl2br w:val="nil"/>
              <w:tr2bl w:val="nil"/>
            </w:tcBorders>
            <w:vAlign w:val="center"/>
          </w:tcPr>
          <w:p w14:paraId="180157FF">
            <w:pPr>
              <w:pStyle w:val="44"/>
              <w:bidi w:val="0"/>
              <w:rPr>
                <w:rFonts w:hint="default" w:ascii="Times New Roman" w:hAnsi="Times New Roman" w:cs="Times New Roman"/>
                <w:color w:val="auto"/>
              </w:rPr>
            </w:pPr>
          </w:p>
        </w:tc>
        <w:tc>
          <w:tcPr>
            <w:tcW w:w="1277" w:type="pct"/>
            <w:vMerge w:val="continue"/>
            <w:tcBorders>
              <w:right w:val="single" w:color="auto" w:sz="4" w:space="0"/>
              <w:tl2br w:val="nil"/>
              <w:tr2bl w:val="nil"/>
            </w:tcBorders>
            <w:vAlign w:val="center"/>
          </w:tcPr>
          <w:p w14:paraId="16A19D49">
            <w:pPr>
              <w:pStyle w:val="44"/>
              <w:bidi w:val="0"/>
              <w:rPr>
                <w:rFonts w:hint="default" w:ascii="Times New Roman" w:hAnsi="Times New Roman" w:cs="Times New Roman"/>
                <w:color w:val="auto"/>
              </w:rPr>
            </w:pPr>
          </w:p>
        </w:tc>
        <w:tc>
          <w:tcPr>
            <w:tcW w:w="2350" w:type="pct"/>
            <w:vMerge w:val="continue"/>
            <w:tcBorders>
              <w:left w:val="single" w:color="auto" w:sz="4" w:space="0"/>
              <w:tl2br w:val="nil"/>
              <w:tr2bl w:val="nil"/>
            </w:tcBorders>
            <w:vAlign w:val="center"/>
          </w:tcPr>
          <w:p w14:paraId="77F0D562">
            <w:pPr>
              <w:pStyle w:val="44"/>
              <w:bidi w:val="0"/>
              <w:rPr>
                <w:rFonts w:hint="default" w:ascii="Times New Roman" w:hAnsi="Times New Roman" w:cs="Times New Roman"/>
                <w:color w:val="auto"/>
              </w:rPr>
            </w:pPr>
          </w:p>
        </w:tc>
        <w:tc>
          <w:tcPr>
            <w:tcW w:w="1005" w:type="pct"/>
            <w:vMerge w:val="continue"/>
            <w:tcBorders>
              <w:tl2br w:val="nil"/>
              <w:tr2bl w:val="nil"/>
            </w:tcBorders>
            <w:vAlign w:val="center"/>
          </w:tcPr>
          <w:p w14:paraId="653FBFF9">
            <w:pPr>
              <w:pStyle w:val="44"/>
              <w:bidi w:val="0"/>
              <w:rPr>
                <w:rFonts w:hint="default" w:ascii="Times New Roman" w:hAnsi="Times New Roman" w:cs="Times New Roman"/>
                <w:color w:val="auto"/>
              </w:rPr>
            </w:pPr>
          </w:p>
        </w:tc>
      </w:tr>
      <w:tr w14:paraId="30A2A63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3" w:hRule="atLeast"/>
          <w:jc w:val="center"/>
        </w:trPr>
        <w:tc>
          <w:tcPr>
            <w:tcW w:w="366" w:type="pct"/>
            <w:vMerge w:val="continue"/>
            <w:tcBorders>
              <w:tl2br w:val="nil"/>
              <w:tr2bl w:val="nil"/>
            </w:tcBorders>
            <w:vAlign w:val="center"/>
          </w:tcPr>
          <w:p w14:paraId="43E43D39">
            <w:pPr>
              <w:pStyle w:val="44"/>
              <w:bidi w:val="0"/>
              <w:rPr>
                <w:rFonts w:hint="default" w:ascii="Times New Roman" w:hAnsi="Times New Roman" w:cs="Times New Roman"/>
                <w:color w:val="auto"/>
              </w:rPr>
            </w:pPr>
          </w:p>
        </w:tc>
        <w:tc>
          <w:tcPr>
            <w:tcW w:w="1277" w:type="pct"/>
            <w:vMerge w:val="continue"/>
            <w:tcBorders>
              <w:right w:val="single" w:color="auto" w:sz="4" w:space="0"/>
              <w:tl2br w:val="nil"/>
              <w:tr2bl w:val="nil"/>
            </w:tcBorders>
            <w:vAlign w:val="center"/>
          </w:tcPr>
          <w:p w14:paraId="59F43BC5">
            <w:pPr>
              <w:pStyle w:val="44"/>
              <w:bidi w:val="0"/>
              <w:rPr>
                <w:rFonts w:hint="default" w:ascii="Times New Roman" w:hAnsi="Times New Roman" w:cs="Times New Roman"/>
                <w:color w:val="auto"/>
              </w:rPr>
            </w:pPr>
          </w:p>
        </w:tc>
        <w:tc>
          <w:tcPr>
            <w:tcW w:w="2350" w:type="pct"/>
            <w:vMerge w:val="continue"/>
            <w:tcBorders>
              <w:left w:val="single" w:color="auto" w:sz="4" w:space="0"/>
              <w:tl2br w:val="nil"/>
              <w:tr2bl w:val="nil"/>
            </w:tcBorders>
            <w:vAlign w:val="center"/>
          </w:tcPr>
          <w:p w14:paraId="0B1E429A">
            <w:pPr>
              <w:pStyle w:val="44"/>
              <w:bidi w:val="0"/>
              <w:rPr>
                <w:rFonts w:hint="default" w:ascii="Times New Roman" w:hAnsi="Times New Roman" w:cs="Times New Roman"/>
                <w:color w:val="auto"/>
              </w:rPr>
            </w:pPr>
          </w:p>
        </w:tc>
        <w:tc>
          <w:tcPr>
            <w:tcW w:w="1005" w:type="pct"/>
            <w:vMerge w:val="continue"/>
            <w:tcBorders>
              <w:tl2br w:val="nil"/>
              <w:tr2bl w:val="nil"/>
            </w:tcBorders>
            <w:vAlign w:val="center"/>
          </w:tcPr>
          <w:p w14:paraId="0D7CC751">
            <w:pPr>
              <w:pStyle w:val="44"/>
              <w:bidi w:val="0"/>
              <w:rPr>
                <w:rFonts w:hint="default" w:ascii="Times New Roman" w:hAnsi="Times New Roman" w:cs="Times New Roman"/>
                <w:color w:val="auto"/>
              </w:rPr>
            </w:pPr>
          </w:p>
        </w:tc>
      </w:tr>
      <w:tr w14:paraId="3F7D873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366" w:type="pct"/>
            <w:vMerge w:val="restart"/>
            <w:tcBorders>
              <w:tl2br w:val="nil"/>
              <w:tr2bl w:val="nil"/>
            </w:tcBorders>
            <w:vAlign w:val="center"/>
          </w:tcPr>
          <w:p w14:paraId="1410598C">
            <w:pPr>
              <w:pStyle w:val="44"/>
              <w:bidi w:val="0"/>
              <w:rPr>
                <w:rFonts w:hint="default" w:ascii="Times New Roman" w:hAnsi="Times New Roman" w:cs="Times New Roman"/>
                <w:color w:val="auto"/>
              </w:rPr>
            </w:pPr>
            <w:r>
              <w:rPr>
                <w:rFonts w:hint="default" w:ascii="Times New Roman" w:hAnsi="Times New Roman" w:cs="Times New Roman"/>
                <w:color w:val="auto"/>
              </w:rPr>
              <w:t>6</w:t>
            </w:r>
          </w:p>
        </w:tc>
        <w:tc>
          <w:tcPr>
            <w:tcW w:w="1277" w:type="pct"/>
            <w:vMerge w:val="restart"/>
            <w:tcBorders>
              <w:right w:val="single" w:color="auto" w:sz="4" w:space="0"/>
              <w:tl2br w:val="nil"/>
              <w:tr2bl w:val="nil"/>
            </w:tcBorders>
            <w:vAlign w:val="center"/>
          </w:tcPr>
          <w:p w14:paraId="5EA7F387">
            <w:pPr>
              <w:pStyle w:val="44"/>
              <w:bidi w:val="0"/>
              <w:rPr>
                <w:rFonts w:hint="default" w:ascii="Times New Roman" w:hAnsi="Times New Roman" w:cs="Times New Roman"/>
                <w:color w:val="auto"/>
              </w:rPr>
            </w:pPr>
            <w:r>
              <w:rPr>
                <w:rFonts w:hint="default" w:ascii="Times New Roman" w:hAnsi="Times New Roman" w:cs="Times New Roman"/>
                <w:color w:val="auto"/>
              </w:rPr>
              <w:t>鸡西市兴锦煤矿工业广场（25#）</w:t>
            </w:r>
          </w:p>
        </w:tc>
        <w:tc>
          <w:tcPr>
            <w:tcW w:w="2350" w:type="pct"/>
            <w:vMerge w:val="restart"/>
            <w:tcBorders>
              <w:left w:val="single" w:color="auto" w:sz="4" w:space="0"/>
              <w:tl2br w:val="nil"/>
              <w:tr2bl w:val="nil"/>
            </w:tcBorders>
            <w:vAlign w:val="center"/>
          </w:tcPr>
          <w:p w14:paraId="5B262CC7">
            <w:pPr>
              <w:pStyle w:val="44"/>
              <w:bidi w:val="0"/>
              <w:rPr>
                <w:rFonts w:hint="default" w:ascii="Times New Roman" w:hAnsi="Times New Roman" w:cs="Times New Roman"/>
                <w:color w:val="auto"/>
              </w:rPr>
            </w:pPr>
            <w:r>
              <w:rPr>
                <w:rFonts w:hint="default" w:ascii="Times New Roman" w:hAnsi="Times New Roman" w:cs="Times New Roman"/>
                <w:color w:val="auto"/>
              </w:rPr>
              <w:t>清理工程</w:t>
            </w:r>
          </w:p>
          <w:p w14:paraId="565186BF">
            <w:pPr>
              <w:pStyle w:val="44"/>
              <w:bidi w:val="0"/>
              <w:rPr>
                <w:rFonts w:hint="default" w:ascii="Times New Roman" w:hAnsi="Times New Roman" w:cs="Times New Roman"/>
                <w:color w:val="auto"/>
              </w:rPr>
            </w:pPr>
            <w:r>
              <w:rPr>
                <w:rFonts w:hint="default" w:ascii="Times New Roman" w:hAnsi="Times New Roman" w:cs="Times New Roman"/>
                <w:color w:val="auto"/>
              </w:rPr>
              <w:t>场地平整工程</w:t>
            </w:r>
          </w:p>
          <w:p w14:paraId="2E6A0018">
            <w:pPr>
              <w:pStyle w:val="44"/>
              <w:bidi w:val="0"/>
              <w:rPr>
                <w:rFonts w:hint="default" w:ascii="Times New Roman" w:hAnsi="Times New Roman" w:cs="Times New Roman"/>
                <w:color w:val="auto"/>
              </w:rPr>
            </w:pPr>
            <w:r>
              <w:rPr>
                <w:rFonts w:hint="default" w:ascii="Times New Roman" w:hAnsi="Times New Roman" w:cs="Times New Roman"/>
                <w:color w:val="auto"/>
              </w:rPr>
              <w:t>植被恢复工程</w:t>
            </w:r>
          </w:p>
        </w:tc>
        <w:tc>
          <w:tcPr>
            <w:tcW w:w="1005" w:type="pct"/>
            <w:vMerge w:val="restart"/>
            <w:tcBorders>
              <w:tl2br w:val="nil"/>
              <w:tr2bl w:val="nil"/>
            </w:tcBorders>
            <w:vAlign w:val="center"/>
          </w:tcPr>
          <w:p w14:paraId="52060022">
            <w:pPr>
              <w:pStyle w:val="44"/>
              <w:bidi w:val="0"/>
              <w:rPr>
                <w:rFonts w:hint="default" w:ascii="Times New Roman" w:hAnsi="Times New Roman" w:cs="Times New Roman"/>
                <w:color w:val="auto"/>
                <w:lang w:eastAsia="zh-CN"/>
              </w:rPr>
            </w:pPr>
            <w:r>
              <w:rPr>
                <w:rFonts w:hint="default" w:ascii="Times New Roman" w:hAnsi="Times New Roman" w:cs="Times New Roman"/>
                <w:snapToGrid w:val="0"/>
                <w:color w:val="auto"/>
                <w:highlight w:val="none"/>
              </w:rPr>
              <w:t>202</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年</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月</w:t>
            </w:r>
            <w:r>
              <w:rPr>
                <w:rFonts w:hint="default" w:ascii="Times New Roman" w:hAnsi="Times New Roman" w:cs="Times New Roman"/>
                <w:snapToGrid w:val="0"/>
                <w:color w:val="auto"/>
                <w:highlight w:val="none"/>
                <w:lang w:val="en-US" w:eastAsia="zh-CN"/>
              </w:rPr>
              <w:t>~</w:t>
            </w:r>
            <w:r>
              <w:rPr>
                <w:rFonts w:hint="default" w:ascii="Times New Roman" w:hAnsi="Times New Roman" w:cs="Times New Roman"/>
                <w:snapToGrid w:val="0"/>
                <w:color w:val="auto"/>
                <w:highlight w:val="none"/>
              </w:rPr>
              <w:t>202</w:t>
            </w:r>
            <w:r>
              <w:rPr>
                <w:rFonts w:hint="default" w:ascii="Times New Roman" w:hAnsi="Times New Roman" w:cs="Times New Roman"/>
                <w:snapToGrid w:val="0"/>
                <w:color w:val="auto"/>
                <w:highlight w:val="none"/>
                <w:lang w:val="en-US" w:eastAsia="zh-CN"/>
              </w:rPr>
              <w:t>6</w:t>
            </w:r>
            <w:r>
              <w:rPr>
                <w:rFonts w:hint="default" w:ascii="Times New Roman" w:hAnsi="Times New Roman" w:cs="Times New Roman"/>
                <w:snapToGrid w:val="0"/>
                <w:color w:val="auto"/>
                <w:highlight w:val="none"/>
              </w:rPr>
              <w:t>年</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月</w:t>
            </w:r>
          </w:p>
        </w:tc>
      </w:tr>
      <w:tr w14:paraId="52B34AF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366" w:type="pct"/>
            <w:vMerge w:val="continue"/>
            <w:tcBorders>
              <w:tl2br w:val="nil"/>
              <w:tr2bl w:val="nil"/>
            </w:tcBorders>
            <w:vAlign w:val="center"/>
          </w:tcPr>
          <w:p w14:paraId="31C7FA68">
            <w:pPr>
              <w:pStyle w:val="44"/>
              <w:bidi w:val="0"/>
              <w:rPr>
                <w:rFonts w:hint="default" w:ascii="Times New Roman" w:hAnsi="Times New Roman" w:cs="Times New Roman"/>
                <w:color w:val="auto"/>
              </w:rPr>
            </w:pPr>
          </w:p>
        </w:tc>
        <w:tc>
          <w:tcPr>
            <w:tcW w:w="1277" w:type="pct"/>
            <w:vMerge w:val="continue"/>
            <w:tcBorders>
              <w:right w:val="single" w:color="auto" w:sz="4" w:space="0"/>
              <w:tl2br w:val="nil"/>
              <w:tr2bl w:val="nil"/>
            </w:tcBorders>
            <w:vAlign w:val="center"/>
          </w:tcPr>
          <w:p w14:paraId="0C6223EE">
            <w:pPr>
              <w:pStyle w:val="44"/>
              <w:bidi w:val="0"/>
              <w:rPr>
                <w:rFonts w:hint="default" w:ascii="Times New Roman" w:hAnsi="Times New Roman" w:cs="Times New Roman"/>
                <w:color w:val="auto"/>
              </w:rPr>
            </w:pPr>
          </w:p>
        </w:tc>
        <w:tc>
          <w:tcPr>
            <w:tcW w:w="2350" w:type="pct"/>
            <w:vMerge w:val="continue"/>
            <w:tcBorders>
              <w:left w:val="single" w:color="auto" w:sz="4" w:space="0"/>
              <w:tl2br w:val="nil"/>
              <w:tr2bl w:val="nil"/>
            </w:tcBorders>
            <w:vAlign w:val="center"/>
          </w:tcPr>
          <w:p w14:paraId="7746CC49">
            <w:pPr>
              <w:pStyle w:val="44"/>
              <w:bidi w:val="0"/>
              <w:rPr>
                <w:rFonts w:hint="default" w:ascii="Times New Roman" w:hAnsi="Times New Roman" w:cs="Times New Roman"/>
                <w:color w:val="auto"/>
              </w:rPr>
            </w:pPr>
          </w:p>
        </w:tc>
        <w:tc>
          <w:tcPr>
            <w:tcW w:w="1005" w:type="pct"/>
            <w:vMerge w:val="continue"/>
            <w:tcBorders>
              <w:tl2br w:val="nil"/>
              <w:tr2bl w:val="nil"/>
            </w:tcBorders>
            <w:vAlign w:val="center"/>
          </w:tcPr>
          <w:p w14:paraId="655B6132">
            <w:pPr>
              <w:pStyle w:val="44"/>
              <w:bidi w:val="0"/>
              <w:rPr>
                <w:rFonts w:hint="default" w:ascii="Times New Roman" w:hAnsi="Times New Roman" w:cs="Times New Roman"/>
                <w:color w:val="auto"/>
              </w:rPr>
            </w:pPr>
          </w:p>
        </w:tc>
      </w:tr>
      <w:tr w14:paraId="5CE240D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366" w:type="pct"/>
            <w:vMerge w:val="continue"/>
            <w:tcBorders>
              <w:tl2br w:val="nil"/>
              <w:tr2bl w:val="nil"/>
            </w:tcBorders>
            <w:vAlign w:val="center"/>
          </w:tcPr>
          <w:p w14:paraId="04F39A6E">
            <w:pPr>
              <w:pStyle w:val="44"/>
              <w:bidi w:val="0"/>
              <w:rPr>
                <w:rFonts w:hint="default" w:ascii="Times New Roman" w:hAnsi="Times New Roman" w:cs="Times New Roman"/>
                <w:color w:val="auto"/>
              </w:rPr>
            </w:pPr>
          </w:p>
        </w:tc>
        <w:tc>
          <w:tcPr>
            <w:tcW w:w="1277" w:type="pct"/>
            <w:vMerge w:val="continue"/>
            <w:tcBorders>
              <w:right w:val="single" w:color="auto" w:sz="4" w:space="0"/>
              <w:tl2br w:val="nil"/>
              <w:tr2bl w:val="nil"/>
            </w:tcBorders>
            <w:vAlign w:val="center"/>
          </w:tcPr>
          <w:p w14:paraId="3A7CABC4">
            <w:pPr>
              <w:pStyle w:val="44"/>
              <w:bidi w:val="0"/>
              <w:rPr>
                <w:rFonts w:hint="default" w:ascii="Times New Roman" w:hAnsi="Times New Roman" w:cs="Times New Roman"/>
                <w:color w:val="auto"/>
              </w:rPr>
            </w:pPr>
          </w:p>
        </w:tc>
        <w:tc>
          <w:tcPr>
            <w:tcW w:w="2350" w:type="pct"/>
            <w:vMerge w:val="continue"/>
            <w:tcBorders>
              <w:left w:val="single" w:color="auto" w:sz="4" w:space="0"/>
              <w:tl2br w:val="nil"/>
              <w:tr2bl w:val="nil"/>
            </w:tcBorders>
            <w:vAlign w:val="center"/>
          </w:tcPr>
          <w:p w14:paraId="5D422458">
            <w:pPr>
              <w:pStyle w:val="44"/>
              <w:bidi w:val="0"/>
              <w:rPr>
                <w:rFonts w:hint="default" w:ascii="Times New Roman" w:hAnsi="Times New Roman" w:cs="Times New Roman"/>
                <w:color w:val="auto"/>
              </w:rPr>
            </w:pPr>
          </w:p>
        </w:tc>
        <w:tc>
          <w:tcPr>
            <w:tcW w:w="1005" w:type="pct"/>
            <w:vMerge w:val="continue"/>
            <w:tcBorders>
              <w:tl2br w:val="nil"/>
              <w:tr2bl w:val="nil"/>
            </w:tcBorders>
            <w:vAlign w:val="center"/>
          </w:tcPr>
          <w:p w14:paraId="2DEBF37D">
            <w:pPr>
              <w:pStyle w:val="44"/>
              <w:bidi w:val="0"/>
              <w:rPr>
                <w:rFonts w:hint="default" w:ascii="Times New Roman" w:hAnsi="Times New Roman" w:cs="Times New Roman"/>
                <w:color w:val="auto"/>
              </w:rPr>
            </w:pPr>
          </w:p>
        </w:tc>
      </w:tr>
      <w:tr w14:paraId="74B67B2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366" w:type="pct"/>
            <w:vMerge w:val="restart"/>
            <w:tcBorders>
              <w:tl2br w:val="nil"/>
              <w:tr2bl w:val="nil"/>
            </w:tcBorders>
            <w:vAlign w:val="center"/>
          </w:tcPr>
          <w:p w14:paraId="00BCC48B">
            <w:pPr>
              <w:pStyle w:val="44"/>
              <w:bidi w:val="0"/>
              <w:rPr>
                <w:rFonts w:hint="default" w:ascii="Times New Roman" w:hAnsi="Times New Roman" w:cs="Times New Roman"/>
                <w:color w:val="auto"/>
              </w:rPr>
            </w:pPr>
            <w:r>
              <w:rPr>
                <w:rFonts w:hint="default" w:ascii="Times New Roman" w:hAnsi="Times New Roman" w:cs="Times New Roman"/>
                <w:color w:val="auto"/>
              </w:rPr>
              <w:t>7</w:t>
            </w:r>
          </w:p>
        </w:tc>
        <w:tc>
          <w:tcPr>
            <w:tcW w:w="1277" w:type="pct"/>
            <w:vMerge w:val="restart"/>
            <w:tcBorders>
              <w:right w:val="single" w:color="auto" w:sz="4" w:space="0"/>
              <w:tl2br w:val="nil"/>
              <w:tr2bl w:val="nil"/>
            </w:tcBorders>
            <w:vAlign w:val="center"/>
          </w:tcPr>
          <w:p w14:paraId="5C43F016">
            <w:pPr>
              <w:pStyle w:val="44"/>
              <w:bidi w:val="0"/>
              <w:rPr>
                <w:rFonts w:hint="default" w:ascii="Times New Roman" w:hAnsi="Times New Roman" w:cs="Times New Roman"/>
                <w:color w:val="auto"/>
              </w:rPr>
            </w:pPr>
            <w:r>
              <w:rPr>
                <w:rFonts w:hint="default" w:ascii="Times New Roman" w:hAnsi="Times New Roman" w:cs="Times New Roman"/>
                <w:color w:val="auto"/>
              </w:rPr>
              <w:t>鸡西市城子河区新立煤矿工业广场(31#)</w:t>
            </w:r>
          </w:p>
        </w:tc>
        <w:tc>
          <w:tcPr>
            <w:tcW w:w="2350" w:type="pct"/>
            <w:vMerge w:val="restart"/>
            <w:tcBorders>
              <w:left w:val="single" w:color="auto" w:sz="4" w:space="0"/>
              <w:tl2br w:val="nil"/>
              <w:tr2bl w:val="nil"/>
            </w:tcBorders>
            <w:vAlign w:val="center"/>
          </w:tcPr>
          <w:p w14:paraId="6D142462">
            <w:pPr>
              <w:pStyle w:val="44"/>
              <w:bidi w:val="0"/>
              <w:rPr>
                <w:rFonts w:hint="default" w:ascii="Times New Roman" w:hAnsi="Times New Roman" w:cs="Times New Roman"/>
                <w:color w:val="auto"/>
              </w:rPr>
            </w:pPr>
            <w:r>
              <w:rPr>
                <w:rFonts w:hint="default" w:ascii="Times New Roman" w:hAnsi="Times New Roman" w:cs="Times New Roman"/>
                <w:color w:val="auto"/>
              </w:rPr>
              <w:t>清理工程</w:t>
            </w:r>
          </w:p>
          <w:p w14:paraId="20999BEC">
            <w:pPr>
              <w:pStyle w:val="44"/>
              <w:bidi w:val="0"/>
              <w:rPr>
                <w:rFonts w:hint="default" w:ascii="Times New Roman" w:hAnsi="Times New Roman" w:cs="Times New Roman"/>
                <w:color w:val="auto"/>
              </w:rPr>
            </w:pPr>
            <w:r>
              <w:rPr>
                <w:rFonts w:hint="default" w:ascii="Times New Roman" w:hAnsi="Times New Roman" w:cs="Times New Roman"/>
                <w:color w:val="auto"/>
              </w:rPr>
              <w:t>场地平整工程</w:t>
            </w:r>
          </w:p>
        </w:tc>
        <w:tc>
          <w:tcPr>
            <w:tcW w:w="1005" w:type="pct"/>
            <w:vMerge w:val="restart"/>
            <w:tcBorders>
              <w:tl2br w:val="nil"/>
              <w:tr2bl w:val="nil"/>
            </w:tcBorders>
            <w:vAlign w:val="center"/>
          </w:tcPr>
          <w:p w14:paraId="19E9C175">
            <w:pPr>
              <w:pStyle w:val="44"/>
              <w:bidi w:val="0"/>
              <w:rPr>
                <w:rFonts w:hint="default" w:ascii="Times New Roman" w:hAnsi="Times New Roman" w:cs="Times New Roman"/>
                <w:color w:val="auto"/>
              </w:rPr>
            </w:pPr>
            <w:r>
              <w:rPr>
                <w:rFonts w:hint="default" w:ascii="Times New Roman" w:hAnsi="Times New Roman" w:cs="Times New Roman"/>
                <w:snapToGrid w:val="0"/>
                <w:color w:val="auto"/>
                <w:highlight w:val="none"/>
              </w:rPr>
              <w:t>202</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年</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月</w:t>
            </w:r>
            <w:r>
              <w:rPr>
                <w:rFonts w:hint="default" w:ascii="Times New Roman" w:hAnsi="Times New Roman" w:cs="Times New Roman"/>
                <w:snapToGrid w:val="0"/>
                <w:color w:val="auto"/>
                <w:highlight w:val="none"/>
                <w:lang w:val="en-US" w:eastAsia="zh-CN"/>
              </w:rPr>
              <w:t>~</w:t>
            </w:r>
            <w:r>
              <w:rPr>
                <w:rFonts w:hint="default" w:ascii="Times New Roman" w:hAnsi="Times New Roman" w:cs="Times New Roman"/>
                <w:snapToGrid w:val="0"/>
                <w:color w:val="auto"/>
                <w:highlight w:val="none"/>
              </w:rPr>
              <w:t>202</w:t>
            </w:r>
            <w:r>
              <w:rPr>
                <w:rFonts w:hint="default" w:ascii="Times New Roman" w:hAnsi="Times New Roman" w:cs="Times New Roman"/>
                <w:snapToGrid w:val="0"/>
                <w:color w:val="auto"/>
                <w:highlight w:val="none"/>
                <w:lang w:val="en-US" w:eastAsia="zh-CN"/>
              </w:rPr>
              <w:t>6</w:t>
            </w:r>
            <w:r>
              <w:rPr>
                <w:rFonts w:hint="default" w:ascii="Times New Roman" w:hAnsi="Times New Roman" w:cs="Times New Roman"/>
                <w:snapToGrid w:val="0"/>
                <w:color w:val="auto"/>
                <w:highlight w:val="none"/>
              </w:rPr>
              <w:t>年</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月</w:t>
            </w:r>
          </w:p>
        </w:tc>
      </w:tr>
      <w:tr w14:paraId="541CA44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366" w:type="pct"/>
            <w:vMerge w:val="continue"/>
            <w:tcBorders>
              <w:tl2br w:val="nil"/>
              <w:tr2bl w:val="nil"/>
            </w:tcBorders>
            <w:vAlign w:val="center"/>
          </w:tcPr>
          <w:p w14:paraId="246DBA6F">
            <w:pPr>
              <w:pStyle w:val="44"/>
              <w:bidi w:val="0"/>
              <w:rPr>
                <w:rFonts w:hint="default" w:ascii="Times New Roman" w:hAnsi="Times New Roman" w:cs="Times New Roman"/>
                <w:color w:val="auto"/>
              </w:rPr>
            </w:pPr>
          </w:p>
        </w:tc>
        <w:tc>
          <w:tcPr>
            <w:tcW w:w="1277" w:type="pct"/>
            <w:vMerge w:val="continue"/>
            <w:tcBorders>
              <w:right w:val="single" w:color="auto" w:sz="4" w:space="0"/>
              <w:tl2br w:val="nil"/>
              <w:tr2bl w:val="nil"/>
            </w:tcBorders>
            <w:vAlign w:val="center"/>
          </w:tcPr>
          <w:p w14:paraId="48874828">
            <w:pPr>
              <w:pStyle w:val="44"/>
              <w:bidi w:val="0"/>
              <w:rPr>
                <w:rFonts w:hint="default" w:ascii="Times New Roman" w:hAnsi="Times New Roman" w:cs="Times New Roman"/>
                <w:color w:val="auto"/>
              </w:rPr>
            </w:pPr>
          </w:p>
        </w:tc>
        <w:tc>
          <w:tcPr>
            <w:tcW w:w="2350" w:type="pct"/>
            <w:vMerge w:val="continue"/>
            <w:tcBorders>
              <w:left w:val="single" w:color="auto" w:sz="4" w:space="0"/>
              <w:tl2br w:val="nil"/>
              <w:tr2bl w:val="nil"/>
            </w:tcBorders>
            <w:vAlign w:val="center"/>
          </w:tcPr>
          <w:p w14:paraId="28C3995D">
            <w:pPr>
              <w:pStyle w:val="44"/>
              <w:bidi w:val="0"/>
              <w:rPr>
                <w:rFonts w:hint="default" w:ascii="Times New Roman" w:hAnsi="Times New Roman" w:cs="Times New Roman"/>
                <w:color w:val="auto"/>
              </w:rPr>
            </w:pPr>
          </w:p>
        </w:tc>
        <w:tc>
          <w:tcPr>
            <w:tcW w:w="1005" w:type="pct"/>
            <w:vMerge w:val="continue"/>
            <w:tcBorders>
              <w:tl2br w:val="nil"/>
              <w:tr2bl w:val="nil"/>
            </w:tcBorders>
            <w:vAlign w:val="center"/>
          </w:tcPr>
          <w:p w14:paraId="2858C66A">
            <w:pPr>
              <w:pStyle w:val="44"/>
              <w:bidi w:val="0"/>
              <w:rPr>
                <w:rFonts w:hint="default" w:ascii="Times New Roman" w:hAnsi="Times New Roman" w:cs="Times New Roman"/>
                <w:color w:val="auto"/>
              </w:rPr>
            </w:pPr>
          </w:p>
        </w:tc>
      </w:tr>
      <w:tr w14:paraId="19B68F4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366" w:type="pct"/>
            <w:vMerge w:val="continue"/>
            <w:tcBorders>
              <w:tl2br w:val="nil"/>
              <w:tr2bl w:val="nil"/>
            </w:tcBorders>
            <w:vAlign w:val="center"/>
          </w:tcPr>
          <w:p w14:paraId="2897B7D7">
            <w:pPr>
              <w:pStyle w:val="44"/>
              <w:bidi w:val="0"/>
              <w:rPr>
                <w:rFonts w:hint="default" w:ascii="Times New Roman" w:hAnsi="Times New Roman" w:cs="Times New Roman"/>
                <w:color w:val="auto"/>
              </w:rPr>
            </w:pPr>
          </w:p>
        </w:tc>
        <w:tc>
          <w:tcPr>
            <w:tcW w:w="1277" w:type="pct"/>
            <w:vMerge w:val="continue"/>
            <w:tcBorders>
              <w:right w:val="single" w:color="auto" w:sz="4" w:space="0"/>
              <w:tl2br w:val="nil"/>
              <w:tr2bl w:val="nil"/>
            </w:tcBorders>
            <w:vAlign w:val="center"/>
          </w:tcPr>
          <w:p w14:paraId="70512A7D">
            <w:pPr>
              <w:pStyle w:val="44"/>
              <w:bidi w:val="0"/>
              <w:rPr>
                <w:rFonts w:hint="default" w:ascii="Times New Roman" w:hAnsi="Times New Roman" w:cs="Times New Roman"/>
                <w:color w:val="auto"/>
              </w:rPr>
            </w:pPr>
          </w:p>
        </w:tc>
        <w:tc>
          <w:tcPr>
            <w:tcW w:w="2350" w:type="pct"/>
            <w:vMerge w:val="continue"/>
            <w:tcBorders>
              <w:left w:val="single" w:color="auto" w:sz="4" w:space="0"/>
              <w:tl2br w:val="nil"/>
              <w:tr2bl w:val="nil"/>
            </w:tcBorders>
            <w:vAlign w:val="center"/>
          </w:tcPr>
          <w:p w14:paraId="49F15B6A">
            <w:pPr>
              <w:pStyle w:val="44"/>
              <w:bidi w:val="0"/>
              <w:rPr>
                <w:rFonts w:hint="default" w:ascii="Times New Roman" w:hAnsi="Times New Roman" w:cs="Times New Roman"/>
                <w:color w:val="auto"/>
              </w:rPr>
            </w:pPr>
          </w:p>
        </w:tc>
        <w:tc>
          <w:tcPr>
            <w:tcW w:w="1005" w:type="pct"/>
            <w:vMerge w:val="continue"/>
            <w:tcBorders>
              <w:tl2br w:val="nil"/>
              <w:tr2bl w:val="nil"/>
            </w:tcBorders>
            <w:vAlign w:val="center"/>
          </w:tcPr>
          <w:p w14:paraId="16C8BEC9">
            <w:pPr>
              <w:pStyle w:val="44"/>
              <w:bidi w:val="0"/>
              <w:rPr>
                <w:rFonts w:hint="default" w:ascii="Times New Roman" w:hAnsi="Times New Roman" w:cs="Times New Roman"/>
                <w:color w:val="auto"/>
              </w:rPr>
            </w:pPr>
          </w:p>
        </w:tc>
      </w:tr>
      <w:tr w14:paraId="410CC45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366" w:type="pct"/>
            <w:vMerge w:val="restart"/>
            <w:tcBorders>
              <w:tl2br w:val="nil"/>
              <w:tr2bl w:val="nil"/>
            </w:tcBorders>
            <w:vAlign w:val="center"/>
          </w:tcPr>
          <w:p w14:paraId="02A8CDD3">
            <w:pPr>
              <w:pStyle w:val="44"/>
              <w:bidi w:val="0"/>
              <w:rPr>
                <w:rFonts w:hint="default" w:ascii="Times New Roman" w:hAnsi="Times New Roman" w:cs="Times New Roman"/>
                <w:color w:val="auto"/>
              </w:rPr>
            </w:pPr>
            <w:r>
              <w:rPr>
                <w:rFonts w:hint="default" w:ascii="Times New Roman" w:hAnsi="Times New Roman" w:cs="Times New Roman"/>
                <w:color w:val="auto"/>
              </w:rPr>
              <w:t>8</w:t>
            </w:r>
          </w:p>
        </w:tc>
        <w:tc>
          <w:tcPr>
            <w:tcW w:w="1277" w:type="pct"/>
            <w:vMerge w:val="restart"/>
            <w:tcBorders>
              <w:right w:val="single" w:color="auto" w:sz="4" w:space="0"/>
              <w:tl2br w:val="nil"/>
              <w:tr2bl w:val="nil"/>
            </w:tcBorders>
            <w:vAlign w:val="center"/>
          </w:tcPr>
          <w:p w14:paraId="743106C0">
            <w:pPr>
              <w:pStyle w:val="44"/>
              <w:bidi w:val="0"/>
              <w:rPr>
                <w:rFonts w:hint="default" w:ascii="Times New Roman" w:hAnsi="Times New Roman" w:cs="Times New Roman"/>
                <w:color w:val="auto"/>
              </w:rPr>
            </w:pPr>
            <w:r>
              <w:rPr>
                <w:rFonts w:hint="default" w:ascii="Times New Roman" w:hAnsi="Times New Roman" w:cs="Times New Roman"/>
                <w:color w:val="auto"/>
              </w:rPr>
              <w:t>鸡西市城子河区城西村北 1.5km 煤矿工业广场(41#)</w:t>
            </w:r>
          </w:p>
        </w:tc>
        <w:tc>
          <w:tcPr>
            <w:tcW w:w="2350" w:type="pct"/>
            <w:vMerge w:val="restart"/>
            <w:tcBorders>
              <w:left w:val="single" w:color="auto" w:sz="4" w:space="0"/>
              <w:tl2br w:val="nil"/>
              <w:tr2bl w:val="nil"/>
            </w:tcBorders>
            <w:vAlign w:val="center"/>
          </w:tcPr>
          <w:p w14:paraId="53BBF2D4">
            <w:pPr>
              <w:pStyle w:val="44"/>
              <w:bidi w:val="0"/>
              <w:rPr>
                <w:rFonts w:hint="default" w:ascii="Times New Roman" w:hAnsi="Times New Roman" w:cs="Times New Roman"/>
                <w:color w:val="auto"/>
              </w:rPr>
            </w:pPr>
            <w:r>
              <w:rPr>
                <w:rFonts w:hint="default" w:ascii="Times New Roman" w:hAnsi="Times New Roman" w:cs="Times New Roman"/>
                <w:color w:val="auto"/>
              </w:rPr>
              <w:t>场地平整</w:t>
            </w:r>
          </w:p>
        </w:tc>
        <w:tc>
          <w:tcPr>
            <w:tcW w:w="1005" w:type="pct"/>
            <w:vMerge w:val="restart"/>
            <w:tcBorders>
              <w:tl2br w:val="nil"/>
              <w:tr2bl w:val="nil"/>
            </w:tcBorders>
            <w:vAlign w:val="center"/>
          </w:tcPr>
          <w:p w14:paraId="493B5EF6">
            <w:pPr>
              <w:pStyle w:val="44"/>
              <w:bidi w:val="0"/>
              <w:rPr>
                <w:rFonts w:hint="default" w:ascii="Times New Roman" w:hAnsi="Times New Roman" w:cs="Times New Roman"/>
                <w:color w:val="auto"/>
              </w:rPr>
            </w:pPr>
            <w:r>
              <w:rPr>
                <w:rFonts w:hint="default" w:ascii="Times New Roman" w:hAnsi="Times New Roman" w:cs="Times New Roman"/>
                <w:snapToGrid w:val="0"/>
                <w:color w:val="auto"/>
                <w:highlight w:val="none"/>
              </w:rPr>
              <w:t>202</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年</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月</w:t>
            </w:r>
            <w:r>
              <w:rPr>
                <w:rFonts w:hint="default" w:ascii="Times New Roman" w:hAnsi="Times New Roman" w:cs="Times New Roman"/>
                <w:snapToGrid w:val="0"/>
                <w:color w:val="auto"/>
                <w:highlight w:val="none"/>
                <w:lang w:val="en-US" w:eastAsia="zh-CN"/>
              </w:rPr>
              <w:t>~</w:t>
            </w:r>
            <w:r>
              <w:rPr>
                <w:rFonts w:hint="default" w:ascii="Times New Roman" w:hAnsi="Times New Roman" w:cs="Times New Roman"/>
                <w:snapToGrid w:val="0"/>
                <w:color w:val="auto"/>
                <w:highlight w:val="none"/>
              </w:rPr>
              <w:t>202</w:t>
            </w:r>
            <w:r>
              <w:rPr>
                <w:rFonts w:hint="default" w:ascii="Times New Roman" w:hAnsi="Times New Roman" w:cs="Times New Roman"/>
                <w:snapToGrid w:val="0"/>
                <w:color w:val="auto"/>
                <w:highlight w:val="none"/>
                <w:lang w:val="en-US" w:eastAsia="zh-CN"/>
              </w:rPr>
              <w:t>6</w:t>
            </w:r>
            <w:r>
              <w:rPr>
                <w:rFonts w:hint="default" w:ascii="Times New Roman" w:hAnsi="Times New Roman" w:cs="Times New Roman"/>
                <w:snapToGrid w:val="0"/>
                <w:color w:val="auto"/>
                <w:highlight w:val="none"/>
              </w:rPr>
              <w:t>年</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月</w:t>
            </w:r>
          </w:p>
        </w:tc>
      </w:tr>
      <w:tr w14:paraId="757CF23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366" w:type="pct"/>
            <w:vMerge w:val="continue"/>
            <w:tcBorders>
              <w:tl2br w:val="nil"/>
              <w:tr2bl w:val="nil"/>
            </w:tcBorders>
            <w:vAlign w:val="center"/>
          </w:tcPr>
          <w:p w14:paraId="3722226A">
            <w:pPr>
              <w:pStyle w:val="44"/>
              <w:bidi w:val="0"/>
              <w:rPr>
                <w:rFonts w:hint="default" w:ascii="Times New Roman" w:hAnsi="Times New Roman" w:cs="Times New Roman"/>
                <w:color w:val="auto"/>
              </w:rPr>
            </w:pPr>
          </w:p>
        </w:tc>
        <w:tc>
          <w:tcPr>
            <w:tcW w:w="1277" w:type="pct"/>
            <w:vMerge w:val="continue"/>
            <w:tcBorders>
              <w:right w:val="single" w:color="auto" w:sz="4" w:space="0"/>
              <w:tl2br w:val="nil"/>
              <w:tr2bl w:val="nil"/>
            </w:tcBorders>
            <w:vAlign w:val="center"/>
          </w:tcPr>
          <w:p w14:paraId="301F7472">
            <w:pPr>
              <w:pStyle w:val="44"/>
              <w:bidi w:val="0"/>
              <w:rPr>
                <w:rFonts w:hint="default" w:ascii="Times New Roman" w:hAnsi="Times New Roman" w:cs="Times New Roman"/>
                <w:color w:val="auto"/>
              </w:rPr>
            </w:pPr>
          </w:p>
        </w:tc>
        <w:tc>
          <w:tcPr>
            <w:tcW w:w="2350" w:type="pct"/>
            <w:vMerge w:val="continue"/>
            <w:tcBorders>
              <w:left w:val="single" w:color="auto" w:sz="4" w:space="0"/>
              <w:tl2br w:val="nil"/>
              <w:tr2bl w:val="nil"/>
            </w:tcBorders>
            <w:vAlign w:val="center"/>
          </w:tcPr>
          <w:p w14:paraId="1D76D159">
            <w:pPr>
              <w:pStyle w:val="44"/>
              <w:bidi w:val="0"/>
              <w:rPr>
                <w:rFonts w:hint="default" w:ascii="Times New Roman" w:hAnsi="Times New Roman" w:cs="Times New Roman"/>
                <w:color w:val="auto"/>
              </w:rPr>
            </w:pPr>
          </w:p>
        </w:tc>
        <w:tc>
          <w:tcPr>
            <w:tcW w:w="1005" w:type="pct"/>
            <w:vMerge w:val="continue"/>
            <w:tcBorders>
              <w:tl2br w:val="nil"/>
              <w:tr2bl w:val="nil"/>
            </w:tcBorders>
            <w:vAlign w:val="center"/>
          </w:tcPr>
          <w:p w14:paraId="085883C9">
            <w:pPr>
              <w:pStyle w:val="44"/>
              <w:bidi w:val="0"/>
              <w:rPr>
                <w:rFonts w:hint="default" w:ascii="Times New Roman" w:hAnsi="Times New Roman" w:cs="Times New Roman"/>
                <w:color w:val="auto"/>
              </w:rPr>
            </w:pPr>
          </w:p>
        </w:tc>
      </w:tr>
      <w:tr w14:paraId="36BEF3A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366" w:type="pct"/>
            <w:vMerge w:val="continue"/>
            <w:tcBorders>
              <w:tl2br w:val="nil"/>
              <w:tr2bl w:val="nil"/>
            </w:tcBorders>
            <w:vAlign w:val="center"/>
          </w:tcPr>
          <w:p w14:paraId="713E7818">
            <w:pPr>
              <w:pStyle w:val="44"/>
              <w:bidi w:val="0"/>
              <w:rPr>
                <w:rFonts w:hint="default" w:ascii="Times New Roman" w:hAnsi="Times New Roman" w:cs="Times New Roman"/>
                <w:color w:val="auto"/>
              </w:rPr>
            </w:pPr>
          </w:p>
        </w:tc>
        <w:tc>
          <w:tcPr>
            <w:tcW w:w="1277" w:type="pct"/>
            <w:vMerge w:val="continue"/>
            <w:tcBorders>
              <w:right w:val="single" w:color="auto" w:sz="4" w:space="0"/>
              <w:tl2br w:val="nil"/>
              <w:tr2bl w:val="nil"/>
            </w:tcBorders>
            <w:vAlign w:val="center"/>
          </w:tcPr>
          <w:p w14:paraId="0548CF88">
            <w:pPr>
              <w:pStyle w:val="44"/>
              <w:bidi w:val="0"/>
              <w:rPr>
                <w:rFonts w:hint="default" w:ascii="Times New Roman" w:hAnsi="Times New Roman" w:cs="Times New Roman"/>
                <w:color w:val="auto"/>
              </w:rPr>
            </w:pPr>
          </w:p>
        </w:tc>
        <w:tc>
          <w:tcPr>
            <w:tcW w:w="2350" w:type="pct"/>
            <w:vMerge w:val="continue"/>
            <w:tcBorders>
              <w:left w:val="single" w:color="auto" w:sz="4" w:space="0"/>
              <w:tl2br w:val="nil"/>
              <w:tr2bl w:val="nil"/>
            </w:tcBorders>
            <w:vAlign w:val="center"/>
          </w:tcPr>
          <w:p w14:paraId="14527839">
            <w:pPr>
              <w:pStyle w:val="44"/>
              <w:bidi w:val="0"/>
              <w:rPr>
                <w:rFonts w:hint="default" w:ascii="Times New Roman" w:hAnsi="Times New Roman" w:cs="Times New Roman"/>
                <w:color w:val="auto"/>
              </w:rPr>
            </w:pPr>
          </w:p>
        </w:tc>
        <w:tc>
          <w:tcPr>
            <w:tcW w:w="1005" w:type="pct"/>
            <w:vMerge w:val="continue"/>
            <w:tcBorders>
              <w:tl2br w:val="nil"/>
              <w:tr2bl w:val="nil"/>
            </w:tcBorders>
            <w:vAlign w:val="center"/>
          </w:tcPr>
          <w:p w14:paraId="4B12FE52">
            <w:pPr>
              <w:pStyle w:val="44"/>
              <w:bidi w:val="0"/>
              <w:rPr>
                <w:rFonts w:hint="default" w:ascii="Times New Roman" w:hAnsi="Times New Roman" w:cs="Times New Roman"/>
                <w:color w:val="auto"/>
              </w:rPr>
            </w:pPr>
          </w:p>
        </w:tc>
      </w:tr>
      <w:tr w14:paraId="7D424C8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366" w:type="pct"/>
            <w:vMerge w:val="restart"/>
            <w:tcBorders>
              <w:tl2br w:val="nil"/>
              <w:tr2bl w:val="nil"/>
            </w:tcBorders>
            <w:shd w:val="clear" w:color="auto" w:fill="auto"/>
            <w:vAlign w:val="center"/>
          </w:tcPr>
          <w:p w14:paraId="6216A4D0">
            <w:pPr>
              <w:pStyle w:val="44"/>
              <w:bidi w:val="0"/>
              <w:rPr>
                <w:rFonts w:hint="default" w:ascii="Times New Roman" w:hAnsi="Times New Roman" w:cs="Times New Roman"/>
                <w:color w:val="auto"/>
              </w:rPr>
            </w:pPr>
            <w:r>
              <w:rPr>
                <w:rFonts w:hint="default" w:ascii="Times New Roman" w:hAnsi="Times New Roman" w:cs="Times New Roman"/>
                <w:color w:val="auto"/>
              </w:rPr>
              <w:t>9</w:t>
            </w:r>
          </w:p>
          <w:p w14:paraId="4609A8FF">
            <w:pPr>
              <w:pStyle w:val="44"/>
              <w:bidi w:val="0"/>
              <w:rPr>
                <w:rFonts w:hint="default" w:ascii="Times New Roman" w:hAnsi="Times New Roman" w:cs="Times New Roman"/>
                <w:color w:val="auto"/>
              </w:rPr>
            </w:pPr>
          </w:p>
        </w:tc>
        <w:tc>
          <w:tcPr>
            <w:tcW w:w="1277" w:type="pct"/>
            <w:vMerge w:val="restart"/>
            <w:tcBorders>
              <w:right w:val="single" w:color="auto" w:sz="4" w:space="0"/>
              <w:tl2br w:val="nil"/>
              <w:tr2bl w:val="nil"/>
            </w:tcBorders>
            <w:vAlign w:val="center"/>
          </w:tcPr>
          <w:p w14:paraId="0716A433">
            <w:pPr>
              <w:pStyle w:val="44"/>
              <w:bidi w:val="0"/>
              <w:rPr>
                <w:rFonts w:hint="default" w:ascii="Times New Roman" w:hAnsi="Times New Roman" w:cs="Times New Roman"/>
                <w:color w:val="auto"/>
              </w:rPr>
            </w:pPr>
            <w:r>
              <w:rPr>
                <w:rFonts w:hint="default" w:ascii="Times New Roman" w:hAnsi="Times New Roman" w:cs="Times New Roman"/>
                <w:color w:val="auto"/>
              </w:rPr>
              <w:t>鸡西市城子河区仲兴村北2.2km煤矿工业广场（45#）</w:t>
            </w:r>
          </w:p>
        </w:tc>
        <w:tc>
          <w:tcPr>
            <w:tcW w:w="2350" w:type="pct"/>
            <w:vMerge w:val="restart"/>
            <w:tcBorders>
              <w:left w:val="single" w:color="auto" w:sz="4" w:space="0"/>
              <w:tl2br w:val="nil"/>
              <w:tr2bl w:val="nil"/>
            </w:tcBorders>
            <w:vAlign w:val="center"/>
          </w:tcPr>
          <w:p w14:paraId="78253BD7">
            <w:pPr>
              <w:pStyle w:val="44"/>
              <w:bidi w:val="0"/>
              <w:rPr>
                <w:rFonts w:hint="default" w:ascii="Times New Roman" w:hAnsi="Times New Roman" w:cs="Times New Roman"/>
                <w:color w:val="auto"/>
              </w:rPr>
            </w:pPr>
            <w:r>
              <w:rPr>
                <w:rFonts w:hint="default" w:ascii="Times New Roman" w:hAnsi="Times New Roman" w:cs="Times New Roman"/>
                <w:color w:val="auto"/>
              </w:rPr>
              <w:t>清理工程</w:t>
            </w:r>
          </w:p>
          <w:p w14:paraId="4A7BB9FD">
            <w:pPr>
              <w:pStyle w:val="44"/>
              <w:bidi w:val="0"/>
              <w:rPr>
                <w:rFonts w:hint="default" w:ascii="Times New Roman" w:hAnsi="Times New Roman" w:cs="Times New Roman"/>
                <w:color w:val="auto"/>
              </w:rPr>
            </w:pPr>
            <w:r>
              <w:rPr>
                <w:rFonts w:hint="default" w:ascii="Times New Roman" w:hAnsi="Times New Roman" w:cs="Times New Roman"/>
                <w:color w:val="auto"/>
              </w:rPr>
              <w:t>场地平整工程</w:t>
            </w:r>
          </w:p>
          <w:p w14:paraId="7804FEA0">
            <w:pPr>
              <w:pStyle w:val="44"/>
              <w:bidi w:val="0"/>
              <w:rPr>
                <w:rFonts w:hint="default" w:ascii="Times New Roman" w:hAnsi="Times New Roman" w:cs="Times New Roman"/>
                <w:color w:val="auto"/>
              </w:rPr>
            </w:pPr>
            <w:r>
              <w:rPr>
                <w:rFonts w:hint="default" w:ascii="Times New Roman" w:hAnsi="Times New Roman" w:cs="Times New Roman"/>
                <w:color w:val="auto"/>
              </w:rPr>
              <w:t>植被恢复工程</w:t>
            </w:r>
          </w:p>
        </w:tc>
        <w:tc>
          <w:tcPr>
            <w:tcW w:w="1005" w:type="pct"/>
            <w:vMerge w:val="restart"/>
            <w:tcBorders>
              <w:tl2br w:val="nil"/>
              <w:tr2bl w:val="nil"/>
            </w:tcBorders>
            <w:shd w:val="clear" w:color="auto" w:fill="auto"/>
            <w:vAlign w:val="center"/>
          </w:tcPr>
          <w:p w14:paraId="55A5C6EB">
            <w:pPr>
              <w:pStyle w:val="44"/>
              <w:bidi w:val="0"/>
              <w:rPr>
                <w:rFonts w:hint="default" w:ascii="Times New Roman" w:hAnsi="Times New Roman" w:cs="Times New Roman"/>
                <w:color w:val="auto"/>
                <w:lang w:val="en-US" w:eastAsia="zh-CN"/>
              </w:rPr>
            </w:pPr>
            <w:r>
              <w:rPr>
                <w:rFonts w:hint="default" w:ascii="Times New Roman" w:hAnsi="Times New Roman" w:cs="Times New Roman"/>
                <w:snapToGrid w:val="0"/>
                <w:color w:val="auto"/>
                <w:highlight w:val="none"/>
              </w:rPr>
              <w:t>202</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年</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月</w:t>
            </w:r>
            <w:r>
              <w:rPr>
                <w:rFonts w:hint="default" w:ascii="Times New Roman" w:hAnsi="Times New Roman" w:cs="Times New Roman"/>
                <w:snapToGrid w:val="0"/>
                <w:color w:val="auto"/>
                <w:highlight w:val="none"/>
                <w:lang w:val="en-US" w:eastAsia="zh-CN"/>
              </w:rPr>
              <w:t>~</w:t>
            </w:r>
            <w:r>
              <w:rPr>
                <w:rFonts w:hint="default" w:ascii="Times New Roman" w:hAnsi="Times New Roman" w:cs="Times New Roman"/>
                <w:snapToGrid w:val="0"/>
                <w:color w:val="auto"/>
                <w:highlight w:val="none"/>
              </w:rPr>
              <w:t>202</w:t>
            </w:r>
            <w:r>
              <w:rPr>
                <w:rFonts w:hint="default" w:ascii="Times New Roman" w:hAnsi="Times New Roman" w:cs="Times New Roman"/>
                <w:snapToGrid w:val="0"/>
                <w:color w:val="auto"/>
                <w:highlight w:val="none"/>
                <w:lang w:val="en-US" w:eastAsia="zh-CN"/>
              </w:rPr>
              <w:t>6</w:t>
            </w:r>
            <w:r>
              <w:rPr>
                <w:rFonts w:hint="default" w:ascii="Times New Roman" w:hAnsi="Times New Roman" w:cs="Times New Roman"/>
                <w:snapToGrid w:val="0"/>
                <w:color w:val="auto"/>
                <w:highlight w:val="none"/>
              </w:rPr>
              <w:t>年</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月</w:t>
            </w:r>
          </w:p>
        </w:tc>
      </w:tr>
      <w:tr w14:paraId="3C051AA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366" w:type="pct"/>
            <w:vMerge w:val="continue"/>
            <w:tcBorders>
              <w:tl2br w:val="nil"/>
              <w:tr2bl w:val="nil"/>
            </w:tcBorders>
            <w:vAlign w:val="center"/>
          </w:tcPr>
          <w:p w14:paraId="5B9CC701">
            <w:pPr>
              <w:pStyle w:val="44"/>
              <w:bidi w:val="0"/>
              <w:rPr>
                <w:rFonts w:hint="default" w:ascii="Times New Roman" w:hAnsi="Times New Roman" w:cs="Times New Roman"/>
                <w:color w:val="auto"/>
              </w:rPr>
            </w:pPr>
          </w:p>
        </w:tc>
        <w:tc>
          <w:tcPr>
            <w:tcW w:w="1277" w:type="pct"/>
            <w:vMerge w:val="continue"/>
            <w:tcBorders>
              <w:right w:val="single" w:color="auto" w:sz="4" w:space="0"/>
              <w:tl2br w:val="nil"/>
              <w:tr2bl w:val="nil"/>
            </w:tcBorders>
            <w:vAlign w:val="center"/>
          </w:tcPr>
          <w:p w14:paraId="6EB314F0">
            <w:pPr>
              <w:pStyle w:val="44"/>
              <w:bidi w:val="0"/>
              <w:rPr>
                <w:rFonts w:hint="default" w:ascii="Times New Roman" w:hAnsi="Times New Roman" w:cs="Times New Roman"/>
                <w:color w:val="auto"/>
              </w:rPr>
            </w:pPr>
          </w:p>
        </w:tc>
        <w:tc>
          <w:tcPr>
            <w:tcW w:w="2350" w:type="pct"/>
            <w:vMerge w:val="continue"/>
            <w:tcBorders>
              <w:left w:val="single" w:color="auto" w:sz="4" w:space="0"/>
              <w:tl2br w:val="nil"/>
              <w:tr2bl w:val="nil"/>
            </w:tcBorders>
            <w:vAlign w:val="center"/>
          </w:tcPr>
          <w:p w14:paraId="0297F552">
            <w:pPr>
              <w:pStyle w:val="44"/>
              <w:bidi w:val="0"/>
              <w:rPr>
                <w:rFonts w:hint="default" w:ascii="Times New Roman" w:hAnsi="Times New Roman" w:cs="Times New Roman"/>
                <w:color w:val="auto"/>
              </w:rPr>
            </w:pPr>
          </w:p>
        </w:tc>
        <w:tc>
          <w:tcPr>
            <w:tcW w:w="1005" w:type="pct"/>
            <w:vMerge w:val="continue"/>
            <w:tcBorders>
              <w:tl2br w:val="nil"/>
              <w:tr2bl w:val="nil"/>
            </w:tcBorders>
            <w:vAlign w:val="center"/>
          </w:tcPr>
          <w:p w14:paraId="05AC17E5">
            <w:pPr>
              <w:pStyle w:val="44"/>
              <w:bidi w:val="0"/>
              <w:rPr>
                <w:rFonts w:hint="default" w:ascii="Times New Roman" w:hAnsi="Times New Roman" w:cs="Times New Roman"/>
                <w:color w:val="auto"/>
              </w:rPr>
            </w:pPr>
          </w:p>
        </w:tc>
      </w:tr>
      <w:tr w14:paraId="7B49D26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366" w:type="pct"/>
            <w:vMerge w:val="continue"/>
            <w:tcBorders>
              <w:tl2br w:val="nil"/>
              <w:tr2bl w:val="nil"/>
            </w:tcBorders>
            <w:vAlign w:val="center"/>
          </w:tcPr>
          <w:p w14:paraId="5D6E6DC6">
            <w:pPr>
              <w:pStyle w:val="44"/>
              <w:bidi w:val="0"/>
              <w:rPr>
                <w:rFonts w:hint="default" w:ascii="Times New Roman" w:hAnsi="Times New Roman" w:cs="Times New Roman"/>
                <w:color w:val="auto"/>
              </w:rPr>
            </w:pPr>
          </w:p>
        </w:tc>
        <w:tc>
          <w:tcPr>
            <w:tcW w:w="1277" w:type="pct"/>
            <w:vMerge w:val="continue"/>
            <w:tcBorders>
              <w:right w:val="single" w:color="auto" w:sz="4" w:space="0"/>
              <w:tl2br w:val="nil"/>
              <w:tr2bl w:val="nil"/>
            </w:tcBorders>
            <w:vAlign w:val="center"/>
          </w:tcPr>
          <w:p w14:paraId="5FE825B1">
            <w:pPr>
              <w:pStyle w:val="44"/>
              <w:bidi w:val="0"/>
              <w:rPr>
                <w:rFonts w:hint="default" w:ascii="Times New Roman" w:hAnsi="Times New Roman" w:cs="Times New Roman"/>
                <w:color w:val="auto"/>
              </w:rPr>
            </w:pPr>
          </w:p>
        </w:tc>
        <w:tc>
          <w:tcPr>
            <w:tcW w:w="2350" w:type="pct"/>
            <w:vMerge w:val="continue"/>
            <w:tcBorders>
              <w:left w:val="single" w:color="auto" w:sz="4" w:space="0"/>
              <w:tl2br w:val="nil"/>
              <w:tr2bl w:val="nil"/>
            </w:tcBorders>
            <w:vAlign w:val="center"/>
          </w:tcPr>
          <w:p w14:paraId="66590F6A">
            <w:pPr>
              <w:pStyle w:val="44"/>
              <w:bidi w:val="0"/>
              <w:rPr>
                <w:rFonts w:hint="default" w:ascii="Times New Roman" w:hAnsi="Times New Roman" w:cs="Times New Roman"/>
                <w:color w:val="auto"/>
              </w:rPr>
            </w:pPr>
          </w:p>
        </w:tc>
        <w:tc>
          <w:tcPr>
            <w:tcW w:w="1005" w:type="pct"/>
            <w:vMerge w:val="continue"/>
            <w:tcBorders>
              <w:tl2br w:val="nil"/>
              <w:tr2bl w:val="nil"/>
            </w:tcBorders>
            <w:vAlign w:val="center"/>
          </w:tcPr>
          <w:p w14:paraId="6A19B6AE">
            <w:pPr>
              <w:pStyle w:val="44"/>
              <w:bidi w:val="0"/>
              <w:rPr>
                <w:rFonts w:hint="default" w:ascii="Times New Roman" w:hAnsi="Times New Roman" w:cs="Times New Roman"/>
                <w:color w:val="auto"/>
              </w:rPr>
            </w:pPr>
          </w:p>
        </w:tc>
      </w:tr>
      <w:tr w14:paraId="2796D5A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366" w:type="pct"/>
            <w:vMerge w:val="restart"/>
            <w:tcBorders>
              <w:tl2br w:val="nil"/>
              <w:tr2bl w:val="nil"/>
            </w:tcBorders>
            <w:shd w:val="clear" w:color="auto" w:fill="auto"/>
            <w:vAlign w:val="center"/>
          </w:tcPr>
          <w:p w14:paraId="65F809BD">
            <w:pPr>
              <w:pStyle w:val="44"/>
              <w:bidi w:val="0"/>
              <w:rPr>
                <w:rFonts w:hint="default" w:ascii="Times New Roman" w:hAnsi="Times New Roman" w:cs="Times New Roman"/>
                <w:color w:val="auto"/>
              </w:rPr>
            </w:pPr>
            <w:r>
              <w:rPr>
                <w:rFonts w:hint="default" w:ascii="Times New Roman" w:hAnsi="Times New Roman" w:cs="Times New Roman"/>
                <w:color w:val="auto"/>
              </w:rPr>
              <w:t>10</w:t>
            </w:r>
          </w:p>
          <w:p w14:paraId="62DF9C8A">
            <w:pPr>
              <w:pStyle w:val="44"/>
              <w:bidi w:val="0"/>
              <w:rPr>
                <w:rFonts w:hint="default" w:ascii="Times New Roman" w:hAnsi="Times New Roman" w:cs="Times New Roman"/>
                <w:color w:val="auto"/>
              </w:rPr>
            </w:pPr>
          </w:p>
        </w:tc>
        <w:tc>
          <w:tcPr>
            <w:tcW w:w="1277" w:type="pct"/>
            <w:vMerge w:val="restart"/>
            <w:tcBorders>
              <w:right w:val="single" w:color="auto" w:sz="4" w:space="0"/>
              <w:tl2br w:val="nil"/>
              <w:tr2bl w:val="nil"/>
            </w:tcBorders>
            <w:vAlign w:val="center"/>
          </w:tcPr>
          <w:p w14:paraId="224A0FA0">
            <w:pPr>
              <w:pStyle w:val="44"/>
              <w:bidi w:val="0"/>
              <w:rPr>
                <w:rFonts w:hint="default" w:ascii="Times New Roman" w:hAnsi="Times New Roman" w:cs="Times New Roman"/>
                <w:color w:val="auto"/>
              </w:rPr>
            </w:pPr>
            <w:r>
              <w:rPr>
                <w:rFonts w:hint="default" w:ascii="Times New Roman" w:hAnsi="Times New Roman" w:cs="Times New Roman"/>
                <w:color w:val="auto"/>
              </w:rPr>
              <w:t>鸡西市城子河区龙山屯废弃采石场（47#）</w:t>
            </w:r>
          </w:p>
        </w:tc>
        <w:tc>
          <w:tcPr>
            <w:tcW w:w="2350" w:type="pct"/>
            <w:vMerge w:val="restart"/>
            <w:tcBorders>
              <w:left w:val="single" w:color="auto" w:sz="4" w:space="0"/>
              <w:tl2br w:val="nil"/>
              <w:tr2bl w:val="nil"/>
            </w:tcBorders>
            <w:vAlign w:val="center"/>
          </w:tcPr>
          <w:p w14:paraId="30754942">
            <w:pPr>
              <w:pStyle w:val="44"/>
              <w:bidi w:val="0"/>
              <w:rPr>
                <w:rFonts w:hint="default" w:ascii="Times New Roman" w:hAnsi="Times New Roman" w:eastAsia="宋体" w:cs="Times New Roman"/>
                <w:color w:val="auto"/>
                <w:lang w:eastAsia="zh-CN"/>
              </w:rPr>
            </w:pPr>
            <w:r>
              <w:rPr>
                <w:rFonts w:hint="default" w:ascii="Times New Roman" w:hAnsi="Times New Roman" w:cs="Times New Roman"/>
                <w:color w:val="auto"/>
              </w:rPr>
              <w:t>危岩清理边坡整形工程</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人工清理</w:t>
            </w:r>
            <w:r>
              <w:rPr>
                <w:rFonts w:hint="default" w:ascii="Times New Roman" w:hAnsi="Times New Roman" w:cs="Times New Roman"/>
                <w:color w:val="auto"/>
                <w:lang w:eastAsia="zh-CN"/>
              </w:rPr>
              <w:t>）</w:t>
            </w:r>
          </w:p>
          <w:p w14:paraId="35450568">
            <w:pPr>
              <w:pStyle w:val="44"/>
              <w:bidi w:val="0"/>
              <w:rPr>
                <w:rFonts w:hint="default" w:ascii="Times New Roman" w:hAnsi="Times New Roman" w:cs="Times New Roman"/>
                <w:color w:val="auto"/>
              </w:rPr>
            </w:pPr>
            <w:r>
              <w:rPr>
                <w:rFonts w:hint="default" w:ascii="Times New Roman" w:hAnsi="Times New Roman" w:cs="Times New Roman"/>
                <w:color w:val="auto"/>
              </w:rPr>
              <w:t>场地平整</w:t>
            </w:r>
          </w:p>
          <w:p w14:paraId="7358480D">
            <w:pPr>
              <w:pStyle w:val="44"/>
              <w:bidi w:val="0"/>
              <w:rPr>
                <w:rFonts w:hint="default" w:ascii="Times New Roman" w:hAnsi="Times New Roman" w:cs="Times New Roman"/>
                <w:color w:val="auto"/>
              </w:rPr>
            </w:pPr>
            <w:r>
              <w:rPr>
                <w:rFonts w:hint="default" w:ascii="Times New Roman" w:hAnsi="Times New Roman" w:cs="Times New Roman"/>
                <w:color w:val="auto"/>
              </w:rPr>
              <w:t>CBS植被混凝土边坡绿化</w:t>
            </w:r>
          </w:p>
          <w:p w14:paraId="10786057">
            <w:pPr>
              <w:pStyle w:val="44"/>
              <w:bidi w:val="0"/>
              <w:rPr>
                <w:rFonts w:hint="default" w:ascii="Times New Roman" w:hAnsi="Times New Roman" w:cs="Times New Roman"/>
                <w:color w:val="auto"/>
              </w:rPr>
            </w:pPr>
            <w:r>
              <w:rPr>
                <w:rFonts w:hint="default" w:ascii="Times New Roman" w:hAnsi="Times New Roman" w:cs="Times New Roman"/>
                <w:color w:val="auto"/>
              </w:rPr>
              <w:t>挡土墙工程</w:t>
            </w:r>
          </w:p>
          <w:p w14:paraId="192C4C2B">
            <w:pPr>
              <w:pStyle w:val="44"/>
              <w:bidi w:val="0"/>
              <w:rPr>
                <w:rFonts w:hint="default" w:ascii="Times New Roman" w:hAnsi="Times New Roman" w:cs="Times New Roman"/>
                <w:color w:val="auto"/>
              </w:rPr>
            </w:pPr>
            <w:r>
              <w:rPr>
                <w:rFonts w:hint="default" w:ascii="Times New Roman" w:hAnsi="Times New Roman" w:cs="Times New Roman"/>
                <w:color w:val="auto"/>
              </w:rPr>
              <w:t>植被恢复</w:t>
            </w:r>
          </w:p>
        </w:tc>
        <w:tc>
          <w:tcPr>
            <w:tcW w:w="1005" w:type="pct"/>
            <w:vMerge w:val="restart"/>
            <w:tcBorders>
              <w:tl2br w:val="nil"/>
              <w:tr2bl w:val="nil"/>
            </w:tcBorders>
            <w:vAlign w:val="center"/>
          </w:tcPr>
          <w:p w14:paraId="508C9AEF">
            <w:pPr>
              <w:pStyle w:val="44"/>
              <w:bidi w:val="0"/>
              <w:rPr>
                <w:rFonts w:hint="default" w:ascii="Times New Roman" w:hAnsi="Times New Roman" w:cs="Times New Roman"/>
                <w:color w:val="auto"/>
                <w:lang w:eastAsia="zh-CN"/>
              </w:rPr>
            </w:pPr>
            <w:r>
              <w:rPr>
                <w:rFonts w:hint="default" w:ascii="Times New Roman" w:hAnsi="Times New Roman" w:cs="Times New Roman"/>
                <w:snapToGrid w:val="0"/>
                <w:color w:val="auto"/>
                <w:highlight w:val="none"/>
              </w:rPr>
              <w:t>202</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年</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月</w:t>
            </w:r>
            <w:r>
              <w:rPr>
                <w:rFonts w:hint="default" w:ascii="Times New Roman" w:hAnsi="Times New Roman" w:cs="Times New Roman"/>
                <w:snapToGrid w:val="0"/>
                <w:color w:val="auto"/>
                <w:highlight w:val="none"/>
                <w:lang w:val="en-US" w:eastAsia="zh-CN"/>
              </w:rPr>
              <w:t>~</w:t>
            </w:r>
            <w:r>
              <w:rPr>
                <w:rFonts w:hint="default" w:ascii="Times New Roman" w:hAnsi="Times New Roman" w:cs="Times New Roman"/>
                <w:snapToGrid w:val="0"/>
                <w:color w:val="auto"/>
                <w:highlight w:val="none"/>
              </w:rPr>
              <w:t>202</w:t>
            </w:r>
            <w:r>
              <w:rPr>
                <w:rFonts w:hint="default" w:ascii="Times New Roman" w:hAnsi="Times New Roman" w:cs="Times New Roman"/>
                <w:snapToGrid w:val="0"/>
                <w:color w:val="auto"/>
                <w:highlight w:val="none"/>
                <w:lang w:val="en-US" w:eastAsia="zh-CN"/>
              </w:rPr>
              <w:t>6</w:t>
            </w:r>
            <w:r>
              <w:rPr>
                <w:rFonts w:hint="default" w:ascii="Times New Roman" w:hAnsi="Times New Roman" w:cs="Times New Roman"/>
                <w:snapToGrid w:val="0"/>
                <w:color w:val="auto"/>
                <w:highlight w:val="none"/>
              </w:rPr>
              <w:t>年</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月</w:t>
            </w:r>
          </w:p>
        </w:tc>
      </w:tr>
      <w:tr w14:paraId="2BD5083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366" w:type="pct"/>
            <w:vMerge w:val="continue"/>
            <w:tcBorders>
              <w:tl2br w:val="nil"/>
              <w:tr2bl w:val="nil"/>
            </w:tcBorders>
            <w:vAlign w:val="center"/>
          </w:tcPr>
          <w:p w14:paraId="0F0B03C6">
            <w:pPr>
              <w:pStyle w:val="44"/>
              <w:bidi w:val="0"/>
              <w:rPr>
                <w:rFonts w:hint="default" w:ascii="Times New Roman" w:hAnsi="Times New Roman" w:cs="Times New Roman"/>
                <w:color w:val="auto"/>
              </w:rPr>
            </w:pPr>
          </w:p>
        </w:tc>
        <w:tc>
          <w:tcPr>
            <w:tcW w:w="1277" w:type="pct"/>
            <w:vMerge w:val="continue"/>
            <w:tcBorders>
              <w:right w:val="single" w:color="auto" w:sz="4" w:space="0"/>
              <w:tl2br w:val="nil"/>
              <w:tr2bl w:val="nil"/>
            </w:tcBorders>
            <w:vAlign w:val="center"/>
          </w:tcPr>
          <w:p w14:paraId="1ACEBBF2">
            <w:pPr>
              <w:pStyle w:val="44"/>
              <w:bidi w:val="0"/>
              <w:rPr>
                <w:rFonts w:hint="default" w:ascii="Times New Roman" w:hAnsi="Times New Roman" w:cs="Times New Roman"/>
                <w:color w:val="auto"/>
              </w:rPr>
            </w:pPr>
          </w:p>
        </w:tc>
        <w:tc>
          <w:tcPr>
            <w:tcW w:w="2350" w:type="pct"/>
            <w:vMerge w:val="continue"/>
            <w:tcBorders>
              <w:left w:val="single" w:color="auto" w:sz="4" w:space="0"/>
              <w:tl2br w:val="nil"/>
              <w:tr2bl w:val="nil"/>
            </w:tcBorders>
            <w:vAlign w:val="center"/>
          </w:tcPr>
          <w:p w14:paraId="777B326A">
            <w:pPr>
              <w:pStyle w:val="44"/>
              <w:bidi w:val="0"/>
              <w:rPr>
                <w:rFonts w:hint="default" w:ascii="Times New Roman" w:hAnsi="Times New Roman" w:cs="Times New Roman"/>
                <w:color w:val="auto"/>
              </w:rPr>
            </w:pPr>
          </w:p>
        </w:tc>
        <w:tc>
          <w:tcPr>
            <w:tcW w:w="1005" w:type="pct"/>
            <w:vMerge w:val="continue"/>
            <w:tcBorders>
              <w:tl2br w:val="nil"/>
              <w:tr2bl w:val="nil"/>
            </w:tcBorders>
            <w:vAlign w:val="center"/>
          </w:tcPr>
          <w:p w14:paraId="727DE1D6">
            <w:pPr>
              <w:pStyle w:val="44"/>
              <w:bidi w:val="0"/>
              <w:rPr>
                <w:rFonts w:hint="default" w:ascii="Times New Roman" w:hAnsi="Times New Roman" w:cs="Times New Roman"/>
                <w:color w:val="auto"/>
              </w:rPr>
            </w:pPr>
          </w:p>
        </w:tc>
      </w:tr>
      <w:tr w14:paraId="3B2535D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3" w:hRule="atLeast"/>
          <w:jc w:val="center"/>
        </w:trPr>
        <w:tc>
          <w:tcPr>
            <w:tcW w:w="366" w:type="pct"/>
            <w:vMerge w:val="continue"/>
            <w:tcBorders>
              <w:tl2br w:val="nil"/>
              <w:tr2bl w:val="nil"/>
            </w:tcBorders>
            <w:vAlign w:val="center"/>
          </w:tcPr>
          <w:p w14:paraId="71A81DD5">
            <w:pPr>
              <w:pStyle w:val="44"/>
              <w:bidi w:val="0"/>
              <w:rPr>
                <w:rFonts w:hint="default" w:ascii="Times New Roman" w:hAnsi="Times New Roman" w:cs="Times New Roman"/>
                <w:color w:val="auto"/>
              </w:rPr>
            </w:pPr>
          </w:p>
        </w:tc>
        <w:tc>
          <w:tcPr>
            <w:tcW w:w="1277" w:type="pct"/>
            <w:vMerge w:val="continue"/>
            <w:tcBorders>
              <w:right w:val="single" w:color="auto" w:sz="4" w:space="0"/>
              <w:tl2br w:val="nil"/>
              <w:tr2bl w:val="nil"/>
            </w:tcBorders>
            <w:vAlign w:val="center"/>
          </w:tcPr>
          <w:p w14:paraId="7F4CE8B9">
            <w:pPr>
              <w:pStyle w:val="44"/>
              <w:bidi w:val="0"/>
              <w:rPr>
                <w:rFonts w:hint="default" w:ascii="Times New Roman" w:hAnsi="Times New Roman" w:cs="Times New Roman"/>
                <w:color w:val="auto"/>
              </w:rPr>
            </w:pPr>
          </w:p>
        </w:tc>
        <w:tc>
          <w:tcPr>
            <w:tcW w:w="2350" w:type="pct"/>
            <w:vMerge w:val="continue"/>
            <w:tcBorders>
              <w:left w:val="single" w:color="auto" w:sz="4" w:space="0"/>
              <w:tl2br w:val="nil"/>
              <w:tr2bl w:val="nil"/>
            </w:tcBorders>
            <w:vAlign w:val="center"/>
          </w:tcPr>
          <w:p w14:paraId="56B2D9FF">
            <w:pPr>
              <w:pStyle w:val="44"/>
              <w:bidi w:val="0"/>
              <w:rPr>
                <w:rFonts w:hint="default" w:ascii="Times New Roman" w:hAnsi="Times New Roman" w:cs="Times New Roman"/>
                <w:color w:val="auto"/>
              </w:rPr>
            </w:pPr>
          </w:p>
        </w:tc>
        <w:tc>
          <w:tcPr>
            <w:tcW w:w="1005" w:type="pct"/>
            <w:vMerge w:val="continue"/>
            <w:tcBorders>
              <w:tl2br w:val="nil"/>
              <w:tr2bl w:val="nil"/>
            </w:tcBorders>
            <w:vAlign w:val="center"/>
          </w:tcPr>
          <w:p w14:paraId="0E6B25D4">
            <w:pPr>
              <w:pStyle w:val="44"/>
              <w:bidi w:val="0"/>
              <w:rPr>
                <w:rFonts w:hint="default" w:ascii="Times New Roman" w:hAnsi="Times New Roman" w:cs="Times New Roman"/>
                <w:color w:val="auto"/>
              </w:rPr>
            </w:pPr>
          </w:p>
        </w:tc>
      </w:tr>
      <w:tr w14:paraId="45ED40C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366" w:type="pct"/>
            <w:vMerge w:val="restart"/>
            <w:tcBorders>
              <w:tl2br w:val="nil"/>
              <w:tr2bl w:val="nil"/>
            </w:tcBorders>
            <w:shd w:val="clear" w:color="auto" w:fill="auto"/>
            <w:vAlign w:val="center"/>
          </w:tcPr>
          <w:p w14:paraId="1124D82C">
            <w:pPr>
              <w:pStyle w:val="44"/>
              <w:bidi w:val="0"/>
              <w:rPr>
                <w:rFonts w:hint="default" w:ascii="Times New Roman" w:hAnsi="Times New Roman" w:cs="Times New Roman"/>
                <w:color w:val="auto"/>
              </w:rPr>
            </w:pPr>
            <w:r>
              <w:rPr>
                <w:rFonts w:hint="default" w:ascii="Times New Roman" w:hAnsi="Times New Roman" w:cs="Times New Roman"/>
                <w:color w:val="auto"/>
              </w:rPr>
              <w:t>11</w:t>
            </w:r>
          </w:p>
        </w:tc>
        <w:tc>
          <w:tcPr>
            <w:tcW w:w="1277" w:type="pct"/>
            <w:vMerge w:val="restart"/>
            <w:tcBorders>
              <w:right w:val="single" w:color="auto" w:sz="4" w:space="0"/>
              <w:tl2br w:val="nil"/>
              <w:tr2bl w:val="nil"/>
            </w:tcBorders>
            <w:vAlign w:val="center"/>
          </w:tcPr>
          <w:p w14:paraId="342C9E24">
            <w:pPr>
              <w:pStyle w:val="44"/>
              <w:bidi w:val="0"/>
              <w:rPr>
                <w:rFonts w:hint="default" w:ascii="Times New Roman" w:hAnsi="Times New Roman" w:cs="Times New Roman"/>
                <w:color w:val="auto"/>
              </w:rPr>
            </w:pPr>
            <w:r>
              <w:rPr>
                <w:rFonts w:hint="default" w:ascii="Times New Roman" w:hAnsi="Times New Roman" w:cs="Times New Roman"/>
                <w:color w:val="auto"/>
              </w:rPr>
              <w:t>鸡西市城子河区城海村东南 1.7km</w:t>
            </w:r>
          </w:p>
          <w:p w14:paraId="024B6C2C">
            <w:pPr>
              <w:pStyle w:val="44"/>
              <w:bidi w:val="0"/>
              <w:rPr>
                <w:rFonts w:hint="default" w:ascii="Times New Roman" w:hAnsi="Times New Roman" w:cs="Times New Roman"/>
                <w:color w:val="auto"/>
              </w:rPr>
            </w:pPr>
            <w:r>
              <w:rPr>
                <w:rFonts w:hint="default" w:ascii="Times New Roman" w:hAnsi="Times New Roman" w:cs="Times New Roman"/>
                <w:color w:val="auto"/>
              </w:rPr>
              <w:t>废弃采石场(59#)</w:t>
            </w:r>
          </w:p>
        </w:tc>
        <w:tc>
          <w:tcPr>
            <w:tcW w:w="2350" w:type="pct"/>
            <w:vMerge w:val="restart"/>
            <w:tcBorders>
              <w:left w:val="single" w:color="auto" w:sz="4" w:space="0"/>
              <w:tl2br w:val="nil"/>
              <w:tr2bl w:val="nil"/>
            </w:tcBorders>
            <w:vAlign w:val="center"/>
          </w:tcPr>
          <w:p w14:paraId="41A8A54F">
            <w:pPr>
              <w:pStyle w:val="44"/>
              <w:bidi w:val="0"/>
              <w:rPr>
                <w:rFonts w:hint="default" w:ascii="Times New Roman" w:hAnsi="Times New Roman" w:cs="Times New Roman"/>
                <w:color w:val="auto"/>
              </w:rPr>
            </w:pPr>
            <w:r>
              <w:rPr>
                <w:rFonts w:hint="default" w:ascii="Times New Roman" w:hAnsi="Times New Roman" w:cs="Times New Roman"/>
                <w:color w:val="auto"/>
              </w:rPr>
              <w:t>场地平整</w:t>
            </w:r>
          </w:p>
          <w:p w14:paraId="3B235E6B">
            <w:pPr>
              <w:pStyle w:val="44"/>
              <w:bidi w:val="0"/>
              <w:rPr>
                <w:rFonts w:hint="default" w:ascii="Times New Roman" w:hAnsi="Times New Roman" w:cs="Times New Roman"/>
                <w:color w:val="auto"/>
              </w:rPr>
            </w:pPr>
            <w:r>
              <w:rPr>
                <w:rFonts w:hint="default" w:ascii="Times New Roman" w:hAnsi="Times New Roman" w:cs="Times New Roman"/>
                <w:color w:val="auto"/>
              </w:rPr>
              <w:t>植被恢复</w:t>
            </w:r>
          </w:p>
        </w:tc>
        <w:tc>
          <w:tcPr>
            <w:tcW w:w="1005" w:type="pct"/>
            <w:vMerge w:val="restart"/>
            <w:tcBorders>
              <w:tl2br w:val="nil"/>
              <w:tr2bl w:val="nil"/>
            </w:tcBorders>
            <w:vAlign w:val="center"/>
          </w:tcPr>
          <w:p w14:paraId="47B8C7C2">
            <w:pPr>
              <w:pStyle w:val="44"/>
              <w:bidi w:val="0"/>
              <w:rPr>
                <w:rFonts w:hint="default" w:ascii="Times New Roman" w:hAnsi="Times New Roman" w:cs="Times New Roman"/>
                <w:color w:val="auto"/>
              </w:rPr>
            </w:pPr>
            <w:r>
              <w:rPr>
                <w:rFonts w:hint="default" w:ascii="Times New Roman" w:hAnsi="Times New Roman" w:cs="Times New Roman"/>
                <w:snapToGrid w:val="0"/>
                <w:color w:val="auto"/>
                <w:highlight w:val="none"/>
              </w:rPr>
              <w:t>202</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年</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月</w:t>
            </w:r>
            <w:r>
              <w:rPr>
                <w:rFonts w:hint="default" w:ascii="Times New Roman" w:hAnsi="Times New Roman" w:cs="Times New Roman"/>
                <w:snapToGrid w:val="0"/>
                <w:color w:val="auto"/>
                <w:highlight w:val="none"/>
                <w:lang w:val="en-US" w:eastAsia="zh-CN"/>
              </w:rPr>
              <w:t>~</w:t>
            </w:r>
            <w:r>
              <w:rPr>
                <w:rFonts w:hint="default" w:ascii="Times New Roman" w:hAnsi="Times New Roman" w:cs="Times New Roman"/>
                <w:snapToGrid w:val="0"/>
                <w:color w:val="auto"/>
                <w:highlight w:val="none"/>
              </w:rPr>
              <w:t>202</w:t>
            </w:r>
            <w:r>
              <w:rPr>
                <w:rFonts w:hint="default" w:ascii="Times New Roman" w:hAnsi="Times New Roman" w:cs="Times New Roman"/>
                <w:snapToGrid w:val="0"/>
                <w:color w:val="auto"/>
                <w:highlight w:val="none"/>
                <w:lang w:val="en-US" w:eastAsia="zh-CN"/>
              </w:rPr>
              <w:t>6</w:t>
            </w:r>
            <w:r>
              <w:rPr>
                <w:rFonts w:hint="default" w:ascii="Times New Roman" w:hAnsi="Times New Roman" w:cs="Times New Roman"/>
                <w:snapToGrid w:val="0"/>
                <w:color w:val="auto"/>
                <w:highlight w:val="none"/>
              </w:rPr>
              <w:t>年</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月</w:t>
            </w:r>
          </w:p>
        </w:tc>
      </w:tr>
      <w:tr w14:paraId="12C9C4C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366" w:type="pct"/>
            <w:vMerge w:val="continue"/>
            <w:tcBorders>
              <w:tl2br w:val="nil"/>
              <w:tr2bl w:val="nil"/>
            </w:tcBorders>
            <w:vAlign w:val="center"/>
          </w:tcPr>
          <w:p w14:paraId="3C8688C3">
            <w:pPr>
              <w:pStyle w:val="44"/>
              <w:bidi w:val="0"/>
              <w:rPr>
                <w:rFonts w:hint="default" w:ascii="Times New Roman" w:hAnsi="Times New Roman" w:cs="Times New Roman"/>
                <w:color w:val="auto"/>
              </w:rPr>
            </w:pPr>
          </w:p>
        </w:tc>
        <w:tc>
          <w:tcPr>
            <w:tcW w:w="1277" w:type="pct"/>
            <w:vMerge w:val="continue"/>
            <w:tcBorders>
              <w:right w:val="single" w:color="auto" w:sz="4" w:space="0"/>
              <w:tl2br w:val="nil"/>
              <w:tr2bl w:val="nil"/>
            </w:tcBorders>
            <w:vAlign w:val="center"/>
          </w:tcPr>
          <w:p w14:paraId="4A584332">
            <w:pPr>
              <w:pStyle w:val="44"/>
              <w:bidi w:val="0"/>
              <w:rPr>
                <w:rFonts w:hint="default" w:ascii="Times New Roman" w:hAnsi="Times New Roman" w:cs="Times New Roman"/>
                <w:color w:val="auto"/>
              </w:rPr>
            </w:pPr>
          </w:p>
        </w:tc>
        <w:tc>
          <w:tcPr>
            <w:tcW w:w="2350" w:type="pct"/>
            <w:vMerge w:val="continue"/>
            <w:tcBorders>
              <w:left w:val="single" w:color="auto" w:sz="4" w:space="0"/>
              <w:tl2br w:val="nil"/>
              <w:tr2bl w:val="nil"/>
            </w:tcBorders>
            <w:vAlign w:val="center"/>
          </w:tcPr>
          <w:p w14:paraId="585CDA82">
            <w:pPr>
              <w:pStyle w:val="44"/>
              <w:bidi w:val="0"/>
              <w:rPr>
                <w:rFonts w:hint="default" w:ascii="Times New Roman" w:hAnsi="Times New Roman" w:cs="Times New Roman"/>
                <w:color w:val="auto"/>
              </w:rPr>
            </w:pPr>
          </w:p>
        </w:tc>
        <w:tc>
          <w:tcPr>
            <w:tcW w:w="1005" w:type="pct"/>
            <w:vMerge w:val="continue"/>
            <w:tcBorders>
              <w:tl2br w:val="nil"/>
              <w:tr2bl w:val="nil"/>
            </w:tcBorders>
            <w:vAlign w:val="center"/>
          </w:tcPr>
          <w:p w14:paraId="3398B0FD">
            <w:pPr>
              <w:pStyle w:val="44"/>
              <w:bidi w:val="0"/>
              <w:rPr>
                <w:rFonts w:hint="default" w:ascii="Times New Roman" w:hAnsi="Times New Roman" w:cs="Times New Roman"/>
                <w:color w:val="auto"/>
              </w:rPr>
            </w:pPr>
          </w:p>
        </w:tc>
      </w:tr>
      <w:tr w14:paraId="5B11D78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366" w:type="pct"/>
            <w:vMerge w:val="continue"/>
            <w:tcBorders>
              <w:tl2br w:val="nil"/>
              <w:tr2bl w:val="nil"/>
            </w:tcBorders>
            <w:vAlign w:val="center"/>
          </w:tcPr>
          <w:p w14:paraId="17424BF6">
            <w:pPr>
              <w:pStyle w:val="44"/>
              <w:bidi w:val="0"/>
              <w:rPr>
                <w:rFonts w:hint="default" w:ascii="Times New Roman" w:hAnsi="Times New Roman" w:cs="Times New Roman"/>
                <w:color w:val="auto"/>
              </w:rPr>
            </w:pPr>
          </w:p>
        </w:tc>
        <w:tc>
          <w:tcPr>
            <w:tcW w:w="1277" w:type="pct"/>
            <w:vMerge w:val="continue"/>
            <w:tcBorders>
              <w:right w:val="single" w:color="auto" w:sz="4" w:space="0"/>
              <w:tl2br w:val="nil"/>
              <w:tr2bl w:val="nil"/>
            </w:tcBorders>
            <w:vAlign w:val="center"/>
          </w:tcPr>
          <w:p w14:paraId="7662924B">
            <w:pPr>
              <w:pStyle w:val="44"/>
              <w:bidi w:val="0"/>
              <w:rPr>
                <w:rFonts w:hint="default" w:ascii="Times New Roman" w:hAnsi="Times New Roman" w:cs="Times New Roman"/>
                <w:color w:val="auto"/>
              </w:rPr>
            </w:pPr>
          </w:p>
        </w:tc>
        <w:tc>
          <w:tcPr>
            <w:tcW w:w="2350" w:type="pct"/>
            <w:vMerge w:val="continue"/>
            <w:tcBorders>
              <w:left w:val="single" w:color="auto" w:sz="4" w:space="0"/>
              <w:tl2br w:val="nil"/>
              <w:tr2bl w:val="nil"/>
            </w:tcBorders>
            <w:vAlign w:val="center"/>
          </w:tcPr>
          <w:p w14:paraId="7EFF3AD6">
            <w:pPr>
              <w:pStyle w:val="44"/>
              <w:bidi w:val="0"/>
              <w:rPr>
                <w:rFonts w:hint="default" w:ascii="Times New Roman" w:hAnsi="Times New Roman" w:cs="Times New Roman"/>
                <w:color w:val="auto"/>
              </w:rPr>
            </w:pPr>
          </w:p>
        </w:tc>
        <w:tc>
          <w:tcPr>
            <w:tcW w:w="1005" w:type="pct"/>
            <w:vMerge w:val="continue"/>
            <w:tcBorders>
              <w:tl2br w:val="nil"/>
              <w:tr2bl w:val="nil"/>
            </w:tcBorders>
            <w:vAlign w:val="center"/>
          </w:tcPr>
          <w:p w14:paraId="0A982D7D">
            <w:pPr>
              <w:pStyle w:val="44"/>
              <w:bidi w:val="0"/>
              <w:rPr>
                <w:rFonts w:hint="default" w:ascii="Times New Roman" w:hAnsi="Times New Roman" w:cs="Times New Roman"/>
                <w:color w:val="auto"/>
              </w:rPr>
            </w:pPr>
          </w:p>
        </w:tc>
      </w:tr>
      <w:tr w14:paraId="4AE10E3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366" w:type="pct"/>
            <w:vMerge w:val="restart"/>
            <w:tcBorders>
              <w:tl2br w:val="nil"/>
              <w:tr2bl w:val="nil"/>
            </w:tcBorders>
            <w:vAlign w:val="center"/>
          </w:tcPr>
          <w:p w14:paraId="27D4114A">
            <w:pPr>
              <w:pStyle w:val="44"/>
              <w:bidi w:val="0"/>
              <w:rPr>
                <w:rFonts w:hint="default" w:ascii="Times New Roman" w:hAnsi="Times New Roman" w:cs="Times New Roman"/>
                <w:color w:val="auto"/>
              </w:rPr>
            </w:pPr>
            <w:r>
              <w:rPr>
                <w:rFonts w:hint="default" w:ascii="Times New Roman" w:hAnsi="Times New Roman" w:cs="Times New Roman"/>
                <w:color w:val="auto"/>
              </w:rPr>
              <w:t>12</w:t>
            </w:r>
          </w:p>
        </w:tc>
        <w:tc>
          <w:tcPr>
            <w:tcW w:w="1277" w:type="pct"/>
            <w:vMerge w:val="restart"/>
            <w:tcBorders>
              <w:right w:val="single" w:color="auto" w:sz="4" w:space="0"/>
              <w:tl2br w:val="nil"/>
              <w:tr2bl w:val="nil"/>
            </w:tcBorders>
            <w:vAlign w:val="center"/>
          </w:tcPr>
          <w:p w14:paraId="6B390079">
            <w:pPr>
              <w:pStyle w:val="44"/>
              <w:bidi w:val="0"/>
              <w:rPr>
                <w:rFonts w:hint="default" w:ascii="Times New Roman" w:hAnsi="Times New Roman" w:cs="Times New Roman"/>
                <w:color w:val="auto"/>
              </w:rPr>
            </w:pPr>
            <w:r>
              <w:rPr>
                <w:rFonts w:hint="default" w:ascii="Times New Roman" w:hAnsi="Times New Roman" w:cs="Times New Roman"/>
                <w:color w:val="auto"/>
              </w:rPr>
              <w:t>鸡西市城子河区城海村东南2.7km</w:t>
            </w:r>
          </w:p>
          <w:p w14:paraId="53528B54">
            <w:pPr>
              <w:pStyle w:val="44"/>
              <w:bidi w:val="0"/>
              <w:rPr>
                <w:rFonts w:hint="default" w:ascii="Times New Roman" w:hAnsi="Times New Roman" w:cs="Times New Roman"/>
                <w:color w:val="auto"/>
              </w:rPr>
            </w:pPr>
            <w:r>
              <w:rPr>
                <w:rFonts w:hint="default" w:ascii="Times New Roman" w:hAnsi="Times New Roman" w:cs="Times New Roman"/>
                <w:color w:val="auto"/>
              </w:rPr>
              <w:t>废弃采石场（60#）</w:t>
            </w:r>
          </w:p>
        </w:tc>
        <w:tc>
          <w:tcPr>
            <w:tcW w:w="2350" w:type="pct"/>
            <w:vMerge w:val="restart"/>
            <w:tcBorders>
              <w:left w:val="single" w:color="auto" w:sz="4" w:space="0"/>
              <w:tl2br w:val="nil"/>
              <w:tr2bl w:val="nil"/>
            </w:tcBorders>
            <w:vAlign w:val="center"/>
          </w:tcPr>
          <w:p w14:paraId="6A53AB9C">
            <w:pPr>
              <w:pStyle w:val="44"/>
              <w:bidi w:val="0"/>
              <w:rPr>
                <w:rFonts w:hint="default" w:ascii="Times New Roman" w:hAnsi="Times New Roman" w:cs="Times New Roman"/>
                <w:color w:val="auto"/>
              </w:rPr>
            </w:pPr>
            <w:r>
              <w:rPr>
                <w:rFonts w:hint="default" w:ascii="Times New Roman" w:hAnsi="Times New Roman" w:cs="Times New Roman"/>
                <w:color w:val="auto"/>
              </w:rPr>
              <w:t>危岩清理边坡整形工程</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人工清理</w:t>
            </w:r>
            <w:r>
              <w:rPr>
                <w:rFonts w:hint="default" w:ascii="Times New Roman" w:hAnsi="Times New Roman" w:cs="Times New Roman"/>
                <w:color w:val="auto"/>
                <w:lang w:eastAsia="zh-CN"/>
              </w:rPr>
              <w:t>）</w:t>
            </w:r>
          </w:p>
          <w:p w14:paraId="425E9D26">
            <w:pPr>
              <w:pStyle w:val="44"/>
              <w:bidi w:val="0"/>
              <w:rPr>
                <w:rFonts w:hint="default" w:ascii="Times New Roman" w:hAnsi="Times New Roman" w:cs="Times New Roman"/>
                <w:color w:val="auto"/>
              </w:rPr>
            </w:pPr>
            <w:r>
              <w:rPr>
                <w:rFonts w:hint="default" w:ascii="Times New Roman" w:hAnsi="Times New Roman" w:cs="Times New Roman"/>
                <w:color w:val="auto"/>
              </w:rPr>
              <w:t>场地平整</w:t>
            </w:r>
          </w:p>
          <w:p w14:paraId="4826FEED">
            <w:pPr>
              <w:pStyle w:val="44"/>
              <w:bidi w:val="0"/>
              <w:rPr>
                <w:rFonts w:hint="default" w:ascii="Times New Roman" w:hAnsi="Times New Roman" w:cs="Times New Roman"/>
                <w:color w:val="auto"/>
              </w:rPr>
            </w:pPr>
            <w:r>
              <w:rPr>
                <w:rFonts w:hint="default" w:ascii="Times New Roman" w:hAnsi="Times New Roman" w:cs="Times New Roman"/>
                <w:color w:val="auto"/>
              </w:rPr>
              <w:t>植被恢复</w:t>
            </w:r>
          </w:p>
        </w:tc>
        <w:tc>
          <w:tcPr>
            <w:tcW w:w="1005" w:type="pct"/>
            <w:vMerge w:val="restart"/>
            <w:tcBorders>
              <w:tl2br w:val="nil"/>
              <w:tr2bl w:val="nil"/>
            </w:tcBorders>
            <w:vAlign w:val="center"/>
          </w:tcPr>
          <w:p w14:paraId="1505F45F">
            <w:pPr>
              <w:pStyle w:val="44"/>
              <w:bidi w:val="0"/>
              <w:rPr>
                <w:rFonts w:hint="default" w:ascii="Times New Roman" w:hAnsi="Times New Roman" w:cs="Times New Roman"/>
                <w:color w:val="auto"/>
              </w:rPr>
            </w:pPr>
            <w:r>
              <w:rPr>
                <w:rFonts w:hint="default" w:ascii="Times New Roman" w:hAnsi="Times New Roman" w:cs="Times New Roman"/>
                <w:snapToGrid w:val="0"/>
                <w:color w:val="auto"/>
                <w:highlight w:val="none"/>
              </w:rPr>
              <w:t>202</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年</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月</w:t>
            </w:r>
            <w:r>
              <w:rPr>
                <w:rFonts w:hint="default" w:ascii="Times New Roman" w:hAnsi="Times New Roman" w:cs="Times New Roman"/>
                <w:snapToGrid w:val="0"/>
                <w:color w:val="auto"/>
                <w:highlight w:val="none"/>
                <w:lang w:val="en-US" w:eastAsia="zh-CN"/>
              </w:rPr>
              <w:t>~</w:t>
            </w:r>
            <w:r>
              <w:rPr>
                <w:rFonts w:hint="default" w:ascii="Times New Roman" w:hAnsi="Times New Roman" w:cs="Times New Roman"/>
                <w:snapToGrid w:val="0"/>
                <w:color w:val="auto"/>
                <w:highlight w:val="none"/>
              </w:rPr>
              <w:t>202</w:t>
            </w:r>
            <w:r>
              <w:rPr>
                <w:rFonts w:hint="default" w:ascii="Times New Roman" w:hAnsi="Times New Roman" w:cs="Times New Roman"/>
                <w:snapToGrid w:val="0"/>
                <w:color w:val="auto"/>
                <w:highlight w:val="none"/>
                <w:lang w:val="en-US" w:eastAsia="zh-CN"/>
              </w:rPr>
              <w:t>6</w:t>
            </w:r>
            <w:r>
              <w:rPr>
                <w:rFonts w:hint="default" w:ascii="Times New Roman" w:hAnsi="Times New Roman" w:cs="Times New Roman"/>
                <w:snapToGrid w:val="0"/>
                <w:color w:val="auto"/>
                <w:highlight w:val="none"/>
              </w:rPr>
              <w:t>年</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月</w:t>
            </w:r>
          </w:p>
        </w:tc>
      </w:tr>
      <w:tr w14:paraId="42B70C0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366" w:type="pct"/>
            <w:vMerge w:val="continue"/>
            <w:tcBorders>
              <w:tl2br w:val="nil"/>
              <w:tr2bl w:val="nil"/>
            </w:tcBorders>
            <w:vAlign w:val="center"/>
          </w:tcPr>
          <w:p w14:paraId="6AE126EC">
            <w:pPr>
              <w:pStyle w:val="44"/>
              <w:bidi w:val="0"/>
              <w:rPr>
                <w:rFonts w:hint="default" w:ascii="Times New Roman" w:hAnsi="Times New Roman" w:cs="Times New Roman"/>
                <w:color w:val="auto"/>
              </w:rPr>
            </w:pPr>
          </w:p>
        </w:tc>
        <w:tc>
          <w:tcPr>
            <w:tcW w:w="1277" w:type="pct"/>
            <w:vMerge w:val="continue"/>
            <w:tcBorders>
              <w:right w:val="single" w:color="auto" w:sz="4" w:space="0"/>
              <w:tl2br w:val="nil"/>
              <w:tr2bl w:val="nil"/>
            </w:tcBorders>
            <w:vAlign w:val="center"/>
          </w:tcPr>
          <w:p w14:paraId="3D55AD47">
            <w:pPr>
              <w:pStyle w:val="44"/>
              <w:bidi w:val="0"/>
              <w:rPr>
                <w:rFonts w:hint="default" w:ascii="Times New Roman" w:hAnsi="Times New Roman" w:cs="Times New Roman"/>
                <w:color w:val="auto"/>
              </w:rPr>
            </w:pPr>
          </w:p>
        </w:tc>
        <w:tc>
          <w:tcPr>
            <w:tcW w:w="2350" w:type="pct"/>
            <w:vMerge w:val="continue"/>
            <w:tcBorders>
              <w:left w:val="single" w:color="auto" w:sz="4" w:space="0"/>
              <w:tl2br w:val="nil"/>
              <w:tr2bl w:val="nil"/>
            </w:tcBorders>
            <w:vAlign w:val="center"/>
          </w:tcPr>
          <w:p w14:paraId="21D1132E">
            <w:pPr>
              <w:pStyle w:val="44"/>
              <w:bidi w:val="0"/>
              <w:rPr>
                <w:rFonts w:hint="default" w:ascii="Times New Roman" w:hAnsi="Times New Roman" w:cs="Times New Roman"/>
                <w:color w:val="auto"/>
              </w:rPr>
            </w:pPr>
          </w:p>
        </w:tc>
        <w:tc>
          <w:tcPr>
            <w:tcW w:w="1005" w:type="pct"/>
            <w:vMerge w:val="continue"/>
            <w:tcBorders>
              <w:tl2br w:val="nil"/>
              <w:tr2bl w:val="nil"/>
            </w:tcBorders>
            <w:vAlign w:val="center"/>
          </w:tcPr>
          <w:p w14:paraId="20A1F26A">
            <w:pPr>
              <w:pStyle w:val="44"/>
              <w:bidi w:val="0"/>
              <w:rPr>
                <w:rFonts w:hint="default" w:ascii="Times New Roman" w:hAnsi="Times New Roman" w:cs="Times New Roman"/>
                <w:color w:val="auto"/>
              </w:rPr>
            </w:pPr>
          </w:p>
        </w:tc>
      </w:tr>
      <w:tr w14:paraId="7253087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366" w:type="pct"/>
            <w:vMerge w:val="continue"/>
            <w:tcBorders>
              <w:tl2br w:val="nil"/>
              <w:tr2bl w:val="nil"/>
            </w:tcBorders>
            <w:vAlign w:val="center"/>
          </w:tcPr>
          <w:p w14:paraId="7D4F129F">
            <w:pPr>
              <w:pStyle w:val="44"/>
              <w:bidi w:val="0"/>
              <w:rPr>
                <w:rFonts w:hint="default" w:ascii="Times New Roman" w:hAnsi="Times New Roman" w:cs="Times New Roman"/>
                <w:color w:val="auto"/>
              </w:rPr>
            </w:pPr>
          </w:p>
        </w:tc>
        <w:tc>
          <w:tcPr>
            <w:tcW w:w="1277" w:type="pct"/>
            <w:vMerge w:val="continue"/>
            <w:tcBorders>
              <w:right w:val="single" w:color="auto" w:sz="4" w:space="0"/>
              <w:tl2br w:val="nil"/>
              <w:tr2bl w:val="nil"/>
            </w:tcBorders>
            <w:vAlign w:val="center"/>
          </w:tcPr>
          <w:p w14:paraId="5B8A453E">
            <w:pPr>
              <w:pStyle w:val="44"/>
              <w:bidi w:val="0"/>
              <w:rPr>
                <w:rFonts w:hint="default" w:ascii="Times New Roman" w:hAnsi="Times New Roman" w:cs="Times New Roman"/>
                <w:color w:val="auto"/>
              </w:rPr>
            </w:pPr>
          </w:p>
        </w:tc>
        <w:tc>
          <w:tcPr>
            <w:tcW w:w="2350" w:type="pct"/>
            <w:vMerge w:val="continue"/>
            <w:tcBorders>
              <w:left w:val="single" w:color="auto" w:sz="4" w:space="0"/>
              <w:tl2br w:val="nil"/>
              <w:tr2bl w:val="nil"/>
            </w:tcBorders>
            <w:vAlign w:val="center"/>
          </w:tcPr>
          <w:p w14:paraId="7ADBEE0F">
            <w:pPr>
              <w:pStyle w:val="44"/>
              <w:bidi w:val="0"/>
              <w:rPr>
                <w:rFonts w:hint="default" w:ascii="Times New Roman" w:hAnsi="Times New Roman" w:cs="Times New Roman"/>
                <w:color w:val="auto"/>
              </w:rPr>
            </w:pPr>
          </w:p>
        </w:tc>
        <w:tc>
          <w:tcPr>
            <w:tcW w:w="1005" w:type="pct"/>
            <w:vMerge w:val="continue"/>
            <w:tcBorders>
              <w:tl2br w:val="nil"/>
              <w:tr2bl w:val="nil"/>
            </w:tcBorders>
            <w:vAlign w:val="center"/>
          </w:tcPr>
          <w:p w14:paraId="6FA81D0D">
            <w:pPr>
              <w:pStyle w:val="44"/>
              <w:bidi w:val="0"/>
              <w:rPr>
                <w:rFonts w:hint="default" w:ascii="Times New Roman" w:hAnsi="Times New Roman" w:cs="Times New Roman"/>
                <w:color w:val="auto"/>
              </w:rPr>
            </w:pPr>
          </w:p>
        </w:tc>
      </w:tr>
    </w:tbl>
    <w:p w14:paraId="45B1A3B5">
      <w:pPr>
        <w:pStyle w:val="25"/>
        <w:ind w:firstLine="480"/>
        <w:rPr>
          <w:rFonts w:hint="default" w:ascii="Times New Roman" w:hAnsi="Times New Roman" w:cs="Times New Roman"/>
          <w:snapToGrid w:val="0"/>
          <w:color w:val="auto"/>
        </w:rPr>
      </w:pPr>
      <w:r>
        <w:rPr>
          <w:rFonts w:hint="default" w:ascii="Times New Roman" w:hAnsi="Times New Roman" w:cs="Times New Roman"/>
          <w:snapToGrid w:val="0"/>
          <w:color w:val="auto"/>
        </w:rPr>
        <w:t>根据《中华人民共和国环境保护法》《中华人民共和国环境影响评价法》《建设项目环境保护管理条例》等有关规定，鸡西市城子河区住房和城乡建设局委托我公司承担该项目的环境影响评价工作。在接到委托后，评价单位组成项目组，项目组评价人员对现场进行了实地踏查并收集了相关资料，委托相关单位进行现状监测，经资料整理、模式计算及统计分析，编制出该项目的环境影响报告书，现提交主管部门审查。</w:t>
      </w:r>
    </w:p>
    <w:p w14:paraId="4AE232B1">
      <w:pPr>
        <w:pStyle w:val="41"/>
        <w:rPr>
          <w:rFonts w:hint="default" w:ascii="Times New Roman" w:hAnsi="Times New Roman" w:cs="Times New Roman"/>
          <w:color w:val="auto"/>
        </w:rPr>
      </w:pPr>
      <w:bookmarkStart w:id="15" w:name="_Toc152926800"/>
      <w:bookmarkStart w:id="16" w:name="_Toc4340"/>
      <w:bookmarkStart w:id="17" w:name="_Toc119316783"/>
      <w:bookmarkStart w:id="18" w:name="_Toc9468"/>
      <w:r>
        <w:rPr>
          <w:rFonts w:hint="default" w:ascii="Times New Roman" w:hAnsi="Times New Roman" w:cs="Times New Roman"/>
          <w:color w:val="auto"/>
        </w:rPr>
        <w:t>1.2项目特点</w:t>
      </w:r>
      <w:bookmarkEnd w:id="11"/>
      <w:bookmarkEnd w:id="12"/>
      <w:bookmarkEnd w:id="15"/>
      <w:bookmarkEnd w:id="16"/>
      <w:bookmarkEnd w:id="17"/>
      <w:bookmarkEnd w:id="18"/>
    </w:p>
    <w:p w14:paraId="570A50DF">
      <w:pPr>
        <w:pStyle w:val="25"/>
        <w:numPr>
          <w:ilvl w:val="0"/>
          <w:numId w:val="0"/>
        </w:numPr>
        <w:ind w:firstLine="480" w:firstLineChars="200"/>
        <w:rPr>
          <w:rFonts w:hint="default" w:ascii="Times New Roman" w:hAnsi="Times New Roman" w:cs="Times New Roman"/>
          <w:color w:val="auto"/>
          <w:lang w:val="en-US" w:eastAsia="zh-CN"/>
        </w:rPr>
      </w:pPr>
      <w:r>
        <w:rPr>
          <w:rFonts w:hint="default" w:ascii="Times New Roman" w:hAnsi="Times New Roman" w:eastAsia="宋体" w:cs="Times New Roman"/>
          <w:color w:val="auto"/>
          <w:kern w:val="2"/>
          <w:sz w:val="24"/>
          <w:szCs w:val="24"/>
          <w:lang w:val="en-US" w:eastAsia="zh-CN" w:bidi="ar-SA"/>
        </w:rPr>
        <w:t>（1）</w:t>
      </w:r>
      <w:r>
        <w:rPr>
          <w:rFonts w:hint="default" w:ascii="Times New Roman" w:hAnsi="Times New Roman" w:cs="Times New Roman"/>
          <w:color w:val="auto"/>
        </w:rPr>
        <w:t>本项目对历史遗留废弃矿山</w:t>
      </w:r>
      <w:r>
        <w:rPr>
          <w:rFonts w:hint="default" w:ascii="Times New Roman" w:hAnsi="Times New Roman" w:cs="Times New Roman"/>
          <w:color w:val="auto"/>
          <w:lang w:val="en-US" w:eastAsia="zh-CN"/>
        </w:rPr>
        <w:t>进行</w:t>
      </w:r>
      <w:r>
        <w:rPr>
          <w:rFonts w:hint="default" w:ascii="Times New Roman" w:hAnsi="Times New Roman" w:cs="Times New Roman"/>
          <w:color w:val="auto"/>
        </w:rPr>
        <w:t>生态修复</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属于生态恢复类项目。</w:t>
      </w:r>
    </w:p>
    <w:p w14:paraId="3152CFF1">
      <w:pPr>
        <w:pStyle w:val="25"/>
        <w:numPr>
          <w:ilvl w:val="0"/>
          <w:numId w:val="0"/>
        </w:numPr>
        <w:ind w:firstLine="480" w:firstLineChars="200"/>
        <w:rPr>
          <w:rFonts w:hint="default" w:ascii="Times New Roman" w:hAnsi="Times New Roman" w:eastAsia="宋体" w:cs="Times New Roman"/>
          <w:color w:val="auto"/>
          <w:lang w:val="en-US" w:eastAsia="zh-CN"/>
        </w:rPr>
      </w:pPr>
      <w:r>
        <w:rPr>
          <w:rFonts w:hint="default" w:ascii="Times New Roman" w:hAnsi="Times New Roman" w:cs="Times New Roman"/>
          <w:snapToGrid w:val="0"/>
          <w:color w:val="auto"/>
          <w:lang w:eastAsia="zh-CN"/>
        </w:rPr>
        <w:t>（</w:t>
      </w:r>
      <w:r>
        <w:rPr>
          <w:rFonts w:hint="default" w:ascii="Times New Roman" w:hAnsi="Times New Roman" w:cs="Times New Roman"/>
          <w:snapToGrid w:val="0"/>
          <w:color w:val="auto"/>
          <w:lang w:val="en-US" w:eastAsia="zh-CN"/>
        </w:rPr>
        <w:t>2</w:t>
      </w:r>
      <w:r>
        <w:rPr>
          <w:rFonts w:hint="default" w:ascii="Times New Roman" w:hAnsi="Times New Roman" w:cs="Times New Roman"/>
          <w:snapToGrid w:val="0"/>
          <w:color w:val="auto"/>
          <w:lang w:eastAsia="zh-CN"/>
        </w:rPr>
        <w:t>）</w:t>
      </w:r>
      <w:r>
        <w:rPr>
          <w:rFonts w:hint="default" w:ascii="Times New Roman" w:hAnsi="Times New Roman" w:cs="Times New Roman"/>
          <w:snapToGrid w:val="0"/>
          <w:color w:val="auto"/>
        </w:rPr>
        <w:t>结合每一处修复场地实际情况，制定专属修复方案，涉及的修复工程内容主要包括清理工程、场地平整工程、回填工程、挡土墙工程、截排水沟工程和植被恢复工程等</w:t>
      </w:r>
      <w:r>
        <w:rPr>
          <w:rFonts w:hint="default" w:ascii="Times New Roman" w:hAnsi="Times New Roman" w:cs="Times New Roman"/>
          <w:snapToGrid w:val="0"/>
          <w:color w:val="auto"/>
          <w:lang w:eastAsia="zh-CN"/>
        </w:rPr>
        <w:t>。</w:t>
      </w:r>
      <w:r>
        <w:rPr>
          <w:rFonts w:hint="default" w:ascii="Times New Roman" w:hAnsi="Times New Roman" w:cs="Times New Roman"/>
          <w:snapToGrid w:val="0"/>
          <w:color w:val="auto"/>
          <w:lang w:val="en-US" w:eastAsia="zh-CN"/>
        </w:rPr>
        <w:t>其中</w:t>
      </w:r>
      <w:r>
        <w:rPr>
          <w:rFonts w:hint="default" w:ascii="Times New Roman" w:hAnsi="Times New Roman" w:cs="Times New Roman"/>
          <w:color w:val="auto"/>
        </w:rPr>
        <w:t>鸡西市城子河区兴顺采石场(2#)</w:t>
      </w:r>
      <w:r>
        <w:rPr>
          <w:rFonts w:hint="default" w:ascii="Times New Roman" w:hAnsi="Times New Roman" w:cs="Times New Roman"/>
          <w:color w:val="auto"/>
          <w:lang w:val="en-US" w:eastAsia="zh-CN"/>
        </w:rPr>
        <w:t>工程涉及煤矸石回填工程，本项目12个历史遗留矿山生态修复过程中产生的环境影响主要集中在施工期，</w:t>
      </w:r>
      <w:r>
        <w:rPr>
          <w:rFonts w:hint="default" w:ascii="Times New Roman" w:hAnsi="Times New Roman" w:cs="Times New Roman"/>
          <w:color w:val="auto"/>
          <w:highlight w:val="none"/>
          <w:lang w:val="en-US" w:eastAsia="zh-CN"/>
        </w:rPr>
        <w:t>生态恢复期不产生污染物，</w:t>
      </w:r>
      <w:r>
        <w:rPr>
          <w:rFonts w:hint="default" w:ascii="Times New Roman" w:hAnsi="Times New Roman" w:cs="Times New Roman"/>
          <w:color w:val="auto"/>
          <w:lang w:val="en-US" w:eastAsia="zh-CN"/>
        </w:rPr>
        <w:t>本次环评重点针对</w:t>
      </w:r>
      <w:r>
        <w:rPr>
          <w:rFonts w:hint="default" w:ascii="Times New Roman" w:hAnsi="Times New Roman" w:cs="Times New Roman"/>
          <w:color w:val="auto"/>
        </w:rPr>
        <w:t>鸡西市城子河区兴顺采石场(2#)</w:t>
      </w:r>
      <w:r>
        <w:rPr>
          <w:rFonts w:hint="default" w:ascii="Times New Roman" w:hAnsi="Times New Roman" w:cs="Times New Roman"/>
          <w:color w:val="auto"/>
          <w:lang w:val="en-US" w:eastAsia="zh-CN"/>
        </w:rPr>
        <w:t>工程施工期的大气环境，声环境、地下水等影响，并提出相应的措施。</w:t>
      </w:r>
    </w:p>
    <w:p w14:paraId="1745C1EA">
      <w:pPr>
        <w:pStyle w:val="25"/>
        <w:ind w:firstLine="480"/>
        <w:rPr>
          <w:rFonts w:hint="default" w:ascii="Times New Roman" w:hAnsi="Times New Roman" w:cs="Times New Roman"/>
          <w:color w:val="auto"/>
        </w:rPr>
      </w:pPr>
      <w:r>
        <w:rPr>
          <w:rFonts w:hint="default" w:ascii="Times New Roman" w:hAnsi="Times New Roman" w:cs="Times New Roman"/>
          <w:color w:val="auto"/>
        </w:rPr>
        <w:t>（</w:t>
      </w:r>
      <w:r>
        <w:rPr>
          <w:rFonts w:hint="default" w:ascii="Times New Roman" w:hAnsi="Times New Roman" w:cs="Times New Roman"/>
          <w:color w:val="auto"/>
          <w:lang w:val="en-US" w:eastAsia="zh-CN"/>
        </w:rPr>
        <w:t>3</w:t>
      </w:r>
      <w:r>
        <w:rPr>
          <w:rFonts w:hint="default" w:ascii="Times New Roman" w:hAnsi="Times New Roman" w:cs="Times New Roman"/>
          <w:color w:val="auto"/>
        </w:rPr>
        <w:t>）鸡西市城子河区兴顺采石场(2#)</w:t>
      </w:r>
      <w:r>
        <w:rPr>
          <w:rFonts w:hint="default" w:ascii="Times New Roman" w:hAnsi="Times New Roman" w:cs="Times New Roman"/>
          <w:color w:val="auto"/>
          <w:lang w:val="en-US" w:eastAsia="zh-CN"/>
        </w:rPr>
        <w:t>工程：</w:t>
      </w:r>
      <w:r>
        <w:rPr>
          <w:rFonts w:hint="default" w:ascii="Times New Roman" w:hAnsi="Times New Roman" w:cs="Times New Roman"/>
          <w:color w:val="auto"/>
        </w:rPr>
        <w:t>利用本项目中煤矿工业广场(</w:t>
      </w:r>
      <w:r>
        <w:rPr>
          <w:rFonts w:hint="default" w:ascii="Times New Roman" w:hAnsi="Times New Roman" w:cs="Times New Roman"/>
          <w:color w:val="auto"/>
          <w:lang w:eastAsia="zh-CN"/>
        </w:rPr>
        <w:t>41#</w:t>
      </w:r>
      <w:r>
        <w:rPr>
          <w:rFonts w:hint="default" w:ascii="Times New Roman" w:hAnsi="Times New Roman" w:cs="Times New Roman"/>
          <w:color w:val="auto"/>
        </w:rPr>
        <w:t>)煤矸石进行回填</w:t>
      </w:r>
      <w:r>
        <w:rPr>
          <w:rFonts w:hint="default" w:ascii="Times New Roman" w:hAnsi="Times New Roman" w:cs="Times New Roman"/>
          <w:color w:val="auto"/>
          <w:lang w:eastAsia="zh-CN"/>
        </w:rPr>
        <w:t>，</w:t>
      </w:r>
      <w:r>
        <w:rPr>
          <w:rFonts w:hint="default" w:ascii="Times New Roman" w:hAnsi="Times New Roman" w:cs="Times New Roman"/>
          <w:color w:val="auto"/>
          <w:highlight w:val="none"/>
        </w:rPr>
        <w:t>兴顺采石场(2#)已损毁采掘场占地面积6.48hm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r>
        <w:rPr>
          <w:rFonts w:hint="default" w:ascii="Times New Roman" w:hAnsi="Times New Roman" w:cs="Times New Roman"/>
          <w:color w:val="auto"/>
        </w:rPr>
        <w:t>目前采坑属于荒废状态</w:t>
      </w:r>
      <w:r>
        <w:rPr>
          <w:rFonts w:hint="eastAsia" w:ascii="Times New Roman" w:hAnsi="Times New Roman" w:cs="Times New Roman"/>
          <w:color w:val="auto"/>
          <w:lang w:eastAsia="zh-CN"/>
        </w:rPr>
        <w:t>，</w:t>
      </w:r>
      <w:r>
        <w:rPr>
          <w:rFonts w:hint="default" w:ascii="Times New Roman" w:hAnsi="Times New Roman" w:cs="Times New Roman"/>
          <w:color w:val="auto"/>
          <w:highlight w:val="none"/>
        </w:rPr>
        <w:t>煤矸石回填总量为138.6万m</w:t>
      </w:r>
      <w:r>
        <w:rPr>
          <w:rFonts w:hint="default" w:ascii="Times New Roman" w:hAnsi="Times New Roman" w:cs="Times New Roman"/>
          <w:color w:val="auto"/>
          <w:highlight w:val="none"/>
          <w:vertAlign w:val="superscript"/>
        </w:rPr>
        <w:t>3</w:t>
      </w:r>
      <w:r>
        <w:rPr>
          <w:rFonts w:hint="eastAsia" w:cs="Times New Roman"/>
          <w:color w:val="auto"/>
          <w:highlight w:val="none"/>
          <w:vertAlign w:val="baseline"/>
          <w:lang w:eastAsia="zh-CN"/>
        </w:rPr>
        <w:t>，</w:t>
      </w:r>
      <w:r>
        <w:rPr>
          <w:rFonts w:hint="eastAsia" w:cs="Times New Roman"/>
          <w:color w:val="auto"/>
          <w:highlight w:val="none"/>
          <w:vertAlign w:val="baseline"/>
          <w:lang w:val="en-US" w:eastAsia="zh-CN"/>
        </w:rPr>
        <w:t>约180.18万吨</w:t>
      </w:r>
      <w:r>
        <w:rPr>
          <w:rFonts w:hint="default" w:ascii="Times New Roman" w:hAnsi="Times New Roman" w:cs="Times New Roman"/>
          <w:color w:val="auto"/>
          <w:highlight w:val="none"/>
        </w:rPr>
        <w:t>。</w:t>
      </w:r>
      <w:bookmarkStart w:id="19" w:name="_Hlk35965352"/>
      <w:r>
        <w:rPr>
          <w:rFonts w:hint="default" w:ascii="Times New Roman" w:hAnsi="Times New Roman" w:cs="Times New Roman"/>
          <w:color w:val="auto"/>
        </w:rPr>
        <w:t>根据</w:t>
      </w:r>
      <w:bookmarkEnd w:id="19"/>
      <w:r>
        <w:rPr>
          <w:rFonts w:hint="default" w:ascii="Times New Roman" w:hAnsi="Times New Roman" w:cs="Times New Roman"/>
          <w:color w:val="auto"/>
          <w:lang w:val="en-US" w:eastAsia="zh-CN"/>
        </w:rPr>
        <w:t>41#中煤工业广场</w:t>
      </w:r>
      <w:r>
        <w:rPr>
          <w:rFonts w:hint="default" w:ascii="Times New Roman" w:hAnsi="Times New Roman" w:cs="Times New Roman"/>
          <w:color w:val="auto"/>
        </w:rPr>
        <w:t>煤矸石浸出液的检测结果可知</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附件3</w:t>
      </w:r>
      <w:r>
        <w:rPr>
          <w:rFonts w:hint="eastAsia" w:ascii="Times New Roman" w:hAnsi="Times New Roman" w:cs="Times New Roman"/>
          <w:color w:val="auto"/>
          <w:lang w:eastAsia="zh-CN"/>
        </w:rPr>
        <w:t>）</w:t>
      </w:r>
      <w:r>
        <w:rPr>
          <w:rFonts w:hint="default" w:ascii="Times New Roman" w:hAnsi="Times New Roman" w:cs="Times New Roman"/>
          <w:color w:val="auto"/>
        </w:rPr>
        <w:t>，回填材料煤矸石属第</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 1 \* ROMAN </w:instrText>
      </w:r>
      <w:r>
        <w:rPr>
          <w:rFonts w:hint="default" w:ascii="Times New Roman" w:hAnsi="Times New Roman" w:cs="Times New Roman"/>
          <w:color w:val="auto"/>
        </w:rPr>
        <w:fldChar w:fldCharType="separate"/>
      </w:r>
      <w:r>
        <w:rPr>
          <w:rFonts w:hint="default" w:ascii="Times New Roman" w:hAnsi="Times New Roman" w:cs="Times New Roman"/>
          <w:color w:val="auto"/>
        </w:rPr>
        <w:t>I</w:t>
      </w:r>
      <w:r>
        <w:rPr>
          <w:rFonts w:hint="default" w:ascii="Times New Roman" w:hAnsi="Times New Roman" w:cs="Times New Roman"/>
          <w:color w:val="auto"/>
        </w:rPr>
        <w:fldChar w:fldCharType="end"/>
      </w:r>
      <w:r>
        <w:rPr>
          <w:rFonts w:hint="default" w:ascii="Times New Roman" w:hAnsi="Times New Roman" w:cs="Times New Roman"/>
          <w:color w:val="auto"/>
        </w:rPr>
        <w:t>类一般工业固体废物。煤矸石由专门的运输单位负责运输至兴顺采石场(2#)场地。回填过程采用“分层摊铺、往返碾压、分单元作业”的回填处理工艺，摊铺作业方法采用下推法。</w:t>
      </w:r>
    </w:p>
    <w:p w14:paraId="1BCE65FD">
      <w:pPr>
        <w:pStyle w:val="25"/>
        <w:ind w:firstLine="480"/>
        <w:rPr>
          <w:rFonts w:hint="default" w:ascii="Times New Roman" w:hAnsi="Times New Roman" w:eastAsia="宋体" w:cs="Times New Roman"/>
          <w:color w:val="auto"/>
          <w:lang w:val="en-US" w:eastAsia="zh-CN"/>
        </w:rPr>
      </w:pPr>
      <w:r>
        <w:rPr>
          <w:rFonts w:hint="default" w:ascii="Times New Roman" w:hAnsi="Times New Roman" w:cs="Times New Roman"/>
          <w:color w:val="auto"/>
        </w:rPr>
        <w:t>（</w:t>
      </w:r>
      <w:r>
        <w:rPr>
          <w:rFonts w:hint="default" w:ascii="Times New Roman" w:hAnsi="Times New Roman" w:cs="Times New Roman"/>
          <w:color w:val="auto"/>
          <w:lang w:val="en-US" w:eastAsia="zh-CN"/>
        </w:rPr>
        <w:t>4</w:t>
      </w:r>
      <w:r>
        <w:rPr>
          <w:rFonts w:hint="default" w:ascii="Times New Roman" w:hAnsi="Times New Roman" w:cs="Times New Roman"/>
          <w:color w:val="auto"/>
        </w:rPr>
        <w:t>）</w:t>
      </w:r>
      <w:r>
        <w:rPr>
          <w:rFonts w:hint="default" w:ascii="Times New Roman" w:hAnsi="Times New Roman" w:cs="Times New Roman"/>
          <w:color w:val="auto"/>
          <w:lang w:val="en-US" w:eastAsia="zh-CN"/>
        </w:rPr>
        <w:t>本项目12个历史遗留矿山所需表土均由政府统一调配，不设置取弃、土场，涉及到场地清理及危岩清理产生的固体废物，用于垫平本场地，不外排。</w:t>
      </w:r>
    </w:p>
    <w:p w14:paraId="461900FD">
      <w:pPr>
        <w:pStyle w:val="25"/>
        <w:ind w:firstLine="480"/>
        <w:rPr>
          <w:rFonts w:hint="default" w:ascii="Times New Roman" w:hAnsi="Times New Roman" w:eastAsia="宋体" w:cs="Times New Roman"/>
          <w:color w:val="auto"/>
          <w:sz w:val="24"/>
          <w:szCs w:val="24"/>
        </w:rPr>
      </w:pPr>
      <w:r>
        <w:rPr>
          <w:rFonts w:hint="default" w:ascii="Times New Roman" w:hAnsi="Times New Roman" w:cs="Times New Roman"/>
          <w:color w:val="auto"/>
        </w:rPr>
        <w:t>（</w:t>
      </w:r>
      <w:r>
        <w:rPr>
          <w:rFonts w:hint="default" w:ascii="Times New Roman" w:hAnsi="Times New Roman" w:cs="Times New Roman"/>
          <w:color w:val="auto"/>
          <w:lang w:val="en-US" w:eastAsia="zh-CN"/>
        </w:rPr>
        <w:t>5</w:t>
      </w:r>
      <w:r>
        <w:rPr>
          <w:rFonts w:hint="default" w:ascii="Times New Roman" w:hAnsi="Times New Roman" w:cs="Times New Roman"/>
          <w:color w:val="auto"/>
        </w:rPr>
        <w:t>）本项目为历史遗留废弃矿山生态修复，其对环境的影响主要为</w:t>
      </w:r>
      <w:r>
        <w:rPr>
          <w:rFonts w:hint="default" w:ascii="Times New Roman" w:hAnsi="Times New Roman" w:cs="Times New Roman"/>
          <w:color w:val="auto"/>
          <w:lang w:val="en-US" w:eastAsia="zh-CN"/>
        </w:rPr>
        <w:t>施工期</w:t>
      </w:r>
      <w:r>
        <w:rPr>
          <w:rFonts w:hint="default" w:ascii="Times New Roman" w:hAnsi="Times New Roman" w:cs="Times New Roman"/>
          <w:color w:val="auto"/>
        </w:rPr>
        <w:t>扬尘、机械设备噪声等对环境产生的不利影响。</w:t>
      </w:r>
      <w:bookmarkStart w:id="20" w:name="_Hlk148107679"/>
      <w:r>
        <w:rPr>
          <w:rFonts w:hint="default" w:ascii="Times New Roman" w:hAnsi="Times New Roman" w:cs="Times New Roman"/>
          <w:color w:val="auto"/>
          <w:lang w:val="en-US" w:eastAsia="zh-CN"/>
        </w:rPr>
        <w:t>2#</w:t>
      </w:r>
      <w:r>
        <w:rPr>
          <w:rFonts w:hint="default" w:ascii="Times New Roman" w:hAnsi="Times New Roman" w:eastAsia="宋体" w:cs="Times New Roman"/>
          <w:color w:val="auto"/>
          <w:spacing w:val="1"/>
          <w:sz w:val="24"/>
          <w:szCs w:val="24"/>
        </w:rPr>
        <w:t>煤矸石回填堆放和装卸扬尘采取分单元作业、及时碾压、配备</w:t>
      </w:r>
      <w:r>
        <w:rPr>
          <w:rFonts w:hint="default" w:ascii="Times New Roman" w:hAnsi="Times New Roman" w:eastAsia="宋体" w:cs="Times New Roman"/>
          <w:color w:val="auto"/>
          <w:spacing w:val="-50"/>
          <w:sz w:val="24"/>
          <w:szCs w:val="24"/>
        </w:rPr>
        <w:t xml:space="preserve"> </w:t>
      </w:r>
      <w:r>
        <w:rPr>
          <w:rFonts w:hint="default" w:ascii="Times New Roman" w:hAnsi="Times New Roman" w:eastAsia="宋体" w:cs="Times New Roman"/>
          <w:color w:val="auto"/>
          <w:spacing w:val="4"/>
          <w:sz w:val="24"/>
          <w:szCs w:val="24"/>
        </w:rPr>
        <w:t>洒水车洒水抑尘；车辆运输扬尘采取车辆加盖苫布，减速慢行，运输道路每天</w:t>
      </w:r>
      <w:r>
        <w:rPr>
          <w:rFonts w:hint="default" w:ascii="Times New Roman" w:hAnsi="Times New Roman" w:eastAsia="宋体" w:cs="Times New Roman"/>
          <w:color w:val="auto"/>
          <w:spacing w:val="-2"/>
          <w:sz w:val="24"/>
          <w:szCs w:val="24"/>
        </w:rPr>
        <w:t>进行洒水抑尘。</w:t>
      </w:r>
      <w:r>
        <w:rPr>
          <w:rFonts w:hint="default" w:ascii="Times New Roman" w:hAnsi="Times New Roman" w:eastAsia="宋体" w:cs="Times New Roman"/>
          <w:color w:val="auto"/>
          <w:spacing w:val="2"/>
          <w:sz w:val="24"/>
          <w:szCs w:val="24"/>
        </w:rPr>
        <w:t>项目</w:t>
      </w:r>
      <w:r>
        <w:rPr>
          <w:rFonts w:hint="default" w:ascii="Times New Roman" w:hAnsi="Times New Roman" w:eastAsia="宋体" w:cs="Times New Roman"/>
          <w:color w:val="auto"/>
          <w:spacing w:val="2"/>
          <w:sz w:val="24"/>
          <w:szCs w:val="24"/>
          <w:lang w:val="en-US" w:eastAsia="zh-CN"/>
        </w:rPr>
        <w:t>施工</w:t>
      </w:r>
      <w:r>
        <w:rPr>
          <w:rFonts w:hint="default" w:ascii="Times New Roman" w:hAnsi="Times New Roman" w:eastAsia="宋体" w:cs="Times New Roman"/>
          <w:color w:val="auto"/>
          <w:spacing w:val="2"/>
          <w:sz w:val="24"/>
          <w:szCs w:val="24"/>
        </w:rPr>
        <w:t>过程无生产废水产生，</w:t>
      </w:r>
      <w:r>
        <w:rPr>
          <w:rFonts w:hint="default" w:ascii="Times New Roman" w:hAnsi="Times New Roman" w:eastAsia="宋体" w:cs="Times New Roman"/>
          <w:color w:val="auto"/>
          <w:spacing w:val="2"/>
          <w:sz w:val="24"/>
          <w:szCs w:val="24"/>
          <w:lang w:val="en-US" w:eastAsia="zh-CN"/>
        </w:rPr>
        <w:t>生活废水排入</w:t>
      </w:r>
      <w:r>
        <w:rPr>
          <w:rFonts w:hint="default" w:ascii="Times New Roman" w:hAnsi="Times New Roman" w:eastAsia="宋体" w:cs="Times New Roman"/>
          <w:color w:val="auto"/>
          <w:spacing w:val="2"/>
          <w:sz w:val="24"/>
          <w:szCs w:val="24"/>
        </w:rPr>
        <w:t>租赁的民房防渗旱厕</w:t>
      </w:r>
      <w:r>
        <w:rPr>
          <w:rFonts w:hint="default" w:ascii="Times New Roman" w:hAnsi="Times New Roman" w:eastAsia="宋体" w:cs="Times New Roman"/>
          <w:color w:val="auto"/>
          <w:spacing w:val="-1"/>
          <w:sz w:val="24"/>
          <w:szCs w:val="24"/>
        </w:rPr>
        <w:t>，不外排。</w:t>
      </w:r>
      <w:r>
        <w:rPr>
          <w:rFonts w:hint="default" w:ascii="Times New Roman" w:hAnsi="Times New Roman" w:eastAsia="宋体" w:cs="Times New Roman"/>
          <w:color w:val="auto"/>
          <w:spacing w:val="2"/>
          <w:sz w:val="24"/>
          <w:szCs w:val="24"/>
        </w:rPr>
        <w:t>项目产噪设备主要是施工机械及运输车辆，通过加强作业</w:t>
      </w:r>
      <w:r>
        <w:rPr>
          <w:rFonts w:hint="default" w:ascii="Times New Roman" w:hAnsi="Times New Roman" w:eastAsia="宋体" w:cs="Times New Roman"/>
          <w:color w:val="auto"/>
          <w:spacing w:val="1"/>
          <w:sz w:val="24"/>
          <w:szCs w:val="24"/>
        </w:rPr>
        <w:t>机械管理和控制</w:t>
      </w:r>
      <w:r>
        <w:rPr>
          <w:rFonts w:hint="default" w:ascii="Times New Roman" w:hAnsi="Times New Roman" w:eastAsia="宋体" w:cs="Times New Roman"/>
          <w:color w:val="auto"/>
          <w:spacing w:val="-1"/>
          <w:sz w:val="24"/>
          <w:szCs w:val="24"/>
        </w:rPr>
        <w:t>运行车辆车速的措施降低噪声。</w:t>
      </w:r>
    </w:p>
    <w:p w14:paraId="32200216">
      <w:pPr>
        <w:spacing w:before="34" w:line="347" w:lineRule="auto"/>
        <w:ind w:left="22" w:right="11" w:firstLine="562"/>
        <w:rPr>
          <w:rFonts w:hint="default" w:ascii="Times New Roman" w:hAnsi="Times New Roman" w:eastAsia="宋体" w:cs="Times New Roman"/>
          <w:color w:val="auto"/>
          <w:sz w:val="24"/>
          <w:szCs w:val="24"/>
        </w:rPr>
      </w:pPr>
      <w:r>
        <w:rPr>
          <w:rFonts w:hint="default" w:ascii="Times New Roman" w:hAnsi="Times New Roman" w:cs="Times New Roman"/>
          <w:color w:val="auto"/>
          <w:spacing w:val="2"/>
          <w:sz w:val="24"/>
          <w:szCs w:val="24"/>
          <w:lang w:eastAsia="zh-CN"/>
        </w:rPr>
        <w:t>（</w:t>
      </w:r>
      <w:r>
        <w:rPr>
          <w:rFonts w:hint="default" w:ascii="Times New Roman" w:hAnsi="Times New Roman" w:cs="Times New Roman"/>
          <w:color w:val="auto"/>
          <w:spacing w:val="2"/>
          <w:sz w:val="24"/>
          <w:szCs w:val="24"/>
          <w:lang w:val="en-US" w:eastAsia="zh-CN"/>
        </w:rPr>
        <w:t>6</w:t>
      </w:r>
      <w:r>
        <w:rPr>
          <w:rFonts w:hint="default" w:ascii="Times New Roman" w:hAnsi="Times New Roman" w:cs="Times New Roman"/>
          <w:color w:val="auto"/>
          <w:spacing w:val="2"/>
          <w:sz w:val="24"/>
          <w:szCs w:val="24"/>
          <w:lang w:eastAsia="zh-CN"/>
        </w:rPr>
        <w:t>）</w:t>
      </w:r>
      <w:r>
        <w:rPr>
          <w:rFonts w:hint="default" w:ascii="Times New Roman" w:hAnsi="Times New Roman" w:eastAsia="宋体" w:cs="Times New Roman"/>
          <w:color w:val="auto"/>
          <w:spacing w:val="2"/>
          <w:sz w:val="24"/>
          <w:szCs w:val="24"/>
        </w:rPr>
        <w:t>项目在</w:t>
      </w:r>
      <w:r>
        <w:rPr>
          <w:rFonts w:hint="default" w:ascii="Times New Roman" w:hAnsi="Times New Roman" w:eastAsia="宋体" w:cs="Times New Roman"/>
          <w:color w:val="auto"/>
          <w:spacing w:val="2"/>
          <w:sz w:val="24"/>
          <w:szCs w:val="24"/>
          <w:lang w:val="en-US" w:eastAsia="zh-CN"/>
        </w:rPr>
        <w:t>生态恢复期</w:t>
      </w:r>
      <w:r>
        <w:rPr>
          <w:rFonts w:hint="default" w:ascii="Times New Roman" w:hAnsi="Times New Roman" w:eastAsia="宋体" w:cs="Times New Roman"/>
          <w:color w:val="auto"/>
          <w:spacing w:val="2"/>
          <w:sz w:val="24"/>
          <w:szCs w:val="24"/>
        </w:rPr>
        <w:t>主要为植被的抚育、管护、补植等工程，不</w:t>
      </w:r>
      <w:r>
        <w:rPr>
          <w:rFonts w:hint="default" w:ascii="Times New Roman" w:hAnsi="Times New Roman" w:eastAsia="宋体" w:cs="Times New Roman"/>
          <w:color w:val="auto"/>
          <w:spacing w:val="1"/>
          <w:sz w:val="24"/>
          <w:szCs w:val="24"/>
        </w:rPr>
        <w:t>产生废弃物，种</w:t>
      </w:r>
      <w:r>
        <w:rPr>
          <w:rFonts w:hint="default" w:ascii="Times New Roman" w:hAnsi="Times New Roman" w:eastAsia="宋体" w:cs="Times New Roman"/>
          <w:color w:val="auto"/>
          <w:sz w:val="24"/>
          <w:szCs w:val="24"/>
        </w:rPr>
        <w:t>植植物增加项目区内植被覆盖度，同时对生</w:t>
      </w:r>
      <w:r>
        <w:rPr>
          <w:rFonts w:hint="default" w:ascii="Times New Roman" w:hAnsi="Times New Roman" w:eastAsia="宋体" w:cs="Times New Roman"/>
          <w:color w:val="auto"/>
          <w:spacing w:val="-1"/>
          <w:sz w:val="24"/>
          <w:szCs w:val="24"/>
        </w:rPr>
        <w:t>态景观也起到很好的效果。</w:t>
      </w:r>
    </w:p>
    <w:p w14:paraId="5F7A1B1A">
      <w:pPr>
        <w:pStyle w:val="25"/>
        <w:numPr>
          <w:ilvl w:val="0"/>
          <w:numId w:val="0"/>
        </w:numPr>
        <w:ind w:firstLine="480" w:firstLineChars="200"/>
        <w:rPr>
          <w:rFonts w:hint="default" w:ascii="Times New Roman" w:hAnsi="Times New Roman" w:cs="Times New Roman"/>
          <w:color w:val="auto"/>
          <w:highlight w:val="none"/>
        </w:rPr>
      </w:pPr>
      <w:r>
        <w:rPr>
          <w:rFonts w:hint="default" w:ascii="Times New Roman" w:hAnsi="Times New Roman" w:eastAsia="宋体" w:cs="Times New Roman"/>
          <w:color w:val="auto"/>
          <w:kern w:val="2"/>
          <w:sz w:val="24"/>
          <w:szCs w:val="24"/>
          <w:lang w:val="en-US" w:eastAsia="zh-CN" w:bidi="ar-SA"/>
        </w:rPr>
        <w:t>（</w:t>
      </w:r>
      <w:r>
        <w:rPr>
          <w:rFonts w:hint="default" w:ascii="Times New Roman" w:hAnsi="Times New Roman" w:cs="Times New Roman"/>
          <w:color w:val="auto"/>
          <w:kern w:val="2"/>
          <w:sz w:val="24"/>
          <w:szCs w:val="24"/>
          <w:lang w:val="en-US" w:eastAsia="zh-CN" w:bidi="ar-SA"/>
        </w:rPr>
        <w:t>6</w:t>
      </w:r>
      <w:r>
        <w:rPr>
          <w:rFonts w:hint="default" w:ascii="Times New Roman" w:hAnsi="Times New Roman" w:eastAsia="宋体" w:cs="Times New Roman"/>
          <w:color w:val="auto"/>
          <w:kern w:val="2"/>
          <w:sz w:val="24"/>
          <w:szCs w:val="24"/>
          <w:lang w:val="en-US" w:eastAsia="zh-CN" w:bidi="ar-SA"/>
        </w:rPr>
        <w:t>）</w:t>
      </w:r>
      <w:r>
        <w:rPr>
          <w:rFonts w:hint="default" w:ascii="Times New Roman" w:hAnsi="Times New Roman" w:cs="Times New Roman"/>
          <w:color w:val="auto"/>
        </w:rPr>
        <w:t>本项目位于鸡西市城子河区</w:t>
      </w:r>
      <w:bookmarkEnd w:id="20"/>
      <w:r>
        <w:rPr>
          <w:rFonts w:hint="default" w:ascii="Times New Roman" w:hAnsi="Times New Roman" w:cs="Times New Roman"/>
          <w:color w:val="auto"/>
          <w:lang w:eastAsia="zh-CN"/>
        </w:rPr>
        <w:t>，</w:t>
      </w:r>
      <w:r>
        <w:rPr>
          <w:rFonts w:hint="default" w:ascii="Times New Roman" w:hAnsi="Times New Roman" w:cs="Times New Roman"/>
          <w:color w:val="auto"/>
        </w:rPr>
        <w:t>本项目</w:t>
      </w:r>
      <w:r>
        <w:rPr>
          <w:rFonts w:hint="default" w:ascii="Times New Roman" w:hAnsi="Times New Roman" w:cs="Times New Roman"/>
          <w:color w:val="auto"/>
          <w:lang w:val="en-US" w:eastAsia="zh-CN"/>
        </w:rPr>
        <w:t>12个修复项目</w:t>
      </w:r>
      <w:r>
        <w:rPr>
          <w:rFonts w:hint="default" w:ascii="Times New Roman" w:hAnsi="Times New Roman" w:cs="Times New Roman"/>
          <w:color w:val="auto"/>
        </w:rPr>
        <w:t>评价范围内</w:t>
      </w:r>
      <w:r>
        <w:rPr>
          <w:rFonts w:hint="default" w:ascii="Times New Roman" w:hAnsi="Times New Roman" w:cs="Times New Roman"/>
          <w:color w:val="auto"/>
          <w:lang w:val="en-US" w:eastAsia="zh-CN"/>
        </w:rPr>
        <w:t>均</w:t>
      </w:r>
      <w:r>
        <w:rPr>
          <w:rFonts w:hint="default" w:ascii="Times New Roman" w:hAnsi="Times New Roman" w:cs="Times New Roman"/>
          <w:color w:val="auto"/>
        </w:rPr>
        <w:t>无自然保护区、风景名胜区、森林公园、地质公园、重要湿地、饮用水源保护区等环境敏感区。</w:t>
      </w:r>
      <w:r>
        <w:rPr>
          <w:rFonts w:hint="default" w:ascii="Times New Roman" w:hAnsi="Times New Roman" w:cs="Times New Roman"/>
          <w:color w:val="auto"/>
          <w:highlight w:val="none"/>
        </w:rPr>
        <w:t>本项目2#、14#、15#、16#、21#、59#、60#</w:t>
      </w:r>
      <w:r>
        <w:rPr>
          <w:rFonts w:hint="default" w:ascii="Times New Roman" w:hAnsi="Times New Roman" w:cs="Times New Roman"/>
          <w:color w:val="auto"/>
          <w:highlight w:val="none"/>
          <w:lang w:eastAsia="zh-CN"/>
        </w:rPr>
        <w:t>项目区</w:t>
      </w:r>
      <w:r>
        <w:rPr>
          <w:rFonts w:hint="default" w:ascii="Times New Roman" w:hAnsi="Times New Roman" w:cs="Times New Roman"/>
          <w:color w:val="auto"/>
          <w:highlight w:val="none"/>
        </w:rPr>
        <w:t>属于优先管控单元+水环境农业污染重点管控区；25#</w:t>
      </w:r>
      <w:r>
        <w:rPr>
          <w:rFonts w:hint="default" w:ascii="Times New Roman" w:hAnsi="Times New Roman" w:cs="Times New Roman"/>
          <w:color w:val="auto"/>
          <w:highlight w:val="none"/>
          <w:lang w:eastAsia="zh-CN"/>
        </w:rPr>
        <w:t>项目区</w:t>
      </w:r>
      <w:r>
        <w:rPr>
          <w:rFonts w:hint="default" w:ascii="Times New Roman" w:hAnsi="Times New Roman" w:cs="Times New Roman"/>
          <w:color w:val="auto"/>
          <w:highlight w:val="none"/>
        </w:rPr>
        <w:t>属于水环境农业污染重点管控区；41#</w:t>
      </w:r>
      <w:r>
        <w:rPr>
          <w:rFonts w:hint="default" w:ascii="Times New Roman" w:hAnsi="Times New Roman" w:cs="Times New Roman"/>
          <w:color w:val="auto"/>
          <w:highlight w:val="none"/>
          <w:lang w:eastAsia="zh-CN"/>
        </w:rPr>
        <w:t>项目区</w:t>
      </w:r>
      <w:r>
        <w:rPr>
          <w:rFonts w:hint="default" w:ascii="Times New Roman" w:hAnsi="Times New Roman" w:cs="Times New Roman"/>
          <w:color w:val="auto"/>
          <w:highlight w:val="none"/>
        </w:rPr>
        <w:t>属于城镇空间+水环境农业污染重点管控区；31#、45#、47#</w:t>
      </w:r>
      <w:r>
        <w:rPr>
          <w:rFonts w:hint="default" w:ascii="Times New Roman" w:hAnsi="Times New Roman" w:cs="Times New Roman"/>
          <w:color w:val="auto"/>
          <w:highlight w:val="none"/>
          <w:lang w:eastAsia="zh-CN"/>
        </w:rPr>
        <w:t>项目区</w:t>
      </w:r>
      <w:r>
        <w:rPr>
          <w:rFonts w:hint="default" w:ascii="Times New Roman" w:hAnsi="Times New Roman" w:cs="Times New Roman"/>
          <w:color w:val="auto"/>
          <w:highlight w:val="none"/>
        </w:rPr>
        <w:t>属于优先管控单元+城子河区水环境城镇生活污染重点管控区。</w:t>
      </w:r>
    </w:p>
    <w:p w14:paraId="05D4BBA5">
      <w:pPr>
        <w:pStyle w:val="25"/>
        <w:numPr>
          <w:ilvl w:val="0"/>
          <w:numId w:val="0"/>
        </w:numPr>
        <w:ind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7</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本项目危岩清理主要为采用人工清除的方法对坡面表层风化或被裂隙、节理等结构面切割出的岩块，以及已从母岩剥离、脱落但仍停留在坡体上威胁坡脚安全的孤石进行清除，对不利于后续CBS植被混凝土边坡绿化工程施工的局部地形（局部堆积体和凸起体等）进行适当修整，使坡体表面尽可能平整顺直。产生的岩石直接填平场地，不在厂区临时储存，不外运。</w:t>
      </w:r>
    </w:p>
    <w:p w14:paraId="39888E4F">
      <w:pPr>
        <w:pStyle w:val="41"/>
        <w:rPr>
          <w:rFonts w:hint="default" w:ascii="Times New Roman" w:hAnsi="Times New Roman" w:cs="Times New Roman"/>
          <w:color w:val="auto"/>
        </w:rPr>
      </w:pPr>
      <w:bookmarkStart w:id="21" w:name="_Toc479252799"/>
      <w:bookmarkStart w:id="22" w:name="_Toc19097"/>
      <w:bookmarkStart w:id="23" w:name="_Toc119316784"/>
      <w:bookmarkStart w:id="24" w:name="_Toc152926801"/>
      <w:bookmarkStart w:id="25" w:name="_Toc17999"/>
      <w:r>
        <w:rPr>
          <w:rFonts w:hint="default" w:ascii="Times New Roman" w:hAnsi="Times New Roman" w:cs="Times New Roman"/>
          <w:color w:val="auto"/>
        </w:rPr>
        <w:t>1.3</w:t>
      </w:r>
      <w:bookmarkEnd w:id="21"/>
      <w:r>
        <w:rPr>
          <w:rFonts w:hint="default" w:ascii="Times New Roman" w:hAnsi="Times New Roman" w:cs="Times New Roman"/>
          <w:color w:val="auto"/>
        </w:rPr>
        <w:t>环境影响评价工作过程</w:t>
      </w:r>
      <w:bookmarkEnd w:id="22"/>
      <w:bookmarkEnd w:id="23"/>
      <w:bookmarkEnd w:id="24"/>
      <w:bookmarkEnd w:id="25"/>
    </w:p>
    <w:p w14:paraId="46C83980">
      <w:pPr>
        <w:pStyle w:val="25"/>
        <w:bidi w:val="0"/>
        <w:rPr>
          <w:rFonts w:hint="default" w:ascii="Times New Roman" w:hAnsi="Times New Roman" w:cs="Times New Roman"/>
          <w:color w:val="auto"/>
        </w:rPr>
      </w:pPr>
      <w:r>
        <w:rPr>
          <w:rFonts w:hint="default" w:ascii="Times New Roman" w:hAnsi="Times New Roman" w:cs="Times New Roman"/>
          <w:color w:val="auto"/>
        </w:rPr>
        <w:t>依据《建设项目环境影响评价技术导则 总纲》（HJ2.1-2016）要求，本次环评工作分为三个阶段进行。</w:t>
      </w:r>
    </w:p>
    <w:p w14:paraId="0A52C450">
      <w:pPr>
        <w:pStyle w:val="25"/>
        <w:bidi w:val="0"/>
        <w:rPr>
          <w:rFonts w:hint="default" w:ascii="Times New Roman" w:hAnsi="Times New Roman" w:cs="Times New Roman"/>
          <w:color w:val="auto"/>
        </w:rPr>
      </w:pPr>
      <w:r>
        <w:rPr>
          <w:rFonts w:hint="default" w:ascii="Times New Roman" w:hAnsi="Times New Roman" w:cs="Times New Roman"/>
          <w:color w:val="auto"/>
        </w:rPr>
        <w:t>（1）</w:t>
      </w:r>
      <w:bookmarkStart w:id="26" w:name="_Hlk83908174"/>
      <w:r>
        <w:rPr>
          <w:rFonts w:hint="default" w:ascii="Times New Roman" w:hAnsi="Times New Roman" w:cs="Times New Roman"/>
          <w:color w:val="auto"/>
        </w:rPr>
        <w:t>本项目</w:t>
      </w:r>
      <w:r>
        <w:rPr>
          <w:rFonts w:hint="default" w:ascii="Times New Roman" w:hAnsi="Times New Roman" w:cs="Times New Roman"/>
          <w:color w:val="auto"/>
          <w:lang w:val="en-US" w:eastAsia="zh-CN"/>
        </w:rPr>
        <w:t>废弃</w:t>
      </w:r>
      <w:r>
        <w:rPr>
          <w:rFonts w:hint="default" w:ascii="Times New Roman" w:hAnsi="Times New Roman" w:cs="Times New Roman"/>
          <w:color w:val="auto"/>
        </w:rPr>
        <w:t>矿山修复项目属于名录中的“八、非金属矿采矿业10-11土砂石开采101（不含河道采砂项目）”中的其他，根据《建设项目环境影响评价分类管理名录》（2021版）中，应编制环境影响报告表。</w:t>
      </w:r>
    </w:p>
    <w:p w14:paraId="0D11E904">
      <w:pPr>
        <w:pStyle w:val="25"/>
        <w:bidi w:val="0"/>
        <w:rPr>
          <w:rFonts w:hint="default" w:ascii="Times New Roman" w:hAnsi="Times New Roman" w:cs="Times New Roman"/>
          <w:color w:val="auto"/>
        </w:rPr>
      </w:pPr>
      <w:r>
        <w:rPr>
          <w:rFonts w:hint="default" w:ascii="Times New Roman" w:hAnsi="Times New Roman" w:cs="Times New Roman"/>
          <w:snapToGrid w:val="0"/>
          <w:color w:val="auto"/>
          <w:szCs w:val="22"/>
        </w:rPr>
        <w:t>本项目的环境影响</w:t>
      </w:r>
      <w:r>
        <w:rPr>
          <w:rFonts w:hint="default" w:ascii="Times New Roman" w:hAnsi="Times New Roman" w:cs="Times New Roman"/>
          <w:snapToGrid w:val="0"/>
          <w:color w:val="auto"/>
          <w:szCs w:val="22"/>
          <w:lang w:val="en-US" w:eastAsia="zh-CN"/>
        </w:rPr>
        <w:t>属</w:t>
      </w:r>
      <w:r>
        <w:rPr>
          <w:rFonts w:hint="default" w:ascii="Times New Roman" w:hAnsi="Times New Roman" w:cs="Times New Roman"/>
          <w:snapToGrid w:val="0"/>
          <w:color w:val="auto"/>
          <w:szCs w:val="22"/>
        </w:rPr>
        <w:t>于名录中的</w:t>
      </w:r>
      <w:r>
        <w:rPr>
          <w:rFonts w:hint="default" w:ascii="Times New Roman" w:hAnsi="Times New Roman" w:cs="Times New Roman"/>
          <w:color w:val="auto"/>
          <w:szCs w:val="22"/>
        </w:rPr>
        <w:t>“四十七、生态保护和环境治理业：103一般工业固体废物（含污水处理污泥）、建筑施工废弃物处置及综合利用”中“一般工业固体废物（含污水处理污泥）采取填埋、焚烧（水泥窑协同处置的改造项目除外）方式的”，故本次环境影响评价参照</w:t>
      </w:r>
      <w:r>
        <w:rPr>
          <w:rFonts w:hint="default" w:ascii="Times New Roman" w:hAnsi="Times New Roman" w:cs="Times New Roman"/>
          <w:snapToGrid w:val="0"/>
          <w:color w:val="auto"/>
          <w:szCs w:val="22"/>
        </w:rPr>
        <w:t>《建设项目环境影响评价分类管理名录》（2021版）中</w:t>
      </w:r>
      <w:r>
        <w:rPr>
          <w:rFonts w:hint="default" w:ascii="Times New Roman" w:hAnsi="Times New Roman" w:cs="Times New Roman"/>
          <w:color w:val="auto"/>
          <w:szCs w:val="22"/>
        </w:rPr>
        <w:t>四十七、生态保护和环境治理业，103 一般工业固体废物（含污水处理污泥）、建筑施工废弃物处置及综合利用（采取填埋方式），应编制环境影响报告书。</w:t>
      </w:r>
      <w:r>
        <w:rPr>
          <w:rFonts w:hint="default" w:ascii="Times New Roman" w:hAnsi="Times New Roman" w:cs="Times New Roman"/>
          <w:color w:val="auto"/>
        </w:rPr>
        <w:t>综上所述，本项目编制环境影响报告书</w:t>
      </w:r>
      <w:bookmarkEnd w:id="26"/>
      <w:r>
        <w:rPr>
          <w:rFonts w:hint="default" w:ascii="Times New Roman" w:hAnsi="Times New Roman" w:cs="Times New Roman"/>
          <w:color w:val="auto"/>
        </w:rPr>
        <w:t>。</w:t>
      </w:r>
    </w:p>
    <w:p w14:paraId="03250929">
      <w:pPr>
        <w:pStyle w:val="25"/>
        <w:bidi w:val="0"/>
        <w:rPr>
          <w:rFonts w:hint="default" w:ascii="Times New Roman" w:hAnsi="Times New Roman" w:cs="Times New Roman"/>
          <w:color w:val="auto"/>
        </w:rPr>
      </w:pPr>
      <w:r>
        <w:rPr>
          <w:rFonts w:hint="default" w:ascii="Times New Roman" w:hAnsi="Times New Roman" w:cs="Times New Roman"/>
          <w:color w:val="auto"/>
        </w:rPr>
        <w:t>在研究相关技术及其他有关文件基础上进行初步工程分析，开展了初步环境现状调查，进行了环境影响识别和评价因子筛选。明确了评价重点为水环境影响、大气环境影响、土壤环境影响、生态环境影响，确定了保护目标，进一步确定评价工作等级、范围及评价标准，制定出相应工作方案。</w:t>
      </w:r>
    </w:p>
    <w:p w14:paraId="3EDD210B">
      <w:pPr>
        <w:pStyle w:val="25"/>
        <w:bidi w:val="0"/>
        <w:rPr>
          <w:rFonts w:hint="default" w:ascii="Times New Roman" w:hAnsi="Times New Roman" w:cs="Times New Roman"/>
          <w:color w:val="auto"/>
        </w:rPr>
      </w:pPr>
      <w:r>
        <w:rPr>
          <w:rFonts w:hint="default" w:ascii="Times New Roman" w:hAnsi="Times New Roman" w:cs="Times New Roman"/>
          <w:color w:val="auto"/>
        </w:rPr>
        <w:t>（2）根据第一阶段工作成果，对环境现状的大气环境、地下水环境、声环境、土壤环境等进行了调查、监测与评价，详细进行工程分析，确定了主要环境影响因素为回填对地下水和土壤的影响，作业过程扬尘对大气环境的影响，设备噪声对周边声环境的影响，一般固体废物对周边环境的影响，并采取相应的模式对各环境要素影响进行了预测与分析。</w:t>
      </w:r>
    </w:p>
    <w:p w14:paraId="444970D9">
      <w:pPr>
        <w:pStyle w:val="25"/>
        <w:bidi w:val="0"/>
        <w:rPr>
          <w:rFonts w:hint="default" w:ascii="Times New Roman" w:hAnsi="Times New Roman" w:cs="Times New Roman"/>
          <w:color w:val="auto"/>
        </w:rPr>
      </w:pPr>
      <w:r>
        <w:rPr>
          <w:rFonts w:hint="default" w:ascii="Times New Roman" w:hAnsi="Times New Roman" w:cs="Times New Roman"/>
          <w:color w:val="auto"/>
        </w:rPr>
        <w:t>（3）对作业废气提出了大气环境保护措施，对噪声采取了隔声减振等措施，对产生的固废采取了相应处理处置措施，并进行经济技术可行性论证，给出污染物排放清单并给出评价结论。</w:t>
      </w:r>
    </w:p>
    <w:p w14:paraId="507B1B1C">
      <w:pPr>
        <w:pStyle w:val="25"/>
        <w:bidi w:val="0"/>
        <w:rPr>
          <w:rFonts w:hint="default" w:ascii="Times New Roman" w:hAnsi="Times New Roman" w:cs="Times New Roman"/>
          <w:color w:val="auto"/>
        </w:rPr>
      </w:pPr>
      <w:r>
        <w:rPr>
          <w:rFonts w:hint="default" w:ascii="Times New Roman" w:hAnsi="Times New Roman" w:cs="Times New Roman"/>
          <w:color w:val="auto"/>
        </w:rPr>
        <w:t>具体过程见图1-3-1。</w:t>
      </w:r>
    </w:p>
    <w:p w14:paraId="1DCBD8B1">
      <w:pPr>
        <w:pStyle w:val="27"/>
        <w:bidi w:val="0"/>
        <w:rPr>
          <w:rFonts w:hint="default" w:ascii="Times New Roman" w:hAnsi="Times New Roman" w:cs="Times New Roman"/>
          <w:color w:val="auto"/>
        </w:rPr>
      </w:pPr>
      <w:r>
        <w:rPr>
          <w:rFonts w:hint="default" w:ascii="Times New Roman" w:hAnsi="Times New Roman" w:cs="Times New Roman"/>
          <w:color w:val="auto"/>
          <w:kern w:val="0"/>
        </w:rPr>
        <w:drawing>
          <wp:inline distT="0" distB="0" distL="0" distR="0">
            <wp:extent cx="5182870" cy="4963795"/>
            <wp:effectExtent l="19050" t="0" r="0" b="0"/>
            <wp:docPr id="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6"/>
                    <pic:cNvPicPr>
                      <a:picLocks noChangeAspect="1" noChangeArrowheads="1"/>
                    </pic:cNvPicPr>
                  </pic:nvPicPr>
                  <pic:blipFill>
                    <a:blip r:embed="rId15" cstate="print"/>
                    <a:srcRect l="2990" t="2215" r="3015" b="3780"/>
                    <a:stretch>
                      <a:fillRect/>
                    </a:stretch>
                  </pic:blipFill>
                  <pic:spPr>
                    <a:xfrm>
                      <a:off x="0" y="0"/>
                      <a:ext cx="5191949" cy="4971934"/>
                    </a:xfrm>
                    <a:prstGeom prst="rect">
                      <a:avLst/>
                    </a:prstGeom>
                    <a:noFill/>
                    <a:ln w="9525">
                      <a:noFill/>
                      <a:miter lim="800000"/>
                      <a:headEnd/>
                      <a:tailEnd/>
                    </a:ln>
                  </pic:spPr>
                </pic:pic>
              </a:graphicData>
            </a:graphic>
          </wp:inline>
        </w:drawing>
      </w:r>
      <w:r>
        <w:rPr>
          <w:rFonts w:hint="default" w:ascii="Times New Roman" w:hAnsi="Times New Roman" w:cs="Times New Roman"/>
          <w:color w:val="auto"/>
        </w:rPr>
        <w:t>图1-3-1环境影响评价工作程序</w:t>
      </w:r>
    </w:p>
    <w:p w14:paraId="3044B7C6">
      <w:pPr>
        <w:jc w:val="center"/>
        <w:rPr>
          <w:rFonts w:hint="default" w:ascii="Times New Roman" w:hAnsi="Times New Roman" w:cs="Times New Roman"/>
          <w:color w:val="auto"/>
        </w:rPr>
      </w:pPr>
    </w:p>
    <w:p w14:paraId="574AE69E">
      <w:pPr>
        <w:pStyle w:val="41"/>
        <w:rPr>
          <w:rFonts w:hint="default" w:ascii="Times New Roman" w:hAnsi="Times New Roman" w:cs="Times New Roman"/>
          <w:color w:val="auto"/>
          <w:highlight w:val="none"/>
        </w:rPr>
      </w:pPr>
      <w:bookmarkStart w:id="27" w:name="_Toc152926802"/>
      <w:bookmarkStart w:id="28" w:name="_Toc119316785"/>
      <w:bookmarkStart w:id="29" w:name="_Toc25333"/>
      <w:bookmarkStart w:id="30" w:name="_Toc488072911"/>
      <w:bookmarkStart w:id="31" w:name="_Toc486932294"/>
      <w:bookmarkStart w:id="32" w:name="_Toc21350"/>
      <w:r>
        <w:rPr>
          <w:rFonts w:hint="default" w:ascii="Times New Roman" w:hAnsi="Times New Roman" w:cs="Times New Roman"/>
          <w:color w:val="auto"/>
        </w:rPr>
        <w:t>1.</w:t>
      </w:r>
      <w:r>
        <w:rPr>
          <w:rFonts w:hint="default" w:ascii="Times New Roman" w:hAnsi="Times New Roman" w:cs="Times New Roman"/>
          <w:color w:val="auto"/>
          <w:highlight w:val="none"/>
        </w:rPr>
        <w:t>4分析判定相关情况</w:t>
      </w:r>
      <w:bookmarkEnd w:id="27"/>
      <w:bookmarkEnd w:id="28"/>
      <w:bookmarkEnd w:id="29"/>
      <w:bookmarkEnd w:id="30"/>
      <w:bookmarkEnd w:id="31"/>
      <w:bookmarkEnd w:id="32"/>
    </w:p>
    <w:p w14:paraId="6F7E245F">
      <w:pPr>
        <w:pStyle w:val="39"/>
        <w:rPr>
          <w:rFonts w:hint="default" w:ascii="Times New Roman" w:hAnsi="Times New Roman" w:cs="Times New Roman"/>
          <w:color w:val="auto"/>
          <w:highlight w:val="none"/>
        </w:rPr>
      </w:pPr>
      <w:bookmarkStart w:id="33" w:name="_Toc15171"/>
      <w:r>
        <w:rPr>
          <w:rFonts w:hint="default" w:ascii="Times New Roman" w:hAnsi="Times New Roman" w:cs="Times New Roman"/>
          <w:color w:val="auto"/>
          <w:highlight w:val="none"/>
        </w:rPr>
        <w:t>1.4.1产业政策符合性分析</w:t>
      </w:r>
      <w:bookmarkEnd w:id="33"/>
    </w:p>
    <w:p w14:paraId="55463CB5">
      <w:pPr>
        <w:pStyle w:val="25"/>
        <w:bidi w:val="0"/>
        <w:rPr>
          <w:rFonts w:hint="default" w:ascii="Times New Roman" w:hAnsi="Times New Roman" w:cs="Times New Roman"/>
          <w:color w:val="auto"/>
        </w:rPr>
      </w:pPr>
      <w:r>
        <w:rPr>
          <w:rFonts w:hint="default" w:ascii="Times New Roman" w:hAnsi="Times New Roman" w:cs="Times New Roman"/>
          <w:color w:val="auto"/>
        </w:rPr>
        <w:t>本项目属于《产业结构调整指导目录（2024年本）》中鼓励类“四十二、环境保护与资源节约综合利用”中2、生态环境修复和资源利用中的矿山生态环境恢复工程”和10、工业“三废”循环利用：“三废”综合利用与治理技术、装备和工程，均属于产业政策中“鼓励类”项目，符合国家产业政策。</w:t>
      </w:r>
    </w:p>
    <w:p w14:paraId="0293D0B0">
      <w:pPr>
        <w:pStyle w:val="39"/>
        <w:rPr>
          <w:rFonts w:hint="default" w:ascii="Times New Roman" w:hAnsi="Times New Roman" w:cs="Times New Roman"/>
          <w:color w:val="auto"/>
          <w:highlight w:val="none"/>
        </w:rPr>
      </w:pPr>
      <w:bookmarkStart w:id="34" w:name="_Toc9998"/>
      <w:r>
        <w:rPr>
          <w:rFonts w:hint="default" w:ascii="Times New Roman" w:hAnsi="Times New Roman" w:cs="Times New Roman"/>
          <w:color w:val="auto"/>
          <w:highlight w:val="none"/>
        </w:rPr>
        <w:t>1.4.2与“</w:t>
      </w:r>
      <w:r>
        <w:rPr>
          <w:rFonts w:hint="default" w:ascii="Times New Roman" w:hAnsi="Times New Roman" w:cs="Times New Roman"/>
          <w:color w:val="auto"/>
          <w:highlight w:val="none"/>
          <w:lang w:val="en-US" w:eastAsia="zh-CN"/>
        </w:rPr>
        <w:t>生态环境分区管控</w:t>
      </w:r>
      <w:r>
        <w:rPr>
          <w:rFonts w:hint="default" w:ascii="Times New Roman" w:hAnsi="Times New Roman" w:cs="Times New Roman"/>
          <w:color w:val="auto"/>
          <w:highlight w:val="none"/>
        </w:rPr>
        <w:t>”的符合性分析</w:t>
      </w:r>
      <w:bookmarkEnd w:id="34"/>
    </w:p>
    <w:p w14:paraId="7BB996BF">
      <w:pPr>
        <w:pStyle w:val="25"/>
        <w:ind w:firstLine="48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根据</w:t>
      </w:r>
      <w:r>
        <w:rPr>
          <w:rFonts w:hint="default" w:ascii="Times New Roman" w:hAnsi="Times New Roman" w:cs="Times New Roman"/>
          <w:color w:val="auto"/>
          <w:highlight w:val="none"/>
        </w:rPr>
        <w:t>黑龙江省生态环境分区管控数据应用平台查询</w:t>
      </w:r>
      <w:r>
        <w:rPr>
          <w:rFonts w:hint="default" w:ascii="Times New Roman" w:hAnsi="Times New Roman" w:cs="Times New Roman"/>
          <w:bCs/>
          <w:color w:val="auto"/>
          <w:highlight w:val="none"/>
        </w:rPr>
        <w:t>以及鸡西市生态环境准入清单（2023年版）规定，结合本项目生产工艺、排污状况和区域环境及环境质量现状进行调查的基础上，本工程与“生态环境分区准入”符合性情况如下：</w:t>
      </w:r>
    </w:p>
    <w:p w14:paraId="19D9210A">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1、生态保护红线</w:t>
      </w:r>
    </w:p>
    <w:p w14:paraId="39D54C95">
      <w:pPr>
        <w:pStyle w:val="25"/>
        <w:ind w:firstLine="48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本项目位于鸡西市城子河区，12处矿山修复项目选址均不涉及国家公园、自然保护区、森林公园、风景名胜区、地质公园、世界自然遗产、湿地公园、饮用水水源保护区、水产种质资源保护区以及其它类型禁止开发区域，根据与</w:t>
      </w:r>
      <w:r>
        <w:rPr>
          <w:rFonts w:hint="default" w:ascii="Times New Roman" w:hAnsi="Times New Roman" w:cs="Times New Roman"/>
          <w:color w:val="auto"/>
          <w:highlight w:val="none"/>
        </w:rPr>
        <w:t>黑龙江省“三区三线”划定矢量成果叠加</w:t>
      </w:r>
      <w:r>
        <w:rPr>
          <w:rFonts w:hint="default" w:ascii="Times New Roman" w:hAnsi="Times New Roman" w:cs="Times New Roman"/>
          <w:bCs/>
          <w:color w:val="auto"/>
          <w:highlight w:val="none"/>
        </w:rPr>
        <w:t>，本项目不在生态保护红线范围内。</w:t>
      </w:r>
    </w:p>
    <w:p w14:paraId="46E7C2B3">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2、环境质量底线</w:t>
      </w:r>
    </w:p>
    <w:p w14:paraId="44252D4F">
      <w:pPr>
        <w:pStyle w:val="25"/>
        <w:ind w:firstLine="48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本项目位于鸡西市城子河区，</w:t>
      </w:r>
      <w:r>
        <w:rPr>
          <w:rFonts w:hint="default" w:ascii="Times New Roman" w:hAnsi="Times New Roman" w:cs="Times New Roman"/>
          <w:color w:val="auto"/>
          <w:highlight w:val="none"/>
        </w:rPr>
        <w:t>根据《</w:t>
      </w:r>
      <w:r>
        <w:rPr>
          <w:rFonts w:hint="eastAsia" w:cs="Times New Roman"/>
          <w:color w:val="auto"/>
          <w:highlight w:val="none"/>
          <w:lang w:eastAsia="zh-CN"/>
        </w:rPr>
        <w:t>2024年黑龙江省生态环境质量状况</w:t>
      </w:r>
      <w:r>
        <w:rPr>
          <w:rFonts w:hint="default" w:ascii="Times New Roman" w:hAnsi="Times New Roman" w:cs="Times New Roman"/>
          <w:color w:val="auto"/>
          <w:highlight w:val="none"/>
        </w:rPr>
        <w:t>》，鸡西市各污染物平均浓度均优于《环境空气质量标准》（GB3095-2012）中二级标准限值，本项目所在区域属于达标区</w:t>
      </w:r>
      <w:r>
        <w:rPr>
          <w:rFonts w:hint="default" w:ascii="Times New Roman" w:hAnsi="Times New Roman" w:cs="Times New Roman"/>
          <w:bCs/>
          <w:color w:val="auto"/>
          <w:highlight w:val="none"/>
        </w:rPr>
        <w:t>。根据现状监测结果，项目区的TSP满足《环境空气质量标准》（GB3095-2012）及修改单二级标准；</w:t>
      </w:r>
      <w:r>
        <w:rPr>
          <w:rFonts w:hint="default" w:ascii="Times New Roman" w:hAnsi="Times New Roman" w:cs="Times New Roman"/>
          <w:bCs/>
          <w:color w:val="auto"/>
          <w:highlight w:val="none"/>
          <w:lang w:val="en-US" w:eastAsia="zh-CN"/>
        </w:rPr>
        <w:t>2#项目区位于大气环境一般管控区，</w:t>
      </w:r>
      <w:r>
        <w:rPr>
          <w:rFonts w:hint="default" w:ascii="Times New Roman" w:hAnsi="Times New Roman" w:cs="Times New Roman"/>
          <w:bCs/>
          <w:color w:val="auto"/>
          <w:highlight w:val="none"/>
        </w:rPr>
        <w:t>针对2#兴顺采石场回填工程运输车辆采取加盖篷布、密封等措施，道路及时洒水降尘，煤矸石到场后按照指定点卸车，且做到随卸随填；根据项目地区实际天气情况制定合理的喷洒水制度，并严格执行；分单元作业，作业时周边设置围挡，高度不小于1.8m，每日作业后对表面及时苫布覆盖，非作业面以及已碾实的煤矸石表面采用苫布覆盖；对大风等特殊气象条件，停止作业，并加大洒水强度。在采取上述措施后，兴顺采石场</w:t>
      </w: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rPr>
        <w:t>2#</w:t>
      </w: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rPr>
        <w:t>场界颗粒物浓度可达到《大气污染物综合排放标准》（GB16297-1996）中的表2无组织排放监控浓度限值，不会对大气环境质量现状造成不良影响，不会突破大气环境质量底线。</w:t>
      </w:r>
    </w:p>
    <w:p w14:paraId="58A808C7">
      <w:pPr>
        <w:pStyle w:val="25"/>
        <w:ind w:firstLine="480"/>
        <w:rPr>
          <w:rFonts w:hint="default" w:ascii="Times New Roman" w:hAnsi="Times New Roman" w:eastAsia="宋体" w:cs="Times New Roman"/>
          <w:bCs/>
          <w:color w:val="auto"/>
          <w:highlight w:val="none"/>
          <w:lang w:val="en-US" w:eastAsia="zh-CN"/>
        </w:rPr>
      </w:pPr>
      <w:r>
        <w:rPr>
          <w:rFonts w:hint="default" w:ascii="Times New Roman" w:hAnsi="Times New Roman" w:cs="Times New Roman"/>
          <w:bCs/>
          <w:color w:val="auto"/>
          <w:highlight w:val="none"/>
        </w:rPr>
        <w:t>本项目所在区域地表水体为城子河，根据黑龙江省生态环境厅《</w:t>
      </w:r>
      <w:r>
        <w:rPr>
          <w:rFonts w:hint="eastAsia" w:cs="Times New Roman"/>
          <w:bCs/>
          <w:color w:val="auto"/>
          <w:highlight w:val="none"/>
          <w:lang w:eastAsia="zh-CN"/>
        </w:rPr>
        <w:t>2024年黑龙江省生态环境质量状况</w:t>
      </w:r>
      <w:r>
        <w:rPr>
          <w:rFonts w:hint="default" w:ascii="Times New Roman" w:hAnsi="Times New Roman" w:cs="Times New Roman"/>
          <w:bCs/>
          <w:color w:val="auto"/>
          <w:highlight w:val="none"/>
        </w:rPr>
        <w:t>》，鸡西市地表水国家考核断面共8个，Ⅰ - Ⅲ类水质比例为</w:t>
      </w:r>
      <w:r>
        <w:rPr>
          <w:rFonts w:hint="eastAsia" w:cs="Times New Roman"/>
          <w:bCs/>
          <w:color w:val="auto"/>
          <w:highlight w:val="none"/>
          <w:lang w:val="en-US" w:eastAsia="zh-CN"/>
        </w:rPr>
        <w:t>75.0</w:t>
      </w:r>
      <w:r>
        <w:rPr>
          <w:rFonts w:hint="default" w:ascii="Times New Roman" w:hAnsi="Times New Roman" w:cs="Times New Roman"/>
          <w:bCs/>
          <w:color w:val="auto"/>
          <w:highlight w:val="none"/>
        </w:rPr>
        <w:t>%，无劣V类水质断面。与上年同期相比，Ⅰ - Ⅲ类水质比例上升12.5个百分点，均无劣V类水质断面。</w:t>
      </w:r>
      <w:r>
        <w:rPr>
          <w:rFonts w:hint="eastAsia" w:cs="Times New Roman"/>
          <w:bCs/>
          <w:color w:val="auto"/>
          <w:highlight w:val="none"/>
          <w:lang w:val="en-US" w:eastAsia="zh-CN"/>
        </w:rPr>
        <w:t>兴凯湖和</w:t>
      </w:r>
      <w:r>
        <w:rPr>
          <w:rFonts w:hint="default" w:ascii="Times New Roman" w:hAnsi="Times New Roman" w:cs="Times New Roman"/>
          <w:bCs/>
          <w:color w:val="auto"/>
          <w:highlight w:val="none"/>
        </w:rPr>
        <w:t>小兴凯湖的水质状况为轻度污染。鸡西市饮用水水源地水量达标率为100%。穆棱河水质现状为Ⅲ类水体，满足水体功能区规划目标Ⅲ类标准要求。</w:t>
      </w:r>
      <w:r>
        <w:rPr>
          <w:rFonts w:hint="default" w:ascii="Times New Roman" w:hAnsi="Times New Roman" w:cs="Times New Roman"/>
          <w:bCs/>
          <w:color w:val="auto"/>
          <w:highlight w:val="none"/>
          <w:lang w:val="en-US" w:eastAsia="zh-CN"/>
        </w:rPr>
        <w:t>2#项目区位于水环境农业污染重点管控区，本项目无废水排放。</w:t>
      </w:r>
    </w:p>
    <w:p w14:paraId="61481932">
      <w:pPr>
        <w:pStyle w:val="25"/>
        <w:ind w:firstLine="48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因此，所在区域地表水现状良好；</w:t>
      </w:r>
      <w:r>
        <w:rPr>
          <w:rFonts w:hint="default" w:ascii="Times New Roman" w:hAnsi="Times New Roman" w:cs="Times New Roman"/>
          <w:color w:val="auto"/>
          <w:highlight w:val="none"/>
        </w:rPr>
        <w:t>本工程在鸡西市城子河区兴顺采石场(2#)、鸡西市城子河区城东一队废弃采石场（14#）和鸡西市城子河区水泥厂后山废弃采石场(21#)四周设置排水沟，雨水沿排水沟排向山脚下。</w:t>
      </w:r>
      <w:r>
        <w:rPr>
          <w:rFonts w:hint="default" w:ascii="Times New Roman" w:hAnsi="Times New Roman" w:cs="Times New Roman"/>
          <w:bCs/>
          <w:color w:val="auto"/>
          <w:highlight w:val="none"/>
        </w:rPr>
        <w:t>因此不会对区域水环境造成影响，不会突破水环境质量底线。</w:t>
      </w:r>
    </w:p>
    <w:p w14:paraId="25FB89C7">
      <w:pPr>
        <w:pStyle w:val="25"/>
        <w:ind w:firstLine="48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根据现状监测结果，本项目监测的噪声均符合《声环境质量标准》（GB3096-2008）1类标准；选用低噪声的运输车辆、作业设备，将噪声设备尽量布置在场区中间或远离周边敏感点的区域，加强生产管理，在严格履行上述措施后，本项目厂界噪声能够满足《工业企业厂界环境噪声排放标准》（GB12348-2008）中表1的1类标准</w:t>
      </w: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lang w:val="en-US" w:eastAsia="zh-CN"/>
        </w:rPr>
        <w:t>敏感点能够满足</w:t>
      </w:r>
      <w:r>
        <w:rPr>
          <w:rFonts w:hint="default" w:ascii="Times New Roman" w:hAnsi="Times New Roman" w:cs="Times New Roman"/>
          <w:bCs/>
          <w:color w:val="auto"/>
          <w:highlight w:val="none"/>
        </w:rPr>
        <w:t>《声环境质量标准》（GB3096-2008）1</w:t>
      </w: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lang w:val="en-US" w:eastAsia="zh-CN"/>
        </w:rPr>
        <w:t>2</w:t>
      </w:r>
      <w:r>
        <w:rPr>
          <w:rFonts w:hint="default" w:ascii="Times New Roman" w:hAnsi="Times New Roman" w:cs="Times New Roman"/>
          <w:bCs/>
          <w:color w:val="auto"/>
          <w:highlight w:val="none"/>
        </w:rPr>
        <w:t>类标准。</w:t>
      </w:r>
    </w:p>
    <w:p w14:paraId="3DE15F60">
      <w:pPr>
        <w:pStyle w:val="25"/>
        <w:ind w:firstLine="48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本项目施工期生活垃圾交由市政部门统一处理。</w:t>
      </w:r>
    </w:p>
    <w:p w14:paraId="0A14B5AD">
      <w:pPr>
        <w:pStyle w:val="25"/>
        <w:ind w:firstLine="48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本项目区现状为历史废弃矿坑，生态环境较差，项目实施后进行覆土植树种草，生态环境将有所好转。</w:t>
      </w:r>
    </w:p>
    <w:p w14:paraId="578A727B">
      <w:pPr>
        <w:pStyle w:val="25"/>
        <w:bidi w:val="0"/>
        <w:rPr>
          <w:rFonts w:hint="default" w:ascii="Times New Roman" w:hAnsi="Times New Roman" w:cs="Times New Roman"/>
          <w:color w:val="auto"/>
          <w:highlight w:val="none"/>
        </w:rPr>
      </w:pPr>
      <w:r>
        <w:rPr>
          <w:rFonts w:hint="default" w:ascii="Times New Roman" w:hAnsi="Times New Roman" w:cs="Times New Roman"/>
          <w:bCs/>
          <w:color w:val="auto"/>
          <w:highlight w:val="none"/>
        </w:rPr>
        <w:t>综上所述，本项目的污染物采取一定环保措施后，对周围环境影响较小，不会突破</w:t>
      </w:r>
      <w:r>
        <w:rPr>
          <w:rFonts w:hint="default" w:ascii="Times New Roman" w:hAnsi="Times New Roman" w:cs="Times New Roman"/>
          <w:color w:val="auto"/>
          <w:highlight w:val="none"/>
        </w:rPr>
        <w:t>环境质量底线要求。</w:t>
      </w:r>
    </w:p>
    <w:p w14:paraId="7556C135">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3、资源利用上线符合性分析</w:t>
      </w:r>
    </w:p>
    <w:p w14:paraId="1C3EF702">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2#项目区位于自然资源一般管控区，</w:t>
      </w:r>
      <w:r>
        <w:rPr>
          <w:rFonts w:hint="default" w:ascii="Times New Roman" w:hAnsi="Times New Roman" w:cs="Times New Roman"/>
          <w:color w:val="auto"/>
          <w:highlight w:val="none"/>
        </w:rPr>
        <w:t>本项目施工期间会产生一定的水源等资源的消耗，生活用水采用瓶装饮用水，相对于区域水资源来说用量较小；本项目用水主要为</w:t>
      </w:r>
      <w:r>
        <w:rPr>
          <w:rFonts w:hint="default" w:ascii="Times New Roman" w:hAnsi="Times New Roman" w:cs="Times New Roman"/>
          <w:color w:val="auto"/>
          <w:highlight w:val="none"/>
          <w:lang w:val="en-US" w:eastAsia="zh-CN"/>
        </w:rPr>
        <w:t>施工场地洒水抑尘用水、道路洒水及回填作业区洒水抑尘用水，回填区洒水抑尘用水优先采用坑内经沉淀后雨水，采用洒水罐车抽运回填单元喷洒，不足部分由罐车拉运来的市政新鲜水补给</w:t>
      </w:r>
      <w:r>
        <w:rPr>
          <w:rFonts w:hint="default" w:ascii="Times New Roman" w:hAnsi="Times New Roman" w:cs="Times New Roman"/>
          <w:color w:val="auto"/>
          <w:highlight w:val="none"/>
        </w:rPr>
        <w:t>，能够满足本项目用水需求。本项目利用煤矸石作为回填材料进行废弃采坑治理，可以恢复采矿破坏的土地使用功能，充分利用土地资源，生态环境将得到进一步改善；综上项目消耗资源对于区域资源利用总量较少，符合资源利用上线要求。</w:t>
      </w:r>
    </w:p>
    <w:p w14:paraId="3696B8CE">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4、环境准入清单符合性分析</w:t>
      </w:r>
    </w:p>
    <w:p w14:paraId="2C918649">
      <w:pPr>
        <w:pStyle w:val="25"/>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eastAsia="zh-CN"/>
        </w:rPr>
        <w:t>项目区</w:t>
      </w:r>
      <w:r>
        <w:rPr>
          <w:rFonts w:hint="default" w:ascii="Times New Roman" w:hAnsi="Times New Roman" w:cs="Times New Roman"/>
          <w:color w:val="auto"/>
          <w:highlight w:val="none"/>
        </w:rPr>
        <w:t>均位于鸡西市城子河区，根据</w:t>
      </w:r>
      <w:bookmarkStart w:id="35" w:name="OLE_LINK12"/>
      <w:r>
        <w:rPr>
          <w:rFonts w:hint="default" w:ascii="Times New Roman" w:hAnsi="Times New Roman" w:cs="Times New Roman"/>
          <w:color w:val="auto"/>
          <w:highlight w:val="none"/>
        </w:rPr>
        <w:t>黑龙江省生态环境分区管控数据应用平台</w:t>
      </w:r>
      <w:bookmarkEnd w:id="35"/>
      <w:r>
        <w:rPr>
          <w:rFonts w:hint="default" w:ascii="Times New Roman" w:hAnsi="Times New Roman" w:cs="Times New Roman"/>
          <w:color w:val="auto"/>
          <w:highlight w:val="none"/>
        </w:rPr>
        <w:t>和鸡西市生态环境准入清单（2023年版），本项目</w:t>
      </w:r>
      <w:bookmarkStart w:id="36" w:name="OLE_LINK6"/>
      <w:r>
        <w:rPr>
          <w:rFonts w:hint="default" w:ascii="Times New Roman" w:hAnsi="Times New Roman" w:cs="Times New Roman"/>
          <w:color w:val="auto"/>
          <w:highlight w:val="none"/>
          <w:lang w:val="en-US" w:eastAsia="zh-CN"/>
        </w:rPr>
        <w:t>12个场地所在管控单元见下表。</w:t>
      </w:r>
    </w:p>
    <w:p w14:paraId="7AF22B3D">
      <w:pPr>
        <w:pStyle w:val="27"/>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表1-4-1  所在管控单元一览表</w:t>
      </w:r>
    </w:p>
    <w:tbl>
      <w:tblPr>
        <w:tblStyle w:val="2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14:paraId="26974F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61" w:type="dxa"/>
            <w:tcBorders>
              <w:tl2br w:val="nil"/>
              <w:tr2bl w:val="nil"/>
            </w:tcBorders>
          </w:tcPr>
          <w:p w14:paraId="09AB4B65">
            <w:pPr>
              <w:pStyle w:val="44"/>
              <w:bidi w:val="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矿山名称</w:t>
            </w:r>
          </w:p>
        </w:tc>
        <w:tc>
          <w:tcPr>
            <w:tcW w:w="4261" w:type="dxa"/>
            <w:tcBorders>
              <w:tl2br w:val="nil"/>
              <w:tr2bl w:val="nil"/>
            </w:tcBorders>
          </w:tcPr>
          <w:p w14:paraId="15C72963">
            <w:pPr>
              <w:pStyle w:val="44"/>
              <w:bidi w:val="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所在管控单元</w:t>
            </w:r>
          </w:p>
        </w:tc>
      </w:tr>
      <w:tr w14:paraId="662A17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61" w:type="dxa"/>
            <w:tcBorders>
              <w:tl2br w:val="nil"/>
              <w:tr2bl w:val="nil"/>
            </w:tcBorders>
          </w:tcPr>
          <w:p w14:paraId="7F533F2E">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2#、14#、15#、16#、21#、59#、60#</w:t>
            </w:r>
          </w:p>
        </w:tc>
        <w:tc>
          <w:tcPr>
            <w:tcW w:w="4261" w:type="dxa"/>
            <w:tcBorders>
              <w:tl2br w:val="nil"/>
              <w:tr2bl w:val="nil"/>
            </w:tcBorders>
          </w:tcPr>
          <w:p w14:paraId="53E6D00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优先管控单元+水环境农业污染重点管控区</w:t>
            </w:r>
          </w:p>
        </w:tc>
      </w:tr>
      <w:tr w14:paraId="76924E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61" w:type="dxa"/>
            <w:tcBorders>
              <w:tl2br w:val="nil"/>
              <w:tr2bl w:val="nil"/>
            </w:tcBorders>
          </w:tcPr>
          <w:p w14:paraId="1959271F">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25#</w:t>
            </w:r>
          </w:p>
        </w:tc>
        <w:tc>
          <w:tcPr>
            <w:tcW w:w="4261" w:type="dxa"/>
            <w:tcBorders>
              <w:tl2br w:val="nil"/>
              <w:tr2bl w:val="nil"/>
            </w:tcBorders>
          </w:tcPr>
          <w:p w14:paraId="381AEE3C">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水环境农业污染重点管控区</w:t>
            </w:r>
          </w:p>
        </w:tc>
      </w:tr>
      <w:tr w14:paraId="0CC504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61" w:type="dxa"/>
            <w:tcBorders>
              <w:tl2br w:val="nil"/>
              <w:tr2bl w:val="nil"/>
            </w:tcBorders>
          </w:tcPr>
          <w:p w14:paraId="66A24BD3">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41#</w:t>
            </w:r>
          </w:p>
        </w:tc>
        <w:tc>
          <w:tcPr>
            <w:tcW w:w="4261" w:type="dxa"/>
            <w:tcBorders>
              <w:tl2br w:val="nil"/>
              <w:tr2bl w:val="nil"/>
            </w:tcBorders>
          </w:tcPr>
          <w:p w14:paraId="04138A9F">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城镇空间+水环境农业污染重点管控区</w:t>
            </w:r>
          </w:p>
        </w:tc>
      </w:tr>
      <w:tr w14:paraId="21885A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61" w:type="dxa"/>
            <w:tcBorders>
              <w:tl2br w:val="nil"/>
              <w:tr2bl w:val="nil"/>
            </w:tcBorders>
          </w:tcPr>
          <w:p w14:paraId="5E8EEBFD">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31#、45#、47#</w:t>
            </w:r>
          </w:p>
        </w:tc>
        <w:tc>
          <w:tcPr>
            <w:tcW w:w="4261" w:type="dxa"/>
            <w:tcBorders>
              <w:tl2br w:val="nil"/>
              <w:tr2bl w:val="nil"/>
            </w:tcBorders>
          </w:tcPr>
          <w:p w14:paraId="43288622">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优先管控单元+城子河区水环境城镇生活污染重点管控区</w:t>
            </w:r>
          </w:p>
        </w:tc>
      </w:tr>
      <w:bookmarkEnd w:id="36"/>
    </w:tbl>
    <w:p w14:paraId="4F3C8FB3">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具体管控要求及符合性分析见下表。</w:t>
      </w:r>
    </w:p>
    <w:p w14:paraId="6161B033">
      <w:pPr>
        <w:pStyle w:val="27"/>
        <w:bidi w:val="0"/>
        <w:jc w:val="center"/>
        <w:rPr>
          <w:rFonts w:hint="default" w:ascii="Times New Roman" w:hAnsi="Times New Roman" w:cs="Times New Roman"/>
          <w:color w:val="auto"/>
          <w:highlight w:val="none"/>
        </w:rPr>
      </w:pPr>
      <w:bookmarkStart w:id="37" w:name="OLE_LINK7"/>
      <w:bookmarkStart w:id="38" w:name="OLE_LINK9"/>
      <w:r>
        <w:rPr>
          <w:rFonts w:hint="default" w:ascii="Times New Roman" w:hAnsi="Times New Roman" w:cs="Times New Roman"/>
          <w:color w:val="auto"/>
          <w:highlight w:val="none"/>
        </w:rPr>
        <w:t>表1-4-</w:t>
      </w:r>
      <w:r>
        <w:rPr>
          <w:rFonts w:hint="default" w:ascii="Times New Roman" w:hAnsi="Times New Roman" w:cs="Times New Roman"/>
          <w:color w:val="auto"/>
          <w:highlight w:val="none"/>
          <w:lang w:val="en-US" w:eastAsia="zh-CN"/>
        </w:rPr>
        <w:t xml:space="preserve">2  </w:t>
      </w:r>
      <w:r>
        <w:rPr>
          <w:rFonts w:hint="default" w:ascii="Times New Roman" w:hAnsi="Times New Roman" w:cs="Times New Roman"/>
          <w:bCs/>
          <w:color w:val="auto"/>
          <w:highlight w:val="none"/>
        </w:rPr>
        <w:t>2#、14#、15#、16#、21#、59#、60#</w:t>
      </w:r>
      <w:r>
        <w:rPr>
          <w:rFonts w:hint="default" w:ascii="Times New Roman" w:hAnsi="Times New Roman" w:cs="Times New Roman"/>
          <w:bCs/>
          <w:color w:val="auto"/>
          <w:highlight w:val="none"/>
          <w:lang w:eastAsia="zh-CN"/>
        </w:rPr>
        <w:t>项目区</w:t>
      </w:r>
      <w:r>
        <w:rPr>
          <w:rFonts w:hint="default" w:ascii="Times New Roman" w:hAnsi="Times New Roman" w:cs="Times New Roman"/>
          <w:color w:val="auto"/>
          <w:highlight w:val="none"/>
        </w:rPr>
        <w:t>生态环境准入清单管控要求符合性分析</w:t>
      </w:r>
    </w:p>
    <w:tbl>
      <w:tblPr>
        <w:tblStyle w:val="20"/>
        <w:tblW w:w="9055" w:type="dxa"/>
        <w:tblInd w:w="93" w:type="dxa"/>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Layout w:type="fixed"/>
        <w:tblCellMar>
          <w:top w:w="0" w:type="dxa"/>
          <w:left w:w="108" w:type="dxa"/>
          <w:bottom w:w="0" w:type="dxa"/>
          <w:right w:w="108" w:type="dxa"/>
        </w:tblCellMar>
      </w:tblPr>
      <w:tblGrid>
        <w:gridCol w:w="336"/>
        <w:gridCol w:w="462"/>
        <w:gridCol w:w="470"/>
        <w:gridCol w:w="710"/>
        <w:gridCol w:w="4757"/>
        <w:gridCol w:w="2320"/>
      </w:tblGrid>
      <w:tr w14:paraId="4993B68A">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1391" w:hRule="atLeast"/>
        </w:trPr>
        <w:tc>
          <w:tcPr>
            <w:tcW w:w="336" w:type="dxa"/>
            <w:tcBorders>
              <w:tl2br w:val="nil"/>
              <w:tr2bl w:val="nil"/>
            </w:tcBorders>
            <w:shd w:val="clear" w:color="auto" w:fill="auto"/>
            <w:vAlign w:val="center"/>
          </w:tcPr>
          <w:p w14:paraId="7BB17D20">
            <w:pPr>
              <w:pStyle w:val="44"/>
              <w:bidi w:val="0"/>
              <w:rPr>
                <w:rFonts w:hint="default" w:ascii="Times New Roman" w:hAnsi="Times New Roman" w:cs="Times New Roman"/>
                <w:color w:val="auto"/>
                <w:highlight w:val="none"/>
              </w:rPr>
            </w:pPr>
            <w:bookmarkStart w:id="39" w:name="OLE_LINK13"/>
            <w:r>
              <w:rPr>
                <w:rFonts w:hint="default" w:ascii="Times New Roman" w:hAnsi="Times New Roman" w:cs="Times New Roman"/>
                <w:color w:val="auto"/>
                <w:highlight w:val="none"/>
              </w:rPr>
              <w:t>管控单元编码</w:t>
            </w:r>
          </w:p>
        </w:tc>
        <w:tc>
          <w:tcPr>
            <w:tcW w:w="462" w:type="dxa"/>
            <w:tcBorders>
              <w:tl2br w:val="nil"/>
              <w:tr2bl w:val="nil"/>
            </w:tcBorders>
            <w:shd w:val="clear" w:color="auto" w:fill="auto"/>
            <w:vAlign w:val="center"/>
          </w:tcPr>
          <w:p w14:paraId="631A245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环境管控单元名称</w:t>
            </w:r>
          </w:p>
        </w:tc>
        <w:tc>
          <w:tcPr>
            <w:tcW w:w="470" w:type="dxa"/>
            <w:tcBorders>
              <w:tl2br w:val="nil"/>
              <w:tr2bl w:val="nil"/>
            </w:tcBorders>
            <w:shd w:val="clear" w:color="auto" w:fill="auto"/>
            <w:vAlign w:val="center"/>
          </w:tcPr>
          <w:p w14:paraId="7CF1173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管控单元类别</w:t>
            </w:r>
          </w:p>
        </w:tc>
        <w:tc>
          <w:tcPr>
            <w:tcW w:w="5467" w:type="dxa"/>
            <w:gridSpan w:val="2"/>
            <w:tcBorders>
              <w:tl2br w:val="nil"/>
              <w:tr2bl w:val="nil"/>
            </w:tcBorders>
            <w:shd w:val="clear" w:color="auto" w:fill="auto"/>
            <w:vAlign w:val="center"/>
          </w:tcPr>
          <w:p w14:paraId="48146B4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管控要求</w:t>
            </w:r>
          </w:p>
        </w:tc>
        <w:tc>
          <w:tcPr>
            <w:tcW w:w="2320" w:type="dxa"/>
            <w:tcBorders>
              <w:tl2br w:val="nil"/>
              <w:tr2bl w:val="nil"/>
            </w:tcBorders>
            <w:shd w:val="clear" w:color="auto" w:fill="auto"/>
            <w:vAlign w:val="center"/>
          </w:tcPr>
          <w:p w14:paraId="5263612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符合性</w:t>
            </w:r>
          </w:p>
        </w:tc>
      </w:tr>
      <w:tr w14:paraId="3A5C08BA">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4410" w:hRule="atLeast"/>
        </w:trPr>
        <w:tc>
          <w:tcPr>
            <w:tcW w:w="336" w:type="dxa"/>
            <w:tcBorders>
              <w:tl2br w:val="nil"/>
              <w:tr2bl w:val="nil"/>
            </w:tcBorders>
            <w:shd w:val="clear" w:color="auto" w:fill="auto"/>
            <w:vAlign w:val="center"/>
          </w:tcPr>
          <w:p w14:paraId="42CEB90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ZH23030610002</w:t>
            </w:r>
          </w:p>
        </w:tc>
        <w:tc>
          <w:tcPr>
            <w:tcW w:w="462" w:type="dxa"/>
            <w:tcBorders>
              <w:tl2br w:val="nil"/>
              <w:tr2bl w:val="nil"/>
            </w:tcBorders>
            <w:shd w:val="clear" w:color="auto" w:fill="auto"/>
            <w:vAlign w:val="center"/>
          </w:tcPr>
          <w:p w14:paraId="0F9C324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城子河区一般生态空间</w:t>
            </w:r>
          </w:p>
        </w:tc>
        <w:tc>
          <w:tcPr>
            <w:tcW w:w="470" w:type="dxa"/>
            <w:tcBorders>
              <w:tl2br w:val="nil"/>
              <w:tr2bl w:val="nil"/>
            </w:tcBorders>
            <w:shd w:val="clear" w:color="auto" w:fill="auto"/>
            <w:vAlign w:val="center"/>
          </w:tcPr>
          <w:p w14:paraId="7641C29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优先保护单元</w:t>
            </w:r>
          </w:p>
        </w:tc>
        <w:tc>
          <w:tcPr>
            <w:tcW w:w="710" w:type="dxa"/>
            <w:tcBorders>
              <w:tl2br w:val="nil"/>
              <w:tr2bl w:val="nil"/>
            </w:tcBorders>
            <w:shd w:val="clear" w:color="auto" w:fill="auto"/>
            <w:vAlign w:val="center"/>
          </w:tcPr>
          <w:p w14:paraId="53D394F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空间布局约束</w:t>
            </w:r>
          </w:p>
        </w:tc>
        <w:tc>
          <w:tcPr>
            <w:tcW w:w="4757" w:type="dxa"/>
            <w:tcBorders>
              <w:tl2br w:val="nil"/>
              <w:tr2bl w:val="nil"/>
            </w:tcBorders>
            <w:shd w:val="clear" w:color="auto" w:fill="auto"/>
            <w:vAlign w:val="center"/>
          </w:tcPr>
          <w:p w14:paraId="7706ADD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原则上按限制开发区域的要求进行管理。严格限制与生态功能不一致的开发建设活动。符合区域准入条件的新增建设项目，涉及占用生态空间中的林地、草原等，按有关法律法规规定办理；涉及占用生态空间中其他未作明确规定的用地，应当加强论证和管理。符合条件的农业开发项目，须依法由市县级及以上地方人民政府统筹安排。除符合国家生态退耕条件的耕地，并纳入国家生态退耕总体安排，或因国家重大生态工程建设需要外，不得随意转用。 2.对依法保护的生态空间实行承载力控制，防止过度垦殖、放牧、采伐、取水、渔猎、旅游等对生态功能造成损害，确保自然生态系统的稳定。 3.避免开发建设活动损害其生态服务功能和生态产品质量。 4.已经侵占生态空间的，应建立退出机制、制定治理方案及时间表。</w:t>
            </w:r>
          </w:p>
        </w:tc>
        <w:tc>
          <w:tcPr>
            <w:tcW w:w="2320" w:type="dxa"/>
            <w:vMerge w:val="restart"/>
            <w:tcBorders>
              <w:tl2br w:val="nil"/>
              <w:tr2bl w:val="nil"/>
            </w:tcBorders>
            <w:shd w:val="clear" w:color="auto" w:fill="auto"/>
            <w:vAlign w:val="center"/>
          </w:tcPr>
          <w:p w14:paraId="56489A80">
            <w:pPr>
              <w:pStyle w:val="44"/>
              <w:bidi w:val="0"/>
              <w:rPr>
                <w:rFonts w:hint="default" w:ascii="Times New Roman" w:hAnsi="Times New Roman" w:cs="Times New Roman"/>
                <w:color w:val="auto"/>
                <w:highlight w:val="none"/>
              </w:rPr>
            </w:pPr>
            <w:bookmarkStart w:id="40" w:name="OLE_LINK10"/>
            <w:r>
              <w:rPr>
                <w:rFonts w:hint="default" w:ascii="Times New Roman" w:hAnsi="Times New Roman" w:cs="Times New Roman"/>
                <w:color w:val="auto"/>
                <w:highlight w:val="none"/>
              </w:rPr>
              <w:t>本项目为历史遗留矿山生态修复项目，不属于开发项目，</w:t>
            </w:r>
            <w:r>
              <w:rPr>
                <w:rFonts w:hint="default" w:ascii="Times New Roman" w:hAnsi="Times New Roman" w:cs="Times New Roman"/>
                <w:color w:val="auto"/>
                <w:highlight w:val="none"/>
                <w:lang w:val="zh-CN"/>
              </w:rPr>
              <w:t>本项目运营期废气主要为回填</w:t>
            </w:r>
            <w:r>
              <w:rPr>
                <w:rFonts w:hint="default" w:ascii="Times New Roman" w:hAnsi="Times New Roman" w:cs="Times New Roman"/>
                <w:color w:val="auto"/>
                <w:highlight w:val="none"/>
              </w:rPr>
              <w:t>及建设排水沟等</w:t>
            </w:r>
            <w:r>
              <w:rPr>
                <w:rFonts w:hint="default" w:ascii="Times New Roman" w:hAnsi="Times New Roman" w:cs="Times New Roman"/>
                <w:color w:val="auto"/>
                <w:highlight w:val="none"/>
                <w:lang w:val="zh-CN"/>
              </w:rPr>
              <w:t>过程产生的扬尘，经洒水降尘</w:t>
            </w:r>
            <w:r>
              <w:rPr>
                <w:rFonts w:hint="default" w:ascii="Times New Roman" w:hAnsi="Times New Roman" w:cs="Times New Roman"/>
                <w:color w:val="auto"/>
                <w:highlight w:val="none"/>
              </w:rPr>
              <w:t>等措施</w:t>
            </w:r>
            <w:r>
              <w:rPr>
                <w:rFonts w:hint="default" w:ascii="Times New Roman" w:hAnsi="Times New Roman" w:cs="Times New Roman"/>
                <w:color w:val="auto"/>
                <w:highlight w:val="none"/>
                <w:lang w:val="zh-CN"/>
              </w:rPr>
              <w:t>后对周围环境影响较小，道路运输过程中采用密闭运输方式。本项目回填区不设置办公区，无生活污水产生；</w:t>
            </w:r>
            <w:r>
              <w:rPr>
                <w:rFonts w:hint="default" w:ascii="Times New Roman" w:hAnsi="Times New Roman" w:cs="Times New Roman"/>
                <w:color w:val="auto"/>
                <w:highlight w:val="none"/>
              </w:rPr>
              <w:t>回填</w:t>
            </w:r>
            <w:r>
              <w:rPr>
                <w:rFonts w:hint="default" w:ascii="Times New Roman" w:hAnsi="Times New Roman" w:cs="Times New Roman"/>
                <w:color w:val="auto"/>
                <w:highlight w:val="none"/>
                <w:lang w:val="zh-CN"/>
              </w:rPr>
              <w:t>期产生的淋溶液对地下水影响可以接受；施工期场内积水抽排至沉淀池，经沉淀处理后回用于场内洒水抑尘。回填过程主要是推土机、挖掘机、压实机等装置，通过选用低噪声、低振动设备、加强车辆维护保养、避免夜间操作等措施后对周围环境影响较小。本项目主要进行回填，沉淀池沉渣用于回填作业。本项目</w:t>
            </w:r>
            <w:r>
              <w:rPr>
                <w:rFonts w:hint="default" w:ascii="Times New Roman" w:hAnsi="Times New Roman" w:cs="Times New Roman"/>
                <w:color w:val="auto"/>
                <w:highlight w:val="none"/>
              </w:rPr>
              <w:t>回填复垦过程</w:t>
            </w:r>
            <w:r>
              <w:rPr>
                <w:rFonts w:hint="default" w:ascii="Times New Roman" w:hAnsi="Times New Roman" w:cs="Times New Roman"/>
                <w:color w:val="auto"/>
                <w:highlight w:val="none"/>
                <w:lang w:val="zh-CN"/>
              </w:rPr>
              <w:t>虽然会产生一定的污染物，但在采取以上污染防治措施后，各类污染物的排放对周边环境</w:t>
            </w:r>
            <w:r>
              <w:rPr>
                <w:rFonts w:hint="default" w:ascii="Times New Roman" w:hAnsi="Times New Roman" w:cs="Times New Roman"/>
                <w:color w:val="auto"/>
                <w:highlight w:val="none"/>
              </w:rPr>
              <w:t>可以接受</w:t>
            </w:r>
            <w:r>
              <w:rPr>
                <w:rFonts w:hint="default" w:ascii="Times New Roman" w:hAnsi="Times New Roman" w:cs="Times New Roman"/>
                <w:color w:val="auto"/>
                <w:highlight w:val="none"/>
                <w:lang w:val="zh-CN"/>
              </w:rPr>
              <w:t>，即不会改变区域环境功能区质量要求，能维持环境功能区质量现状，能够满足环境质量底线的要求。本项目区现状为废弃取土坑，生态环境较差，封场后进行覆土</w:t>
            </w:r>
            <w:r>
              <w:rPr>
                <w:rFonts w:hint="default" w:ascii="Times New Roman" w:hAnsi="Times New Roman" w:cs="Times New Roman"/>
                <w:color w:val="auto"/>
                <w:highlight w:val="none"/>
              </w:rPr>
              <w:t>种植</w:t>
            </w:r>
            <w:r>
              <w:rPr>
                <w:rFonts w:hint="default" w:ascii="Times New Roman" w:hAnsi="Times New Roman" w:cs="Times New Roman"/>
                <w:color w:val="auto"/>
                <w:highlight w:val="none"/>
                <w:lang w:val="zh-CN"/>
              </w:rPr>
              <w:t>，恢复成</w:t>
            </w:r>
            <w:r>
              <w:rPr>
                <w:rFonts w:hint="default" w:ascii="Times New Roman" w:hAnsi="Times New Roman" w:cs="Times New Roman"/>
                <w:color w:val="auto"/>
                <w:highlight w:val="none"/>
              </w:rPr>
              <w:t>林</w:t>
            </w:r>
            <w:r>
              <w:rPr>
                <w:rFonts w:hint="default" w:ascii="Times New Roman" w:hAnsi="Times New Roman" w:cs="Times New Roman"/>
                <w:color w:val="auto"/>
                <w:highlight w:val="none"/>
                <w:lang w:val="zh-CN"/>
              </w:rPr>
              <w:t>地，生态环境好转</w:t>
            </w:r>
            <w:bookmarkEnd w:id="40"/>
            <w:r>
              <w:rPr>
                <w:rFonts w:hint="default" w:ascii="Times New Roman" w:hAnsi="Times New Roman" w:cs="Times New Roman"/>
                <w:color w:val="auto"/>
                <w:highlight w:val="none"/>
                <w:lang w:val="zh-CN"/>
              </w:rPr>
              <w:t>，</w:t>
            </w:r>
            <w:r>
              <w:rPr>
                <w:rFonts w:hint="default" w:ascii="Times New Roman" w:hAnsi="Times New Roman" w:cs="Times New Roman"/>
                <w:color w:val="auto"/>
                <w:highlight w:val="none"/>
              </w:rPr>
              <w:t>本项目建设符合管控要求。</w:t>
            </w:r>
          </w:p>
        </w:tc>
      </w:tr>
      <w:tr w14:paraId="729F1825">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3690" w:hRule="atLeast"/>
        </w:trPr>
        <w:tc>
          <w:tcPr>
            <w:tcW w:w="336" w:type="dxa"/>
            <w:vMerge w:val="restart"/>
            <w:tcBorders>
              <w:tl2br w:val="nil"/>
              <w:tr2bl w:val="nil"/>
            </w:tcBorders>
            <w:shd w:val="clear" w:color="auto" w:fill="auto"/>
            <w:vAlign w:val="center"/>
          </w:tcPr>
          <w:p w14:paraId="77C7947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ZH23030620003</w:t>
            </w:r>
          </w:p>
        </w:tc>
        <w:tc>
          <w:tcPr>
            <w:tcW w:w="462" w:type="dxa"/>
            <w:vMerge w:val="restart"/>
            <w:tcBorders>
              <w:tl2br w:val="nil"/>
              <w:tr2bl w:val="nil"/>
            </w:tcBorders>
            <w:shd w:val="clear" w:color="auto" w:fill="auto"/>
            <w:vAlign w:val="center"/>
          </w:tcPr>
          <w:p w14:paraId="3E96C13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城子河区一般生态空间</w:t>
            </w:r>
          </w:p>
        </w:tc>
        <w:tc>
          <w:tcPr>
            <w:tcW w:w="470" w:type="dxa"/>
            <w:vMerge w:val="restart"/>
            <w:tcBorders>
              <w:tl2br w:val="nil"/>
              <w:tr2bl w:val="nil"/>
            </w:tcBorders>
            <w:shd w:val="clear" w:color="auto" w:fill="auto"/>
            <w:vAlign w:val="center"/>
          </w:tcPr>
          <w:p w14:paraId="387E3E4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城子河区水环境农业污染重点管控区</w:t>
            </w:r>
          </w:p>
        </w:tc>
        <w:tc>
          <w:tcPr>
            <w:tcW w:w="710" w:type="dxa"/>
            <w:tcBorders>
              <w:tl2br w:val="nil"/>
              <w:tr2bl w:val="nil"/>
            </w:tcBorders>
            <w:shd w:val="clear" w:color="auto" w:fill="auto"/>
            <w:vAlign w:val="center"/>
          </w:tcPr>
          <w:p w14:paraId="5E29177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空间布局约束</w:t>
            </w:r>
          </w:p>
        </w:tc>
        <w:tc>
          <w:tcPr>
            <w:tcW w:w="4757" w:type="dxa"/>
            <w:tcBorders>
              <w:tl2br w:val="nil"/>
              <w:tr2bl w:val="nil"/>
            </w:tcBorders>
            <w:shd w:val="clear" w:color="auto" w:fill="auto"/>
            <w:vAlign w:val="center"/>
          </w:tcPr>
          <w:p w14:paraId="6975337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同时执行： （1）科学划定畜禽养殖禁养区。 （2）加快农业结构调整。松嫩平原和三江平原等地下水易受污染地区优先种植需肥需药量低、环境效益突出的农作物；在西部干旱区发展谷子、高粱等耐旱杂粮种植；在北部四、五积温区开展米豆麦轮作，促进化肥需求低的农作物面积恢复性增长。 2.大气环境布局敏感重点管控区同时执行 （1）严控“两高”行业产能。严格执行钢铁、水泥、平板玻璃等行业产能置换实施办法。 （2）利用水泥窑协同处置城市生活垃圾、危险废弃物、电石渣等固废伴生水泥项目，必须依托现有新型干法水泥熟料生产线进行不扩产能改造。</w:t>
            </w:r>
          </w:p>
        </w:tc>
        <w:tc>
          <w:tcPr>
            <w:tcW w:w="2320" w:type="dxa"/>
            <w:vMerge w:val="continue"/>
            <w:tcBorders>
              <w:tl2br w:val="nil"/>
              <w:tr2bl w:val="nil"/>
            </w:tcBorders>
            <w:shd w:val="clear" w:color="auto" w:fill="auto"/>
            <w:vAlign w:val="center"/>
          </w:tcPr>
          <w:p w14:paraId="50449899">
            <w:pPr>
              <w:pStyle w:val="44"/>
              <w:bidi w:val="0"/>
              <w:rPr>
                <w:rFonts w:hint="default" w:ascii="Times New Roman" w:hAnsi="Times New Roman" w:cs="Times New Roman"/>
                <w:color w:val="auto"/>
                <w:highlight w:val="none"/>
              </w:rPr>
            </w:pPr>
          </w:p>
        </w:tc>
      </w:tr>
      <w:tr w14:paraId="16025DE4">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4875" w:hRule="atLeast"/>
        </w:trPr>
        <w:tc>
          <w:tcPr>
            <w:tcW w:w="336" w:type="dxa"/>
            <w:vMerge w:val="continue"/>
            <w:tcBorders>
              <w:tl2br w:val="nil"/>
              <w:tr2bl w:val="nil"/>
            </w:tcBorders>
            <w:shd w:val="clear" w:color="auto" w:fill="auto"/>
            <w:vAlign w:val="center"/>
          </w:tcPr>
          <w:p w14:paraId="5C6E393A">
            <w:pPr>
              <w:pStyle w:val="44"/>
              <w:bidi w:val="0"/>
              <w:rPr>
                <w:rFonts w:hint="default" w:ascii="Times New Roman" w:hAnsi="Times New Roman" w:cs="Times New Roman"/>
                <w:color w:val="auto"/>
                <w:highlight w:val="none"/>
              </w:rPr>
            </w:pPr>
          </w:p>
        </w:tc>
        <w:tc>
          <w:tcPr>
            <w:tcW w:w="462" w:type="dxa"/>
            <w:vMerge w:val="continue"/>
            <w:tcBorders>
              <w:tl2br w:val="nil"/>
              <w:tr2bl w:val="nil"/>
            </w:tcBorders>
            <w:shd w:val="clear" w:color="auto" w:fill="auto"/>
            <w:vAlign w:val="center"/>
          </w:tcPr>
          <w:p w14:paraId="0B965498">
            <w:pPr>
              <w:pStyle w:val="44"/>
              <w:bidi w:val="0"/>
              <w:rPr>
                <w:rFonts w:hint="default" w:ascii="Times New Roman" w:hAnsi="Times New Roman" w:cs="Times New Roman"/>
                <w:color w:val="auto"/>
                <w:highlight w:val="none"/>
              </w:rPr>
            </w:pPr>
          </w:p>
        </w:tc>
        <w:tc>
          <w:tcPr>
            <w:tcW w:w="470" w:type="dxa"/>
            <w:vMerge w:val="continue"/>
            <w:tcBorders>
              <w:tl2br w:val="nil"/>
              <w:tr2bl w:val="nil"/>
            </w:tcBorders>
            <w:shd w:val="clear" w:color="auto" w:fill="auto"/>
            <w:vAlign w:val="center"/>
          </w:tcPr>
          <w:p w14:paraId="2137FBA0">
            <w:pPr>
              <w:pStyle w:val="44"/>
              <w:bidi w:val="0"/>
              <w:rPr>
                <w:rFonts w:hint="default" w:ascii="Times New Roman" w:hAnsi="Times New Roman" w:cs="Times New Roman"/>
                <w:color w:val="auto"/>
                <w:highlight w:val="none"/>
              </w:rPr>
            </w:pPr>
          </w:p>
        </w:tc>
        <w:tc>
          <w:tcPr>
            <w:tcW w:w="710" w:type="dxa"/>
            <w:tcBorders>
              <w:tl2br w:val="nil"/>
              <w:tr2bl w:val="nil"/>
            </w:tcBorders>
            <w:shd w:val="clear" w:color="auto" w:fill="auto"/>
            <w:vAlign w:val="center"/>
          </w:tcPr>
          <w:p w14:paraId="7BBCE9A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污染物排放管控</w:t>
            </w:r>
          </w:p>
        </w:tc>
        <w:tc>
          <w:tcPr>
            <w:tcW w:w="4757" w:type="dxa"/>
            <w:tcBorders>
              <w:tl2br w:val="nil"/>
              <w:tr2bl w:val="nil"/>
            </w:tcBorders>
            <w:shd w:val="clear" w:color="auto" w:fill="auto"/>
            <w:vAlign w:val="center"/>
          </w:tcPr>
          <w:p w14:paraId="195BFB1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1.执行本清单 （1）支持规模化畜禽养殖场（小区）开展标准化改造和建设，提高畜禽粪污收集和处理机械化水平，实施雨污分流、粪污资源化利用，控制畜禽养殖污染排放。 （2）畜禽养殖户应当及时对畜禽粪便、污水进行收集、贮存、清运，或者进行无害化处理。县级人民政府应当组织对本行政区域的畜禽散养密集区畜禽粪便、污水进行集中处理利用，督促乡镇人民政府建设或者配备污染防治配套设施。 （3）全面加强农业面源污染防控，科学合理使用农业投入品，提高使用效率，减少农业内源性污染。 2.大气环境布局敏感重点管控区同时执行 （1）对以煤、石焦油、渣油、重油等为燃料的锅炉和工业炉窑，加快使用清洁低碳能源以及工厂余热、电力热力等进行替代。 （2）到2025年，在用65蒸吨/小时以上的燃煤锅炉（含电力）实现超低排放，钢铁企业基本实现超低排放。</w:t>
            </w:r>
          </w:p>
        </w:tc>
        <w:tc>
          <w:tcPr>
            <w:tcW w:w="2320" w:type="dxa"/>
            <w:vMerge w:val="continue"/>
            <w:tcBorders>
              <w:tl2br w:val="nil"/>
              <w:tr2bl w:val="nil"/>
            </w:tcBorders>
            <w:shd w:val="clear" w:color="auto" w:fill="auto"/>
            <w:vAlign w:val="center"/>
          </w:tcPr>
          <w:p w14:paraId="78BD6CC3">
            <w:pPr>
              <w:pStyle w:val="44"/>
              <w:bidi w:val="0"/>
              <w:rPr>
                <w:rFonts w:hint="default" w:ascii="Times New Roman" w:hAnsi="Times New Roman" w:cs="Times New Roman"/>
                <w:color w:val="auto"/>
                <w:highlight w:val="none"/>
              </w:rPr>
            </w:pPr>
          </w:p>
        </w:tc>
      </w:tr>
      <w:tr w14:paraId="1C41A21E">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90" w:hRule="atLeast"/>
        </w:trPr>
        <w:tc>
          <w:tcPr>
            <w:tcW w:w="336" w:type="dxa"/>
            <w:vMerge w:val="continue"/>
            <w:tcBorders>
              <w:tl2br w:val="nil"/>
              <w:tr2bl w:val="nil"/>
            </w:tcBorders>
            <w:shd w:val="clear" w:color="auto" w:fill="auto"/>
            <w:vAlign w:val="center"/>
          </w:tcPr>
          <w:p w14:paraId="73D8C0C7">
            <w:pPr>
              <w:pStyle w:val="44"/>
              <w:bidi w:val="0"/>
              <w:rPr>
                <w:rFonts w:hint="default" w:ascii="Times New Roman" w:hAnsi="Times New Roman" w:cs="Times New Roman"/>
                <w:color w:val="auto"/>
                <w:highlight w:val="none"/>
              </w:rPr>
            </w:pPr>
          </w:p>
        </w:tc>
        <w:tc>
          <w:tcPr>
            <w:tcW w:w="462" w:type="dxa"/>
            <w:vMerge w:val="continue"/>
            <w:tcBorders>
              <w:tl2br w:val="nil"/>
              <w:tr2bl w:val="nil"/>
            </w:tcBorders>
            <w:shd w:val="clear" w:color="auto" w:fill="auto"/>
            <w:vAlign w:val="center"/>
          </w:tcPr>
          <w:p w14:paraId="5D688109">
            <w:pPr>
              <w:pStyle w:val="44"/>
              <w:bidi w:val="0"/>
              <w:rPr>
                <w:rFonts w:hint="default" w:ascii="Times New Roman" w:hAnsi="Times New Roman" w:cs="Times New Roman"/>
                <w:color w:val="auto"/>
                <w:highlight w:val="none"/>
              </w:rPr>
            </w:pPr>
          </w:p>
        </w:tc>
        <w:tc>
          <w:tcPr>
            <w:tcW w:w="470" w:type="dxa"/>
            <w:vMerge w:val="continue"/>
            <w:tcBorders>
              <w:tl2br w:val="nil"/>
              <w:tr2bl w:val="nil"/>
            </w:tcBorders>
            <w:shd w:val="clear" w:color="auto" w:fill="auto"/>
            <w:vAlign w:val="center"/>
          </w:tcPr>
          <w:p w14:paraId="0D2B2218">
            <w:pPr>
              <w:pStyle w:val="44"/>
              <w:bidi w:val="0"/>
              <w:rPr>
                <w:rFonts w:hint="default" w:ascii="Times New Roman" w:hAnsi="Times New Roman" w:cs="Times New Roman"/>
                <w:color w:val="auto"/>
                <w:highlight w:val="none"/>
              </w:rPr>
            </w:pPr>
          </w:p>
        </w:tc>
        <w:tc>
          <w:tcPr>
            <w:tcW w:w="710" w:type="dxa"/>
            <w:tcBorders>
              <w:tl2br w:val="nil"/>
              <w:tr2bl w:val="nil"/>
            </w:tcBorders>
            <w:shd w:val="clear" w:color="auto" w:fill="auto"/>
            <w:vAlign w:val="center"/>
          </w:tcPr>
          <w:p w14:paraId="4AC7B4C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风险管控</w:t>
            </w:r>
          </w:p>
        </w:tc>
        <w:tc>
          <w:tcPr>
            <w:tcW w:w="4757" w:type="dxa"/>
            <w:tcBorders>
              <w:tl2br w:val="nil"/>
              <w:tr2bl w:val="nil"/>
            </w:tcBorders>
            <w:shd w:val="clear" w:color="auto" w:fill="auto"/>
            <w:vAlign w:val="center"/>
          </w:tcPr>
          <w:p w14:paraId="6A70249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大气环境布局敏感重点管控区同时执行本清单禁止在居民区、学校、医疗和养老机构等周边新建有色金属冶炼、焦化等行业企业。</w:t>
            </w:r>
          </w:p>
        </w:tc>
        <w:tc>
          <w:tcPr>
            <w:tcW w:w="2320" w:type="dxa"/>
            <w:vMerge w:val="continue"/>
            <w:tcBorders>
              <w:tl2br w:val="nil"/>
              <w:tr2bl w:val="nil"/>
            </w:tcBorders>
            <w:shd w:val="clear" w:color="auto" w:fill="auto"/>
            <w:noWrap/>
            <w:vAlign w:val="center"/>
          </w:tcPr>
          <w:p w14:paraId="6B399CCF">
            <w:pPr>
              <w:pStyle w:val="44"/>
              <w:bidi w:val="0"/>
              <w:rPr>
                <w:rFonts w:hint="default" w:ascii="Times New Roman" w:hAnsi="Times New Roman" w:cs="Times New Roman"/>
                <w:color w:val="auto"/>
                <w:highlight w:val="none"/>
              </w:rPr>
            </w:pPr>
          </w:p>
        </w:tc>
      </w:tr>
      <w:bookmarkEnd w:id="37"/>
      <w:bookmarkEnd w:id="39"/>
    </w:tbl>
    <w:p w14:paraId="1CF5288D">
      <w:pPr>
        <w:pStyle w:val="27"/>
        <w:bidi w:val="0"/>
        <w:rPr>
          <w:rFonts w:hint="default" w:ascii="Times New Roman" w:hAnsi="Times New Roman" w:cs="Times New Roman"/>
          <w:color w:val="auto"/>
          <w:highlight w:val="none"/>
        </w:rPr>
      </w:pPr>
      <w:bookmarkStart w:id="41" w:name="OLE_LINK8"/>
      <w:r>
        <w:rPr>
          <w:rFonts w:hint="default" w:ascii="Times New Roman" w:hAnsi="Times New Roman" w:cs="Times New Roman"/>
          <w:color w:val="auto"/>
          <w:highlight w:val="none"/>
        </w:rPr>
        <w:t>表1-4-</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 xml:space="preserve">   </w:t>
      </w:r>
      <w:r>
        <w:rPr>
          <w:rFonts w:hint="default" w:ascii="Times New Roman" w:hAnsi="Times New Roman" w:cs="Times New Roman"/>
          <w:bCs/>
          <w:color w:val="auto"/>
          <w:highlight w:val="none"/>
        </w:rPr>
        <w:t>25#</w:t>
      </w:r>
      <w:r>
        <w:rPr>
          <w:rFonts w:hint="default" w:ascii="Times New Roman" w:hAnsi="Times New Roman" w:cs="Times New Roman"/>
          <w:bCs/>
          <w:color w:val="auto"/>
          <w:highlight w:val="none"/>
          <w:lang w:eastAsia="zh-CN"/>
        </w:rPr>
        <w:t>项目区</w:t>
      </w:r>
      <w:r>
        <w:rPr>
          <w:rFonts w:hint="default" w:ascii="Times New Roman" w:hAnsi="Times New Roman" w:cs="Times New Roman"/>
          <w:color w:val="auto"/>
          <w:highlight w:val="none"/>
        </w:rPr>
        <w:t>生态环境准入清单管控要求符合性分析</w:t>
      </w:r>
    </w:p>
    <w:tbl>
      <w:tblPr>
        <w:tblStyle w:val="20"/>
        <w:tblW w:w="9055" w:type="dxa"/>
        <w:tblInd w:w="93" w:type="dxa"/>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Layout w:type="fixed"/>
        <w:tblCellMar>
          <w:top w:w="0" w:type="dxa"/>
          <w:left w:w="108" w:type="dxa"/>
          <w:bottom w:w="0" w:type="dxa"/>
          <w:right w:w="108" w:type="dxa"/>
        </w:tblCellMar>
      </w:tblPr>
      <w:tblGrid>
        <w:gridCol w:w="336"/>
        <w:gridCol w:w="479"/>
        <w:gridCol w:w="462"/>
        <w:gridCol w:w="719"/>
        <w:gridCol w:w="4731"/>
        <w:gridCol w:w="2328"/>
      </w:tblGrid>
      <w:tr w14:paraId="4E2977B2">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540" w:hRule="atLeast"/>
        </w:trPr>
        <w:tc>
          <w:tcPr>
            <w:tcW w:w="336" w:type="dxa"/>
            <w:tcBorders>
              <w:tl2br w:val="nil"/>
              <w:tr2bl w:val="nil"/>
            </w:tcBorders>
            <w:shd w:val="clear" w:color="auto" w:fill="auto"/>
            <w:vAlign w:val="center"/>
          </w:tcPr>
          <w:p w14:paraId="04215FED">
            <w:pPr>
              <w:pStyle w:val="44"/>
              <w:bidi w:val="0"/>
              <w:rPr>
                <w:rFonts w:hint="default" w:ascii="Times New Roman" w:hAnsi="Times New Roman" w:cs="Times New Roman"/>
                <w:color w:val="auto"/>
                <w:highlight w:val="none"/>
              </w:rPr>
            </w:pPr>
            <w:bookmarkStart w:id="42" w:name="OLE_LINK14"/>
            <w:r>
              <w:rPr>
                <w:rFonts w:hint="default" w:ascii="Times New Roman" w:hAnsi="Times New Roman" w:cs="Times New Roman"/>
                <w:color w:val="auto"/>
                <w:highlight w:val="none"/>
              </w:rPr>
              <w:t>管控单元编码</w:t>
            </w:r>
          </w:p>
        </w:tc>
        <w:tc>
          <w:tcPr>
            <w:tcW w:w="479" w:type="dxa"/>
            <w:tcBorders>
              <w:tl2br w:val="nil"/>
              <w:tr2bl w:val="nil"/>
            </w:tcBorders>
            <w:shd w:val="clear" w:color="auto" w:fill="auto"/>
            <w:vAlign w:val="center"/>
          </w:tcPr>
          <w:p w14:paraId="0F69AB2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环境管控单元名称</w:t>
            </w:r>
          </w:p>
        </w:tc>
        <w:tc>
          <w:tcPr>
            <w:tcW w:w="462" w:type="dxa"/>
            <w:tcBorders>
              <w:tl2br w:val="nil"/>
              <w:tr2bl w:val="nil"/>
            </w:tcBorders>
            <w:shd w:val="clear" w:color="auto" w:fill="auto"/>
            <w:vAlign w:val="center"/>
          </w:tcPr>
          <w:p w14:paraId="63D745B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管控单元类别</w:t>
            </w:r>
          </w:p>
        </w:tc>
        <w:tc>
          <w:tcPr>
            <w:tcW w:w="5450" w:type="dxa"/>
            <w:gridSpan w:val="2"/>
            <w:tcBorders>
              <w:tl2br w:val="nil"/>
              <w:tr2bl w:val="nil"/>
            </w:tcBorders>
            <w:shd w:val="clear" w:color="auto" w:fill="auto"/>
            <w:vAlign w:val="center"/>
          </w:tcPr>
          <w:p w14:paraId="549A5BD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管控要求</w:t>
            </w:r>
          </w:p>
        </w:tc>
        <w:tc>
          <w:tcPr>
            <w:tcW w:w="2328" w:type="dxa"/>
            <w:tcBorders>
              <w:tl2br w:val="nil"/>
              <w:tr2bl w:val="nil"/>
            </w:tcBorders>
            <w:shd w:val="clear" w:color="auto" w:fill="auto"/>
            <w:vAlign w:val="center"/>
          </w:tcPr>
          <w:p w14:paraId="40C12EB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符合性</w:t>
            </w:r>
          </w:p>
        </w:tc>
      </w:tr>
      <w:tr w14:paraId="08DD943E">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372" w:hRule="atLeast"/>
        </w:trPr>
        <w:tc>
          <w:tcPr>
            <w:tcW w:w="336" w:type="dxa"/>
            <w:vMerge w:val="restart"/>
            <w:tcBorders>
              <w:tl2br w:val="nil"/>
              <w:tr2bl w:val="nil"/>
            </w:tcBorders>
            <w:shd w:val="clear" w:color="auto" w:fill="auto"/>
            <w:vAlign w:val="center"/>
          </w:tcPr>
          <w:p w14:paraId="27E1CC5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ZH23030620003</w:t>
            </w:r>
          </w:p>
        </w:tc>
        <w:tc>
          <w:tcPr>
            <w:tcW w:w="479" w:type="dxa"/>
            <w:vMerge w:val="restart"/>
            <w:tcBorders>
              <w:tl2br w:val="nil"/>
              <w:tr2bl w:val="nil"/>
            </w:tcBorders>
            <w:shd w:val="clear" w:color="auto" w:fill="auto"/>
            <w:vAlign w:val="center"/>
          </w:tcPr>
          <w:p w14:paraId="1C6A10C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城子河区一般生态空间</w:t>
            </w:r>
          </w:p>
        </w:tc>
        <w:tc>
          <w:tcPr>
            <w:tcW w:w="462" w:type="dxa"/>
            <w:vMerge w:val="restart"/>
            <w:tcBorders>
              <w:tl2br w:val="nil"/>
              <w:tr2bl w:val="nil"/>
            </w:tcBorders>
            <w:shd w:val="clear" w:color="auto" w:fill="auto"/>
            <w:vAlign w:val="center"/>
          </w:tcPr>
          <w:p w14:paraId="2C12B24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城子河区水环境农业污染重点管控区</w:t>
            </w:r>
          </w:p>
        </w:tc>
        <w:tc>
          <w:tcPr>
            <w:tcW w:w="719" w:type="dxa"/>
            <w:tcBorders>
              <w:tl2br w:val="nil"/>
              <w:tr2bl w:val="nil"/>
            </w:tcBorders>
            <w:shd w:val="clear" w:color="auto" w:fill="auto"/>
            <w:vAlign w:val="center"/>
          </w:tcPr>
          <w:p w14:paraId="644F388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空间布局约束</w:t>
            </w:r>
          </w:p>
        </w:tc>
        <w:tc>
          <w:tcPr>
            <w:tcW w:w="4731" w:type="dxa"/>
            <w:tcBorders>
              <w:tl2br w:val="nil"/>
              <w:tr2bl w:val="nil"/>
            </w:tcBorders>
            <w:shd w:val="clear" w:color="auto" w:fill="auto"/>
            <w:vAlign w:val="center"/>
          </w:tcPr>
          <w:p w14:paraId="4E382C8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同时执行： （1）科学划定畜禽养殖禁养区。 （2）加快农业结构调整。松嫩平原和三江平原等地下水易受污染地区优先种植需肥需药量低、环境效益突出的农作物；在西部干旱区发展谷子、高粱等耐旱杂粮种植；在北部四、五积温区开展米豆麦轮作，促进化肥需求低的农作物面积恢复性增长。 2.大气环境布局敏感重点管控区同时执行 （1）严控“两高”行业产能。严格执行钢铁、水泥、平板玻璃等行业产能置换实施办法。 （2）利用水泥窑协同处置城市生活垃圾、危险废弃物、电石渣等固废伴生水泥项目，必须依托现有新型干法水泥熟料生产线进行不扩产能改造。</w:t>
            </w:r>
          </w:p>
        </w:tc>
        <w:tc>
          <w:tcPr>
            <w:tcW w:w="2328" w:type="dxa"/>
            <w:vMerge w:val="restart"/>
            <w:tcBorders>
              <w:tl2br w:val="nil"/>
              <w:tr2bl w:val="nil"/>
            </w:tcBorders>
            <w:shd w:val="clear" w:color="auto" w:fill="auto"/>
            <w:vAlign w:val="center"/>
          </w:tcPr>
          <w:p w14:paraId="5C10BADD">
            <w:pPr>
              <w:pStyle w:val="44"/>
              <w:bidi w:val="0"/>
              <w:rPr>
                <w:rFonts w:hint="default" w:ascii="Times New Roman" w:hAnsi="Times New Roman" w:cs="Times New Roman"/>
                <w:color w:val="auto"/>
                <w:highlight w:val="none"/>
              </w:rPr>
            </w:pPr>
            <w:bookmarkStart w:id="43" w:name="OLE_LINK11"/>
            <w:r>
              <w:rPr>
                <w:rFonts w:hint="default" w:ascii="Times New Roman" w:hAnsi="Times New Roman" w:cs="Times New Roman"/>
                <w:color w:val="auto"/>
                <w:highlight w:val="none"/>
              </w:rPr>
              <w:t>本项目为历史遗留矿山生态修复项目，不属于开发项目，</w:t>
            </w:r>
            <w:r>
              <w:rPr>
                <w:rFonts w:hint="default" w:ascii="Times New Roman" w:hAnsi="Times New Roman" w:cs="Times New Roman"/>
                <w:color w:val="auto"/>
                <w:highlight w:val="none"/>
                <w:lang w:val="zh-CN"/>
              </w:rPr>
              <w:t>本项目运营期废气主要为</w:t>
            </w:r>
            <w:r>
              <w:rPr>
                <w:rFonts w:hint="default" w:ascii="Times New Roman" w:hAnsi="Times New Roman" w:cs="Times New Roman"/>
                <w:color w:val="auto"/>
                <w:highlight w:val="none"/>
              </w:rPr>
              <w:t>土地平整及植被恢复等</w:t>
            </w:r>
            <w:r>
              <w:rPr>
                <w:rFonts w:hint="default" w:ascii="Times New Roman" w:hAnsi="Times New Roman" w:cs="Times New Roman"/>
                <w:color w:val="auto"/>
                <w:highlight w:val="none"/>
                <w:lang w:val="zh-CN"/>
              </w:rPr>
              <w:t>过程产生的扬尘，经洒水降尘</w:t>
            </w:r>
            <w:r>
              <w:rPr>
                <w:rFonts w:hint="default" w:ascii="Times New Roman" w:hAnsi="Times New Roman" w:cs="Times New Roman"/>
                <w:color w:val="auto"/>
                <w:highlight w:val="none"/>
              </w:rPr>
              <w:t>等措施</w:t>
            </w:r>
            <w:r>
              <w:rPr>
                <w:rFonts w:hint="default" w:ascii="Times New Roman" w:hAnsi="Times New Roman" w:cs="Times New Roman"/>
                <w:color w:val="auto"/>
                <w:highlight w:val="none"/>
                <w:lang w:val="zh-CN"/>
              </w:rPr>
              <w:t>后对周围环境影响较小，道路运输过程中采用密闭运输方式。施工期场内积水抽排至沉淀池，经沉淀处理后回用于场内洒水抑尘。回填过程主要是推土机、挖掘机、压实机等装置，通过选用低噪声、低振动设备、加强车辆维护保养、避免夜间操作等措施后对周围环境影响较小。本项目</w:t>
            </w:r>
            <w:r>
              <w:rPr>
                <w:rFonts w:hint="default" w:ascii="Times New Roman" w:hAnsi="Times New Roman" w:cs="Times New Roman"/>
                <w:color w:val="auto"/>
                <w:highlight w:val="none"/>
              </w:rPr>
              <w:t>建设及复垦过程</w:t>
            </w:r>
            <w:r>
              <w:rPr>
                <w:rFonts w:hint="default" w:ascii="Times New Roman" w:hAnsi="Times New Roman" w:cs="Times New Roman"/>
                <w:color w:val="auto"/>
                <w:highlight w:val="none"/>
                <w:lang w:val="zh-CN"/>
              </w:rPr>
              <w:t>虽然会产生一定的污染物，但在采取以上污染防治措施后，各类污染物的排放对周边环境</w:t>
            </w:r>
            <w:r>
              <w:rPr>
                <w:rFonts w:hint="default" w:ascii="Times New Roman" w:hAnsi="Times New Roman" w:cs="Times New Roman"/>
                <w:color w:val="auto"/>
                <w:highlight w:val="none"/>
              </w:rPr>
              <w:t>可以接受</w:t>
            </w:r>
            <w:r>
              <w:rPr>
                <w:rFonts w:hint="default" w:ascii="Times New Roman" w:hAnsi="Times New Roman" w:cs="Times New Roman"/>
                <w:color w:val="auto"/>
                <w:highlight w:val="none"/>
                <w:lang w:val="zh-CN"/>
              </w:rPr>
              <w:t>，即不会改变区域环境功能区质量要求，能维持环境功能区质量现状，能够满足环境质量底线的要求。本项目区现状为废弃取土坑，生态环境较差，封场后进行覆土</w:t>
            </w:r>
            <w:r>
              <w:rPr>
                <w:rFonts w:hint="default" w:ascii="Times New Roman" w:hAnsi="Times New Roman" w:cs="Times New Roman"/>
                <w:color w:val="auto"/>
                <w:highlight w:val="none"/>
              </w:rPr>
              <w:t>种植</w:t>
            </w:r>
            <w:r>
              <w:rPr>
                <w:rFonts w:hint="default" w:ascii="Times New Roman" w:hAnsi="Times New Roman" w:cs="Times New Roman"/>
                <w:color w:val="auto"/>
                <w:highlight w:val="none"/>
                <w:lang w:val="zh-CN"/>
              </w:rPr>
              <w:t>，恢复成</w:t>
            </w:r>
            <w:r>
              <w:rPr>
                <w:rFonts w:hint="default" w:ascii="Times New Roman" w:hAnsi="Times New Roman" w:cs="Times New Roman"/>
                <w:color w:val="auto"/>
                <w:highlight w:val="none"/>
              </w:rPr>
              <w:t>林</w:t>
            </w:r>
            <w:r>
              <w:rPr>
                <w:rFonts w:hint="default" w:ascii="Times New Roman" w:hAnsi="Times New Roman" w:cs="Times New Roman"/>
                <w:color w:val="auto"/>
                <w:highlight w:val="none"/>
                <w:lang w:val="zh-CN"/>
              </w:rPr>
              <w:t>地，生态环境好转</w:t>
            </w:r>
            <w:bookmarkEnd w:id="43"/>
            <w:r>
              <w:rPr>
                <w:rFonts w:hint="default" w:ascii="Times New Roman" w:hAnsi="Times New Roman" w:cs="Times New Roman"/>
                <w:color w:val="auto"/>
                <w:highlight w:val="none"/>
                <w:lang w:val="zh-CN"/>
              </w:rPr>
              <w:t>，</w:t>
            </w:r>
            <w:r>
              <w:rPr>
                <w:rFonts w:hint="default" w:ascii="Times New Roman" w:hAnsi="Times New Roman" w:cs="Times New Roman"/>
                <w:color w:val="auto"/>
                <w:highlight w:val="none"/>
              </w:rPr>
              <w:t>建设符合管控要求。</w:t>
            </w:r>
          </w:p>
        </w:tc>
      </w:tr>
      <w:tr w14:paraId="370092A7">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4875" w:hRule="atLeast"/>
        </w:trPr>
        <w:tc>
          <w:tcPr>
            <w:tcW w:w="336" w:type="dxa"/>
            <w:vMerge w:val="continue"/>
            <w:tcBorders>
              <w:tl2br w:val="nil"/>
              <w:tr2bl w:val="nil"/>
            </w:tcBorders>
            <w:shd w:val="clear" w:color="auto" w:fill="auto"/>
            <w:vAlign w:val="center"/>
          </w:tcPr>
          <w:p w14:paraId="378CCDD7">
            <w:pPr>
              <w:pStyle w:val="44"/>
              <w:bidi w:val="0"/>
              <w:rPr>
                <w:rFonts w:hint="default" w:ascii="Times New Roman" w:hAnsi="Times New Roman" w:cs="Times New Roman"/>
                <w:color w:val="auto"/>
                <w:highlight w:val="none"/>
              </w:rPr>
            </w:pPr>
          </w:p>
        </w:tc>
        <w:tc>
          <w:tcPr>
            <w:tcW w:w="479" w:type="dxa"/>
            <w:vMerge w:val="continue"/>
            <w:tcBorders>
              <w:tl2br w:val="nil"/>
              <w:tr2bl w:val="nil"/>
            </w:tcBorders>
            <w:shd w:val="clear" w:color="auto" w:fill="auto"/>
            <w:vAlign w:val="center"/>
          </w:tcPr>
          <w:p w14:paraId="2FC1773D">
            <w:pPr>
              <w:pStyle w:val="44"/>
              <w:bidi w:val="0"/>
              <w:rPr>
                <w:rFonts w:hint="default" w:ascii="Times New Roman" w:hAnsi="Times New Roman" w:cs="Times New Roman"/>
                <w:color w:val="auto"/>
                <w:highlight w:val="none"/>
              </w:rPr>
            </w:pPr>
          </w:p>
        </w:tc>
        <w:tc>
          <w:tcPr>
            <w:tcW w:w="462" w:type="dxa"/>
            <w:vMerge w:val="continue"/>
            <w:tcBorders>
              <w:tl2br w:val="nil"/>
              <w:tr2bl w:val="nil"/>
            </w:tcBorders>
            <w:shd w:val="clear" w:color="auto" w:fill="auto"/>
            <w:vAlign w:val="center"/>
          </w:tcPr>
          <w:p w14:paraId="2C08399A">
            <w:pPr>
              <w:pStyle w:val="44"/>
              <w:bidi w:val="0"/>
              <w:rPr>
                <w:rFonts w:hint="default" w:ascii="Times New Roman" w:hAnsi="Times New Roman" w:cs="Times New Roman"/>
                <w:color w:val="auto"/>
                <w:highlight w:val="none"/>
              </w:rPr>
            </w:pPr>
          </w:p>
        </w:tc>
        <w:tc>
          <w:tcPr>
            <w:tcW w:w="719" w:type="dxa"/>
            <w:tcBorders>
              <w:tl2br w:val="nil"/>
              <w:tr2bl w:val="nil"/>
            </w:tcBorders>
            <w:shd w:val="clear" w:color="auto" w:fill="auto"/>
            <w:vAlign w:val="center"/>
          </w:tcPr>
          <w:p w14:paraId="529685A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污染物排放管控</w:t>
            </w:r>
          </w:p>
        </w:tc>
        <w:tc>
          <w:tcPr>
            <w:tcW w:w="4731" w:type="dxa"/>
            <w:tcBorders>
              <w:tl2br w:val="nil"/>
              <w:tr2bl w:val="nil"/>
            </w:tcBorders>
            <w:shd w:val="clear" w:color="auto" w:fill="auto"/>
            <w:vAlign w:val="center"/>
          </w:tcPr>
          <w:p w14:paraId="73919CF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1.执行本清单 （1）支持规模化畜禽养殖场（小区）开展标准化改造和建设，提高畜禽粪污收集和处理机械化水平，实施雨污分流、粪污资源化利用，控制畜禽养殖污染排放。 （2）畜禽养殖户应当及时对畜禽粪便、污水进行收集、贮存、清运，或者进行无害化处理。县级人民政府应当组织对本行政区域的畜禽散养密集区畜禽粪便、污水进行集中处理利用，督促乡镇人民政府建设或者配备污染防治配套设施。 （3）全面加强农业面源污染防控，科学合理使用农业投入品，提高使用效率，减少农业内源性污染。 2.大气环境布局敏感重点管控区同时执行 （1）对以煤、石焦油、渣油、重油等为燃料的锅炉和工业炉窑，加快使用清洁低碳能源以及工厂余热、电力热力等进行替代。 （2）到2025年，在用65蒸吨/小时以上的燃煤锅炉（含电力）实现超低排放，钢铁企业基本实现超低排放。</w:t>
            </w:r>
          </w:p>
        </w:tc>
        <w:tc>
          <w:tcPr>
            <w:tcW w:w="2328" w:type="dxa"/>
            <w:vMerge w:val="continue"/>
            <w:tcBorders>
              <w:tl2br w:val="nil"/>
              <w:tr2bl w:val="nil"/>
            </w:tcBorders>
            <w:shd w:val="clear" w:color="auto" w:fill="auto"/>
            <w:vAlign w:val="center"/>
          </w:tcPr>
          <w:p w14:paraId="3440DA39">
            <w:pPr>
              <w:pStyle w:val="44"/>
              <w:bidi w:val="0"/>
              <w:rPr>
                <w:rFonts w:hint="default" w:ascii="Times New Roman" w:hAnsi="Times New Roman" w:cs="Times New Roman"/>
                <w:color w:val="auto"/>
                <w:highlight w:val="none"/>
              </w:rPr>
            </w:pPr>
          </w:p>
        </w:tc>
      </w:tr>
      <w:tr w14:paraId="7E429AE3">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1170" w:hRule="atLeast"/>
        </w:trPr>
        <w:tc>
          <w:tcPr>
            <w:tcW w:w="336" w:type="dxa"/>
            <w:vMerge w:val="continue"/>
            <w:tcBorders>
              <w:tl2br w:val="nil"/>
              <w:tr2bl w:val="nil"/>
            </w:tcBorders>
            <w:shd w:val="clear" w:color="auto" w:fill="auto"/>
            <w:vAlign w:val="center"/>
          </w:tcPr>
          <w:p w14:paraId="2C06D142">
            <w:pPr>
              <w:pStyle w:val="44"/>
              <w:bidi w:val="0"/>
              <w:rPr>
                <w:rFonts w:hint="default" w:ascii="Times New Roman" w:hAnsi="Times New Roman" w:cs="Times New Roman"/>
                <w:color w:val="auto"/>
                <w:highlight w:val="none"/>
              </w:rPr>
            </w:pPr>
          </w:p>
        </w:tc>
        <w:tc>
          <w:tcPr>
            <w:tcW w:w="479" w:type="dxa"/>
            <w:vMerge w:val="continue"/>
            <w:tcBorders>
              <w:tl2br w:val="nil"/>
              <w:tr2bl w:val="nil"/>
            </w:tcBorders>
            <w:shd w:val="clear" w:color="auto" w:fill="auto"/>
            <w:vAlign w:val="center"/>
          </w:tcPr>
          <w:p w14:paraId="1C969A7C">
            <w:pPr>
              <w:pStyle w:val="44"/>
              <w:bidi w:val="0"/>
              <w:rPr>
                <w:rFonts w:hint="default" w:ascii="Times New Roman" w:hAnsi="Times New Roman" w:cs="Times New Roman"/>
                <w:color w:val="auto"/>
                <w:highlight w:val="none"/>
              </w:rPr>
            </w:pPr>
          </w:p>
        </w:tc>
        <w:tc>
          <w:tcPr>
            <w:tcW w:w="462" w:type="dxa"/>
            <w:vMerge w:val="continue"/>
            <w:tcBorders>
              <w:tl2br w:val="nil"/>
              <w:tr2bl w:val="nil"/>
            </w:tcBorders>
            <w:shd w:val="clear" w:color="auto" w:fill="auto"/>
            <w:vAlign w:val="center"/>
          </w:tcPr>
          <w:p w14:paraId="58B141CA">
            <w:pPr>
              <w:pStyle w:val="44"/>
              <w:bidi w:val="0"/>
              <w:rPr>
                <w:rFonts w:hint="default" w:ascii="Times New Roman" w:hAnsi="Times New Roman" w:cs="Times New Roman"/>
                <w:color w:val="auto"/>
                <w:highlight w:val="none"/>
              </w:rPr>
            </w:pPr>
          </w:p>
        </w:tc>
        <w:tc>
          <w:tcPr>
            <w:tcW w:w="719" w:type="dxa"/>
            <w:tcBorders>
              <w:tl2br w:val="nil"/>
              <w:tr2bl w:val="nil"/>
            </w:tcBorders>
            <w:shd w:val="clear" w:color="auto" w:fill="auto"/>
            <w:vAlign w:val="center"/>
          </w:tcPr>
          <w:p w14:paraId="2335CBC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风险管控</w:t>
            </w:r>
          </w:p>
        </w:tc>
        <w:tc>
          <w:tcPr>
            <w:tcW w:w="4731" w:type="dxa"/>
            <w:tcBorders>
              <w:tl2br w:val="nil"/>
              <w:tr2bl w:val="nil"/>
            </w:tcBorders>
            <w:shd w:val="clear" w:color="auto" w:fill="auto"/>
            <w:vAlign w:val="center"/>
          </w:tcPr>
          <w:p w14:paraId="61D88D7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大气环境布局敏感重点管控区同时执行本清单禁止在居民区、学校、医疗和养老机构等周边新建有色金属冶炼、焦化等行业企业。</w:t>
            </w:r>
          </w:p>
        </w:tc>
        <w:tc>
          <w:tcPr>
            <w:tcW w:w="2328" w:type="dxa"/>
            <w:vMerge w:val="continue"/>
            <w:tcBorders>
              <w:tl2br w:val="nil"/>
              <w:tr2bl w:val="nil"/>
            </w:tcBorders>
            <w:shd w:val="clear" w:color="auto" w:fill="auto"/>
            <w:noWrap/>
            <w:vAlign w:val="center"/>
          </w:tcPr>
          <w:p w14:paraId="4BB873E3">
            <w:pPr>
              <w:pStyle w:val="44"/>
              <w:bidi w:val="0"/>
              <w:rPr>
                <w:rFonts w:hint="default" w:ascii="Times New Roman" w:hAnsi="Times New Roman" w:cs="Times New Roman"/>
                <w:color w:val="auto"/>
                <w:highlight w:val="none"/>
              </w:rPr>
            </w:pPr>
          </w:p>
        </w:tc>
      </w:tr>
      <w:bookmarkEnd w:id="38"/>
      <w:bookmarkEnd w:id="41"/>
      <w:bookmarkEnd w:id="42"/>
    </w:tbl>
    <w:p w14:paraId="5C3CE4FC">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表1-4-</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 xml:space="preserve">  41 </w:t>
      </w:r>
      <w:r>
        <w:rPr>
          <w:rFonts w:hint="default" w:ascii="Times New Roman" w:hAnsi="Times New Roman" w:cs="Times New Roman"/>
          <w:bCs/>
          <w:color w:val="auto"/>
          <w:highlight w:val="none"/>
        </w:rPr>
        <w:t>#</w:t>
      </w:r>
      <w:r>
        <w:rPr>
          <w:rFonts w:hint="default" w:ascii="Times New Roman" w:hAnsi="Times New Roman" w:cs="Times New Roman"/>
          <w:bCs/>
          <w:color w:val="auto"/>
          <w:highlight w:val="none"/>
          <w:lang w:eastAsia="zh-CN"/>
        </w:rPr>
        <w:t>项目区</w:t>
      </w:r>
      <w:r>
        <w:rPr>
          <w:rFonts w:hint="default" w:ascii="Times New Roman" w:hAnsi="Times New Roman" w:cs="Times New Roman"/>
          <w:color w:val="auto"/>
          <w:highlight w:val="none"/>
        </w:rPr>
        <w:t>生态环境准入清单管控要求符合性分析</w:t>
      </w:r>
    </w:p>
    <w:tbl>
      <w:tblPr>
        <w:tblStyle w:val="20"/>
        <w:tblW w:w="9055" w:type="dxa"/>
        <w:tblInd w:w="93"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354"/>
        <w:gridCol w:w="470"/>
        <w:gridCol w:w="444"/>
        <w:gridCol w:w="719"/>
        <w:gridCol w:w="4740"/>
        <w:gridCol w:w="2328"/>
      </w:tblGrid>
      <w:tr w14:paraId="6097772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40" w:hRule="atLeast"/>
        </w:trPr>
        <w:tc>
          <w:tcPr>
            <w:tcW w:w="354" w:type="dxa"/>
            <w:tcBorders>
              <w:tl2br w:val="nil"/>
              <w:tr2bl w:val="nil"/>
            </w:tcBorders>
            <w:shd w:val="clear" w:color="auto" w:fill="auto"/>
            <w:vAlign w:val="center"/>
          </w:tcPr>
          <w:p w14:paraId="27296E6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管控单元编码</w:t>
            </w:r>
          </w:p>
        </w:tc>
        <w:tc>
          <w:tcPr>
            <w:tcW w:w="470" w:type="dxa"/>
            <w:tcBorders>
              <w:tl2br w:val="nil"/>
              <w:tr2bl w:val="nil"/>
            </w:tcBorders>
            <w:shd w:val="clear" w:color="auto" w:fill="auto"/>
            <w:vAlign w:val="center"/>
          </w:tcPr>
          <w:p w14:paraId="7B7CB9C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环境管控单元名称</w:t>
            </w:r>
          </w:p>
        </w:tc>
        <w:tc>
          <w:tcPr>
            <w:tcW w:w="444" w:type="dxa"/>
            <w:tcBorders>
              <w:tl2br w:val="nil"/>
              <w:tr2bl w:val="nil"/>
            </w:tcBorders>
            <w:shd w:val="clear" w:color="auto" w:fill="auto"/>
            <w:vAlign w:val="center"/>
          </w:tcPr>
          <w:p w14:paraId="7AF11EF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管控单元类别</w:t>
            </w:r>
          </w:p>
        </w:tc>
        <w:tc>
          <w:tcPr>
            <w:tcW w:w="5459" w:type="dxa"/>
            <w:gridSpan w:val="2"/>
            <w:tcBorders>
              <w:tl2br w:val="nil"/>
              <w:tr2bl w:val="nil"/>
            </w:tcBorders>
            <w:shd w:val="clear" w:color="auto" w:fill="auto"/>
            <w:vAlign w:val="center"/>
          </w:tcPr>
          <w:p w14:paraId="0F3E428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管控要求</w:t>
            </w:r>
          </w:p>
        </w:tc>
        <w:tc>
          <w:tcPr>
            <w:tcW w:w="2328" w:type="dxa"/>
            <w:tcBorders>
              <w:tl2br w:val="nil"/>
              <w:tr2bl w:val="nil"/>
            </w:tcBorders>
            <w:shd w:val="clear" w:color="auto" w:fill="auto"/>
            <w:vAlign w:val="center"/>
          </w:tcPr>
          <w:p w14:paraId="6289EEB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符合性</w:t>
            </w:r>
          </w:p>
        </w:tc>
      </w:tr>
      <w:tr w14:paraId="42FB761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25" w:hRule="atLeast"/>
        </w:trPr>
        <w:tc>
          <w:tcPr>
            <w:tcW w:w="354" w:type="dxa"/>
            <w:vMerge w:val="restart"/>
            <w:tcBorders>
              <w:tl2br w:val="nil"/>
              <w:tr2bl w:val="nil"/>
            </w:tcBorders>
            <w:shd w:val="clear" w:color="auto" w:fill="auto"/>
            <w:vAlign w:val="center"/>
          </w:tcPr>
          <w:p w14:paraId="2DC33ED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ZH23030620001</w:t>
            </w:r>
          </w:p>
        </w:tc>
        <w:tc>
          <w:tcPr>
            <w:tcW w:w="470" w:type="dxa"/>
            <w:vMerge w:val="restart"/>
            <w:tcBorders>
              <w:tl2br w:val="nil"/>
              <w:tr2bl w:val="nil"/>
            </w:tcBorders>
            <w:shd w:val="clear" w:color="auto" w:fill="auto"/>
            <w:vAlign w:val="center"/>
          </w:tcPr>
          <w:p w14:paraId="364E2A2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城子河区一般生态空间</w:t>
            </w:r>
          </w:p>
        </w:tc>
        <w:tc>
          <w:tcPr>
            <w:tcW w:w="444" w:type="dxa"/>
            <w:vMerge w:val="restart"/>
            <w:tcBorders>
              <w:tl2br w:val="nil"/>
              <w:tr2bl w:val="nil"/>
            </w:tcBorders>
            <w:shd w:val="clear" w:color="auto" w:fill="auto"/>
            <w:vAlign w:val="center"/>
          </w:tcPr>
          <w:p w14:paraId="6FB4CE0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城子河区城镇空间</w:t>
            </w:r>
          </w:p>
        </w:tc>
        <w:tc>
          <w:tcPr>
            <w:tcW w:w="719" w:type="dxa"/>
            <w:tcBorders>
              <w:tl2br w:val="nil"/>
              <w:tr2bl w:val="nil"/>
            </w:tcBorders>
            <w:shd w:val="clear" w:color="auto" w:fill="auto"/>
            <w:vAlign w:val="center"/>
          </w:tcPr>
          <w:p w14:paraId="06518A1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间布局约束</w:t>
            </w:r>
          </w:p>
        </w:tc>
        <w:tc>
          <w:tcPr>
            <w:tcW w:w="4740" w:type="dxa"/>
            <w:tcBorders>
              <w:tl2br w:val="nil"/>
              <w:tr2bl w:val="nil"/>
            </w:tcBorders>
            <w:shd w:val="clear" w:color="auto" w:fill="auto"/>
            <w:vAlign w:val="center"/>
          </w:tcPr>
          <w:p w14:paraId="012A4A4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（1）严禁在人口密集区新建危险化学品生产项目，城镇人口密集区危险化学品生产企业应搬迁改造。 （2）禁止在城镇居民区、文化教育科学研究区等人口集中区域建设畜禽养殖场、养殖小区。 2.水环境农业污染重点管控区同时执行 （1）科学划定畜禽养殖禁养区。 （2）加快农业结构调整。松嫩平原和三江平原等地下水易受污染地区优先种植需肥需药量低、环境效益突出的农作物；在西部干旱区发展谷子、高粱等耐旱杂粮种植；在北部四、五积温区开展米豆麦轮作，促进化肥需求低的农作物面积恢复性增长。 3.水环境城镇生活污染重点管控区同时执行除干旱地区外，新建城区应全面实行雨污分流，鼓励对初期雨水进行收集、处理和资源化利用。 4.大气环境布局敏感重点管控区同时执行 （1）严控“两高”行业产能。严格执行钢铁、水泥、平板玻璃等行业产能置换实施办法。 （2）利用水泥窑协同处置城市生活垃圾、危险废弃物、电石渣等固废伴生水泥项目，必须依托现有新型干法水泥熟料生产线进行不扩产能改造。</w:t>
            </w:r>
          </w:p>
        </w:tc>
        <w:tc>
          <w:tcPr>
            <w:tcW w:w="2328" w:type="dxa"/>
            <w:vMerge w:val="restart"/>
            <w:tcBorders>
              <w:tl2br w:val="nil"/>
              <w:tr2bl w:val="nil"/>
            </w:tcBorders>
            <w:shd w:val="clear" w:color="auto" w:fill="auto"/>
            <w:vAlign w:val="center"/>
          </w:tcPr>
          <w:p w14:paraId="4E703DB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本项目为历史遗留矿山生态修复项目，不属于开发项目，</w:t>
            </w:r>
            <w:r>
              <w:rPr>
                <w:rFonts w:hint="default" w:ascii="Times New Roman" w:hAnsi="Times New Roman" w:cs="Times New Roman"/>
                <w:color w:val="auto"/>
                <w:highlight w:val="none"/>
                <w:lang w:val="zh-CN"/>
              </w:rPr>
              <w:t>本项目运营期废气主要为</w:t>
            </w:r>
            <w:r>
              <w:rPr>
                <w:rFonts w:hint="default" w:ascii="Times New Roman" w:hAnsi="Times New Roman" w:cs="Times New Roman"/>
                <w:color w:val="auto"/>
                <w:highlight w:val="none"/>
              </w:rPr>
              <w:t>土地平整及植被恢复</w:t>
            </w:r>
            <w:r>
              <w:rPr>
                <w:rFonts w:hint="default" w:ascii="Times New Roman" w:hAnsi="Times New Roman" w:cs="Times New Roman"/>
                <w:color w:val="auto"/>
                <w:highlight w:val="none"/>
                <w:lang w:val="zh-CN"/>
              </w:rPr>
              <w:t>过程产生的扬尘，经洒水降尘</w:t>
            </w:r>
            <w:r>
              <w:rPr>
                <w:rFonts w:hint="default" w:ascii="Times New Roman" w:hAnsi="Times New Roman" w:cs="Times New Roman"/>
                <w:color w:val="auto"/>
                <w:highlight w:val="none"/>
              </w:rPr>
              <w:t>等措施</w:t>
            </w:r>
            <w:r>
              <w:rPr>
                <w:rFonts w:hint="default" w:ascii="Times New Roman" w:hAnsi="Times New Roman" w:cs="Times New Roman"/>
                <w:color w:val="auto"/>
                <w:highlight w:val="none"/>
                <w:lang w:val="zh-CN"/>
              </w:rPr>
              <w:t>后对周围环境影响较小，道路运输过程中采用密闭运输方式。施工期场内积水抽排至沉淀池，经沉淀处理后回用于场内洒水抑尘。回填过程主要是推土机、挖掘机、压实机等装置，通过选用低噪声、低振动设备、加强车辆维护保养、避免夜间操作等措施后对周围环境影响较小。本项目</w:t>
            </w:r>
            <w:r>
              <w:rPr>
                <w:rFonts w:hint="default" w:ascii="Times New Roman" w:hAnsi="Times New Roman" w:cs="Times New Roman"/>
                <w:color w:val="auto"/>
                <w:highlight w:val="none"/>
              </w:rPr>
              <w:t>建设及复垦过程</w:t>
            </w:r>
            <w:r>
              <w:rPr>
                <w:rFonts w:hint="default" w:ascii="Times New Roman" w:hAnsi="Times New Roman" w:cs="Times New Roman"/>
                <w:color w:val="auto"/>
                <w:highlight w:val="none"/>
                <w:lang w:val="zh-CN"/>
              </w:rPr>
              <w:t>虽然会产生一定的污染物，但在采取以上污染防治措施后，各类污染物的排放对周边环境</w:t>
            </w:r>
            <w:r>
              <w:rPr>
                <w:rFonts w:hint="default" w:ascii="Times New Roman" w:hAnsi="Times New Roman" w:cs="Times New Roman"/>
                <w:color w:val="auto"/>
                <w:highlight w:val="none"/>
              </w:rPr>
              <w:t>可以接受</w:t>
            </w:r>
            <w:r>
              <w:rPr>
                <w:rFonts w:hint="default" w:ascii="Times New Roman" w:hAnsi="Times New Roman" w:cs="Times New Roman"/>
                <w:color w:val="auto"/>
                <w:highlight w:val="none"/>
                <w:lang w:val="zh-CN"/>
              </w:rPr>
              <w:t>，即不会改变区域环境功能区质量要求，能维持环境功能区质量现状，能够满足环境质量底线的要求。本项目区现状为废弃取土坑，生态环境较差，封场后进行覆土</w:t>
            </w:r>
            <w:r>
              <w:rPr>
                <w:rFonts w:hint="default" w:ascii="Times New Roman" w:hAnsi="Times New Roman" w:cs="Times New Roman"/>
                <w:color w:val="auto"/>
                <w:highlight w:val="none"/>
              </w:rPr>
              <w:t>种植</w:t>
            </w:r>
            <w:r>
              <w:rPr>
                <w:rFonts w:hint="default" w:ascii="Times New Roman" w:hAnsi="Times New Roman" w:cs="Times New Roman"/>
                <w:color w:val="auto"/>
                <w:highlight w:val="none"/>
                <w:lang w:val="zh-CN"/>
              </w:rPr>
              <w:t>，恢复成</w:t>
            </w:r>
            <w:r>
              <w:rPr>
                <w:rFonts w:hint="default" w:ascii="Times New Roman" w:hAnsi="Times New Roman" w:cs="Times New Roman"/>
                <w:color w:val="auto"/>
                <w:highlight w:val="none"/>
              </w:rPr>
              <w:t>林</w:t>
            </w:r>
            <w:r>
              <w:rPr>
                <w:rFonts w:hint="default" w:ascii="Times New Roman" w:hAnsi="Times New Roman" w:cs="Times New Roman"/>
                <w:color w:val="auto"/>
                <w:highlight w:val="none"/>
                <w:lang w:val="zh-CN"/>
              </w:rPr>
              <w:t>地，生态环境好转，</w:t>
            </w:r>
            <w:r>
              <w:rPr>
                <w:rFonts w:hint="default" w:ascii="Times New Roman" w:hAnsi="Times New Roman" w:cs="Times New Roman"/>
                <w:color w:val="auto"/>
                <w:highlight w:val="none"/>
              </w:rPr>
              <w:t>建设符合管控要求。</w:t>
            </w:r>
          </w:p>
        </w:tc>
      </w:tr>
      <w:tr w14:paraId="673046D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0" w:hRule="atLeast"/>
        </w:trPr>
        <w:tc>
          <w:tcPr>
            <w:tcW w:w="354" w:type="dxa"/>
            <w:vMerge w:val="continue"/>
            <w:tcBorders>
              <w:tl2br w:val="nil"/>
              <w:tr2bl w:val="nil"/>
            </w:tcBorders>
            <w:shd w:val="clear" w:color="auto" w:fill="auto"/>
            <w:vAlign w:val="center"/>
          </w:tcPr>
          <w:p w14:paraId="43EEE810">
            <w:pPr>
              <w:pStyle w:val="44"/>
              <w:bidi w:val="0"/>
              <w:rPr>
                <w:rFonts w:hint="default" w:ascii="Times New Roman" w:hAnsi="Times New Roman" w:cs="Times New Roman"/>
                <w:color w:val="auto"/>
                <w:highlight w:val="none"/>
              </w:rPr>
            </w:pPr>
          </w:p>
        </w:tc>
        <w:tc>
          <w:tcPr>
            <w:tcW w:w="470" w:type="dxa"/>
            <w:vMerge w:val="continue"/>
            <w:tcBorders>
              <w:tl2br w:val="nil"/>
              <w:tr2bl w:val="nil"/>
            </w:tcBorders>
            <w:shd w:val="clear" w:color="auto" w:fill="auto"/>
            <w:vAlign w:val="center"/>
          </w:tcPr>
          <w:p w14:paraId="3F498A20">
            <w:pPr>
              <w:pStyle w:val="44"/>
              <w:bidi w:val="0"/>
              <w:rPr>
                <w:rFonts w:hint="default" w:ascii="Times New Roman" w:hAnsi="Times New Roman" w:cs="Times New Roman"/>
                <w:color w:val="auto"/>
                <w:highlight w:val="none"/>
              </w:rPr>
            </w:pPr>
          </w:p>
        </w:tc>
        <w:tc>
          <w:tcPr>
            <w:tcW w:w="444" w:type="dxa"/>
            <w:vMerge w:val="continue"/>
            <w:tcBorders>
              <w:tl2br w:val="nil"/>
              <w:tr2bl w:val="nil"/>
            </w:tcBorders>
            <w:shd w:val="clear" w:color="auto" w:fill="auto"/>
            <w:vAlign w:val="center"/>
          </w:tcPr>
          <w:p w14:paraId="0344BF13">
            <w:pPr>
              <w:pStyle w:val="44"/>
              <w:bidi w:val="0"/>
              <w:rPr>
                <w:rFonts w:hint="default" w:ascii="Times New Roman" w:hAnsi="Times New Roman" w:cs="Times New Roman"/>
                <w:color w:val="auto"/>
                <w:highlight w:val="none"/>
              </w:rPr>
            </w:pPr>
          </w:p>
        </w:tc>
        <w:tc>
          <w:tcPr>
            <w:tcW w:w="719" w:type="dxa"/>
            <w:tcBorders>
              <w:tl2br w:val="nil"/>
              <w:tr2bl w:val="nil"/>
            </w:tcBorders>
            <w:shd w:val="clear" w:color="auto" w:fill="auto"/>
            <w:vAlign w:val="center"/>
          </w:tcPr>
          <w:p w14:paraId="7F63006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污染物排放管控</w:t>
            </w:r>
          </w:p>
        </w:tc>
        <w:tc>
          <w:tcPr>
            <w:tcW w:w="4740" w:type="dxa"/>
            <w:tcBorders>
              <w:tl2br w:val="nil"/>
              <w:tr2bl w:val="nil"/>
            </w:tcBorders>
            <w:shd w:val="clear" w:color="auto" w:fill="auto"/>
            <w:vAlign w:val="center"/>
          </w:tcPr>
          <w:p w14:paraId="1412B08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同时执行：加快65t／h以上燃煤锅炉（含电力）超低排放改造。 2.水环境农业污染重点管控区同时执行 （1）支持规模化畜禽养殖场（小区）开展标准化改造和建设，提高畜禽粪污收集和处理机械化水平，实施雨污分流、粪污资源化利用，控制畜禽养殖污染排放。 （2）畜禽养殖户应当及时对畜禽粪便、污水进行收集、贮存、清运，或者进行无害化处理。县级人民政府应当组织对本行政区域的畜禽散养密集区畜禽粪便、污水进行集中处理利用，督促乡镇人民政府建设或者配备污染防治配套设施。 （3）全面加强农业面源污染防控，科学合理使用农业投入品，提高使用效率，减少农业内源性污染。 3.水环境城镇生活污染重点管控区同时执行 （1）新区污水管网规划建设应当与城市开发同步推进，除干旱地区外均实行雨污分流。 （2）强化城中村、老旧城区和城乡结合部污水截流、收集。 （3）推进合流制排水系统雨污分流改造，难以改造的，应采取截流、调蓄和治理等措施；推进现有污水处理设施配套管网建设；进一步提高城市、县城生活污水收集处理效能。 （4）县级以上人民政府应当合理确定城镇排水与污水处理设施建设标准，统筹安排管网、泵站、污水处理厂以及污泥处理处置、再生水利用、雨水调蓄和排放等排水与污水处理设施建设和改造，提高城镇污水收集率和处理率。 4.大气环境布局敏感重点管控区同时执行 （1）对以煤、石焦油、渣油、重油等为燃料的锅炉和工业炉窑，加快使用清洁低碳能源以及工厂余热、电力热力等进行替代。 （2）到2025年，在用65蒸吨/小时以上的燃煤锅炉（含电力）实现超低排放，钢铁企业基本实现超低排放。</w:t>
            </w:r>
          </w:p>
        </w:tc>
        <w:tc>
          <w:tcPr>
            <w:tcW w:w="2328" w:type="dxa"/>
            <w:vMerge w:val="continue"/>
            <w:tcBorders>
              <w:tl2br w:val="nil"/>
              <w:tr2bl w:val="nil"/>
            </w:tcBorders>
            <w:shd w:val="clear" w:color="auto" w:fill="auto"/>
            <w:vAlign w:val="center"/>
          </w:tcPr>
          <w:p w14:paraId="2C0C1938">
            <w:pPr>
              <w:pStyle w:val="44"/>
              <w:bidi w:val="0"/>
              <w:rPr>
                <w:rFonts w:hint="default" w:ascii="Times New Roman" w:hAnsi="Times New Roman" w:cs="Times New Roman"/>
                <w:color w:val="auto"/>
                <w:highlight w:val="none"/>
              </w:rPr>
            </w:pPr>
          </w:p>
        </w:tc>
      </w:tr>
      <w:tr w14:paraId="7B4A1CE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354" w:type="dxa"/>
            <w:vMerge w:val="continue"/>
            <w:tcBorders>
              <w:tl2br w:val="nil"/>
              <w:tr2bl w:val="nil"/>
            </w:tcBorders>
            <w:shd w:val="clear" w:color="auto" w:fill="auto"/>
            <w:vAlign w:val="center"/>
          </w:tcPr>
          <w:p w14:paraId="4219B916">
            <w:pPr>
              <w:pStyle w:val="44"/>
              <w:bidi w:val="0"/>
              <w:rPr>
                <w:rFonts w:hint="default" w:ascii="Times New Roman" w:hAnsi="Times New Roman" w:cs="Times New Roman"/>
                <w:color w:val="auto"/>
                <w:highlight w:val="none"/>
              </w:rPr>
            </w:pPr>
          </w:p>
        </w:tc>
        <w:tc>
          <w:tcPr>
            <w:tcW w:w="470" w:type="dxa"/>
            <w:vMerge w:val="continue"/>
            <w:tcBorders>
              <w:tl2br w:val="nil"/>
              <w:tr2bl w:val="nil"/>
            </w:tcBorders>
            <w:shd w:val="clear" w:color="auto" w:fill="auto"/>
            <w:vAlign w:val="center"/>
          </w:tcPr>
          <w:p w14:paraId="6FDE4FD0">
            <w:pPr>
              <w:pStyle w:val="44"/>
              <w:bidi w:val="0"/>
              <w:rPr>
                <w:rFonts w:hint="default" w:ascii="Times New Roman" w:hAnsi="Times New Roman" w:cs="Times New Roman"/>
                <w:color w:val="auto"/>
                <w:highlight w:val="none"/>
              </w:rPr>
            </w:pPr>
          </w:p>
        </w:tc>
        <w:tc>
          <w:tcPr>
            <w:tcW w:w="444" w:type="dxa"/>
            <w:vMerge w:val="continue"/>
            <w:tcBorders>
              <w:tl2br w:val="nil"/>
              <w:tr2bl w:val="nil"/>
            </w:tcBorders>
            <w:shd w:val="clear" w:color="auto" w:fill="auto"/>
            <w:vAlign w:val="center"/>
          </w:tcPr>
          <w:p w14:paraId="3EA8E210">
            <w:pPr>
              <w:pStyle w:val="44"/>
              <w:bidi w:val="0"/>
              <w:rPr>
                <w:rFonts w:hint="default" w:ascii="Times New Roman" w:hAnsi="Times New Roman" w:cs="Times New Roman"/>
                <w:color w:val="auto"/>
                <w:highlight w:val="none"/>
              </w:rPr>
            </w:pPr>
          </w:p>
        </w:tc>
        <w:tc>
          <w:tcPr>
            <w:tcW w:w="719" w:type="dxa"/>
            <w:tcBorders>
              <w:tl2br w:val="nil"/>
              <w:tr2bl w:val="nil"/>
            </w:tcBorders>
            <w:shd w:val="clear" w:color="auto" w:fill="auto"/>
            <w:vAlign w:val="center"/>
          </w:tcPr>
          <w:p w14:paraId="6FF5514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资源利用</w:t>
            </w:r>
          </w:p>
        </w:tc>
        <w:tc>
          <w:tcPr>
            <w:tcW w:w="4740" w:type="dxa"/>
            <w:tcBorders>
              <w:tl2br w:val="nil"/>
              <w:tr2bl w:val="nil"/>
            </w:tcBorders>
            <w:shd w:val="clear" w:color="auto" w:fill="auto"/>
            <w:vAlign w:val="center"/>
          </w:tcPr>
          <w:p w14:paraId="313B3BD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（1）推进污水再生利用设施建设。 （2）公共建筑必须采用节水器具，限期淘汰公共建筑中不符合节水标准的水嘴、便器水箱等生活用水器具。 2.高污染燃料禁燃区执行 （1）在禁燃区内，禁止销售、燃用高污染燃料；禁止新建、扩建燃用高污染燃料的设施，已建成的，应当在城市人民政府规定的期限内改用天然气、页岩气、液化石油气、电或者其他清洁能源。 （2）城市建设应当统筹规划，在燃煤供热地区，推进热电联产和集中供热。在集中供热管网覆盖地区，禁止新建、扩建分散燃煤供热锅炉；已建成的不能达标排放的燃煤供热锅炉，应当在城市人民政府规定的期限内拆除。</w:t>
            </w:r>
          </w:p>
        </w:tc>
        <w:tc>
          <w:tcPr>
            <w:tcW w:w="2328" w:type="dxa"/>
            <w:vMerge w:val="continue"/>
            <w:tcBorders>
              <w:tl2br w:val="nil"/>
              <w:tr2bl w:val="nil"/>
            </w:tcBorders>
            <w:shd w:val="clear" w:color="auto" w:fill="auto"/>
            <w:vAlign w:val="center"/>
          </w:tcPr>
          <w:p w14:paraId="4872E864">
            <w:pPr>
              <w:pStyle w:val="44"/>
              <w:bidi w:val="0"/>
              <w:rPr>
                <w:rFonts w:hint="default" w:ascii="Times New Roman" w:hAnsi="Times New Roman" w:cs="Times New Roman"/>
                <w:color w:val="auto"/>
                <w:highlight w:val="none"/>
              </w:rPr>
            </w:pPr>
          </w:p>
        </w:tc>
      </w:tr>
      <w:tr w14:paraId="1B3572E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70" w:hRule="atLeast"/>
        </w:trPr>
        <w:tc>
          <w:tcPr>
            <w:tcW w:w="354" w:type="dxa"/>
            <w:vMerge w:val="continue"/>
            <w:tcBorders>
              <w:tl2br w:val="nil"/>
              <w:tr2bl w:val="nil"/>
            </w:tcBorders>
            <w:shd w:val="clear" w:color="auto" w:fill="auto"/>
            <w:vAlign w:val="center"/>
          </w:tcPr>
          <w:p w14:paraId="65434B7D">
            <w:pPr>
              <w:pStyle w:val="44"/>
              <w:bidi w:val="0"/>
              <w:rPr>
                <w:rFonts w:hint="default" w:ascii="Times New Roman" w:hAnsi="Times New Roman" w:cs="Times New Roman"/>
                <w:color w:val="auto"/>
                <w:highlight w:val="none"/>
              </w:rPr>
            </w:pPr>
          </w:p>
        </w:tc>
        <w:tc>
          <w:tcPr>
            <w:tcW w:w="470" w:type="dxa"/>
            <w:vMerge w:val="continue"/>
            <w:tcBorders>
              <w:tl2br w:val="nil"/>
              <w:tr2bl w:val="nil"/>
            </w:tcBorders>
            <w:shd w:val="clear" w:color="auto" w:fill="auto"/>
            <w:vAlign w:val="center"/>
          </w:tcPr>
          <w:p w14:paraId="61B3F391">
            <w:pPr>
              <w:pStyle w:val="44"/>
              <w:bidi w:val="0"/>
              <w:rPr>
                <w:rFonts w:hint="default" w:ascii="Times New Roman" w:hAnsi="Times New Roman" w:cs="Times New Roman"/>
                <w:color w:val="auto"/>
                <w:highlight w:val="none"/>
              </w:rPr>
            </w:pPr>
          </w:p>
        </w:tc>
        <w:tc>
          <w:tcPr>
            <w:tcW w:w="444" w:type="dxa"/>
            <w:vMerge w:val="continue"/>
            <w:tcBorders>
              <w:tl2br w:val="nil"/>
              <w:tr2bl w:val="nil"/>
            </w:tcBorders>
            <w:shd w:val="clear" w:color="auto" w:fill="auto"/>
            <w:vAlign w:val="center"/>
          </w:tcPr>
          <w:p w14:paraId="4F93F6DD">
            <w:pPr>
              <w:pStyle w:val="44"/>
              <w:bidi w:val="0"/>
              <w:rPr>
                <w:rFonts w:hint="default" w:ascii="Times New Roman" w:hAnsi="Times New Roman" w:cs="Times New Roman"/>
                <w:color w:val="auto"/>
                <w:highlight w:val="none"/>
              </w:rPr>
            </w:pPr>
          </w:p>
        </w:tc>
        <w:tc>
          <w:tcPr>
            <w:tcW w:w="719" w:type="dxa"/>
            <w:tcBorders>
              <w:tl2br w:val="nil"/>
              <w:tr2bl w:val="nil"/>
            </w:tcBorders>
            <w:shd w:val="clear" w:color="auto" w:fill="auto"/>
            <w:vAlign w:val="center"/>
          </w:tcPr>
          <w:p w14:paraId="7A72596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风险管控</w:t>
            </w:r>
          </w:p>
        </w:tc>
        <w:tc>
          <w:tcPr>
            <w:tcW w:w="4740" w:type="dxa"/>
            <w:tcBorders>
              <w:tl2br w:val="nil"/>
              <w:tr2bl w:val="nil"/>
            </w:tcBorders>
            <w:shd w:val="clear" w:color="auto" w:fill="auto"/>
            <w:vAlign w:val="center"/>
          </w:tcPr>
          <w:p w14:paraId="0FDD559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化工园区与城市建成区、人员密集场所、重要设施、敏感目标等应当保持规定的安全距离，相对封闭，不应保留常住居民，非关联企业和产业要逐步搬迁或退出，妥善防范化解“邻避”问题。严禁在松花江干流及一级支流沿岸1公里范围内布局化工园区。 2.大气环境布局敏感重点管控区同时执行本清单禁止在居民区、学校、医疗和养老机构等周边新建有色金属冶炼、焦化等行业企业。</w:t>
            </w:r>
          </w:p>
        </w:tc>
        <w:tc>
          <w:tcPr>
            <w:tcW w:w="2328" w:type="dxa"/>
            <w:vMerge w:val="continue"/>
            <w:tcBorders>
              <w:tl2br w:val="nil"/>
              <w:tr2bl w:val="nil"/>
            </w:tcBorders>
            <w:shd w:val="clear" w:color="auto" w:fill="auto"/>
            <w:noWrap/>
            <w:vAlign w:val="center"/>
          </w:tcPr>
          <w:p w14:paraId="3929FF57">
            <w:pPr>
              <w:pStyle w:val="44"/>
              <w:bidi w:val="0"/>
              <w:rPr>
                <w:rFonts w:hint="default" w:ascii="Times New Roman" w:hAnsi="Times New Roman" w:cs="Times New Roman"/>
                <w:color w:val="auto"/>
                <w:highlight w:val="none"/>
              </w:rPr>
            </w:pPr>
          </w:p>
        </w:tc>
      </w:tr>
      <w:tr w14:paraId="6A62E99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70" w:hRule="atLeast"/>
        </w:trPr>
        <w:tc>
          <w:tcPr>
            <w:tcW w:w="354" w:type="dxa"/>
            <w:vMerge w:val="restart"/>
            <w:tcBorders>
              <w:tl2br w:val="nil"/>
              <w:tr2bl w:val="nil"/>
            </w:tcBorders>
            <w:shd w:val="clear" w:color="auto" w:fill="auto"/>
            <w:vAlign w:val="center"/>
          </w:tcPr>
          <w:p w14:paraId="6C8556D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ZH23030620003</w:t>
            </w:r>
          </w:p>
        </w:tc>
        <w:tc>
          <w:tcPr>
            <w:tcW w:w="470" w:type="dxa"/>
            <w:vMerge w:val="restart"/>
            <w:tcBorders>
              <w:tl2br w:val="nil"/>
              <w:tr2bl w:val="nil"/>
            </w:tcBorders>
            <w:shd w:val="clear" w:color="auto" w:fill="auto"/>
            <w:vAlign w:val="center"/>
          </w:tcPr>
          <w:p w14:paraId="526150E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城子河区一般生态空间</w:t>
            </w:r>
          </w:p>
        </w:tc>
        <w:tc>
          <w:tcPr>
            <w:tcW w:w="444" w:type="dxa"/>
            <w:vMerge w:val="restart"/>
            <w:tcBorders>
              <w:tl2br w:val="nil"/>
              <w:tr2bl w:val="nil"/>
            </w:tcBorders>
            <w:shd w:val="clear" w:color="auto" w:fill="auto"/>
            <w:vAlign w:val="center"/>
          </w:tcPr>
          <w:p w14:paraId="7A6A26E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城子河区水环境农业污染重点管控区</w:t>
            </w:r>
          </w:p>
        </w:tc>
        <w:tc>
          <w:tcPr>
            <w:tcW w:w="719" w:type="dxa"/>
            <w:tcBorders>
              <w:tl2br w:val="nil"/>
              <w:tr2bl w:val="nil"/>
            </w:tcBorders>
            <w:shd w:val="clear" w:color="auto" w:fill="auto"/>
            <w:vAlign w:val="center"/>
          </w:tcPr>
          <w:p w14:paraId="55635C7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空间布局约束</w:t>
            </w:r>
          </w:p>
        </w:tc>
        <w:tc>
          <w:tcPr>
            <w:tcW w:w="4740" w:type="dxa"/>
            <w:tcBorders>
              <w:tl2br w:val="nil"/>
              <w:tr2bl w:val="nil"/>
            </w:tcBorders>
            <w:shd w:val="clear" w:color="auto" w:fill="auto"/>
            <w:vAlign w:val="center"/>
          </w:tcPr>
          <w:p w14:paraId="5FDEEE1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1.同时执行： （1）科学划定畜禽养殖禁养区。 （2）加快农业结构调整。松嫩平原和三江平原等地下水易受污染地区优先种植需肥需药量低、环境效益突出的农作物；在西部干旱区发展谷子、高粱等耐旱杂粮种植；在北部四、五积温区开展米豆麦轮作，促进化肥需求低的农作物面积恢复性增长。 2.大气环境布局敏感重点管控区同时执行 （1）严控“两高”行业产能。严格执行钢铁、水泥、平板玻璃等行业产能置换实施办法。 （2）利用水泥窑协同处置城市生活垃圾、危险废弃物、电石渣等固废伴生水泥项目，必须依托现有新型干法水泥熟料生产线进行不扩产能改造。</w:t>
            </w:r>
          </w:p>
        </w:tc>
        <w:tc>
          <w:tcPr>
            <w:tcW w:w="2328" w:type="dxa"/>
            <w:vMerge w:val="continue"/>
            <w:tcBorders>
              <w:tl2br w:val="nil"/>
              <w:tr2bl w:val="nil"/>
            </w:tcBorders>
            <w:shd w:val="clear" w:color="auto" w:fill="auto"/>
            <w:noWrap/>
            <w:vAlign w:val="center"/>
          </w:tcPr>
          <w:p w14:paraId="0661A0CF">
            <w:pPr>
              <w:pStyle w:val="44"/>
              <w:bidi w:val="0"/>
              <w:rPr>
                <w:rFonts w:hint="default" w:ascii="Times New Roman" w:hAnsi="Times New Roman" w:cs="Times New Roman"/>
                <w:color w:val="auto"/>
                <w:highlight w:val="none"/>
              </w:rPr>
            </w:pPr>
          </w:p>
        </w:tc>
      </w:tr>
      <w:tr w14:paraId="6AE0D69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70" w:hRule="atLeast"/>
        </w:trPr>
        <w:tc>
          <w:tcPr>
            <w:tcW w:w="354" w:type="dxa"/>
            <w:vMerge w:val="continue"/>
            <w:tcBorders>
              <w:tl2br w:val="nil"/>
              <w:tr2bl w:val="nil"/>
            </w:tcBorders>
            <w:shd w:val="clear" w:color="auto" w:fill="auto"/>
            <w:vAlign w:val="center"/>
          </w:tcPr>
          <w:p w14:paraId="6FA8D94A">
            <w:pPr>
              <w:pStyle w:val="44"/>
              <w:bidi w:val="0"/>
              <w:rPr>
                <w:rFonts w:hint="default" w:ascii="Times New Roman" w:hAnsi="Times New Roman" w:cs="Times New Roman"/>
                <w:color w:val="auto"/>
                <w:highlight w:val="none"/>
              </w:rPr>
            </w:pPr>
          </w:p>
        </w:tc>
        <w:tc>
          <w:tcPr>
            <w:tcW w:w="470" w:type="dxa"/>
            <w:vMerge w:val="continue"/>
            <w:tcBorders>
              <w:tl2br w:val="nil"/>
              <w:tr2bl w:val="nil"/>
            </w:tcBorders>
            <w:shd w:val="clear" w:color="auto" w:fill="auto"/>
            <w:vAlign w:val="center"/>
          </w:tcPr>
          <w:p w14:paraId="3BA4E0FF">
            <w:pPr>
              <w:pStyle w:val="44"/>
              <w:bidi w:val="0"/>
              <w:rPr>
                <w:rFonts w:hint="default" w:ascii="Times New Roman" w:hAnsi="Times New Roman" w:cs="Times New Roman"/>
                <w:color w:val="auto"/>
                <w:highlight w:val="none"/>
              </w:rPr>
            </w:pPr>
          </w:p>
        </w:tc>
        <w:tc>
          <w:tcPr>
            <w:tcW w:w="444" w:type="dxa"/>
            <w:vMerge w:val="continue"/>
            <w:tcBorders>
              <w:tl2br w:val="nil"/>
              <w:tr2bl w:val="nil"/>
            </w:tcBorders>
            <w:shd w:val="clear" w:color="auto" w:fill="auto"/>
            <w:vAlign w:val="center"/>
          </w:tcPr>
          <w:p w14:paraId="3F586CE1">
            <w:pPr>
              <w:pStyle w:val="44"/>
              <w:bidi w:val="0"/>
              <w:rPr>
                <w:rFonts w:hint="default" w:ascii="Times New Roman" w:hAnsi="Times New Roman" w:cs="Times New Roman"/>
                <w:color w:val="auto"/>
                <w:highlight w:val="none"/>
              </w:rPr>
            </w:pPr>
          </w:p>
        </w:tc>
        <w:tc>
          <w:tcPr>
            <w:tcW w:w="719" w:type="dxa"/>
            <w:tcBorders>
              <w:tl2br w:val="nil"/>
              <w:tr2bl w:val="nil"/>
            </w:tcBorders>
            <w:shd w:val="clear" w:color="auto" w:fill="auto"/>
            <w:vAlign w:val="center"/>
          </w:tcPr>
          <w:p w14:paraId="3E55D03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污染物排放管控</w:t>
            </w:r>
          </w:p>
        </w:tc>
        <w:tc>
          <w:tcPr>
            <w:tcW w:w="4740" w:type="dxa"/>
            <w:tcBorders>
              <w:tl2br w:val="nil"/>
              <w:tr2bl w:val="nil"/>
            </w:tcBorders>
            <w:shd w:val="clear" w:color="auto" w:fill="auto"/>
            <w:vAlign w:val="center"/>
          </w:tcPr>
          <w:p w14:paraId="7D2113E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1.执行本清单 （1）支持规模化畜禽养殖场（小区）开展标准化改造和建设，提高畜禽粪污收集和处理机械化水平，实施雨污分流、粪污资源化利用，控制畜禽养殖污染排放。 （2）畜禽养殖户应当及时对畜禽粪便、污水进行收集、贮存、清运，或者进行无害化处理。县级人民政府应当组织对本行政区域的畜禽散养密集区畜禽粪便、污水进行集中处理利用，督促乡镇人民政府建设或者配备污染防治配套设施。 （3）全面加强农业面源污染防控，科学合理使用农业投入品，提高使用效率，减少农业内源性污染。 2.大气环境布局敏感重点管控区同时执行 （1）对以煤、石焦油、渣油、重油等为燃料的锅炉和工业炉窑，加快使用清洁低碳能源以及工厂余热、电力热力等进行替代。 （2）到2025年，在用65蒸吨/小时以上的燃煤锅炉（含电力）实现超低排放，钢铁企业基本实现超低排放。</w:t>
            </w:r>
          </w:p>
        </w:tc>
        <w:tc>
          <w:tcPr>
            <w:tcW w:w="2328" w:type="dxa"/>
            <w:vMerge w:val="continue"/>
            <w:tcBorders>
              <w:tl2br w:val="nil"/>
              <w:tr2bl w:val="nil"/>
            </w:tcBorders>
            <w:shd w:val="clear" w:color="auto" w:fill="auto"/>
            <w:noWrap/>
            <w:vAlign w:val="center"/>
          </w:tcPr>
          <w:p w14:paraId="7905B43F">
            <w:pPr>
              <w:pStyle w:val="44"/>
              <w:bidi w:val="0"/>
              <w:rPr>
                <w:rFonts w:hint="default" w:ascii="Times New Roman" w:hAnsi="Times New Roman" w:cs="Times New Roman"/>
                <w:color w:val="auto"/>
                <w:highlight w:val="none"/>
              </w:rPr>
            </w:pPr>
          </w:p>
        </w:tc>
      </w:tr>
    </w:tbl>
    <w:p w14:paraId="4E952284">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表1-4-</w:t>
      </w:r>
      <w:r>
        <w:rPr>
          <w:rFonts w:hint="default" w:ascii="Times New Roman" w:hAnsi="Times New Roman" w:cs="Times New Roman"/>
          <w:color w:val="auto"/>
          <w:highlight w:val="none"/>
          <w:lang w:val="en-US" w:eastAsia="zh-CN"/>
        </w:rPr>
        <w:t xml:space="preserve">5  </w:t>
      </w:r>
      <w:r>
        <w:rPr>
          <w:rFonts w:hint="default" w:ascii="Times New Roman" w:hAnsi="Times New Roman" w:cs="Times New Roman"/>
          <w:bCs/>
          <w:color w:val="auto"/>
          <w:highlight w:val="none"/>
        </w:rPr>
        <w:t>31#、45#、47#</w:t>
      </w:r>
      <w:r>
        <w:rPr>
          <w:rFonts w:hint="default" w:ascii="Times New Roman" w:hAnsi="Times New Roman" w:cs="Times New Roman"/>
          <w:bCs/>
          <w:color w:val="auto"/>
          <w:highlight w:val="none"/>
          <w:lang w:eastAsia="zh-CN"/>
        </w:rPr>
        <w:t>项目区</w:t>
      </w:r>
      <w:r>
        <w:rPr>
          <w:rFonts w:hint="default" w:ascii="Times New Roman" w:hAnsi="Times New Roman" w:cs="Times New Roman"/>
          <w:color w:val="auto"/>
          <w:highlight w:val="none"/>
        </w:rPr>
        <w:t>生态环境准入清单管控要求符合性分析</w:t>
      </w:r>
    </w:p>
    <w:tbl>
      <w:tblPr>
        <w:tblStyle w:val="20"/>
        <w:tblW w:w="9055" w:type="dxa"/>
        <w:tblInd w:w="93" w:type="dxa"/>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Layout w:type="fixed"/>
        <w:tblCellMar>
          <w:top w:w="0" w:type="dxa"/>
          <w:left w:w="108" w:type="dxa"/>
          <w:bottom w:w="0" w:type="dxa"/>
          <w:right w:w="108" w:type="dxa"/>
        </w:tblCellMar>
      </w:tblPr>
      <w:tblGrid>
        <w:gridCol w:w="336"/>
        <w:gridCol w:w="497"/>
        <w:gridCol w:w="426"/>
        <w:gridCol w:w="737"/>
        <w:gridCol w:w="4704"/>
        <w:gridCol w:w="2355"/>
      </w:tblGrid>
      <w:tr w14:paraId="499EB0B5">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540" w:hRule="atLeast"/>
        </w:trPr>
        <w:tc>
          <w:tcPr>
            <w:tcW w:w="336" w:type="dxa"/>
            <w:tcBorders>
              <w:tl2br w:val="nil"/>
              <w:tr2bl w:val="nil"/>
            </w:tcBorders>
            <w:shd w:val="clear" w:color="auto" w:fill="auto"/>
            <w:vAlign w:val="center"/>
          </w:tcPr>
          <w:p w14:paraId="4A59FCB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管控单元编码</w:t>
            </w:r>
          </w:p>
        </w:tc>
        <w:tc>
          <w:tcPr>
            <w:tcW w:w="497" w:type="dxa"/>
            <w:tcBorders>
              <w:tl2br w:val="nil"/>
              <w:tr2bl w:val="nil"/>
            </w:tcBorders>
            <w:shd w:val="clear" w:color="auto" w:fill="auto"/>
            <w:vAlign w:val="center"/>
          </w:tcPr>
          <w:p w14:paraId="793FEAD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环境管控单元名称</w:t>
            </w:r>
          </w:p>
        </w:tc>
        <w:tc>
          <w:tcPr>
            <w:tcW w:w="426" w:type="dxa"/>
            <w:tcBorders>
              <w:tl2br w:val="nil"/>
              <w:tr2bl w:val="nil"/>
            </w:tcBorders>
            <w:shd w:val="clear" w:color="auto" w:fill="auto"/>
            <w:vAlign w:val="center"/>
          </w:tcPr>
          <w:p w14:paraId="242214F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管控单元类别</w:t>
            </w:r>
          </w:p>
        </w:tc>
        <w:tc>
          <w:tcPr>
            <w:tcW w:w="5441" w:type="dxa"/>
            <w:gridSpan w:val="2"/>
            <w:tcBorders>
              <w:tl2br w:val="nil"/>
              <w:tr2bl w:val="nil"/>
            </w:tcBorders>
            <w:shd w:val="clear" w:color="auto" w:fill="auto"/>
            <w:vAlign w:val="center"/>
          </w:tcPr>
          <w:p w14:paraId="4A8A811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管控要求</w:t>
            </w:r>
          </w:p>
        </w:tc>
        <w:tc>
          <w:tcPr>
            <w:tcW w:w="2355" w:type="dxa"/>
            <w:tcBorders>
              <w:tl2br w:val="nil"/>
              <w:tr2bl w:val="nil"/>
            </w:tcBorders>
            <w:shd w:val="clear" w:color="auto" w:fill="auto"/>
            <w:vAlign w:val="center"/>
          </w:tcPr>
          <w:p w14:paraId="3E8684B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符合性</w:t>
            </w:r>
          </w:p>
        </w:tc>
      </w:tr>
      <w:tr w14:paraId="47AF4660">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4410" w:hRule="atLeast"/>
        </w:trPr>
        <w:tc>
          <w:tcPr>
            <w:tcW w:w="336" w:type="dxa"/>
            <w:tcBorders>
              <w:tl2br w:val="nil"/>
              <w:tr2bl w:val="nil"/>
            </w:tcBorders>
            <w:shd w:val="clear" w:color="auto" w:fill="auto"/>
            <w:vAlign w:val="center"/>
          </w:tcPr>
          <w:p w14:paraId="67EDE12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ZH23030610002</w:t>
            </w:r>
          </w:p>
        </w:tc>
        <w:tc>
          <w:tcPr>
            <w:tcW w:w="497" w:type="dxa"/>
            <w:tcBorders>
              <w:tl2br w:val="nil"/>
              <w:tr2bl w:val="nil"/>
            </w:tcBorders>
            <w:shd w:val="clear" w:color="auto" w:fill="auto"/>
            <w:vAlign w:val="center"/>
          </w:tcPr>
          <w:p w14:paraId="2BE26C8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城子河区一般生态空间</w:t>
            </w:r>
          </w:p>
        </w:tc>
        <w:tc>
          <w:tcPr>
            <w:tcW w:w="426" w:type="dxa"/>
            <w:tcBorders>
              <w:tl2br w:val="nil"/>
              <w:tr2bl w:val="nil"/>
            </w:tcBorders>
            <w:shd w:val="clear" w:color="auto" w:fill="auto"/>
            <w:vAlign w:val="center"/>
          </w:tcPr>
          <w:p w14:paraId="28696F9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优先保护单元</w:t>
            </w:r>
          </w:p>
        </w:tc>
        <w:tc>
          <w:tcPr>
            <w:tcW w:w="737" w:type="dxa"/>
            <w:tcBorders>
              <w:tl2br w:val="nil"/>
              <w:tr2bl w:val="nil"/>
            </w:tcBorders>
            <w:shd w:val="clear" w:color="auto" w:fill="auto"/>
            <w:vAlign w:val="center"/>
          </w:tcPr>
          <w:p w14:paraId="6FEA24A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空间布局约束</w:t>
            </w:r>
          </w:p>
        </w:tc>
        <w:tc>
          <w:tcPr>
            <w:tcW w:w="4704" w:type="dxa"/>
            <w:tcBorders>
              <w:tl2br w:val="nil"/>
              <w:tr2bl w:val="nil"/>
            </w:tcBorders>
            <w:shd w:val="clear" w:color="auto" w:fill="auto"/>
            <w:vAlign w:val="center"/>
          </w:tcPr>
          <w:p w14:paraId="048D1B1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原则上按限制开发区域的要求进行管理。严格限制与生态功能不一致的开发建设活动。符合区域准入条件的新增建设项目，涉及占用生态空间中的林地、草原等，按有关法律法规规定办理；涉及占用生态空间中其他未作明确规定的用地，应当加强论证和管理。符合条件的农业开发项目，须依法由市县级及以上地方人民政府统筹安排。除符合国家生态退耕条件的耕地，并纳入国家生态退耕总体安排，或因国家重大生态工程建设需要外，不得随意转用。 2.对依法保护的生态空间实行承载力控制，防止过度垦殖、放牧、采伐、取水、渔猎、旅游等对生态功能造成损害，确保自然生态系统的稳定。 3.避免开发建设活动损害其生态服务功能和生态产品质量。 4.已经侵占生态空间的，应建立退出机制、制定治理方案及时间表。</w:t>
            </w:r>
          </w:p>
        </w:tc>
        <w:tc>
          <w:tcPr>
            <w:tcW w:w="2355" w:type="dxa"/>
            <w:vMerge w:val="restart"/>
            <w:tcBorders>
              <w:tl2br w:val="nil"/>
              <w:tr2bl w:val="nil"/>
            </w:tcBorders>
            <w:shd w:val="clear" w:color="auto" w:fill="auto"/>
            <w:vAlign w:val="center"/>
          </w:tcPr>
          <w:p w14:paraId="34554E7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本项目为历史遗留矿山生态修复项目，不属于开发项目，</w:t>
            </w:r>
            <w:r>
              <w:rPr>
                <w:rFonts w:hint="default" w:ascii="Times New Roman" w:hAnsi="Times New Roman" w:cs="Times New Roman"/>
                <w:color w:val="auto"/>
                <w:highlight w:val="none"/>
                <w:lang w:val="zh-CN"/>
              </w:rPr>
              <w:t>本项目运营期废气主要为</w:t>
            </w:r>
            <w:r>
              <w:rPr>
                <w:rFonts w:hint="default" w:ascii="Times New Roman" w:hAnsi="Times New Roman" w:cs="Times New Roman"/>
                <w:color w:val="auto"/>
                <w:highlight w:val="none"/>
              </w:rPr>
              <w:t>土地平整及植被恢复</w:t>
            </w:r>
            <w:r>
              <w:rPr>
                <w:rFonts w:hint="default" w:ascii="Times New Roman" w:hAnsi="Times New Roman" w:cs="Times New Roman"/>
                <w:color w:val="auto"/>
                <w:highlight w:val="none"/>
                <w:lang w:val="zh-CN"/>
              </w:rPr>
              <w:t>过程产生的扬尘，经洒水降尘</w:t>
            </w:r>
            <w:r>
              <w:rPr>
                <w:rFonts w:hint="default" w:ascii="Times New Roman" w:hAnsi="Times New Roman" w:cs="Times New Roman"/>
                <w:color w:val="auto"/>
                <w:highlight w:val="none"/>
              </w:rPr>
              <w:t>等措施</w:t>
            </w:r>
            <w:r>
              <w:rPr>
                <w:rFonts w:hint="default" w:ascii="Times New Roman" w:hAnsi="Times New Roman" w:cs="Times New Roman"/>
                <w:color w:val="auto"/>
                <w:highlight w:val="none"/>
                <w:lang w:val="zh-CN"/>
              </w:rPr>
              <w:t>后对周围环境影响较小，道路运输过程中采用密闭运输方式。施工期场内积水抽排至沉淀池，经沉淀处理后回用于场内洒水抑尘。回填过程主要是推土机、挖掘机、压实机等装置，通过选用低噪声、低振动设备、加强车辆维护保养、避免夜间操作等措施后对周围环境影响较小。本项目</w:t>
            </w:r>
            <w:r>
              <w:rPr>
                <w:rFonts w:hint="default" w:ascii="Times New Roman" w:hAnsi="Times New Roman" w:cs="Times New Roman"/>
                <w:color w:val="auto"/>
                <w:highlight w:val="none"/>
              </w:rPr>
              <w:t>建设及复垦过程</w:t>
            </w:r>
            <w:r>
              <w:rPr>
                <w:rFonts w:hint="default" w:ascii="Times New Roman" w:hAnsi="Times New Roman" w:cs="Times New Roman"/>
                <w:color w:val="auto"/>
                <w:highlight w:val="none"/>
                <w:lang w:val="zh-CN"/>
              </w:rPr>
              <w:t>虽然会产生一定的污染物，但在采取以上污染防治措施后，各类污染物的排放对周边环境</w:t>
            </w:r>
            <w:r>
              <w:rPr>
                <w:rFonts w:hint="default" w:ascii="Times New Roman" w:hAnsi="Times New Roman" w:cs="Times New Roman"/>
                <w:color w:val="auto"/>
                <w:highlight w:val="none"/>
              </w:rPr>
              <w:t>可以接受</w:t>
            </w:r>
            <w:r>
              <w:rPr>
                <w:rFonts w:hint="default" w:ascii="Times New Roman" w:hAnsi="Times New Roman" w:cs="Times New Roman"/>
                <w:color w:val="auto"/>
                <w:highlight w:val="none"/>
                <w:lang w:val="zh-CN"/>
              </w:rPr>
              <w:t>，即不会改变区域环境功能区质量要求，能维持环境功能区质量现状，能够满足环境质量底线的要求。本项目区现状为废弃取土坑，生态环境较差，封场后进行覆土</w:t>
            </w:r>
            <w:r>
              <w:rPr>
                <w:rFonts w:hint="default" w:ascii="Times New Roman" w:hAnsi="Times New Roman" w:cs="Times New Roman"/>
                <w:color w:val="auto"/>
                <w:highlight w:val="none"/>
              </w:rPr>
              <w:t>种植</w:t>
            </w:r>
            <w:r>
              <w:rPr>
                <w:rFonts w:hint="default" w:ascii="Times New Roman" w:hAnsi="Times New Roman" w:cs="Times New Roman"/>
                <w:color w:val="auto"/>
                <w:highlight w:val="none"/>
                <w:lang w:val="zh-CN"/>
              </w:rPr>
              <w:t>，恢复成</w:t>
            </w:r>
            <w:r>
              <w:rPr>
                <w:rFonts w:hint="default" w:ascii="Times New Roman" w:hAnsi="Times New Roman" w:cs="Times New Roman"/>
                <w:color w:val="auto"/>
                <w:highlight w:val="none"/>
              </w:rPr>
              <w:t>林</w:t>
            </w:r>
            <w:r>
              <w:rPr>
                <w:rFonts w:hint="default" w:ascii="Times New Roman" w:hAnsi="Times New Roman" w:cs="Times New Roman"/>
                <w:color w:val="auto"/>
                <w:highlight w:val="none"/>
                <w:lang w:val="zh-CN"/>
              </w:rPr>
              <w:t>地，生态环境好转，</w:t>
            </w:r>
            <w:r>
              <w:rPr>
                <w:rFonts w:hint="default" w:ascii="Times New Roman" w:hAnsi="Times New Roman" w:cs="Times New Roman"/>
                <w:color w:val="auto"/>
                <w:highlight w:val="none"/>
              </w:rPr>
              <w:t>建设符合管控要求。</w:t>
            </w:r>
          </w:p>
        </w:tc>
      </w:tr>
      <w:tr w14:paraId="32B0A68D">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3690" w:hRule="atLeast"/>
        </w:trPr>
        <w:tc>
          <w:tcPr>
            <w:tcW w:w="336" w:type="dxa"/>
            <w:vMerge w:val="restart"/>
            <w:tcBorders>
              <w:tl2br w:val="nil"/>
              <w:tr2bl w:val="nil"/>
            </w:tcBorders>
            <w:shd w:val="clear" w:color="auto" w:fill="auto"/>
            <w:vAlign w:val="center"/>
          </w:tcPr>
          <w:p w14:paraId="2A2BBE5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ZH23030620003</w:t>
            </w:r>
          </w:p>
        </w:tc>
        <w:tc>
          <w:tcPr>
            <w:tcW w:w="497" w:type="dxa"/>
            <w:vMerge w:val="restart"/>
            <w:tcBorders>
              <w:tl2br w:val="nil"/>
              <w:tr2bl w:val="nil"/>
            </w:tcBorders>
            <w:shd w:val="clear" w:color="auto" w:fill="auto"/>
            <w:vAlign w:val="center"/>
          </w:tcPr>
          <w:p w14:paraId="6B321E4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城子河区一般生态空间</w:t>
            </w:r>
          </w:p>
        </w:tc>
        <w:tc>
          <w:tcPr>
            <w:tcW w:w="426" w:type="dxa"/>
            <w:vMerge w:val="restart"/>
            <w:tcBorders>
              <w:tl2br w:val="nil"/>
              <w:tr2bl w:val="nil"/>
            </w:tcBorders>
            <w:shd w:val="clear" w:color="auto" w:fill="auto"/>
            <w:vAlign w:val="center"/>
          </w:tcPr>
          <w:p w14:paraId="7CC010E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城子河区水环境城镇生活污染重点管控区</w:t>
            </w:r>
          </w:p>
        </w:tc>
        <w:tc>
          <w:tcPr>
            <w:tcW w:w="737" w:type="dxa"/>
            <w:tcBorders>
              <w:tl2br w:val="nil"/>
              <w:tr2bl w:val="nil"/>
            </w:tcBorders>
            <w:shd w:val="clear" w:color="auto" w:fill="auto"/>
            <w:vAlign w:val="center"/>
          </w:tcPr>
          <w:p w14:paraId="6F559E5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空间布局约束</w:t>
            </w:r>
          </w:p>
        </w:tc>
        <w:tc>
          <w:tcPr>
            <w:tcW w:w="4704" w:type="dxa"/>
            <w:tcBorders>
              <w:tl2br w:val="nil"/>
              <w:tr2bl w:val="nil"/>
            </w:tcBorders>
            <w:shd w:val="clear" w:color="auto" w:fill="auto"/>
            <w:vAlign w:val="center"/>
          </w:tcPr>
          <w:p w14:paraId="42A999B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1.除干旱地区外，新建城区应全面实行雨污分流，鼓励对初期雨水进行收集、处理和资源化利用。 2.大气环境布局敏感重点管控区同时执行 （1）严控“两高”行业产能。严格执行钢铁、水泥、平板玻璃等行业产能置换实施办法。 （2）利用水泥窑协同处置城市生活垃圾、危险废弃物、电石渣等固废伴生水泥项目，必须依托现有新型干法水泥熟料生产线进行不扩产能改造。</w:t>
            </w:r>
          </w:p>
        </w:tc>
        <w:tc>
          <w:tcPr>
            <w:tcW w:w="2355" w:type="dxa"/>
            <w:vMerge w:val="continue"/>
            <w:tcBorders>
              <w:tl2br w:val="nil"/>
              <w:tr2bl w:val="nil"/>
            </w:tcBorders>
            <w:shd w:val="clear" w:color="auto" w:fill="auto"/>
            <w:vAlign w:val="center"/>
          </w:tcPr>
          <w:p w14:paraId="7F7B27BE">
            <w:pPr>
              <w:pStyle w:val="44"/>
              <w:bidi w:val="0"/>
              <w:rPr>
                <w:rFonts w:hint="default" w:ascii="Times New Roman" w:hAnsi="Times New Roman" w:cs="Times New Roman"/>
                <w:color w:val="auto"/>
                <w:highlight w:val="none"/>
              </w:rPr>
            </w:pPr>
          </w:p>
        </w:tc>
      </w:tr>
      <w:tr w14:paraId="792DDCF5">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4875" w:hRule="atLeast"/>
        </w:trPr>
        <w:tc>
          <w:tcPr>
            <w:tcW w:w="336" w:type="dxa"/>
            <w:vMerge w:val="continue"/>
            <w:tcBorders>
              <w:tl2br w:val="nil"/>
              <w:tr2bl w:val="nil"/>
            </w:tcBorders>
            <w:shd w:val="clear" w:color="auto" w:fill="auto"/>
            <w:vAlign w:val="center"/>
          </w:tcPr>
          <w:p w14:paraId="3DF232E2">
            <w:pPr>
              <w:pStyle w:val="44"/>
              <w:bidi w:val="0"/>
              <w:rPr>
                <w:rFonts w:hint="default" w:ascii="Times New Roman" w:hAnsi="Times New Roman" w:cs="Times New Roman"/>
                <w:color w:val="auto"/>
                <w:highlight w:val="none"/>
              </w:rPr>
            </w:pPr>
          </w:p>
        </w:tc>
        <w:tc>
          <w:tcPr>
            <w:tcW w:w="497" w:type="dxa"/>
            <w:vMerge w:val="continue"/>
            <w:tcBorders>
              <w:tl2br w:val="nil"/>
              <w:tr2bl w:val="nil"/>
            </w:tcBorders>
            <w:shd w:val="clear" w:color="auto" w:fill="auto"/>
            <w:vAlign w:val="center"/>
          </w:tcPr>
          <w:p w14:paraId="0F96E2C5">
            <w:pPr>
              <w:pStyle w:val="44"/>
              <w:bidi w:val="0"/>
              <w:rPr>
                <w:rFonts w:hint="default" w:ascii="Times New Roman" w:hAnsi="Times New Roman" w:cs="Times New Roman"/>
                <w:color w:val="auto"/>
                <w:highlight w:val="none"/>
              </w:rPr>
            </w:pPr>
          </w:p>
        </w:tc>
        <w:tc>
          <w:tcPr>
            <w:tcW w:w="426" w:type="dxa"/>
            <w:vMerge w:val="continue"/>
            <w:tcBorders>
              <w:tl2br w:val="nil"/>
              <w:tr2bl w:val="nil"/>
            </w:tcBorders>
            <w:shd w:val="clear" w:color="auto" w:fill="auto"/>
            <w:vAlign w:val="center"/>
          </w:tcPr>
          <w:p w14:paraId="2A864ACD">
            <w:pPr>
              <w:pStyle w:val="44"/>
              <w:bidi w:val="0"/>
              <w:rPr>
                <w:rFonts w:hint="default" w:ascii="Times New Roman" w:hAnsi="Times New Roman" w:cs="Times New Roman"/>
                <w:color w:val="auto"/>
                <w:highlight w:val="none"/>
              </w:rPr>
            </w:pPr>
          </w:p>
        </w:tc>
        <w:tc>
          <w:tcPr>
            <w:tcW w:w="737" w:type="dxa"/>
            <w:tcBorders>
              <w:tl2br w:val="nil"/>
              <w:tr2bl w:val="nil"/>
            </w:tcBorders>
            <w:shd w:val="clear" w:color="auto" w:fill="auto"/>
            <w:vAlign w:val="center"/>
          </w:tcPr>
          <w:p w14:paraId="7CF06CE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污染物排放管控</w:t>
            </w:r>
          </w:p>
        </w:tc>
        <w:tc>
          <w:tcPr>
            <w:tcW w:w="4704" w:type="dxa"/>
            <w:tcBorders>
              <w:tl2br w:val="nil"/>
              <w:tr2bl w:val="nil"/>
            </w:tcBorders>
            <w:shd w:val="clear" w:color="auto" w:fill="auto"/>
            <w:vAlign w:val="center"/>
          </w:tcPr>
          <w:p w14:paraId="2E8E5F8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1.同时执行： （1）新区污水管网规划建设应当与城市开发同步推进，除干旱地区外均实行雨污分流。 （2）强化城中村、老旧城区和城乡结合部污水截流、收集。 （3）推进合流制排水系统雨污分流改造，难以改造的，应采取截流、调蓄和治理等措施；推进现有污水处理设施配套管网建设；进一步提高城市、县城生活污水收集处理效能。 （4）县级以上人民政府应当合理确定城镇排水与污水处理设施建设标准，统筹安排管网、泵站、污水处理厂以及污泥处理处置、再生水利用、雨水调蓄和排放等排水与污水处理设施建设和改造，提高城镇污水收集率和处理率。 2.大气环境布局敏感重点管控区同时执行 （1）对以煤、石焦油、渣油、重油等为燃料的锅炉和工业炉窑，加快使用清洁低碳能源以及工厂余热、电力热力等进行替代。 （2）到2025年，在用65蒸吨/小时以上的燃煤锅炉（含电力）实现超低排放，钢铁企业基本实现超低排放。</w:t>
            </w:r>
          </w:p>
        </w:tc>
        <w:tc>
          <w:tcPr>
            <w:tcW w:w="2355" w:type="dxa"/>
            <w:vMerge w:val="continue"/>
            <w:tcBorders>
              <w:tl2br w:val="nil"/>
              <w:tr2bl w:val="nil"/>
            </w:tcBorders>
            <w:shd w:val="clear" w:color="auto" w:fill="auto"/>
            <w:vAlign w:val="center"/>
          </w:tcPr>
          <w:p w14:paraId="26F3FC96">
            <w:pPr>
              <w:pStyle w:val="44"/>
              <w:bidi w:val="0"/>
              <w:rPr>
                <w:rFonts w:hint="default" w:ascii="Times New Roman" w:hAnsi="Times New Roman" w:cs="Times New Roman"/>
                <w:color w:val="auto"/>
                <w:highlight w:val="none"/>
              </w:rPr>
            </w:pPr>
          </w:p>
        </w:tc>
      </w:tr>
      <w:tr w14:paraId="5AFFD451">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1170" w:hRule="atLeast"/>
        </w:trPr>
        <w:tc>
          <w:tcPr>
            <w:tcW w:w="336" w:type="dxa"/>
            <w:vMerge w:val="continue"/>
            <w:tcBorders>
              <w:tl2br w:val="nil"/>
              <w:tr2bl w:val="nil"/>
            </w:tcBorders>
            <w:shd w:val="clear" w:color="auto" w:fill="auto"/>
            <w:vAlign w:val="center"/>
          </w:tcPr>
          <w:p w14:paraId="6F82945E">
            <w:pPr>
              <w:pStyle w:val="44"/>
              <w:bidi w:val="0"/>
              <w:rPr>
                <w:rFonts w:hint="default" w:ascii="Times New Roman" w:hAnsi="Times New Roman" w:cs="Times New Roman"/>
                <w:color w:val="auto"/>
                <w:highlight w:val="none"/>
              </w:rPr>
            </w:pPr>
          </w:p>
        </w:tc>
        <w:tc>
          <w:tcPr>
            <w:tcW w:w="497" w:type="dxa"/>
            <w:vMerge w:val="continue"/>
            <w:tcBorders>
              <w:tl2br w:val="nil"/>
              <w:tr2bl w:val="nil"/>
            </w:tcBorders>
            <w:shd w:val="clear" w:color="auto" w:fill="auto"/>
            <w:vAlign w:val="center"/>
          </w:tcPr>
          <w:p w14:paraId="7F82D39B">
            <w:pPr>
              <w:pStyle w:val="44"/>
              <w:bidi w:val="0"/>
              <w:rPr>
                <w:rFonts w:hint="default" w:ascii="Times New Roman" w:hAnsi="Times New Roman" w:cs="Times New Roman"/>
                <w:color w:val="auto"/>
                <w:highlight w:val="none"/>
              </w:rPr>
            </w:pPr>
          </w:p>
        </w:tc>
        <w:tc>
          <w:tcPr>
            <w:tcW w:w="426" w:type="dxa"/>
            <w:vMerge w:val="continue"/>
            <w:tcBorders>
              <w:tl2br w:val="nil"/>
              <w:tr2bl w:val="nil"/>
            </w:tcBorders>
            <w:shd w:val="clear" w:color="auto" w:fill="auto"/>
            <w:vAlign w:val="center"/>
          </w:tcPr>
          <w:p w14:paraId="58FCCC15">
            <w:pPr>
              <w:pStyle w:val="44"/>
              <w:bidi w:val="0"/>
              <w:rPr>
                <w:rFonts w:hint="default" w:ascii="Times New Roman" w:hAnsi="Times New Roman" w:cs="Times New Roman"/>
                <w:color w:val="auto"/>
                <w:highlight w:val="none"/>
              </w:rPr>
            </w:pPr>
          </w:p>
        </w:tc>
        <w:tc>
          <w:tcPr>
            <w:tcW w:w="737" w:type="dxa"/>
            <w:tcBorders>
              <w:tl2br w:val="nil"/>
              <w:tr2bl w:val="nil"/>
            </w:tcBorders>
            <w:shd w:val="clear" w:color="auto" w:fill="auto"/>
            <w:vAlign w:val="center"/>
          </w:tcPr>
          <w:p w14:paraId="752E155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风险管控</w:t>
            </w:r>
          </w:p>
        </w:tc>
        <w:tc>
          <w:tcPr>
            <w:tcW w:w="4704" w:type="dxa"/>
            <w:tcBorders>
              <w:tl2br w:val="nil"/>
              <w:tr2bl w:val="nil"/>
            </w:tcBorders>
            <w:shd w:val="clear" w:color="auto" w:fill="auto"/>
            <w:vAlign w:val="center"/>
          </w:tcPr>
          <w:p w14:paraId="03F4E6E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大气环境布局敏感重点管控区同时执行本清单禁止在居民区、学校、医疗和养老机构等周边新建有色金属冶炼、焦化等行业企业。</w:t>
            </w:r>
          </w:p>
        </w:tc>
        <w:tc>
          <w:tcPr>
            <w:tcW w:w="2355" w:type="dxa"/>
            <w:vMerge w:val="continue"/>
            <w:tcBorders>
              <w:tl2br w:val="nil"/>
              <w:tr2bl w:val="nil"/>
            </w:tcBorders>
            <w:shd w:val="clear" w:color="auto" w:fill="auto"/>
            <w:noWrap/>
            <w:vAlign w:val="center"/>
          </w:tcPr>
          <w:p w14:paraId="6549CB0E">
            <w:pPr>
              <w:pStyle w:val="44"/>
              <w:bidi w:val="0"/>
              <w:rPr>
                <w:rFonts w:hint="default" w:ascii="Times New Roman" w:hAnsi="Times New Roman" w:cs="Times New Roman"/>
                <w:color w:val="auto"/>
                <w:highlight w:val="none"/>
              </w:rPr>
            </w:pPr>
          </w:p>
        </w:tc>
      </w:tr>
    </w:tbl>
    <w:p w14:paraId="23810769">
      <w:pPr>
        <w:pStyle w:val="25"/>
        <w:ind w:firstLine="48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综上，本项目建设符合“生态环境分区准入”的管控要求。</w:t>
      </w:r>
    </w:p>
    <w:p w14:paraId="280614C6">
      <w:pPr>
        <w:pStyle w:val="39"/>
        <w:bidi w:val="0"/>
        <w:rPr>
          <w:rFonts w:hint="default" w:ascii="Times New Roman" w:hAnsi="Times New Roman" w:cs="Times New Roman"/>
          <w:color w:val="auto"/>
          <w:highlight w:val="none"/>
        </w:rPr>
      </w:pPr>
      <w:bookmarkStart w:id="44" w:name="_Toc15096"/>
      <w:r>
        <w:rPr>
          <w:rFonts w:hint="default" w:ascii="Times New Roman" w:hAnsi="Times New Roman" w:cs="Times New Roman"/>
          <w:color w:val="auto"/>
          <w:highlight w:val="none"/>
        </w:rPr>
        <w:t>1.4.3与相关规划、政策和规范的符合性分析</w:t>
      </w:r>
      <w:bookmarkEnd w:id="44"/>
    </w:p>
    <w:p w14:paraId="0C57AA4D">
      <w:pPr>
        <w:pStyle w:val="5"/>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1.4.3.1与《黑龙江省“十四五”生态环境保护规划》符合性分析</w:t>
      </w:r>
    </w:p>
    <w:p w14:paraId="1A2D128F">
      <w:pPr>
        <w:pStyle w:val="25"/>
        <w:numPr>
          <w:ilvl w:val="0"/>
          <w:numId w:val="2"/>
        </w:num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相关内容</w:t>
      </w:r>
    </w:p>
    <w:p w14:paraId="4CCB46F6">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统筹推进山水林田湖草沙冰一体化保护和修复。全面加强天然林保护，开展大规模国土绿化行动，推行林长制。继续推进松嫩、三江平原农田防护林等重点防护林体系建设。坚持自然恢复为主，加强湿地保护，围绕三江、松嫩两大湿地平原和松花江沿岸，实施重大湿地保护修复工程。切实强化兴凯湖、扎龙湿地等重要珍稀候鸟迁徙繁殖地保护管理。以松嫩平原草原为重点，科学开展退化草原生态修复治理工程。推进绿色矿山建设，到 2025 年，全省完成 10%历史遗留矿山生态修复任务。优化西部平原区、西部低山丘陵区防风固沙体系建设，加强松嫩平原盐碱地改良治理，开展小流域及侵蚀沟水土流失综合治理。</w:t>
      </w:r>
    </w:p>
    <w:p w14:paraId="3224C9F6">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2、符合性分析</w:t>
      </w:r>
    </w:p>
    <w:p w14:paraId="708C7056">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本项目位于鸡西市城子河区，矿区范围内主要为废弃的工业厂房及堆存的矸石等，本次对城子河区的1</w:t>
      </w:r>
      <w:bookmarkStart w:id="45" w:name="OLE_LINK3"/>
      <w:r>
        <w:rPr>
          <w:rFonts w:hint="default" w:ascii="Times New Roman" w:hAnsi="Times New Roman" w:cs="Times New Roman"/>
          <w:color w:val="auto"/>
          <w:highlight w:val="none"/>
        </w:rPr>
        <w:t>2处废弃矿山进行综合治理，项目</w:t>
      </w:r>
      <w:bookmarkEnd w:id="45"/>
      <w:r>
        <w:rPr>
          <w:rFonts w:hint="default" w:ascii="Times New Roman" w:hAnsi="Times New Roman" w:cs="Times New Roman"/>
          <w:color w:val="auto"/>
          <w:highlight w:val="none"/>
        </w:rPr>
        <w:t>实施恢复为</w:t>
      </w:r>
      <w:r>
        <w:rPr>
          <w:rFonts w:hint="default" w:ascii="Times New Roman" w:hAnsi="Times New Roman" w:cs="Times New Roman"/>
          <w:color w:val="auto"/>
          <w:highlight w:val="none"/>
          <w:lang w:val="en-US" w:eastAsia="zh-CN"/>
        </w:rPr>
        <w:t>林地</w:t>
      </w:r>
      <w:r>
        <w:rPr>
          <w:rFonts w:hint="default" w:ascii="Times New Roman" w:hAnsi="Times New Roman" w:cs="Times New Roman"/>
          <w:color w:val="auto"/>
          <w:highlight w:val="none"/>
        </w:rPr>
        <w:t>，对改善和保护鸡西市城子河区及周边环境具有重要影响。提高土地利用率、改善地形地貌景观、减少扬尘污染。符合《黑龙江省“十四五”生态环境保护规划》中的有关要求。</w:t>
      </w:r>
    </w:p>
    <w:p w14:paraId="23EEA7AE">
      <w:pPr>
        <w:pStyle w:val="5"/>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1.4.3.2与《黑龙江省矿山生态修复治理行动计划（2022-2035）年》（黑政办发〔2022〕32 号）符合性分析</w:t>
      </w:r>
    </w:p>
    <w:p w14:paraId="15A38B9D">
      <w:pPr>
        <w:pStyle w:val="25"/>
        <w:numPr>
          <w:ilvl w:val="0"/>
          <w:numId w:val="0"/>
        </w:numPr>
        <w:ind w:firstLine="480" w:firstLineChars="200"/>
        <w:rPr>
          <w:rFonts w:hint="default" w:ascii="Times New Roman" w:hAnsi="Times New Roman" w:cs="Times New Roman"/>
          <w:color w:val="auto"/>
          <w:highlight w:val="none"/>
        </w:rPr>
      </w:pPr>
      <w:r>
        <w:rPr>
          <w:rFonts w:hint="default" w:ascii="Times New Roman" w:hAnsi="Times New Roman" w:eastAsia="宋体" w:cs="Times New Roman"/>
          <w:color w:val="auto"/>
          <w:kern w:val="2"/>
          <w:sz w:val="24"/>
          <w:szCs w:val="24"/>
          <w:lang w:val="en-US" w:eastAsia="zh-CN" w:bidi="ar-SA"/>
        </w:rPr>
        <w:t>1、</w:t>
      </w:r>
      <w:r>
        <w:rPr>
          <w:rFonts w:hint="default" w:ascii="Times New Roman" w:hAnsi="Times New Roman" w:cs="Times New Roman"/>
          <w:color w:val="auto"/>
          <w:highlight w:val="none"/>
        </w:rPr>
        <w:t>相关内容</w:t>
      </w:r>
    </w:p>
    <w:p w14:paraId="3E2FD1DD">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计划提出，到 2020 年历史遗留矿山恢复治理和矿山废弃土地恢复应达到25607 公顷。督察发现，“十三五”期间全省实际完成矿山修复 5875 公顷，仅完成 22.9%。对历史遗留矿山开展核查，研究制定矿山生态修复治理计划及矿山地质环境恢复治理方案，制定详细的整改措施和整改时限，按计划开展废弃矿山生态恢复治理工作。计划指出到 2035 年全面完成历史遗留矿山生态修复治理任务。</w:t>
      </w:r>
    </w:p>
    <w:p w14:paraId="4B92DE3B">
      <w:pPr>
        <w:pStyle w:val="25"/>
        <w:numPr>
          <w:ilvl w:val="0"/>
          <w:numId w:val="0"/>
        </w:numPr>
        <w:ind w:firstLine="480" w:firstLineChars="200"/>
        <w:rPr>
          <w:rFonts w:hint="default" w:ascii="Times New Roman" w:hAnsi="Times New Roman" w:cs="Times New Roman"/>
          <w:color w:val="auto"/>
          <w:highlight w:val="none"/>
        </w:rPr>
      </w:pPr>
      <w:r>
        <w:rPr>
          <w:rFonts w:hint="default" w:ascii="Times New Roman" w:hAnsi="Times New Roman" w:eastAsia="宋体" w:cs="Times New Roman"/>
          <w:color w:val="auto"/>
          <w:kern w:val="2"/>
          <w:sz w:val="24"/>
          <w:szCs w:val="24"/>
          <w:lang w:val="en-US" w:eastAsia="zh-CN" w:bidi="ar-SA"/>
        </w:rPr>
        <w:t>2、</w:t>
      </w:r>
      <w:r>
        <w:rPr>
          <w:rFonts w:hint="default" w:ascii="Times New Roman" w:hAnsi="Times New Roman" w:cs="Times New Roman"/>
          <w:color w:val="auto"/>
          <w:highlight w:val="none"/>
        </w:rPr>
        <w:t>符合性分析</w:t>
      </w:r>
    </w:p>
    <w:p w14:paraId="5C645A32">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本项目本次对</w:t>
      </w:r>
      <w:r>
        <w:rPr>
          <w:rFonts w:hint="default" w:ascii="Times New Roman" w:hAnsi="Times New Roman" w:cs="Times New Roman"/>
          <w:color w:val="auto"/>
          <w:highlight w:val="none"/>
          <w:lang w:val="en-US" w:eastAsia="zh-CN"/>
        </w:rPr>
        <w:t>鸡西市城子河</w:t>
      </w:r>
      <w:r>
        <w:rPr>
          <w:rFonts w:hint="default" w:ascii="Times New Roman" w:hAnsi="Times New Roman" w:cs="Times New Roman"/>
          <w:color w:val="auto"/>
          <w:highlight w:val="none"/>
        </w:rPr>
        <w:t>的 12 处废弃矿山进行综合治理，项目实施恢复为</w:t>
      </w:r>
      <w:r>
        <w:rPr>
          <w:rFonts w:hint="default" w:ascii="Times New Roman" w:hAnsi="Times New Roman" w:cs="Times New Roman"/>
          <w:color w:val="auto"/>
          <w:highlight w:val="none"/>
          <w:lang w:val="en-US" w:eastAsia="zh-CN"/>
        </w:rPr>
        <w:t>林地</w:t>
      </w:r>
      <w:r>
        <w:rPr>
          <w:rFonts w:hint="default" w:ascii="Times New Roman" w:hAnsi="Times New Roman" w:cs="Times New Roman"/>
          <w:color w:val="auto"/>
          <w:highlight w:val="none"/>
        </w:rPr>
        <w:t>，对改善和保护鸡西市城子河区及周边环境具有重要影响。提高土地利用率、改善地形地貌景观、减少扬尘污染。符合《黑龙江省矿山生态修复治理行动计划（2022-2035）年》的要求。</w:t>
      </w:r>
    </w:p>
    <w:p w14:paraId="10E50510">
      <w:pPr>
        <w:pStyle w:val="5"/>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1.4.3.3与《黑龙江省地质环境保护条例》的符合性分析</w:t>
      </w:r>
    </w:p>
    <w:p w14:paraId="5AC4BEF8">
      <w:pPr>
        <w:pStyle w:val="25"/>
        <w:bidi w:val="0"/>
        <w:rPr>
          <w:rFonts w:hint="default" w:ascii="Times New Roman" w:hAnsi="Times New Roman" w:cs="Times New Roman"/>
          <w:color w:val="auto"/>
        </w:rPr>
      </w:pPr>
      <w:r>
        <w:rPr>
          <w:rFonts w:hint="default" w:ascii="Times New Roman" w:hAnsi="Times New Roman" w:cs="Times New Roman"/>
          <w:color w:val="auto"/>
          <w:lang w:val="en-US" w:eastAsia="zh-CN"/>
        </w:rPr>
        <w:t>1、</w:t>
      </w:r>
      <w:r>
        <w:rPr>
          <w:rFonts w:hint="default" w:ascii="Times New Roman" w:hAnsi="Times New Roman" w:cs="Times New Roman"/>
          <w:color w:val="auto"/>
        </w:rPr>
        <w:t>相关内容</w:t>
      </w:r>
    </w:p>
    <w:p w14:paraId="3CFFE292">
      <w:pPr>
        <w:pStyle w:val="25"/>
        <w:bidi w:val="0"/>
        <w:rPr>
          <w:rFonts w:hint="default" w:ascii="Times New Roman" w:hAnsi="Times New Roman" w:cs="Times New Roman"/>
          <w:color w:val="auto"/>
        </w:rPr>
      </w:pPr>
      <w:r>
        <w:rPr>
          <w:rFonts w:hint="default" w:ascii="Times New Roman" w:hAnsi="Times New Roman" w:cs="Times New Roman"/>
          <w:color w:val="auto"/>
        </w:rPr>
        <w:t>《黑龙江省地质环境保护条例》第十四条规定：依法取得矿产资源开采权的单位和个人，应当承担保护矿山地质环境、防治矿山地质灾害的义务，依法做好水土保持、植被恢复和土地复垦工作，避免或者防止发生次生地质灾害。开采矿产资源应当遵守有关环境保护和矿山安全的法律、法规，按照国家有关规定处置废水、废气、废渣、废石和尾矿等废弃物。</w:t>
      </w:r>
    </w:p>
    <w:p w14:paraId="395BB367">
      <w:pPr>
        <w:pStyle w:val="2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2、符合性分析</w:t>
      </w:r>
    </w:p>
    <w:p w14:paraId="3FA3D7E0">
      <w:pPr>
        <w:pStyle w:val="25"/>
        <w:bidi w:val="0"/>
        <w:rPr>
          <w:rFonts w:hint="default" w:ascii="Times New Roman" w:hAnsi="Times New Roman" w:cs="Times New Roman"/>
          <w:color w:val="auto"/>
        </w:rPr>
      </w:pPr>
      <w:r>
        <w:rPr>
          <w:rFonts w:hint="default" w:ascii="Times New Roman" w:hAnsi="Times New Roman" w:cs="Times New Roman"/>
          <w:color w:val="auto"/>
        </w:rPr>
        <w:t>本项目对鸡西市城子河区12处历史遗留废弃矿山进行生态恢复治理，对其采取地貌重塑、土壤重构、植被重建、配套工程等生态重建措施。项目建成后，消除矿山地质安全隐患，改善废弃矿山及周边生态环境。使昔日荒芜废弃、地表裸露的采矿破坏土地得到复垦利用，生态系统功能得到恢复。因此本项目与《黑龙江省地质环境保护条例》相符合。</w:t>
      </w:r>
    </w:p>
    <w:p w14:paraId="0B9D883E">
      <w:pPr>
        <w:pStyle w:val="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1.4.3.4与《矿山生态环境保护与恢复治理技术规范（试行）》（HJ651-2013）的符合性分析</w:t>
      </w:r>
    </w:p>
    <w:p w14:paraId="35805A29">
      <w:pPr>
        <w:adjustRightInd w:val="0"/>
        <w:snapToGrid w:val="0"/>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bCs/>
          <w:color w:val="auto"/>
          <w:sz w:val="24"/>
          <w:highlight w:val="none"/>
        </w:rPr>
        <w:t>根据《矿山生态环境保护与恢复治理技术规范（试行）》（HJ651-2013）矸石场恢复治理要求，本项目符合性见表1-</w:t>
      </w:r>
      <w:r>
        <w:rPr>
          <w:rFonts w:hint="default" w:ascii="Times New Roman" w:hAnsi="Times New Roman" w:cs="Times New Roman"/>
          <w:bCs/>
          <w:color w:val="auto"/>
          <w:sz w:val="24"/>
          <w:highlight w:val="none"/>
          <w:lang w:val="en-US" w:eastAsia="zh-CN"/>
        </w:rPr>
        <w:t>4-6</w:t>
      </w:r>
      <w:r>
        <w:rPr>
          <w:rFonts w:hint="default" w:ascii="Times New Roman" w:hAnsi="Times New Roman" w:cs="Times New Roman"/>
          <w:bCs/>
          <w:color w:val="auto"/>
          <w:sz w:val="24"/>
          <w:highlight w:val="none"/>
        </w:rPr>
        <w:t>。</w:t>
      </w:r>
    </w:p>
    <w:p w14:paraId="180FB41C">
      <w:pPr>
        <w:pStyle w:val="27"/>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表1-</w:t>
      </w:r>
      <w:r>
        <w:rPr>
          <w:rFonts w:hint="default" w:ascii="Times New Roman" w:hAnsi="Times New Roman" w:eastAsia="宋体" w:cs="Times New Roman"/>
          <w:color w:val="auto"/>
          <w:highlight w:val="none"/>
          <w:lang w:val="en-US" w:eastAsia="zh-CN"/>
        </w:rPr>
        <w:t xml:space="preserve">4-6 </w:t>
      </w:r>
      <w:r>
        <w:rPr>
          <w:rFonts w:hint="default" w:ascii="Times New Roman" w:hAnsi="Times New Roman" w:eastAsia="宋体" w:cs="Times New Roman"/>
          <w:color w:val="auto"/>
          <w:highlight w:val="none"/>
        </w:rPr>
        <w:t xml:space="preserve">  本项目与《矿山生态环境保护与恢复治理技术规范（试行）》符合性对照表</w:t>
      </w:r>
    </w:p>
    <w:tbl>
      <w:tblPr>
        <w:tblStyle w:val="20"/>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autofit"/>
        <w:tblCellMar>
          <w:top w:w="0" w:type="dxa"/>
          <w:left w:w="108" w:type="dxa"/>
          <w:bottom w:w="0" w:type="dxa"/>
          <w:right w:w="108" w:type="dxa"/>
        </w:tblCellMar>
      </w:tblPr>
      <w:tblGrid>
        <w:gridCol w:w="3316"/>
        <w:gridCol w:w="4051"/>
        <w:gridCol w:w="1152"/>
      </w:tblGrid>
      <w:tr w14:paraId="550517C9">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148" w:hRule="atLeast"/>
          <w:jc w:val="center"/>
        </w:trPr>
        <w:tc>
          <w:tcPr>
            <w:tcW w:w="1946" w:type="pct"/>
            <w:tcBorders>
              <w:tl2br w:val="nil"/>
              <w:tr2bl w:val="nil"/>
            </w:tcBorders>
            <w:vAlign w:val="center"/>
          </w:tcPr>
          <w:p w14:paraId="2D7D482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政策要求</w:t>
            </w:r>
          </w:p>
        </w:tc>
        <w:tc>
          <w:tcPr>
            <w:tcW w:w="2377" w:type="pct"/>
            <w:tcBorders>
              <w:tl2br w:val="nil"/>
              <w:tr2bl w:val="nil"/>
            </w:tcBorders>
            <w:vAlign w:val="center"/>
          </w:tcPr>
          <w:p w14:paraId="3A45B99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本项目情况</w:t>
            </w:r>
          </w:p>
        </w:tc>
        <w:tc>
          <w:tcPr>
            <w:tcW w:w="676" w:type="pct"/>
            <w:tcBorders>
              <w:tl2br w:val="nil"/>
              <w:tr2bl w:val="nil"/>
            </w:tcBorders>
            <w:vAlign w:val="center"/>
          </w:tcPr>
          <w:p w14:paraId="1FECA86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符合情况</w:t>
            </w:r>
          </w:p>
        </w:tc>
      </w:tr>
      <w:tr w14:paraId="4AB7EF90">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526" w:hRule="atLeast"/>
          <w:jc w:val="center"/>
        </w:trPr>
        <w:tc>
          <w:tcPr>
            <w:tcW w:w="1946" w:type="pct"/>
            <w:tcBorders>
              <w:tl2br w:val="nil"/>
              <w:tr2bl w:val="nil"/>
            </w:tcBorders>
            <w:vAlign w:val="center"/>
          </w:tcPr>
          <w:p w14:paraId="3F6E65D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恢复治理后的各类场地应实现：安全稳定，对人类和动植物不造成威胁；对周边环境不产生污染:与周边自然环境和景观相协调；恢复土地基本功能，因地制宜实现土地可持续利用；区域整体生态功能得到保护和恢复。</w:t>
            </w:r>
          </w:p>
        </w:tc>
        <w:tc>
          <w:tcPr>
            <w:tcW w:w="2377" w:type="pct"/>
            <w:tcBorders>
              <w:tl2br w:val="nil"/>
              <w:tr2bl w:val="nil"/>
            </w:tcBorders>
            <w:vAlign w:val="center"/>
          </w:tcPr>
          <w:p w14:paraId="0945D18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次对鸡西市城子河区12处历史遗留废弃矿山进行生态恢复治理，对其采取地貌重塑、土壤重构、植被重建、配套工程等生态重建措施。项目建成后，消除矿山地质安全隐患，改善废弃矿山及周边生态环境。项目实施后与自然环境和景观相协调使昔日荒芜废弃、地表裸露的采矿破坏土地得到复垦利用，生态系统功能得到恢复。</w:t>
            </w:r>
          </w:p>
        </w:tc>
        <w:tc>
          <w:tcPr>
            <w:tcW w:w="676" w:type="pct"/>
            <w:tcBorders>
              <w:tl2br w:val="nil"/>
              <w:tr2bl w:val="nil"/>
            </w:tcBorders>
            <w:vAlign w:val="center"/>
          </w:tcPr>
          <w:p w14:paraId="5685165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bl>
    <w:p w14:paraId="0D6E31DF">
      <w:pPr>
        <w:ind w:firstLine="480"/>
        <w:rPr>
          <w:rFonts w:hint="default" w:ascii="Times New Roman" w:hAnsi="Times New Roman" w:cs="Times New Roman"/>
          <w:color w:val="auto"/>
          <w:highlight w:val="none"/>
        </w:rPr>
      </w:pPr>
      <w:r>
        <w:rPr>
          <w:rFonts w:hint="default" w:ascii="Times New Roman" w:hAnsi="Times New Roman" w:cs="Times New Roman"/>
          <w:bCs/>
          <w:color w:val="auto"/>
          <w:highlight w:val="none"/>
        </w:rPr>
        <w:t>本项目符合相关规划要求，采取的措施可有效保护生态环境，控制环境污染，因此，本项目与《矿山生态环境保护与恢复治理技术规范（试行）》（HJ651-2013）相符合。</w:t>
      </w:r>
    </w:p>
    <w:p w14:paraId="577BE139">
      <w:pPr>
        <w:pStyle w:val="5"/>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1.4.3.</w:t>
      </w:r>
      <w:r>
        <w:rPr>
          <w:rFonts w:hint="default" w:ascii="Times New Roman" w:hAnsi="Times New Roman" w:cs="Times New Roman"/>
          <w:color w:val="auto"/>
          <w:highlight w:val="none"/>
        </w:rPr>
        <w:t>5</w:t>
      </w:r>
      <w:r>
        <w:rPr>
          <w:rFonts w:hint="default" w:ascii="Times New Roman" w:hAnsi="Times New Roman" w:cs="Times New Roman"/>
          <w:color w:val="auto"/>
          <w:highlight w:val="none"/>
          <w:lang w:val="zh-CN"/>
        </w:rPr>
        <w:t>与《关于“十四五”大宗固体废弃物综合利用的指导意见》符合性分析</w:t>
      </w:r>
    </w:p>
    <w:p w14:paraId="438E5785">
      <w:pPr>
        <w:pStyle w:val="25"/>
        <w:bidi w:val="0"/>
        <w:rPr>
          <w:rFonts w:hint="default" w:ascii="Times New Roman" w:hAnsi="Times New Roman" w:cs="Times New Roman"/>
          <w:color w:val="auto"/>
        </w:rPr>
      </w:pPr>
      <w:r>
        <w:rPr>
          <w:rFonts w:hint="default" w:ascii="Times New Roman" w:hAnsi="Times New Roman" w:cs="Times New Roman"/>
          <w:color w:val="auto"/>
          <w:lang w:val="en-US" w:eastAsia="zh-CN"/>
        </w:rPr>
        <w:t>1、</w:t>
      </w:r>
      <w:r>
        <w:rPr>
          <w:rFonts w:hint="default" w:ascii="Times New Roman" w:hAnsi="Times New Roman" w:cs="Times New Roman"/>
          <w:color w:val="auto"/>
        </w:rPr>
        <w:t>相关内容</w:t>
      </w:r>
    </w:p>
    <w:p w14:paraId="22901000">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五）主要目标。到2025年，煤矸石、煤矸石、尾矿（共伴生矿）、冶炼渣、工业副产石膏、建筑垃圾、农作物秸秆等大宗固废的综合利用能力显著提升，利用规模不断扩大，新增大宗固废综合利用率达到60%，存量大宗固废有序减少。</w:t>
      </w:r>
    </w:p>
    <w:p w14:paraId="0BC29144">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六）煤矸石和煤矸石。持续提高煤矸石和煤矸石综合利用水平，推进煤矸石和煤矸石在工程建设、塌陷区治理、矿井充填以及盐碱地、沙漠化土地生态修复等领域的利用，有序引导利用煤矸石、煤矸石生产新型墙体材料、装饰装修材料等绿色建材，在风险可控前提下深入推动农业领域应用和有价组分提取，加强大掺量和高附加值产品应用推广。</w:t>
      </w:r>
    </w:p>
    <w:p w14:paraId="070C59D3">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符合性分析</w:t>
      </w:r>
    </w:p>
    <w:p w14:paraId="6940F58B">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本项目兴顺采石场(2#)回填利用本项目中鸡西市城子河区城西村北 1.5km 煤矿工业广场(41#)煤矸石作为回填材料进行废弃采坑回填修复治理项目，可避免煤矸石无法实现综合利用、无处安放而导致的环境问题，可实现煤矸石的综合利用，满足《关于“十四五”大宗固体废弃物综合利用的指导意见》（发改环资〔2021〕381号）的要求。</w:t>
      </w:r>
    </w:p>
    <w:p w14:paraId="7C18C24A">
      <w:pPr>
        <w:pStyle w:val="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1.4.3.6与《黑龙江省城乡固体废物分类治理布局规划（2019—2035年）（2021年修订版）》符合性分析</w:t>
      </w:r>
    </w:p>
    <w:p w14:paraId="101C669B">
      <w:pPr>
        <w:pStyle w:val="25"/>
        <w:bidi w:val="0"/>
        <w:rPr>
          <w:rFonts w:hint="default" w:ascii="Times New Roman" w:hAnsi="Times New Roman" w:cs="Times New Roman"/>
          <w:color w:val="auto"/>
        </w:rPr>
      </w:pPr>
      <w:r>
        <w:rPr>
          <w:rFonts w:hint="default" w:ascii="Times New Roman" w:hAnsi="Times New Roman" w:cs="Times New Roman"/>
          <w:color w:val="auto"/>
          <w:lang w:val="en-US" w:eastAsia="zh-CN"/>
        </w:rPr>
        <w:t>1、</w:t>
      </w:r>
      <w:r>
        <w:rPr>
          <w:rFonts w:hint="default" w:ascii="Times New Roman" w:hAnsi="Times New Roman" w:cs="Times New Roman"/>
          <w:color w:val="auto"/>
        </w:rPr>
        <w:t>相关内容</w:t>
      </w:r>
    </w:p>
    <w:p w14:paraId="5CE28731">
      <w:pPr>
        <w:pStyle w:val="25"/>
        <w:bidi w:val="0"/>
        <w:rPr>
          <w:rFonts w:hint="default" w:ascii="Times New Roman" w:hAnsi="Times New Roman" w:cs="Times New Roman"/>
          <w:color w:val="auto"/>
        </w:rPr>
      </w:pPr>
      <w:r>
        <w:rPr>
          <w:rFonts w:hint="default" w:ascii="Times New Roman" w:hAnsi="Times New Roman" w:cs="Times New Roman"/>
          <w:color w:val="auto"/>
        </w:rPr>
        <w:t>黑龙江省城乡固体废物分类治理布局规划（2019—2035年）（2021年修改）项目统筹中指出：“建议入园项目：生活垃圾焚烧、餐厨垃圾处理、危险废物处理、医疗废物处置、建筑垃圾资源化、一般工业固体废物综合利用、城市污泥处理、畜禽养殖垃圾处理、农业秸秆资源化、电子产品回收、报废汽车拆解资源化、废旧轮胎资源化、废塑料资源化、废纸资源化、织物资源化等。各地根据当地资源特点、运输条件及市场形势选择项目。</w:t>
      </w:r>
    </w:p>
    <w:p w14:paraId="79695BCF">
      <w:pPr>
        <w:pStyle w:val="25"/>
        <w:bidi w:val="0"/>
        <w:rPr>
          <w:rFonts w:hint="default" w:ascii="Times New Roman" w:hAnsi="Times New Roman" w:cs="Times New Roman"/>
          <w:color w:val="auto"/>
        </w:rPr>
      </w:pPr>
      <w:r>
        <w:rPr>
          <w:rFonts w:hint="default" w:ascii="Times New Roman" w:hAnsi="Times New Roman" w:cs="Times New Roman"/>
          <w:color w:val="auto"/>
        </w:rPr>
        <w:t>一般工业固体废物处理。对不同的固体废物进行原料提取，资源利用或综合利用；无机骨料进入建筑垃圾处理厂协同处理；剩余可焚烧的废物根据性质进入生活垃圾焚烧系统或危险废物焚烧系统，其他物质填埋处置。”</w:t>
      </w:r>
    </w:p>
    <w:p w14:paraId="05007C5C">
      <w:pPr>
        <w:pStyle w:val="25"/>
        <w:numPr>
          <w:ilvl w:val="0"/>
          <w:numId w:val="2"/>
        </w:numPr>
        <w:bidi w:val="0"/>
        <w:ind w:left="0" w:leftChars="0" w:firstLine="480" w:firstLineChars="20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符合性分析</w:t>
      </w:r>
    </w:p>
    <w:p w14:paraId="59F3FB73">
      <w:pPr>
        <w:pStyle w:val="25"/>
        <w:numPr>
          <w:ilvl w:val="0"/>
          <w:numId w:val="2"/>
        </w:numPr>
        <w:bidi w:val="0"/>
        <w:ind w:left="0" w:leftChars="0" w:firstLine="480" w:firstLineChars="200"/>
        <w:rPr>
          <w:rFonts w:hint="default" w:ascii="Times New Roman" w:hAnsi="Times New Roman" w:cs="Times New Roman"/>
          <w:color w:val="auto"/>
        </w:rPr>
      </w:pPr>
      <w:r>
        <w:rPr>
          <w:rFonts w:hint="default" w:ascii="Times New Roman" w:hAnsi="Times New Roman" w:cs="Times New Roman"/>
          <w:color w:val="auto"/>
        </w:rPr>
        <w:t>本项目兴顺采石场</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2#）</w:t>
      </w:r>
      <w:r>
        <w:rPr>
          <w:rFonts w:hint="default" w:ascii="Times New Roman" w:hAnsi="Times New Roman" w:cs="Times New Roman"/>
          <w:color w:val="auto"/>
        </w:rPr>
        <w:t>回填利用本项目中41#</w:t>
      </w:r>
      <w:r>
        <w:rPr>
          <w:rFonts w:hint="default" w:ascii="Times New Roman" w:hAnsi="Times New Roman" w:cs="Times New Roman"/>
          <w:color w:val="auto"/>
          <w:lang w:val="en-US" w:eastAsia="zh-CN"/>
        </w:rPr>
        <w:t>项目区</w:t>
      </w:r>
      <w:r>
        <w:rPr>
          <w:rFonts w:hint="default" w:ascii="Times New Roman" w:hAnsi="Times New Roman" w:cs="Times New Roman"/>
          <w:color w:val="auto"/>
        </w:rPr>
        <w:t>煤矸石作为回填材料，可做到煤矸石的综合利用，满足《黑龙江省城乡固体废物分类治理布局规划（2019—2035年）》(2021年修订版）的统筹规划要求。</w:t>
      </w:r>
    </w:p>
    <w:p w14:paraId="0002504F">
      <w:pPr>
        <w:pStyle w:val="5"/>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1.4.3.</w:t>
      </w:r>
      <w:r>
        <w:rPr>
          <w:rFonts w:hint="default" w:ascii="Times New Roman" w:hAnsi="Times New Roman" w:cs="Times New Roman"/>
          <w:color w:val="auto"/>
          <w:highlight w:val="none"/>
        </w:rPr>
        <w:t>7</w:t>
      </w:r>
      <w:r>
        <w:rPr>
          <w:rFonts w:hint="default" w:ascii="Times New Roman" w:hAnsi="Times New Roman" w:cs="Times New Roman"/>
          <w:color w:val="auto"/>
          <w:highlight w:val="none"/>
          <w:lang w:val="zh-CN"/>
        </w:rPr>
        <w:t>与《黑龙江省人民政府关于印发黑龙江省“十四五”生态环境保护规划的通知》（黑政规〔2021〕18号）符合性分析</w:t>
      </w:r>
    </w:p>
    <w:p w14:paraId="2E6B357F">
      <w:pPr>
        <w:pStyle w:val="25"/>
        <w:bidi w:val="0"/>
        <w:rPr>
          <w:rFonts w:hint="default" w:ascii="Times New Roman" w:hAnsi="Times New Roman" w:cs="Times New Roman"/>
          <w:color w:val="auto"/>
        </w:rPr>
      </w:pPr>
      <w:r>
        <w:rPr>
          <w:rFonts w:hint="default" w:ascii="Times New Roman" w:hAnsi="Times New Roman" w:cs="Times New Roman"/>
          <w:color w:val="auto"/>
          <w:lang w:val="en-US" w:eastAsia="zh-CN"/>
        </w:rPr>
        <w:t>1、</w:t>
      </w:r>
      <w:r>
        <w:rPr>
          <w:rFonts w:hint="default" w:ascii="Times New Roman" w:hAnsi="Times New Roman" w:cs="Times New Roman"/>
          <w:color w:val="auto"/>
        </w:rPr>
        <w:t>相关内容</w:t>
      </w:r>
    </w:p>
    <w:p w14:paraId="73CF9EE5">
      <w:pPr>
        <w:pStyle w:val="25"/>
        <w:bidi w:val="0"/>
        <w:rPr>
          <w:rFonts w:hint="default" w:ascii="Times New Roman" w:hAnsi="Times New Roman" w:cs="Times New Roman"/>
          <w:color w:val="auto"/>
        </w:rPr>
      </w:pPr>
      <w:r>
        <w:rPr>
          <w:rFonts w:hint="default" w:ascii="Times New Roman" w:hAnsi="Times New Roman" w:cs="Times New Roman"/>
          <w:color w:val="auto"/>
        </w:rPr>
        <w:t>根据《黑龙江省生态环境保护“十四五”规划》要求：全省生态环境质量总体改善。地表水水环境质量在总体稳定的基础上进一步改善，污染严重水体得到有效治理，饮用水安全得到有效保障；城市大气环境质量持续改善，重点行业和重点区域大气污染治理成效明显；土壤环境质量保持稳定；主要污染物排放总量显著减少；生态系统稳定性明显增强，农村环境质量初步改善；环境风险得到有效管控；生态环境治理体系与治理能力现代化取得进展，筑牢“美丽龙江”的环境基础，使生态文明建设水平与全面建成小康社会相适应。</w:t>
      </w:r>
    </w:p>
    <w:p w14:paraId="13018094">
      <w:pPr>
        <w:pStyle w:val="2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2、符合性分析</w:t>
      </w:r>
    </w:p>
    <w:p w14:paraId="7F0F99DF">
      <w:pPr>
        <w:pStyle w:val="25"/>
        <w:bidi w:val="0"/>
        <w:rPr>
          <w:rFonts w:hint="default" w:ascii="Times New Roman" w:hAnsi="Times New Roman" w:cs="Times New Roman"/>
          <w:color w:val="auto"/>
        </w:rPr>
      </w:pPr>
      <w:r>
        <w:rPr>
          <w:rFonts w:hint="default" w:ascii="Times New Roman" w:hAnsi="Times New Roman" w:cs="Times New Roman"/>
          <w:color w:val="auto"/>
        </w:rPr>
        <w:t>本项目兴顺采石场</w:t>
      </w:r>
      <w:r>
        <w:rPr>
          <w:rFonts w:hint="default" w:ascii="Times New Roman" w:hAnsi="Times New Roman" w:cs="Times New Roman"/>
          <w:color w:val="auto"/>
          <w:lang w:val="en-US" w:eastAsia="zh-CN"/>
        </w:rPr>
        <w:t>2#项目区</w:t>
      </w:r>
      <w:r>
        <w:rPr>
          <w:rFonts w:hint="default" w:ascii="Times New Roman" w:hAnsi="Times New Roman" w:cs="Times New Roman"/>
          <w:color w:val="auto"/>
        </w:rPr>
        <w:t>回填利用本项目中41#</w:t>
      </w:r>
      <w:r>
        <w:rPr>
          <w:rFonts w:hint="default" w:ascii="Times New Roman" w:hAnsi="Times New Roman" w:cs="Times New Roman"/>
          <w:color w:val="auto"/>
          <w:lang w:val="en-US" w:eastAsia="zh-CN"/>
        </w:rPr>
        <w:t>项目区</w:t>
      </w:r>
      <w:r>
        <w:rPr>
          <w:rFonts w:hint="default" w:ascii="Times New Roman" w:hAnsi="Times New Roman" w:cs="Times New Roman"/>
          <w:color w:val="auto"/>
        </w:rPr>
        <w:t>煤矸石作为回填材料，回填完成后覆土恢复成林地，本项目的建设既可以减少水土流失，又可改善废弃采坑的生态环境。项目建设符合《黑龙江省人民政府关于印发黑龙江省“十四五”生态环境保护规划的通知》（黑政规〔2021〕18号）要求。</w:t>
      </w:r>
    </w:p>
    <w:p w14:paraId="148EF02F">
      <w:pPr>
        <w:pStyle w:val="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1.4.3.8与《鸡西市人民政府印发鸡西市“十四五”生态环境保护规划的通知》，（鸡政规〔2022〕7号）符合性分析</w:t>
      </w:r>
    </w:p>
    <w:p w14:paraId="4B693086">
      <w:pPr>
        <w:pStyle w:val="25"/>
        <w:bidi w:val="0"/>
        <w:rPr>
          <w:rFonts w:hint="default" w:ascii="Times New Roman" w:hAnsi="Times New Roman" w:cs="Times New Roman"/>
          <w:color w:val="auto"/>
        </w:rPr>
      </w:pPr>
      <w:r>
        <w:rPr>
          <w:rFonts w:hint="default" w:ascii="Times New Roman" w:hAnsi="Times New Roman" w:cs="Times New Roman"/>
          <w:color w:val="auto"/>
          <w:lang w:val="en-US" w:eastAsia="zh-CN"/>
        </w:rPr>
        <w:t>1、</w:t>
      </w:r>
      <w:r>
        <w:rPr>
          <w:rFonts w:hint="default" w:ascii="Times New Roman" w:hAnsi="Times New Roman" w:cs="Times New Roman"/>
          <w:color w:val="auto"/>
        </w:rPr>
        <w:t>相关内容</w:t>
      </w:r>
    </w:p>
    <w:p w14:paraId="1A73AE54">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生态建设与修复工作仍需加强。土地所有者造林积极性不高，落实造林地块难度大，国家对林草重点建设工程投资标准低，用地矛盾突出。县（市）区政府对生物多样性及自然保护区管理工作重视不够，资金投入少，专业人才缺乏。生态移民、退耕等工作由于资金缺口大，很难达到效果。水土保持体系不完善、治理能力不足。全市生态环境质量持续改善，在全面建成小康社会、全面打赢污染防治攻坚战基础上，开展国土绿化行动，推进水土流失综合治理，强化湿地保护和恢复，加强地质灾害防治。完善天然林保护制度。严格保护耕地，扩大轮作休耕试点，健全耕地草原森林河流湖泊休养生息制度，建立市场化、多元化生态补偿机制。深入实施减污降碳、精准治污、亮剑护绿、科技赋能“四大行动”，聚焦生态环境保护的短板弱项，大力实施绿色低碳发展战略，深入打好蓝天、碧水、净土保卫战，坚持山水林田湖草沙冰一体化保护和系统治理，加强环境风险防范，推进生态环境治理体系与治理能力现代化。</w:t>
      </w:r>
    </w:p>
    <w:p w14:paraId="62F3932C">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推进扬尘精细化管控。全面推行绿色施工，严格落实施工工地扬尘管控责任，加强施工扬尘监管执法。推进低尘机械化湿式清扫作业，加大城市出入口、城乡结合部等重要路段冲洗保洁力度，渣土车实施全密闭运输，强化绿化用地扬尘治理。</w:t>
      </w:r>
    </w:p>
    <w:p w14:paraId="4FDD0997">
      <w:pPr>
        <w:pStyle w:val="25"/>
        <w:numPr>
          <w:ilvl w:val="0"/>
          <w:numId w:val="3"/>
        </w:num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符合性分析</w:t>
      </w:r>
    </w:p>
    <w:p w14:paraId="076E7551">
      <w:pPr>
        <w:pStyle w:val="25"/>
        <w:bidi w:val="0"/>
        <w:rPr>
          <w:rFonts w:hint="default" w:ascii="Times New Roman" w:hAnsi="Times New Roman" w:cs="Times New Roman"/>
          <w:color w:val="auto"/>
        </w:rPr>
      </w:pPr>
      <w:r>
        <w:rPr>
          <w:rFonts w:hint="default" w:ascii="Times New Roman" w:hAnsi="Times New Roman" w:cs="Times New Roman"/>
          <w:color w:val="auto"/>
        </w:rPr>
        <w:t>本项目加强对机械、车辆的维修保养，禁止以柴油为燃料的施工机械超负荷工作，施工场地、道路采取晒水和清扫措施抑尘，土方采用苫布苫盖，运输车加盖篷布，减少施工期扬尘产生的影响。</w:t>
      </w:r>
    </w:p>
    <w:p w14:paraId="33975F78">
      <w:pPr>
        <w:pStyle w:val="25"/>
        <w:ind w:firstLine="480"/>
        <w:rPr>
          <w:rFonts w:hint="default" w:ascii="Times New Roman" w:hAnsi="Times New Roman" w:cs="Times New Roman"/>
          <w:color w:val="auto"/>
          <w:highlight w:val="none"/>
        </w:rPr>
      </w:pPr>
      <w:r>
        <w:rPr>
          <w:rFonts w:hint="default" w:ascii="Times New Roman" w:hAnsi="Times New Roman" w:cs="Times New Roman"/>
          <w:snapToGrid w:val="0"/>
          <w:color w:val="auto"/>
          <w:sz w:val="24"/>
          <w:szCs w:val="22"/>
          <w:highlight w:val="none"/>
        </w:rPr>
        <w:t>本项目兴顺采石场</w:t>
      </w:r>
      <w:r>
        <w:rPr>
          <w:rFonts w:hint="default" w:ascii="Times New Roman" w:hAnsi="Times New Roman" w:cs="Times New Roman"/>
          <w:snapToGrid w:val="0"/>
          <w:color w:val="auto"/>
          <w:sz w:val="24"/>
          <w:szCs w:val="22"/>
          <w:highlight w:val="none"/>
          <w:lang w:val="en-US" w:eastAsia="zh-CN"/>
        </w:rPr>
        <w:t>2#项目区</w:t>
      </w:r>
      <w:r>
        <w:rPr>
          <w:rFonts w:hint="default" w:ascii="Times New Roman" w:hAnsi="Times New Roman" w:cs="Times New Roman"/>
          <w:snapToGrid w:val="0"/>
          <w:color w:val="auto"/>
          <w:sz w:val="24"/>
          <w:szCs w:val="22"/>
          <w:highlight w:val="none"/>
        </w:rPr>
        <w:t>回填利用本项目中41#</w:t>
      </w:r>
      <w:r>
        <w:rPr>
          <w:rFonts w:hint="default" w:ascii="Times New Roman" w:hAnsi="Times New Roman" w:cs="Times New Roman"/>
          <w:snapToGrid w:val="0"/>
          <w:color w:val="auto"/>
          <w:sz w:val="24"/>
          <w:szCs w:val="22"/>
          <w:highlight w:val="none"/>
          <w:lang w:val="en-US" w:eastAsia="zh-CN"/>
        </w:rPr>
        <w:t>项目区</w:t>
      </w:r>
      <w:r>
        <w:rPr>
          <w:rFonts w:hint="default" w:ascii="Times New Roman" w:hAnsi="Times New Roman" w:cs="Times New Roman"/>
          <w:snapToGrid w:val="0"/>
          <w:color w:val="auto"/>
          <w:sz w:val="24"/>
          <w:szCs w:val="22"/>
          <w:highlight w:val="none"/>
        </w:rPr>
        <w:t>煤矸石作为回填材料</w:t>
      </w:r>
      <w:r>
        <w:rPr>
          <w:rFonts w:hint="default" w:ascii="Times New Roman" w:hAnsi="Times New Roman" w:cs="Times New Roman"/>
          <w:snapToGrid w:val="0"/>
          <w:color w:val="auto"/>
          <w:sz w:val="24"/>
          <w:szCs w:val="22"/>
          <w:highlight w:val="none"/>
          <w:lang w:val="en-US" w:eastAsia="zh-CN"/>
        </w:rPr>
        <w:t>进行生态恢复。</w:t>
      </w:r>
      <w:r>
        <w:rPr>
          <w:rFonts w:hint="default" w:ascii="Times New Roman" w:hAnsi="Times New Roman" w:cs="Times New Roman"/>
          <w:color w:val="auto"/>
          <w:highlight w:val="none"/>
        </w:rPr>
        <w:t>回填结束后复垦为林地，不但能改善场地环境、恢复土地利用价值和土地利用功能、创造新的生态景观，而且对项目区本身的安全和稳定性也具有重要意义，会增加占地内的植被覆盖率和生物产量，可使区域内野生动物的数量增加，生物量增加，提高生物多样性，可消除遗留采坑的水土流失、坍塌隐患。故符合《鸡西市人民政府印发鸡</w:t>
      </w:r>
      <w:r>
        <w:rPr>
          <w:rFonts w:hint="default" w:ascii="Times New Roman" w:hAnsi="Times New Roman" w:cs="Times New Roman" w:eastAsiaTheme="minorEastAsia"/>
          <w:color w:val="auto"/>
          <w:highlight w:val="none"/>
        </w:rPr>
        <w:t>西市“十四五”生</w:t>
      </w:r>
      <w:r>
        <w:rPr>
          <w:rFonts w:hint="default" w:ascii="Times New Roman" w:hAnsi="Times New Roman" w:cs="Times New Roman"/>
          <w:color w:val="auto"/>
          <w:highlight w:val="none"/>
        </w:rPr>
        <w:t>态环境保护规划的通知》，（鸡政规〔2022〕7号）要求。</w:t>
      </w:r>
    </w:p>
    <w:p w14:paraId="51365D87">
      <w:pPr>
        <w:pStyle w:val="5"/>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1.4.3.</w:t>
      </w:r>
      <w:r>
        <w:rPr>
          <w:rFonts w:hint="default" w:ascii="Times New Roman" w:hAnsi="Times New Roman" w:cs="Times New Roman"/>
          <w:color w:val="auto"/>
          <w:highlight w:val="none"/>
        </w:rPr>
        <w:t>9</w:t>
      </w:r>
      <w:r>
        <w:rPr>
          <w:rFonts w:hint="default" w:ascii="Times New Roman" w:hAnsi="Times New Roman" w:cs="Times New Roman"/>
          <w:color w:val="auto"/>
          <w:highlight w:val="none"/>
          <w:lang w:val="zh-CN"/>
        </w:rPr>
        <w:t>与《黑龙江省大气污染防治条例》（2017年5月1日实施）的符合性</w:t>
      </w:r>
    </w:p>
    <w:p w14:paraId="2DFB53A2">
      <w:pPr>
        <w:pStyle w:val="25"/>
        <w:bidi w:val="0"/>
        <w:rPr>
          <w:rFonts w:hint="default" w:ascii="Times New Roman" w:hAnsi="Times New Roman" w:cs="Times New Roman"/>
          <w:color w:val="auto"/>
        </w:rPr>
      </w:pPr>
      <w:r>
        <w:rPr>
          <w:rFonts w:hint="default" w:ascii="Times New Roman" w:hAnsi="Times New Roman" w:cs="Times New Roman"/>
          <w:color w:val="auto"/>
          <w:lang w:val="en-US" w:eastAsia="zh-CN"/>
        </w:rPr>
        <w:t>1、</w:t>
      </w:r>
      <w:r>
        <w:rPr>
          <w:rFonts w:hint="default" w:ascii="Times New Roman" w:hAnsi="Times New Roman" w:cs="Times New Roman"/>
          <w:color w:val="auto"/>
        </w:rPr>
        <w:t>相关内容</w:t>
      </w:r>
    </w:p>
    <w:p w14:paraId="294F0F98">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《黑龙江省大气污染防治条例》于2017年1月20日黑龙江省第十二届人民代表大会第六次会议通过，2017年5月1日实施。在条例中“第三章 大气污染防治措施，第一节 燃煤污染防治”中第二十九条各级人民政府应当调整能源结构，推广清洁能源的生产和使用，制定并组织实施煤炭消费总量控制规划，减少煤炭生产、使用、转化过程中的大气污染物排放。“第四十一条 垃圾填埋活动产生的可燃性气体应当回收利用，不具备回收利用条件的，应当进行污染防治处理。普</w:t>
      </w:r>
      <w:r>
        <w:rPr>
          <w:rFonts w:hint="default" w:ascii="Times New Roman" w:hAnsi="Times New Roman" w:cs="Times New Roman"/>
          <w:color w:val="auto"/>
          <w:sz w:val="24"/>
          <w:highlight w:val="none"/>
          <w:lang w:val="en-US" w:eastAsia="zh-CN"/>
        </w:rPr>
        <w:t xml:space="preserve"> </w:t>
      </w:r>
      <w:r>
        <w:rPr>
          <w:rFonts w:hint="default" w:ascii="Times New Roman" w:hAnsi="Times New Roman" w:cs="Times New Roman"/>
          <w:color w:val="auto"/>
          <w:sz w:val="24"/>
          <w:highlight w:val="none"/>
        </w:rPr>
        <w:t>遍推行垃圾分类制度。垃圾焚烧设施的运营单位，应当按照国家规定，采取有效措施，实现达标排放。”“第五节扬尘和其他污染防治 第五十六条 运输煤炭、垃圾、渣土、砂石、土方、灰浆等散装、流体物料的车辆，应当采取密闭或者其他措施防止物料遗撒、泄漏，并按照规定的路线和时间行驶。”</w:t>
      </w:r>
    </w:p>
    <w:p w14:paraId="5924D200">
      <w:pPr>
        <w:numPr>
          <w:ilvl w:val="0"/>
          <w:numId w:val="3"/>
        </w:numPr>
        <w:spacing w:line="360" w:lineRule="auto"/>
        <w:ind w:left="0" w:leftChars="0"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符合性分析</w:t>
      </w:r>
    </w:p>
    <w:p w14:paraId="5915FB8E">
      <w:pPr>
        <w:pStyle w:val="25"/>
        <w:bidi w:val="0"/>
        <w:rPr>
          <w:rFonts w:hint="default" w:ascii="Times New Roman" w:hAnsi="Times New Roman" w:cs="Times New Roman"/>
          <w:color w:val="auto"/>
        </w:rPr>
      </w:pPr>
      <w:r>
        <w:rPr>
          <w:rFonts w:hint="default" w:ascii="Times New Roman" w:hAnsi="Times New Roman" w:cs="Times New Roman"/>
          <w:color w:val="auto"/>
        </w:rPr>
        <w:t>本项目回填区不需要供热，回填区接收的煤矸石，属于无机废物，不存在可产生大量沼气的生物降解性物质以及相互通过化学反应产生气体的物质。回填煤矸石均采用封闭运输，并按照规定的路线和时间行驶，因此本项目建设符合《大气污治行动计划》《黑龙江省大气污染防治条例》（2017年5月1日实施）。</w:t>
      </w:r>
    </w:p>
    <w:p w14:paraId="3B605F69">
      <w:pPr>
        <w:pStyle w:val="5"/>
        <w:bidi w:val="0"/>
        <w:rPr>
          <w:rFonts w:hint="default" w:ascii="Times New Roman" w:hAnsi="Times New Roman" w:cs="Times New Roman"/>
          <w:color w:val="auto"/>
          <w:highlight w:val="none"/>
          <w:lang w:val="zh-CN"/>
        </w:rPr>
      </w:pPr>
      <w:bookmarkStart w:id="448" w:name="_GoBack"/>
      <w:bookmarkEnd w:id="448"/>
      <w:r>
        <w:rPr>
          <w:rFonts w:hint="default" w:ascii="Times New Roman" w:hAnsi="Times New Roman" w:cs="Times New Roman"/>
          <w:color w:val="auto"/>
          <w:highlight w:val="none"/>
          <w:lang w:val="zh-CN"/>
        </w:rPr>
        <w:t>1.4.3.</w:t>
      </w:r>
      <w:r>
        <w:rPr>
          <w:rFonts w:hint="default" w:ascii="Times New Roman" w:hAnsi="Times New Roman" w:cs="Times New Roman"/>
          <w:color w:val="auto"/>
          <w:highlight w:val="none"/>
        </w:rPr>
        <w:t>10</w:t>
      </w:r>
      <w:r>
        <w:rPr>
          <w:rFonts w:hint="default" w:ascii="Times New Roman" w:hAnsi="Times New Roman" w:cs="Times New Roman"/>
          <w:color w:val="auto"/>
          <w:highlight w:val="none"/>
          <w:lang w:val="zh-CN"/>
        </w:rPr>
        <w:t>与《黑龙江省“十四五”土壤地下水和农村生态环境保护规划》（黑政规〔2021〕19号）的符合性</w:t>
      </w:r>
    </w:p>
    <w:p w14:paraId="112062CD">
      <w:pPr>
        <w:pStyle w:val="25"/>
        <w:bidi w:val="0"/>
        <w:rPr>
          <w:rFonts w:hint="default" w:ascii="Times New Roman" w:hAnsi="Times New Roman" w:cs="Times New Roman"/>
          <w:color w:val="auto"/>
        </w:rPr>
      </w:pPr>
      <w:r>
        <w:rPr>
          <w:rFonts w:hint="default" w:ascii="Times New Roman" w:hAnsi="Times New Roman" w:cs="Times New Roman"/>
          <w:color w:val="auto"/>
          <w:lang w:val="en-US" w:eastAsia="zh-CN"/>
        </w:rPr>
        <w:t>1、</w:t>
      </w:r>
      <w:r>
        <w:rPr>
          <w:rFonts w:hint="default" w:ascii="Times New Roman" w:hAnsi="Times New Roman" w:cs="Times New Roman"/>
          <w:color w:val="auto"/>
        </w:rPr>
        <w:t>相关内容</w:t>
      </w:r>
    </w:p>
    <w:p w14:paraId="7B391D67">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黑龙江省“十四五”土壤地下水和农村生态环境保护规划》（黑政规[2021]19号）：“（二）推进地下水生态环境保护。以保护和改善地下水环境质量为核心，建立健全地下水生态环境管理体系。扭住“双源”，加强地下水污染源头预防。”</w:t>
      </w:r>
    </w:p>
    <w:p w14:paraId="71BE9EA6">
      <w:pPr>
        <w:numPr>
          <w:ilvl w:val="0"/>
          <w:numId w:val="0"/>
        </w:num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eastAsia="宋体" w:cs="Times New Roman"/>
          <w:color w:val="auto"/>
          <w:kern w:val="2"/>
          <w:sz w:val="24"/>
          <w:szCs w:val="24"/>
          <w:lang w:val="en-US" w:eastAsia="zh-CN" w:bidi="ar-SA"/>
        </w:rPr>
        <w:t>2、</w:t>
      </w:r>
      <w:r>
        <w:rPr>
          <w:rFonts w:hint="default" w:ascii="Times New Roman" w:hAnsi="Times New Roman" w:cs="Times New Roman"/>
          <w:color w:val="auto"/>
          <w:sz w:val="24"/>
          <w:highlight w:val="none"/>
          <w:lang w:val="en-US" w:eastAsia="zh-CN"/>
        </w:rPr>
        <w:t>符合性分析</w:t>
      </w:r>
    </w:p>
    <w:p w14:paraId="5929E596">
      <w:pPr>
        <w:pStyle w:val="25"/>
        <w:bidi w:val="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本项目属于历史遗留矿山修复项目，其中</w:t>
      </w:r>
      <w:r>
        <w:rPr>
          <w:rFonts w:hint="default" w:ascii="Times New Roman" w:hAnsi="Times New Roman" w:cs="Times New Roman"/>
          <w:color w:val="auto"/>
          <w:sz w:val="24"/>
          <w:szCs w:val="32"/>
          <w:highlight w:val="none"/>
        </w:rPr>
        <w:t>兴顺采石场</w:t>
      </w:r>
      <w:r>
        <w:rPr>
          <w:rFonts w:hint="default" w:ascii="Times New Roman" w:hAnsi="Times New Roman" w:cs="Times New Roman"/>
          <w:color w:val="auto"/>
          <w:sz w:val="24"/>
          <w:highlight w:val="none"/>
        </w:rPr>
        <w:t>(2#)利用本项目中鸡西市城子河区城西村北 1.5km 煤矿工业广场(41#)煤矸石堆场对采石场废弃采坑进行回填，根据</w:t>
      </w:r>
      <w:r>
        <w:rPr>
          <w:rFonts w:hint="default" w:ascii="Times New Roman" w:hAnsi="Times New Roman" w:cs="Times New Roman"/>
          <w:color w:val="auto"/>
          <w:sz w:val="24"/>
          <w:szCs w:val="22"/>
          <w:highlight w:val="none"/>
        </w:rPr>
        <w:t>环境风险评估报告结论和本项目预测结果，回填材料为第</w:t>
      </w:r>
      <w:r>
        <w:rPr>
          <w:rFonts w:hint="default" w:ascii="Times New Roman" w:hAnsi="Times New Roman" w:cs="Times New Roman"/>
          <w:color w:val="auto"/>
          <w:sz w:val="24"/>
          <w:szCs w:val="22"/>
          <w:highlight w:val="none"/>
        </w:rPr>
        <w:fldChar w:fldCharType="begin"/>
      </w:r>
      <w:r>
        <w:rPr>
          <w:rFonts w:hint="default" w:ascii="Times New Roman" w:hAnsi="Times New Roman" w:cs="Times New Roman"/>
          <w:color w:val="auto"/>
          <w:sz w:val="24"/>
          <w:szCs w:val="22"/>
          <w:highlight w:val="none"/>
        </w:rPr>
        <w:instrText xml:space="preserve"> = 1 \* ROMAN </w:instrText>
      </w:r>
      <w:r>
        <w:rPr>
          <w:rFonts w:hint="default" w:ascii="Times New Roman" w:hAnsi="Times New Roman" w:cs="Times New Roman"/>
          <w:color w:val="auto"/>
          <w:sz w:val="24"/>
          <w:szCs w:val="22"/>
          <w:highlight w:val="none"/>
        </w:rPr>
        <w:fldChar w:fldCharType="separate"/>
      </w:r>
      <w:r>
        <w:rPr>
          <w:rFonts w:hint="default" w:ascii="Times New Roman" w:hAnsi="Times New Roman" w:cs="Times New Roman"/>
          <w:color w:val="auto"/>
          <w:sz w:val="24"/>
          <w:szCs w:val="22"/>
          <w:highlight w:val="none"/>
        </w:rPr>
        <w:t>I</w:t>
      </w:r>
      <w:r>
        <w:rPr>
          <w:rFonts w:hint="default" w:ascii="Times New Roman" w:hAnsi="Times New Roman" w:cs="Times New Roman"/>
          <w:color w:val="auto"/>
          <w:sz w:val="24"/>
          <w:szCs w:val="22"/>
          <w:highlight w:val="none"/>
        </w:rPr>
        <w:fldChar w:fldCharType="end"/>
      </w:r>
      <w:r>
        <w:rPr>
          <w:rFonts w:hint="default" w:ascii="Times New Roman" w:hAnsi="Times New Roman" w:cs="Times New Roman"/>
          <w:color w:val="auto"/>
          <w:sz w:val="24"/>
          <w:szCs w:val="22"/>
          <w:highlight w:val="none"/>
        </w:rPr>
        <w:t>类一般工业固体废物，煤矸石大气沉降对周围土壤增量影响较小，大气沉降对土壤环境影响较小，淋溶水垂直入渗对土壤环境的影响可接受，淋溶水不会对土壤环境造成明显影响。</w:t>
      </w:r>
      <w:r>
        <w:rPr>
          <w:rFonts w:hint="default" w:ascii="Times New Roman" w:hAnsi="Times New Roman" w:cs="Times New Roman"/>
          <w:color w:val="FF0000"/>
          <w:sz w:val="24"/>
          <w:szCs w:val="22"/>
          <w:highlight w:val="none"/>
          <w:lang w:val="en-US" w:eastAsia="zh-CN"/>
        </w:rPr>
        <w:t>根据《</w:t>
      </w:r>
      <w:r>
        <w:rPr>
          <w:rFonts w:hint="eastAsia" w:cs="Times New Roman"/>
          <w:color w:val="FF0000"/>
          <w:sz w:val="24"/>
          <w:szCs w:val="22"/>
          <w:highlight w:val="none"/>
          <w:lang w:val="en-US" w:eastAsia="zh-CN"/>
        </w:rPr>
        <w:t>一般工业固体废物贮存和填埋污染控制标准</w:t>
      </w:r>
      <w:r>
        <w:rPr>
          <w:rFonts w:hint="default" w:ascii="Times New Roman" w:hAnsi="Times New Roman" w:cs="Times New Roman"/>
          <w:color w:val="FF0000"/>
          <w:sz w:val="24"/>
          <w:szCs w:val="22"/>
          <w:highlight w:val="none"/>
          <w:lang w:val="en-US" w:eastAsia="zh-CN"/>
        </w:rPr>
        <w:t>》</w:t>
      </w:r>
      <w:r>
        <w:rPr>
          <w:rFonts w:hint="eastAsia" w:cs="Times New Roman"/>
          <w:color w:val="FF0000"/>
          <w:sz w:val="24"/>
          <w:szCs w:val="22"/>
          <w:highlight w:val="none"/>
          <w:lang w:val="en-US" w:eastAsia="zh-CN"/>
        </w:rPr>
        <w:t>（</w:t>
      </w:r>
      <w:r>
        <w:rPr>
          <w:rFonts w:hint="default" w:ascii="Times New Roman" w:hAnsi="Times New Roman" w:cs="Times New Roman"/>
          <w:color w:val="FF0000"/>
          <w:sz w:val="24"/>
          <w:szCs w:val="22"/>
          <w:highlight w:val="none"/>
          <w:lang w:val="en-US" w:eastAsia="zh-CN"/>
        </w:rPr>
        <w:t>GB 18599-2020</w:t>
      </w:r>
      <w:r>
        <w:rPr>
          <w:rFonts w:hint="eastAsia" w:cs="Times New Roman"/>
          <w:color w:val="FF0000"/>
          <w:sz w:val="24"/>
          <w:szCs w:val="22"/>
          <w:highlight w:val="none"/>
          <w:lang w:val="en-US" w:eastAsia="zh-CN"/>
        </w:rPr>
        <w:t>），</w:t>
      </w:r>
      <w:r>
        <w:rPr>
          <w:rFonts w:hint="default" w:ascii="Times New Roman" w:hAnsi="Times New Roman" w:cs="Times New Roman"/>
          <w:color w:val="FF0000"/>
          <w:sz w:val="24"/>
          <w:szCs w:val="32"/>
          <w:highlight w:val="none"/>
        </w:rPr>
        <w:t>兴顺采石场(2#)</w:t>
      </w:r>
      <w:r>
        <w:rPr>
          <w:rFonts w:hint="eastAsia" w:cs="Times New Roman"/>
          <w:color w:val="FF0000"/>
          <w:sz w:val="24"/>
          <w:szCs w:val="32"/>
          <w:highlight w:val="none"/>
          <w:lang w:val="en-US" w:eastAsia="zh-CN"/>
        </w:rPr>
        <w:t>天然基础层</w:t>
      </w:r>
      <w:r>
        <w:rPr>
          <w:rFonts w:hint="default" w:ascii="Times New Roman" w:hAnsi="Times New Roman" w:cs="Times New Roman"/>
          <w:color w:val="FF0000"/>
          <w:sz w:val="24"/>
          <w:szCs w:val="22"/>
          <w:highlight w:val="none"/>
        </w:rPr>
        <w:t>防渗性能满足1.0×10</w:t>
      </w:r>
      <w:r>
        <w:rPr>
          <w:rFonts w:hint="default" w:ascii="Times New Roman" w:hAnsi="Times New Roman" w:cs="Times New Roman"/>
          <w:color w:val="FF0000"/>
          <w:sz w:val="24"/>
          <w:szCs w:val="22"/>
          <w:highlight w:val="none"/>
          <w:vertAlign w:val="superscript"/>
        </w:rPr>
        <w:t>-5</w:t>
      </w:r>
      <w:r>
        <w:rPr>
          <w:rFonts w:hint="default" w:ascii="Times New Roman" w:hAnsi="Times New Roman" w:cs="Times New Roman"/>
          <w:color w:val="FF0000"/>
          <w:sz w:val="24"/>
          <w:szCs w:val="22"/>
          <w:highlight w:val="none"/>
        </w:rPr>
        <w:t>cm/s且厚度为0.75m</w:t>
      </w:r>
      <w:r>
        <w:rPr>
          <w:rFonts w:hint="eastAsia" w:cs="Times New Roman"/>
          <w:color w:val="FF0000"/>
          <w:sz w:val="24"/>
          <w:szCs w:val="22"/>
          <w:highlight w:val="none"/>
          <w:lang w:eastAsia="zh-CN"/>
        </w:rPr>
        <w:t>，</w:t>
      </w:r>
      <w:r>
        <w:rPr>
          <w:rFonts w:hint="eastAsia" w:cs="Times New Roman"/>
          <w:color w:val="FF0000"/>
          <w:sz w:val="24"/>
          <w:szCs w:val="22"/>
          <w:highlight w:val="none"/>
          <w:lang w:val="en-US" w:eastAsia="zh-CN"/>
        </w:rPr>
        <w:t>本次</w:t>
      </w:r>
      <w:r>
        <w:rPr>
          <w:rFonts w:hint="default" w:ascii="Times New Roman" w:hAnsi="Times New Roman" w:cs="Times New Roman"/>
          <w:color w:val="FF0000"/>
          <w:sz w:val="24"/>
          <w:szCs w:val="32"/>
          <w:highlight w:val="none"/>
        </w:rPr>
        <w:t>利用</w:t>
      </w:r>
      <w:r>
        <w:rPr>
          <w:rFonts w:hint="default" w:ascii="Times New Roman" w:hAnsi="Times New Roman" w:cs="Times New Roman"/>
          <w:color w:val="FF0000"/>
          <w:sz w:val="24"/>
          <w:szCs w:val="22"/>
          <w:highlight w:val="none"/>
        </w:rPr>
        <w:t>基础层作为防渗层。</w:t>
      </w:r>
      <w:r>
        <w:rPr>
          <w:rFonts w:hint="default" w:ascii="Times New Roman" w:hAnsi="Times New Roman" w:cs="Times New Roman"/>
          <w:color w:val="auto"/>
          <w:sz w:val="24"/>
          <w:szCs w:val="22"/>
          <w:highlight w:val="none"/>
        </w:rPr>
        <w:t>正常情况下煤矸石回填不会对地下水环境造成影响；由地下水预测结果可知，</w:t>
      </w:r>
      <w:bookmarkStart w:id="46" w:name="_Hlk144112931"/>
      <w:bookmarkStart w:id="47" w:name="_Hlk148347620"/>
      <w:r>
        <w:rPr>
          <w:rFonts w:hint="default" w:ascii="Times New Roman" w:hAnsi="Times New Roman" w:cs="Times New Roman"/>
          <w:color w:val="auto"/>
          <w:sz w:val="24"/>
          <w:szCs w:val="22"/>
          <w:highlight w:val="none"/>
        </w:rPr>
        <w:t>在非正常渗漏状态下，污染物不会对区域地下水造成较大影响。</w:t>
      </w:r>
      <w:bookmarkEnd w:id="46"/>
      <w:r>
        <w:rPr>
          <w:rFonts w:hint="default" w:ascii="Times New Roman" w:hAnsi="Times New Roman" w:cs="Times New Roman"/>
          <w:color w:val="auto"/>
          <w:sz w:val="24"/>
          <w:szCs w:val="22"/>
          <w:highlight w:val="none"/>
        </w:rPr>
        <w:t>同时应加强跟踪监测，监测周期至少为每季度一次，可监测反映有无渗漏现象，并及时采取相应处理措施，可有效避免对下游其他区域地下水环境造成影响，因此本项目对地下水环境影响可接受。</w:t>
      </w:r>
      <w:bookmarkEnd w:id="47"/>
      <w:r>
        <w:rPr>
          <w:rFonts w:hint="default" w:ascii="Times New Roman" w:hAnsi="Times New Roman" w:cs="Times New Roman"/>
          <w:color w:val="auto"/>
          <w:sz w:val="24"/>
          <w:szCs w:val="22"/>
          <w:highlight w:val="none"/>
        </w:rPr>
        <w:t>因此，本项目实施，不会对土壤和地下水环境造成明显影响，</w:t>
      </w:r>
      <w:r>
        <w:rPr>
          <w:rFonts w:hint="default" w:ascii="Times New Roman" w:hAnsi="Times New Roman" w:cs="Times New Roman"/>
          <w:color w:val="auto"/>
          <w:sz w:val="24"/>
          <w:highlight w:val="none"/>
        </w:rPr>
        <w:t>符合《黑龙江省“十四五”土壤地下水和农村生态环境保护规划》（黑政规[2021]19号）相关要求。</w:t>
      </w:r>
    </w:p>
    <w:p w14:paraId="37599E5C">
      <w:pPr>
        <w:pStyle w:val="5"/>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1.4.3.</w:t>
      </w:r>
      <w:r>
        <w:rPr>
          <w:rFonts w:hint="default" w:ascii="Times New Roman" w:hAnsi="Times New Roman" w:cs="Times New Roman"/>
          <w:color w:val="auto"/>
          <w:highlight w:val="none"/>
        </w:rPr>
        <w:t>11</w:t>
      </w:r>
      <w:r>
        <w:rPr>
          <w:rFonts w:hint="default" w:ascii="Times New Roman" w:hAnsi="Times New Roman" w:cs="Times New Roman"/>
          <w:color w:val="auto"/>
          <w:highlight w:val="none"/>
          <w:lang w:val="zh-CN"/>
        </w:rPr>
        <w:t>与《中华人民共和国土壤污染防治法》（2018年修订）符合性分析</w:t>
      </w:r>
    </w:p>
    <w:p w14:paraId="1C24773C">
      <w:pPr>
        <w:pStyle w:val="25"/>
        <w:bidi w:val="0"/>
        <w:rPr>
          <w:rFonts w:hint="default" w:ascii="Times New Roman" w:hAnsi="Times New Roman" w:cs="Times New Roman"/>
          <w:color w:val="auto"/>
        </w:rPr>
      </w:pPr>
      <w:r>
        <w:rPr>
          <w:rFonts w:hint="default" w:ascii="Times New Roman" w:hAnsi="Times New Roman" w:cs="Times New Roman"/>
          <w:color w:val="auto"/>
          <w:lang w:val="en-US" w:eastAsia="zh-CN"/>
        </w:rPr>
        <w:t>1、</w:t>
      </w:r>
      <w:r>
        <w:rPr>
          <w:rFonts w:hint="default" w:ascii="Times New Roman" w:hAnsi="Times New Roman" w:cs="Times New Roman"/>
          <w:color w:val="auto"/>
        </w:rPr>
        <w:t>相关内容</w:t>
      </w:r>
    </w:p>
    <w:p w14:paraId="65D72517">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第十八条 各类涉及土地利用的规划和可能造成土壤污染的建设项目，应当依法进行环境影响评价。环境影响评价文件应当包括对土壤可能造成的不良影响及应当采取的相应预防措施等内容。</w:t>
      </w:r>
    </w:p>
    <w:p w14:paraId="09B6E1FD">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第十九条 生产、使用、贮存、运输、回收、处置、排放有毒有害物质的单位和个人，应当采取有效措施，防止有毒有害物质渗漏、流失、扬散，避免土壤受到污染。</w:t>
      </w:r>
    </w:p>
    <w:p w14:paraId="4DDB2640">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2、</w:t>
      </w:r>
      <w:r>
        <w:rPr>
          <w:rFonts w:hint="default" w:ascii="Times New Roman" w:hAnsi="Times New Roman" w:cs="Times New Roman"/>
          <w:color w:val="auto"/>
          <w:sz w:val="24"/>
          <w:highlight w:val="none"/>
        </w:rPr>
        <w:t>符合性分析</w:t>
      </w:r>
    </w:p>
    <w:p w14:paraId="03581B74">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snapToGrid w:val="0"/>
          <w:color w:val="auto"/>
          <w:sz w:val="24"/>
          <w:szCs w:val="22"/>
          <w:highlight w:val="none"/>
        </w:rPr>
        <w:t>本项目中的兴顺采石场(2#)利用本项目中煤矿工业广场(41#)煤矸石进行回填修复治理</w:t>
      </w:r>
      <w:r>
        <w:rPr>
          <w:rStyle w:val="26"/>
          <w:rFonts w:hint="default" w:ascii="Times New Roman" w:hAnsi="Times New Roman" w:cs="Times New Roman"/>
          <w:color w:val="auto"/>
          <w:highlight w:val="none"/>
        </w:rPr>
        <w:t>，</w:t>
      </w:r>
      <w:r>
        <w:rPr>
          <w:rFonts w:hint="default" w:ascii="Times New Roman" w:hAnsi="Times New Roman" w:cs="Times New Roman"/>
          <w:snapToGrid w:val="0"/>
          <w:color w:val="auto"/>
          <w:sz w:val="24"/>
          <w:szCs w:val="22"/>
          <w:highlight w:val="none"/>
        </w:rPr>
        <w:t>煤矸石的</w:t>
      </w:r>
      <w:r>
        <w:rPr>
          <w:rFonts w:hint="default" w:ascii="Times New Roman" w:hAnsi="Times New Roman" w:cs="Times New Roman"/>
          <w:color w:val="auto"/>
          <w:sz w:val="24"/>
          <w:highlight w:val="none"/>
        </w:rPr>
        <w:t>项目运输过程中采取密闭运输，回填完成后进行土地复垦，可以做到防扬散、防流失，根据本次土壤的预测结果及</w:t>
      </w:r>
      <w:r>
        <w:rPr>
          <w:rFonts w:hint="default" w:ascii="Times New Roman" w:hAnsi="Times New Roman" w:cs="Times New Roman"/>
          <w:color w:val="auto"/>
          <w:sz w:val="24"/>
          <w:szCs w:val="22"/>
          <w:highlight w:val="none"/>
        </w:rPr>
        <w:t>环境风险评估报告结论</w:t>
      </w:r>
      <w:r>
        <w:rPr>
          <w:rFonts w:hint="default" w:ascii="Times New Roman" w:hAnsi="Times New Roman" w:cs="Times New Roman"/>
          <w:color w:val="auto"/>
          <w:sz w:val="24"/>
          <w:highlight w:val="none"/>
        </w:rPr>
        <w:t>，</w:t>
      </w:r>
      <w:r>
        <w:rPr>
          <w:rFonts w:hint="default" w:ascii="Times New Roman" w:hAnsi="Times New Roman" w:cs="Times New Roman"/>
          <w:color w:val="auto"/>
          <w:sz w:val="24"/>
          <w:szCs w:val="22"/>
          <w:highlight w:val="none"/>
        </w:rPr>
        <w:t>本项目回填材料为第</w:t>
      </w:r>
      <w:r>
        <w:rPr>
          <w:rFonts w:hint="default" w:ascii="Times New Roman" w:hAnsi="Times New Roman" w:cs="Times New Roman"/>
          <w:color w:val="auto"/>
          <w:sz w:val="24"/>
          <w:szCs w:val="22"/>
          <w:highlight w:val="none"/>
        </w:rPr>
        <w:fldChar w:fldCharType="begin"/>
      </w:r>
      <w:r>
        <w:rPr>
          <w:rFonts w:hint="default" w:ascii="Times New Roman" w:hAnsi="Times New Roman" w:cs="Times New Roman"/>
          <w:color w:val="auto"/>
          <w:sz w:val="24"/>
          <w:szCs w:val="22"/>
          <w:highlight w:val="none"/>
        </w:rPr>
        <w:instrText xml:space="preserve"> = 1 \* ROMAN </w:instrText>
      </w:r>
      <w:r>
        <w:rPr>
          <w:rFonts w:hint="default" w:ascii="Times New Roman" w:hAnsi="Times New Roman" w:cs="Times New Roman"/>
          <w:color w:val="auto"/>
          <w:sz w:val="24"/>
          <w:szCs w:val="22"/>
          <w:highlight w:val="none"/>
        </w:rPr>
        <w:fldChar w:fldCharType="separate"/>
      </w:r>
      <w:r>
        <w:rPr>
          <w:rFonts w:hint="default" w:ascii="Times New Roman" w:hAnsi="Times New Roman" w:cs="Times New Roman"/>
          <w:color w:val="auto"/>
          <w:sz w:val="24"/>
          <w:szCs w:val="22"/>
          <w:highlight w:val="none"/>
        </w:rPr>
        <w:t>I</w:t>
      </w:r>
      <w:r>
        <w:rPr>
          <w:rFonts w:hint="default" w:ascii="Times New Roman" w:hAnsi="Times New Roman" w:cs="Times New Roman"/>
          <w:color w:val="auto"/>
          <w:sz w:val="24"/>
          <w:szCs w:val="22"/>
          <w:highlight w:val="none"/>
        </w:rPr>
        <w:fldChar w:fldCharType="end"/>
      </w:r>
      <w:r>
        <w:rPr>
          <w:rFonts w:hint="default" w:ascii="Times New Roman" w:hAnsi="Times New Roman" w:cs="Times New Roman"/>
          <w:color w:val="auto"/>
          <w:sz w:val="24"/>
          <w:szCs w:val="22"/>
          <w:highlight w:val="none"/>
        </w:rPr>
        <w:t>类一般工业固体废物，煤矸石大气沉降对周围土壤增量影响较小，大气沉降对土壤环境影响较小，煤矸石淋溶液垂直入渗对土壤环境的影响可接受，淋溶水不会对土壤环境造成明显影响，不存在土壤污染环境风险。本项目土壤污染源头控制措施主要是减少项目废气、废水、固废等污染物的产生及排放量，回填或回填活动结束后，对土壤开展监测，监测频次至少每年1次。通过采取以上措施，可将对土壤可能造成的不良影响降到最低，避免土壤受到污染，</w:t>
      </w:r>
      <w:r>
        <w:rPr>
          <w:rFonts w:hint="default" w:ascii="Times New Roman" w:hAnsi="Times New Roman" w:cs="Times New Roman"/>
          <w:color w:val="auto"/>
          <w:sz w:val="24"/>
          <w:highlight w:val="none"/>
        </w:rPr>
        <w:t>满足</w:t>
      </w:r>
      <w:r>
        <w:rPr>
          <w:rFonts w:hint="default" w:ascii="Times New Roman" w:hAnsi="Times New Roman" w:cs="Times New Roman"/>
          <w:color w:val="auto"/>
          <w:sz w:val="24"/>
          <w:szCs w:val="22"/>
          <w:highlight w:val="none"/>
        </w:rPr>
        <w:t>《中华人民共和国土壤污染防治法》（2018年修订）</w:t>
      </w:r>
      <w:r>
        <w:rPr>
          <w:rFonts w:hint="default" w:ascii="Times New Roman" w:hAnsi="Times New Roman" w:cs="Times New Roman"/>
          <w:color w:val="auto"/>
          <w:sz w:val="24"/>
          <w:highlight w:val="none"/>
        </w:rPr>
        <w:t>相关要求。</w:t>
      </w:r>
    </w:p>
    <w:p w14:paraId="6621D122">
      <w:pPr>
        <w:pStyle w:val="5"/>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1.4.3.</w:t>
      </w:r>
      <w:r>
        <w:rPr>
          <w:rFonts w:hint="default" w:ascii="Times New Roman" w:hAnsi="Times New Roman" w:cs="Times New Roman"/>
          <w:color w:val="auto"/>
          <w:highlight w:val="none"/>
        </w:rPr>
        <w:t>12</w:t>
      </w:r>
      <w:r>
        <w:rPr>
          <w:rFonts w:hint="default" w:ascii="Times New Roman" w:hAnsi="Times New Roman" w:cs="Times New Roman"/>
          <w:color w:val="auto"/>
          <w:highlight w:val="none"/>
          <w:lang w:val="zh-CN"/>
        </w:rPr>
        <w:t>与《黑龙江省土壤污染防治实施方案》符合性</w:t>
      </w:r>
    </w:p>
    <w:p w14:paraId="10234BE9">
      <w:pPr>
        <w:pStyle w:val="25"/>
        <w:bidi w:val="0"/>
        <w:rPr>
          <w:rFonts w:hint="default" w:ascii="Times New Roman" w:hAnsi="Times New Roman" w:cs="Times New Roman"/>
          <w:color w:val="auto"/>
        </w:rPr>
      </w:pPr>
      <w:r>
        <w:rPr>
          <w:rFonts w:hint="default" w:ascii="Times New Roman" w:hAnsi="Times New Roman" w:cs="Times New Roman"/>
          <w:color w:val="auto"/>
          <w:lang w:val="en-US" w:eastAsia="zh-CN"/>
        </w:rPr>
        <w:t>1、</w:t>
      </w:r>
      <w:r>
        <w:rPr>
          <w:rFonts w:hint="default" w:ascii="Times New Roman" w:hAnsi="Times New Roman" w:cs="Times New Roman"/>
          <w:color w:val="auto"/>
        </w:rPr>
        <w:t>相关内容</w:t>
      </w:r>
    </w:p>
    <w:p w14:paraId="3A60F4B2">
      <w:pPr>
        <w:pStyle w:val="25"/>
        <w:bidi w:val="0"/>
        <w:rPr>
          <w:rFonts w:hint="default" w:ascii="Times New Roman" w:hAnsi="Times New Roman" w:cs="Times New Roman"/>
          <w:color w:val="auto"/>
          <w:highlight w:val="none"/>
        </w:rPr>
      </w:pPr>
      <w:r>
        <w:rPr>
          <w:rFonts w:hint="default" w:ascii="Times New Roman" w:hAnsi="Times New Roman" w:cs="Times New Roman"/>
          <w:color w:val="auto"/>
        </w:rPr>
        <w:t>根据《黑龙江省土壤污染防治实施方案》：“加强工业废物处理处置。全面整治尾矿、煤研石、工业副产石膏、煤矸石、冶炼渣、电石渣、铬渣、砷渣以及脱硫、脱硝、除尘产生固体废物的堆存场所，完善防扬散、防流失、防渗漏等设施，制定整治方案并有序实施。加强工</w:t>
      </w:r>
      <w:r>
        <w:rPr>
          <w:rFonts w:hint="default" w:ascii="Times New Roman" w:hAnsi="Times New Roman" w:cs="Times New Roman"/>
          <w:color w:val="auto"/>
          <w:highlight w:val="none"/>
        </w:rPr>
        <w:t>业固体废物综合利用。对电子废物、废轮胎、废塑料等再生利用活动进行清理整顿，引导有关企业采用先进适用加工工艺集聚发展，集中建设和运营污染治理设施，防止污染土壤和地下水。”</w:t>
      </w:r>
    </w:p>
    <w:p w14:paraId="4E021F2C">
      <w:pPr>
        <w:numPr>
          <w:ilvl w:val="0"/>
          <w:numId w:val="0"/>
        </w:numPr>
        <w:spacing w:line="500" w:lineRule="exact"/>
        <w:ind w:left="0" w:leftChars="0" w:firstLine="480" w:firstLineChars="200"/>
        <w:rPr>
          <w:rFonts w:hint="default" w:ascii="Times New Roman" w:hAnsi="Times New Roman" w:cs="Times New Roman"/>
          <w:color w:val="auto"/>
        </w:rPr>
      </w:pPr>
      <w:r>
        <w:rPr>
          <w:rFonts w:hint="default" w:ascii="Times New Roman" w:hAnsi="Times New Roman" w:eastAsia="宋体" w:cs="Times New Roman"/>
          <w:color w:val="auto"/>
          <w:kern w:val="2"/>
          <w:sz w:val="24"/>
          <w:szCs w:val="24"/>
          <w:lang w:val="en-US" w:eastAsia="zh-CN" w:bidi="ar-SA"/>
        </w:rPr>
        <w:t>3、</w:t>
      </w:r>
      <w:r>
        <w:rPr>
          <w:rFonts w:hint="default" w:ascii="Times New Roman" w:hAnsi="Times New Roman" w:cs="Times New Roman"/>
          <w:color w:val="auto"/>
          <w:sz w:val="24"/>
          <w:highlight w:val="none"/>
          <w:lang w:val="en-US" w:eastAsia="zh-CN"/>
        </w:rPr>
        <w:t>符合性分析</w:t>
      </w:r>
    </w:p>
    <w:p w14:paraId="3498275B">
      <w:pPr>
        <w:pStyle w:val="25"/>
        <w:bidi w:val="0"/>
        <w:rPr>
          <w:rFonts w:hint="default" w:ascii="Times New Roman" w:hAnsi="Times New Roman" w:cs="Times New Roman"/>
          <w:color w:val="auto"/>
        </w:rPr>
      </w:pPr>
      <w:r>
        <w:rPr>
          <w:rFonts w:hint="default" w:ascii="Times New Roman" w:hAnsi="Times New Roman" w:cs="Times New Roman"/>
          <w:color w:val="auto"/>
        </w:rPr>
        <w:t>本项目属于煤矸石回填复垦项目，项目运输过程中采取密闭运输，回填完成后进行土地复垦，可以做到防扬散、防流失，根据本次土壤及地下水预测结果及环境风险评估报告结论，项目对土壤及地下水影响可以接受，项目对地下水设置定期监测，满足《黑龙江省土壤污染防治实施方案》相关要求。</w:t>
      </w:r>
    </w:p>
    <w:p w14:paraId="1FF72CB6">
      <w:pPr>
        <w:pStyle w:val="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1.4.3.13与《土壤污染源头防控行动计划》符合性分析</w:t>
      </w:r>
    </w:p>
    <w:p w14:paraId="1698CA5F">
      <w:pPr>
        <w:pStyle w:val="25"/>
        <w:bidi w:val="0"/>
        <w:rPr>
          <w:rFonts w:hint="default" w:ascii="Times New Roman" w:hAnsi="Times New Roman" w:cs="Times New Roman"/>
          <w:color w:val="auto"/>
        </w:rPr>
      </w:pPr>
      <w:r>
        <w:rPr>
          <w:rFonts w:hint="default" w:ascii="Times New Roman" w:hAnsi="Times New Roman" w:cs="Times New Roman"/>
          <w:color w:val="auto"/>
          <w:lang w:val="en-US" w:eastAsia="zh-CN"/>
        </w:rPr>
        <w:t>1、</w:t>
      </w:r>
      <w:r>
        <w:rPr>
          <w:rFonts w:hint="default" w:ascii="Times New Roman" w:hAnsi="Times New Roman" w:cs="Times New Roman"/>
          <w:color w:val="auto"/>
        </w:rPr>
        <w:t>相关内容</w:t>
      </w:r>
    </w:p>
    <w:p w14:paraId="3D4F5E04">
      <w:pPr>
        <w:pStyle w:val="2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推进固体废物源头减量和综合利用。加强一般工业固体废物规范化环境管理，开展历史遗留固体废物堆存场摸底排查和分级分类整改，全面完善防渗漏、防流失、防扬散等措施。严密防控危险废物环境风险，深化危险废物规范化环境管理评估，推进全过程信息化环境管理，严格管控最终填埋处置。严厉打击非法排放、倾倒、转移处置固体废物，尤其是危险废物环境违法犯罪行为。加快推进大宗固体废弃物综合利用示范基地、工业资源综合利用基地建设，推动提升磷石膏、赤泥等复杂难用大宗固废净化处理和综合利用水平。加强废弃电器电子产品、报废机动车、废有色金属等再生资源加工利用企业土壤和地下水污染防治监管，强化防渗等措施落实。加强生活垃圾填埋场和危险废物处置场运行监管，严格落实雨污分流、地表水与地下水导排、渗沥液收集与处理等污染防治措施，对库容已满的规范有序开展封场治理。加强建筑垃圾处置监管。</w:t>
      </w:r>
    </w:p>
    <w:p w14:paraId="3BCFD9A4">
      <w:pPr>
        <w:pStyle w:val="25"/>
        <w:bidi w:val="0"/>
        <w:rPr>
          <w:rFonts w:hint="default" w:ascii="Times New Roman" w:hAnsi="Times New Roman" w:cs="Times New Roman"/>
          <w:color w:val="auto"/>
        </w:rPr>
      </w:pPr>
      <w:r>
        <w:rPr>
          <w:rFonts w:hint="default" w:ascii="Times New Roman" w:hAnsi="Times New Roman" w:cs="Times New Roman"/>
          <w:color w:val="auto"/>
          <w:lang w:val="en-US" w:eastAsia="zh-CN"/>
        </w:rPr>
        <w:t>2、符合性分析</w:t>
      </w:r>
    </w:p>
    <w:p w14:paraId="4052DFD7">
      <w:pPr>
        <w:pStyle w:val="25"/>
        <w:bidi w:val="0"/>
        <w:rPr>
          <w:rFonts w:hint="default" w:ascii="Times New Roman" w:hAnsi="Times New Roman" w:cs="Times New Roman"/>
          <w:color w:val="auto"/>
          <w:lang w:val="en-US" w:eastAsia="zh-CN"/>
        </w:rPr>
      </w:pPr>
      <w:r>
        <w:rPr>
          <w:rFonts w:hint="default" w:ascii="Times New Roman" w:hAnsi="Times New Roman" w:cs="Times New Roman"/>
          <w:color w:val="auto"/>
        </w:rPr>
        <w:t>本项目</w:t>
      </w:r>
      <w:r>
        <w:rPr>
          <w:rFonts w:hint="default" w:ascii="Times New Roman" w:hAnsi="Times New Roman" w:cs="Times New Roman"/>
          <w:color w:val="auto"/>
          <w:lang w:val="en-US" w:eastAsia="zh-CN"/>
        </w:rPr>
        <w:t>对历史遗留矿山进行治理，利用矿山现有的</w:t>
      </w:r>
      <w:r>
        <w:rPr>
          <w:rFonts w:hint="default" w:ascii="Times New Roman" w:hAnsi="Times New Roman" w:cs="Times New Roman"/>
          <w:color w:val="auto"/>
        </w:rPr>
        <w:t>煤矸石回填</w:t>
      </w:r>
      <w:r>
        <w:rPr>
          <w:rFonts w:hint="default" w:ascii="Times New Roman" w:hAnsi="Times New Roman" w:cs="Times New Roman"/>
          <w:color w:val="auto"/>
          <w:lang w:val="en-US" w:eastAsia="zh-CN"/>
        </w:rPr>
        <w:t>其他遗留矿坑</w:t>
      </w:r>
      <w:r>
        <w:rPr>
          <w:rFonts w:hint="default" w:ascii="Times New Roman" w:hAnsi="Times New Roman" w:cs="Times New Roman"/>
          <w:color w:val="auto"/>
        </w:rPr>
        <w:t>，项目运输过程中采取密闭运输，回填完成后进行土地复垦，可以做到防扬散、防流失，根据本次土壤及地下水预测结果及环境风险评估报告结论，项目对土壤及地下水影响可以接受，项目对地下水设置定期监测，满足《</w:t>
      </w:r>
      <w:r>
        <w:rPr>
          <w:rFonts w:hint="default" w:ascii="Times New Roman" w:hAnsi="Times New Roman" w:cs="Times New Roman"/>
          <w:color w:val="auto"/>
          <w:highlight w:val="none"/>
          <w:lang w:val="en-US" w:eastAsia="zh-CN"/>
        </w:rPr>
        <w:t>土壤污染源头防控行动计划</w:t>
      </w:r>
      <w:r>
        <w:rPr>
          <w:rFonts w:hint="default" w:ascii="Times New Roman" w:hAnsi="Times New Roman" w:cs="Times New Roman"/>
          <w:color w:val="auto"/>
        </w:rPr>
        <w:t>》相关要求。</w:t>
      </w:r>
    </w:p>
    <w:p w14:paraId="4C2AADF7">
      <w:pPr>
        <w:pStyle w:val="5"/>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1.4.3.14</w:t>
      </w:r>
      <w:r>
        <w:rPr>
          <w:rFonts w:hint="default" w:ascii="Times New Roman" w:hAnsi="Times New Roman" w:cs="Times New Roman"/>
          <w:color w:val="auto"/>
          <w:highlight w:val="none"/>
        </w:rPr>
        <w:t>与《地下水管理条例》的符合性分析</w:t>
      </w:r>
    </w:p>
    <w:p w14:paraId="1C60C9C1">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本项目与《地下水管理条例》的符合性详见下表。</w:t>
      </w:r>
    </w:p>
    <w:p w14:paraId="4828AF9A">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表1-4-</w:t>
      </w:r>
      <w:r>
        <w:rPr>
          <w:rFonts w:hint="default" w:ascii="Times New Roman" w:hAnsi="Times New Roman" w:cs="Times New Roman"/>
          <w:color w:val="auto"/>
          <w:highlight w:val="none"/>
          <w:lang w:val="en-US" w:eastAsia="zh-CN"/>
        </w:rPr>
        <w:t>7</w:t>
      </w:r>
      <w:r>
        <w:rPr>
          <w:rFonts w:hint="default" w:ascii="Times New Roman" w:hAnsi="Times New Roman" w:cs="Times New Roman"/>
          <w:color w:val="auto"/>
          <w:highlight w:val="none"/>
        </w:rPr>
        <w:t>本项目与《地下水管理条例》符合性分析一览表</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772"/>
        <w:gridCol w:w="3495"/>
        <w:gridCol w:w="1255"/>
      </w:tblGrid>
      <w:tr w14:paraId="38771A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213" w:type="pct"/>
            <w:vAlign w:val="center"/>
          </w:tcPr>
          <w:p w14:paraId="5BE5938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地下水管理条例</w:t>
            </w:r>
          </w:p>
        </w:tc>
        <w:tc>
          <w:tcPr>
            <w:tcW w:w="2050" w:type="pct"/>
            <w:vAlign w:val="center"/>
          </w:tcPr>
          <w:p w14:paraId="1159105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项目情况</w:t>
            </w:r>
          </w:p>
        </w:tc>
        <w:tc>
          <w:tcPr>
            <w:tcW w:w="736" w:type="pct"/>
            <w:vAlign w:val="center"/>
          </w:tcPr>
          <w:p w14:paraId="20D5785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是否符合</w:t>
            </w:r>
          </w:p>
        </w:tc>
      </w:tr>
      <w:tr w14:paraId="4A4AB4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13" w:type="pct"/>
            <w:vAlign w:val="center"/>
          </w:tcPr>
          <w:p w14:paraId="4C35A40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第四十条 禁止下列污染或者可能污染地下水的行为：</w:t>
            </w:r>
          </w:p>
          <w:p w14:paraId="40E321B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（一）利用渗井、渗坑、裂隙、溶洞以及私设暗管等逃避监管的方式排放水污染物；</w:t>
            </w:r>
          </w:p>
          <w:p w14:paraId="6490927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（二）利用岩层孔隙、裂隙、溶洞、废弃矿坑等贮存石化原料及产品、农药、危险废物、城镇污水处理设施产生的污泥和处理后的污泥或者其他有毒有害物质；</w:t>
            </w:r>
          </w:p>
          <w:p w14:paraId="1950A3A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（三）利用无防渗漏措施的沟渠、坑塘等输送或者贮存含有毒污染物的废水、含病原体的污水和其他废弃物；</w:t>
            </w:r>
          </w:p>
          <w:p w14:paraId="45A3C44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（四）法律法规禁止的其他污染或者可能污染地下水的行为。</w:t>
            </w:r>
          </w:p>
        </w:tc>
        <w:tc>
          <w:tcPr>
            <w:tcW w:w="2050" w:type="pct"/>
            <w:vAlign w:val="center"/>
          </w:tcPr>
          <w:p w14:paraId="36AE3DA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本项目施工区不设置办公区，生活污</w:t>
            </w:r>
            <w:r>
              <w:rPr>
                <w:rFonts w:hint="default" w:ascii="Times New Roman" w:hAnsi="Times New Roman" w:cs="Times New Roman"/>
                <w:color w:val="auto"/>
                <w:highlight w:val="none"/>
                <w:lang w:val="en-US" w:eastAsia="zh-CN"/>
              </w:rPr>
              <w:t>生活污</w:t>
            </w:r>
            <w:r>
              <w:rPr>
                <w:rFonts w:hint="default" w:ascii="Times New Roman" w:hAnsi="Times New Roman" w:cs="Times New Roman"/>
                <w:color w:val="auto"/>
                <w:highlight w:val="none"/>
              </w:rPr>
              <w:t>水依托租赁民房的防渗旱厕，定期清掏，外运堆肥；矿区外雨水通过矿区四周排水沟，最终排入厂区东北侧自然冲沟内。根据地下水预测结果，在非正常渗漏状态下，污染物不会对区域地下水造成较大影响。同时应加强跟踪监测，监测周期至少为每季度一次，可监测反映有无渗漏现象，并及时采取相应处理措施，可有效避免对下游其他区域地下水环境造成影响，因此本项目对地下水环境影响可接受。</w:t>
            </w:r>
          </w:p>
        </w:tc>
        <w:tc>
          <w:tcPr>
            <w:tcW w:w="736" w:type="pct"/>
            <w:vAlign w:val="center"/>
          </w:tcPr>
          <w:p w14:paraId="5580D3D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14:paraId="1AC5E1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13" w:type="pct"/>
            <w:vAlign w:val="center"/>
          </w:tcPr>
          <w:p w14:paraId="2F03CEB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第四十二条 在泉域保护范围以及岩溶强发育、存在较多落水洞和岩溶漏斗的区域内，不得新建、改建、扩建可能造成地下水污染的建设项目。</w:t>
            </w:r>
          </w:p>
        </w:tc>
        <w:tc>
          <w:tcPr>
            <w:tcW w:w="2050" w:type="pct"/>
            <w:vAlign w:val="center"/>
          </w:tcPr>
          <w:p w14:paraId="401EDE9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位于鸡西市城子河区，不在泉域保护范围以及岩溶强发育、存在较多落水洞和岩溶漏斗的区域，2#兴顺采石场涉及煤矸石回填，根据检测可知煤矸石为第I类一般工业固体废物，同时场地内有天然基础防渗层并在厂区四周修建截排水沟等排水设施，因此项目的建设不会对当地的地下水造成污染。</w:t>
            </w:r>
          </w:p>
        </w:tc>
        <w:tc>
          <w:tcPr>
            <w:tcW w:w="736" w:type="pct"/>
            <w:vAlign w:val="center"/>
          </w:tcPr>
          <w:p w14:paraId="7B4ED81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bl>
    <w:p w14:paraId="34723720">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综上所述，本项目符合《地下水管理条例》中相关要求。</w:t>
      </w:r>
    </w:p>
    <w:p w14:paraId="1CB99F31">
      <w:pPr>
        <w:pStyle w:val="5"/>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1.4.3.1</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lang w:val="zh-CN"/>
        </w:rPr>
        <w:t>与《中华人民共和国水污染防治法》(2017年6月27日第二次修正）符合性分析</w:t>
      </w:r>
    </w:p>
    <w:p w14:paraId="0CE391B3">
      <w:pPr>
        <w:pStyle w:val="25"/>
        <w:bidi w:val="0"/>
        <w:rPr>
          <w:rFonts w:hint="default" w:ascii="Times New Roman" w:hAnsi="Times New Roman" w:cs="Times New Roman"/>
          <w:color w:val="auto"/>
        </w:rPr>
      </w:pPr>
      <w:r>
        <w:rPr>
          <w:rFonts w:hint="default" w:ascii="Times New Roman" w:hAnsi="Times New Roman" w:cs="Times New Roman"/>
          <w:color w:val="auto"/>
          <w:lang w:val="en-US" w:eastAsia="zh-CN"/>
        </w:rPr>
        <w:t>1、</w:t>
      </w:r>
      <w:r>
        <w:rPr>
          <w:rFonts w:hint="default" w:ascii="Times New Roman" w:hAnsi="Times New Roman" w:cs="Times New Roman"/>
          <w:color w:val="auto"/>
        </w:rPr>
        <w:t>相关内容</w:t>
      </w:r>
    </w:p>
    <w:p w14:paraId="092E027B">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第四十条 化学品生产企业以及工业集聚区、矿山开采区、尾矿库、危险废物处置场、垃圾填埋场等的运营、管理单位，应当采取防渗漏等措施，并建设地下水水质监测井进行监测，防止地下水污染。加油站等的地下油罐应当使用双层罐或者采取建造防渗池等其他有效措施，并进行防渗漏监测，防止地下水污染。</w:t>
      </w:r>
    </w:p>
    <w:p w14:paraId="4521E394">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禁止利用无防渗漏措施的沟渠、坑塘等输送或者存贮含有毒污染物的废水、含病原体的污水和其他废弃物。</w:t>
      </w:r>
    </w:p>
    <w:p w14:paraId="2FB4409C">
      <w:pPr>
        <w:numPr>
          <w:ilvl w:val="0"/>
          <w:numId w:val="0"/>
        </w:numPr>
        <w:spacing w:line="360" w:lineRule="auto"/>
        <w:ind w:firstLine="480" w:firstLineChars="200"/>
        <w:rPr>
          <w:rFonts w:hint="default" w:ascii="Times New Roman" w:hAnsi="Times New Roman" w:cs="Times New Roman"/>
          <w:color w:val="auto"/>
          <w:sz w:val="24"/>
          <w:szCs w:val="22"/>
          <w:highlight w:val="none"/>
        </w:rPr>
      </w:pPr>
      <w:r>
        <w:rPr>
          <w:rFonts w:hint="default" w:ascii="Times New Roman" w:hAnsi="Times New Roman" w:eastAsia="宋体" w:cs="Times New Roman"/>
          <w:color w:val="auto"/>
          <w:kern w:val="2"/>
          <w:sz w:val="24"/>
          <w:szCs w:val="22"/>
          <w:lang w:val="en-US" w:eastAsia="zh-CN" w:bidi="ar-SA"/>
        </w:rPr>
        <w:t>2、</w:t>
      </w:r>
      <w:r>
        <w:rPr>
          <w:rFonts w:hint="default" w:ascii="Times New Roman" w:hAnsi="Times New Roman" w:cs="Times New Roman"/>
          <w:color w:val="auto"/>
          <w:sz w:val="24"/>
          <w:szCs w:val="22"/>
          <w:highlight w:val="none"/>
        </w:rPr>
        <w:t>符合性分析</w:t>
      </w:r>
    </w:p>
    <w:p w14:paraId="51C6A13D">
      <w:pPr>
        <w:pStyle w:val="25"/>
        <w:bidi w:val="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本项目属于历史遗留矿山修复项目，其中兴顺采石场(2#)利用本项目中鸡西市城子河区城西村北 1.5km 煤矿工业广场(41#)煤矸石堆场对采石场废弃采坑进行回填，根据环境风险评估报告结论和本项目预测结果，回填材料为第</w:t>
      </w:r>
      <w:r>
        <w:rPr>
          <w:rFonts w:hint="default" w:ascii="Times New Roman" w:hAnsi="Times New Roman" w:cs="Times New Roman"/>
          <w:color w:val="auto"/>
          <w:sz w:val="24"/>
          <w:szCs w:val="22"/>
          <w:highlight w:val="none"/>
        </w:rPr>
        <w:fldChar w:fldCharType="begin"/>
      </w:r>
      <w:r>
        <w:rPr>
          <w:rFonts w:hint="default" w:ascii="Times New Roman" w:hAnsi="Times New Roman" w:cs="Times New Roman"/>
          <w:color w:val="auto"/>
          <w:sz w:val="24"/>
          <w:szCs w:val="22"/>
          <w:highlight w:val="none"/>
        </w:rPr>
        <w:instrText xml:space="preserve"> = 1 \* ROMAN </w:instrText>
      </w:r>
      <w:r>
        <w:rPr>
          <w:rFonts w:hint="default" w:ascii="Times New Roman" w:hAnsi="Times New Roman" w:cs="Times New Roman"/>
          <w:color w:val="auto"/>
          <w:sz w:val="24"/>
          <w:szCs w:val="22"/>
          <w:highlight w:val="none"/>
        </w:rPr>
        <w:fldChar w:fldCharType="separate"/>
      </w:r>
      <w:r>
        <w:rPr>
          <w:rFonts w:hint="default" w:ascii="Times New Roman" w:hAnsi="Times New Roman" w:cs="Times New Roman"/>
          <w:color w:val="auto"/>
          <w:sz w:val="24"/>
          <w:szCs w:val="22"/>
          <w:highlight w:val="none"/>
        </w:rPr>
        <w:t>I</w:t>
      </w:r>
      <w:r>
        <w:rPr>
          <w:rFonts w:hint="default" w:ascii="Times New Roman" w:hAnsi="Times New Roman" w:cs="Times New Roman"/>
          <w:color w:val="auto"/>
          <w:sz w:val="24"/>
          <w:szCs w:val="22"/>
          <w:highlight w:val="none"/>
        </w:rPr>
        <w:fldChar w:fldCharType="end"/>
      </w:r>
      <w:r>
        <w:rPr>
          <w:rFonts w:hint="default" w:ascii="Times New Roman" w:hAnsi="Times New Roman" w:cs="Times New Roman"/>
          <w:color w:val="auto"/>
          <w:sz w:val="24"/>
          <w:szCs w:val="22"/>
          <w:highlight w:val="none"/>
        </w:rPr>
        <w:t>类一般工业固体废物，煤矸石大气沉降对周围土壤增量影响较小，大气沉降对土壤环境影响较小，淋溶水不会对土壤环境造成明显影响。</w:t>
      </w:r>
      <w:r>
        <w:rPr>
          <w:rFonts w:hint="default" w:ascii="Times New Roman" w:hAnsi="Times New Roman" w:cs="Times New Roman"/>
          <w:color w:val="auto"/>
          <w:sz w:val="24"/>
          <w:szCs w:val="32"/>
          <w:highlight w:val="none"/>
        </w:rPr>
        <w:t>兴顺采石场(2#)利用</w:t>
      </w:r>
      <w:r>
        <w:rPr>
          <w:rFonts w:hint="default" w:ascii="Times New Roman" w:hAnsi="Times New Roman" w:cs="Times New Roman"/>
          <w:color w:val="auto"/>
          <w:sz w:val="24"/>
          <w:szCs w:val="22"/>
          <w:highlight w:val="none"/>
        </w:rPr>
        <w:t>基础层作为防渗层，其防渗性能满足渗透系数为1.0×10</w:t>
      </w:r>
      <w:r>
        <w:rPr>
          <w:rFonts w:hint="default" w:ascii="Times New Roman" w:hAnsi="Times New Roman" w:cs="Times New Roman"/>
          <w:color w:val="auto"/>
          <w:sz w:val="24"/>
          <w:szCs w:val="22"/>
          <w:highlight w:val="none"/>
          <w:vertAlign w:val="superscript"/>
        </w:rPr>
        <w:t>-5</w:t>
      </w:r>
      <w:r>
        <w:rPr>
          <w:rFonts w:hint="default" w:ascii="Times New Roman" w:hAnsi="Times New Roman" w:cs="Times New Roman"/>
          <w:color w:val="auto"/>
          <w:sz w:val="24"/>
          <w:szCs w:val="22"/>
          <w:highlight w:val="none"/>
        </w:rPr>
        <w:t>cm/s且厚度为0.75m的天然基础层。正常情况下煤矸石回填不会对地下水环境造成影响；由地下水预测结果可知，在非正常渗漏状态下，污染物不会对区域地下水造成较大影响。同时应加强跟踪监测可监测反映有无渗漏现象，并及时采取相应处理措施，可有效避免对下游其他区域地下水环境造成影响，因此本项目对地下水环境影响可接受。</w:t>
      </w:r>
    </w:p>
    <w:p w14:paraId="4C249479">
      <w:pPr>
        <w:pStyle w:val="5"/>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1.4.3.1</w:t>
      </w:r>
      <w:r>
        <w:rPr>
          <w:rFonts w:hint="default" w:ascii="Times New Roman" w:hAnsi="Times New Roman" w:cs="Times New Roman"/>
          <w:color w:val="auto"/>
          <w:highlight w:val="none"/>
          <w:lang w:val="en-US" w:eastAsia="zh-CN"/>
        </w:rPr>
        <w:t>6</w:t>
      </w:r>
      <w:r>
        <w:rPr>
          <w:rFonts w:hint="default" w:ascii="Times New Roman" w:hAnsi="Times New Roman" w:cs="Times New Roman"/>
          <w:color w:val="auto"/>
          <w:highlight w:val="none"/>
          <w:lang w:val="zh-CN"/>
        </w:rPr>
        <w:t>与《一般工业固体废物贮存和填埋污染控制标准》（GB18599-2020）符合性分析</w:t>
      </w:r>
    </w:p>
    <w:p w14:paraId="3260D4B4">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本项目历史遗留矿山生态修复项目，其中兴顺采石场（2#）利用</w:t>
      </w:r>
      <w:r>
        <w:rPr>
          <w:rFonts w:hint="default" w:ascii="Times New Roman" w:hAnsi="Times New Roman" w:cs="Times New Roman"/>
          <w:color w:val="auto"/>
          <w:sz w:val="24"/>
          <w:szCs w:val="32"/>
          <w:highlight w:val="none"/>
        </w:rPr>
        <w:t>鸡西市城子河区城西村北 1.5km 煤矿工业广场(41#)</w:t>
      </w:r>
      <w:r>
        <w:rPr>
          <w:rFonts w:hint="default" w:ascii="Times New Roman" w:hAnsi="Times New Roman" w:cs="Times New Roman"/>
          <w:color w:val="auto"/>
          <w:sz w:val="24"/>
          <w:highlight w:val="none"/>
        </w:rPr>
        <w:t>煤矸石进行回填，根据检测结果可知，煤矸石属于第</w:t>
      </w:r>
      <w:r>
        <w:rPr>
          <w:rFonts w:hint="default" w:ascii="Times New Roman" w:hAnsi="Times New Roman" w:cs="Times New Roman"/>
          <w:color w:val="auto"/>
          <w:sz w:val="24"/>
          <w:highlight w:val="none"/>
        </w:rPr>
        <w:fldChar w:fldCharType="begin"/>
      </w:r>
      <w:r>
        <w:rPr>
          <w:rFonts w:hint="default" w:ascii="Times New Roman" w:hAnsi="Times New Roman" w:cs="Times New Roman"/>
          <w:color w:val="auto"/>
          <w:sz w:val="24"/>
          <w:highlight w:val="none"/>
        </w:rPr>
        <w:instrText xml:space="preserve"> = 1 \* ROMAN </w:instrText>
      </w:r>
      <w:r>
        <w:rPr>
          <w:rFonts w:hint="default" w:ascii="Times New Roman" w:hAnsi="Times New Roman" w:cs="Times New Roman"/>
          <w:color w:val="auto"/>
          <w:sz w:val="24"/>
          <w:highlight w:val="none"/>
        </w:rPr>
        <w:fldChar w:fldCharType="separate"/>
      </w:r>
      <w:r>
        <w:rPr>
          <w:rFonts w:hint="default" w:ascii="Times New Roman" w:hAnsi="Times New Roman" w:cs="Times New Roman"/>
          <w:color w:val="auto"/>
          <w:sz w:val="24"/>
          <w:highlight w:val="none"/>
        </w:rPr>
        <w:t>I</w:t>
      </w:r>
      <w:r>
        <w:rPr>
          <w:rFonts w:hint="default" w:ascii="Times New Roman" w:hAnsi="Times New Roman" w:cs="Times New Roman"/>
          <w:color w:val="auto"/>
          <w:sz w:val="24"/>
          <w:highlight w:val="none"/>
        </w:rPr>
        <w:fldChar w:fldCharType="end"/>
      </w:r>
      <w:r>
        <w:rPr>
          <w:rFonts w:hint="default" w:ascii="Times New Roman" w:hAnsi="Times New Roman" w:cs="Times New Roman"/>
          <w:color w:val="auto"/>
          <w:sz w:val="24"/>
          <w:highlight w:val="none"/>
        </w:rPr>
        <w:t>类一般工业固体废物，</w:t>
      </w:r>
      <w:r>
        <w:rPr>
          <w:rFonts w:hint="default" w:ascii="Times New Roman" w:hAnsi="Times New Roman" w:cs="Times New Roman"/>
          <w:color w:val="auto"/>
        </w:rPr>
        <w:t>根据《一般工业固体废物贮存和填埋污染控制标准》（GB18599-2020）中关于回填的定义：在复垦、景观恢复、建设用地平整、农用地平整以及防止地表塌陷的地貌保护工程中，以土地复垦为目的，利用一般工业固体废物替代土、砂、石等生产材料填充地下采空空间、露天开采地表挖掘区、取土场、地下开采塌陷区以及天然坑洼区的活动。</w:t>
      </w:r>
      <w:r>
        <w:rPr>
          <w:rFonts w:hint="default" w:ascii="Times New Roman" w:hAnsi="Times New Roman" w:cs="Times New Roman"/>
          <w:color w:val="auto"/>
          <w:sz w:val="24"/>
          <w:highlight w:val="none"/>
        </w:rPr>
        <w:t>本项目与《一般工业固体废物贮存和填埋污染控制标准》（GB18599-2020）相符性分析如下。</w:t>
      </w:r>
    </w:p>
    <w:p w14:paraId="47CCC2B3">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表1-4-</w:t>
      </w:r>
      <w:r>
        <w:rPr>
          <w:rFonts w:hint="default" w:ascii="Times New Roman" w:hAnsi="Times New Roman" w:cs="Times New Roman"/>
          <w:color w:val="auto"/>
          <w:highlight w:val="none"/>
          <w:lang w:val="en-US" w:eastAsia="zh-CN"/>
        </w:rPr>
        <w:t>8</w:t>
      </w:r>
      <w:r>
        <w:rPr>
          <w:rFonts w:hint="default" w:ascii="Times New Roman" w:hAnsi="Times New Roman" w:cs="Times New Roman"/>
          <w:color w:val="auto"/>
          <w:highlight w:val="none"/>
          <w:lang w:val="zh-CN"/>
        </w:rPr>
        <w:t>与GB18599-2020符合性分析</w:t>
      </w:r>
    </w:p>
    <w:tbl>
      <w:tblPr>
        <w:tblStyle w:val="20"/>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47"/>
        <w:gridCol w:w="912"/>
        <w:gridCol w:w="3974"/>
        <w:gridCol w:w="2398"/>
        <w:gridCol w:w="888"/>
      </w:tblGrid>
      <w:tr w14:paraId="1DE23F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0" w:hRule="atLeast"/>
          <w:tblHeader/>
        </w:trPr>
        <w:tc>
          <w:tcPr>
            <w:tcW w:w="3071" w:type="pct"/>
            <w:gridSpan w:val="3"/>
            <w:tcBorders>
              <w:top w:val="single" w:color="auto" w:sz="12" w:space="0"/>
              <w:left w:val="nil"/>
              <w:bottom w:val="single" w:color="auto" w:sz="4" w:space="0"/>
              <w:right w:val="single" w:color="auto" w:sz="4" w:space="0"/>
            </w:tcBorders>
            <w:vAlign w:val="center"/>
          </w:tcPr>
          <w:p w14:paraId="1556278B">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相关要求</w:t>
            </w:r>
          </w:p>
        </w:tc>
        <w:tc>
          <w:tcPr>
            <w:tcW w:w="1407" w:type="pct"/>
            <w:tcBorders>
              <w:top w:val="single" w:color="auto" w:sz="12" w:space="0"/>
              <w:left w:val="single" w:color="auto" w:sz="4" w:space="0"/>
              <w:bottom w:val="single" w:color="auto" w:sz="4" w:space="0"/>
              <w:right w:val="single" w:color="auto" w:sz="4" w:space="0"/>
            </w:tcBorders>
            <w:vAlign w:val="center"/>
          </w:tcPr>
          <w:p w14:paraId="2537C329">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本项目情况</w:t>
            </w:r>
          </w:p>
        </w:tc>
        <w:tc>
          <w:tcPr>
            <w:tcW w:w="521" w:type="pct"/>
            <w:tcBorders>
              <w:top w:val="single" w:color="auto" w:sz="12" w:space="0"/>
              <w:left w:val="single" w:color="auto" w:sz="4" w:space="0"/>
              <w:bottom w:val="single" w:color="auto" w:sz="4" w:space="0"/>
              <w:right w:val="nil"/>
            </w:tcBorders>
            <w:vAlign w:val="center"/>
          </w:tcPr>
          <w:p w14:paraId="6746B031">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符合性</w:t>
            </w:r>
          </w:p>
        </w:tc>
      </w:tr>
      <w:tr w14:paraId="09B538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04" w:type="pct"/>
            <w:vMerge w:val="restart"/>
            <w:tcBorders>
              <w:top w:val="single" w:color="auto" w:sz="4" w:space="0"/>
              <w:left w:val="nil"/>
              <w:bottom w:val="single" w:color="auto" w:sz="4" w:space="0"/>
              <w:right w:val="single" w:color="auto" w:sz="4" w:space="0"/>
            </w:tcBorders>
            <w:vAlign w:val="center"/>
          </w:tcPr>
          <w:p w14:paraId="0BB4EE44">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8</w:t>
            </w:r>
          </w:p>
        </w:tc>
        <w:tc>
          <w:tcPr>
            <w:tcW w:w="535" w:type="pct"/>
            <w:vMerge w:val="restart"/>
            <w:tcBorders>
              <w:top w:val="single" w:color="auto" w:sz="4" w:space="0"/>
              <w:left w:val="single" w:color="auto" w:sz="4" w:space="0"/>
              <w:bottom w:val="single" w:color="auto" w:sz="4" w:space="0"/>
              <w:right w:val="single" w:color="auto" w:sz="4" w:space="0"/>
            </w:tcBorders>
            <w:vAlign w:val="center"/>
          </w:tcPr>
          <w:p w14:paraId="372552B0">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充填及回填利用污染控制要求</w:t>
            </w:r>
          </w:p>
        </w:tc>
        <w:tc>
          <w:tcPr>
            <w:tcW w:w="2331" w:type="pct"/>
            <w:tcBorders>
              <w:top w:val="single" w:color="auto" w:sz="4" w:space="0"/>
              <w:left w:val="single" w:color="auto" w:sz="4" w:space="0"/>
              <w:bottom w:val="single" w:color="auto" w:sz="4" w:space="0"/>
              <w:right w:val="single" w:color="auto" w:sz="4" w:space="0"/>
            </w:tcBorders>
            <w:vAlign w:val="center"/>
          </w:tcPr>
          <w:p w14:paraId="2DE1F551">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8.1第I类一般工业固体废物可按下列途径进行充填或回填作业：</w:t>
            </w:r>
          </w:p>
          <w:p w14:paraId="508CF3ED">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a）煤矸石可在煤炭开采矿区的采空区中充填或回填；</w:t>
            </w:r>
          </w:p>
          <w:p w14:paraId="4A769A39">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b）煤矸石可在煤炭开采矿井、矿坑等采空区中充填或回填；</w:t>
            </w:r>
          </w:p>
          <w:p w14:paraId="43074F5A">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c）尾矿、矿山废石等可在原矿开采区的矿井、矿坑等采空区中充填或回填。</w:t>
            </w:r>
          </w:p>
        </w:tc>
        <w:tc>
          <w:tcPr>
            <w:tcW w:w="1407" w:type="pct"/>
            <w:tcBorders>
              <w:top w:val="single" w:color="auto" w:sz="4" w:space="0"/>
              <w:left w:val="single" w:color="auto" w:sz="4" w:space="0"/>
              <w:bottom w:val="single" w:color="auto" w:sz="4" w:space="0"/>
              <w:right w:val="single" w:color="auto" w:sz="4" w:space="0"/>
            </w:tcBorders>
            <w:vAlign w:val="center"/>
          </w:tcPr>
          <w:p w14:paraId="0A7C16F3">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本项目属于8.1条充填或回填途径的第I类一般工业固体废物。</w:t>
            </w:r>
          </w:p>
        </w:tc>
        <w:tc>
          <w:tcPr>
            <w:tcW w:w="521" w:type="pct"/>
            <w:tcBorders>
              <w:top w:val="single" w:color="auto" w:sz="4" w:space="0"/>
              <w:left w:val="single" w:color="auto" w:sz="4" w:space="0"/>
              <w:bottom w:val="single" w:color="auto" w:sz="4" w:space="0"/>
              <w:right w:val="nil"/>
            </w:tcBorders>
            <w:vAlign w:val="center"/>
          </w:tcPr>
          <w:p w14:paraId="5589274B">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符合</w:t>
            </w:r>
          </w:p>
        </w:tc>
      </w:tr>
      <w:tr w14:paraId="1EAE09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top w:val="single" w:color="auto" w:sz="4" w:space="0"/>
              <w:left w:val="nil"/>
              <w:bottom w:val="single" w:color="auto" w:sz="4" w:space="0"/>
              <w:right w:val="single" w:color="auto" w:sz="4" w:space="0"/>
            </w:tcBorders>
            <w:vAlign w:val="center"/>
          </w:tcPr>
          <w:p w14:paraId="08538793">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0784CD99">
            <w:pPr>
              <w:pStyle w:val="44"/>
              <w:bidi w:val="0"/>
              <w:rPr>
                <w:rFonts w:hint="default" w:ascii="Times New Roman" w:hAnsi="Times New Roman" w:cs="Times New Roman"/>
                <w:color w:val="auto"/>
                <w:highlight w:val="none"/>
                <w:lang w:val="zh-CN"/>
              </w:rPr>
            </w:pPr>
          </w:p>
        </w:tc>
        <w:tc>
          <w:tcPr>
            <w:tcW w:w="2331" w:type="pct"/>
            <w:tcBorders>
              <w:top w:val="single" w:color="auto" w:sz="4" w:space="0"/>
              <w:left w:val="single" w:color="auto" w:sz="4" w:space="0"/>
              <w:bottom w:val="single" w:color="auto" w:sz="4" w:space="0"/>
              <w:right w:val="single" w:color="auto" w:sz="4" w:space="0"/>
            </w:tcBorders>
            <w:vAlign w:val="center"/>
          </w:tcPr>
          <w:p w14:paraId="0CD02D18">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8.2第Ⅱ类一般工业固体废物以及不符合8.1条充填或回填途径的第I类一般工业固体废物，其充填或回填活动前应开展环境本底调查，并按照HJ25.3等相关标准进行环境风险评估，重点评估对地下水、地表水及周边土壤的环境污染风险，确保环境风险可以接受。充填或回填活动结束后，应根据风险评估结果对可能受到影响的土壤、地表水及地下水开展长期监测，监测频次至少每年1次。</w:t>
            </w:r>
          </w:p>
        </w:tc>
        <w:tc>
          <w:tcPr>
            <w:tcW w:w="1407" w:type="pct"/>
            <w:tcBorders>
              <w:top w:val="single" w:color="auto" w:sz="4" w:space="0"/>
              <w:left w:val="single" w:color="auto" w:sz="4" w:space="0"/>
              <w:bottom w:val="single" w:color="auto" w:sz="4" w:space="0"/>
              <w:right w:val="single" w:color="auto" w:sz="4" w:space="0"/>
            </w:tcBorders>
            <w:vAlign w:val="center"/>
          </w:tcPr>
          <w:p w14:paraId="295EA246">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本项目在</w:t>
            </w:r>
            <w:r>
              <w:rPr>
                <w:rFonts w:hint="default" w:ascii="Times New Roman" w:hAnsi="Times New Roman" w:cs="Times New Roman"/>
                <w:color w:val="auto"/>
                <w:highlight w:val="none"/>
              </w:rPr>
              <w:t>2#兴顺采石场</w:t>
            </w:r>
            <w:r>
              <w:rPr>
                <w:rFonts w:hint="default" w:ascii="Times New Roman" w:hAnsi="Times New Roman" w:cs="Times New Roman"/>
                <w:color w:val="auto"/>
                <w:highlight w:val="none"/>
                <w:lang w:val="zh-CN"/>
              </w:rPr>
              <w:t>回填活动前已开展环境本底调查，并按照《建设用地土壤污染风险评估技术导则》（HJ25.3-2019）等相关标准开展环境风险评估，形成了环境风险评估报告并通过专家评审，风险评估报告重点评估项目对地下水及周边土壤的环境污染风险，评估结论为环境风险可以接受。本项目</w:t>
            </w:r>
            <w:r>
              <w:rPr>
                <w:rFonts w:hint="default" w:ascii="Times New Roman" w:hAnsi="Times New Roman" w:cs="Times New Roman"/>
                <w:color w:val="auto"/>
                <w:highlight w:val="none"/>
              </w:rPr>
              <w:t>2#兴顺采石场</w:t>
            </w:r>
            <w:r>
              <w:rPr>
                <w:rFonts w:hint="default" w:ascii="Times New Roman" w:hAnsi="Times New Roman" w:cs="Times New Roman"/>
                <w:color w:val="auto"/>
                <w:highlight w:val="none"/>
                <w:lang w:val="zh-CN"/>
              </w:rPr>
              <w:t>回填活动结束后，对可能受到影响的土壤及地下水开展监测。监测频次每年1次</w:t>
            </w:r>
          </w:p>
        </w:tc>
        <w:tc>
          <w:tcPr>
            <w:tcW w:w="521" w:type="pct"/>
            <w:tcBorders>
              <w:top w:val="single" w:color="auto" w:sz="4" w:space="0"/>
              <w:left w:val="single" w:color="auto" w:sz="4" w:space="0"/>
              <w:bottom w:val="single" w:color="auto" w:sz="4" w:space="0"/>
              <w:right w:val="nil"/>
            </w:tcBorders>
            <w:vAlign w:val="center"/>
          </w:tcPr>
          <w:p w14:paraId="2E8425E2">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符合</w:t>
            </w:r>
          </w:p>
        </w:tc>
      </w:tr>
      <w:tr w14:paraId="142DD6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top w:val="single" w:color="auto" w:sz="4" w:space="0"/>
              <w:left w:val="nil"/>
              <w:bottom w:val="single" w:color="auto" w:sz="4" w:space="0"/>
              <w:right w:val="single" w:color="auto" w:sz="4" w:space="0"/>
            </w:tcBorders>
            <w:vAlign w:val="center"/>
          </w:tcPr>
          <w:p w14:paraId="15AB4DAC">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67CF7B20">
            <w:pPr>
              <w:pStyle w:val="44"/>
              <w:bidi w:val="0"/>
              <w:rPr>
                <w:rFonts w:hint="default" w:ascii="Times New Roman" w:hAnsi="Times New Roman" w:cs="Times New Roman"/>
                <w:color w:val="auto"/>
                <w:highlight w:val="none"/>
                <w:lang w:val="zh-CN"/>
              </w:rPr>
            </w:pPr>
          </w:p>
        </w:tc>
        <w:tc>
          <w:tcPr>
            <w:tcW w:w="2331" w:type="pct"/>
            <w:tcBorders>
              <w:top w:val="single" w:color="auto" w:sz="4" w:space="0"/>
              <w:left w:val="single" w:color="auto" w:sz="4" w:space="0"/>
              <w:bottom w:val="single" w:color="auto" w:sz="4" w:space="0"/>
              <w:right w:val="single" w:color="auto" w:sz="4" w:space="0"/>
            </w:tcBorders>
            <w:vAlign w:val="center"/>
          </w:tcPr>
          <w:p w14:paraId="1DB36AF2">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8.3不应在充填物料中掺加除充填作业所需要的添加剂之外的其他固体废物。</w:t>
            </w:r>
          </w:p>
        </w:tc>
        <w:tc>
          <w:tcPr>
            <w:tcW w:w="1407" w:type="pct"/>
            <w:tcBorders>
              <w:top w:val="single" w:color="auto" w:sz="4" w:space="0"/>
              <w:left w:val="single" w:color="auto" w:sz="4" w:space="0"/>
              <w:bottom w:val="single" w:color="auto" w:sz="4" w:space="0"/>
              <w:right w:val="single" w:color="auto" w:sz="4" w:space="0"/>
            </w:tcBorders>
            <w:vAlign w:val="center"/>
          </w:tcPr>
          <w:p w14:paraId="071A841C">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本项目不在回填物料中掺加除充填作业所需要的添加剂之外的其他固体废物，回填材料来源唯一，为鸡西市城子河区城西村北1.5km煤矿工业广场(41#)的煤矸石。</w:t>
            </w:r>
          </w:p>
        </w:tc>
        <w:tc>
          <w:tcPr>
            <w:tcW w:w="521" w:type="pct"/>
            <w:tcBorders>
              <w:top w:val="single" w:color="auto" w:sz="4" w:space="0"/>
              <w:left w:val="single" w:color="auto" w:sz="4" w:space="0"/>
              <w:bottom w:val="single" w:color="auto" w:sz="4" w:space="0"/>
              <w:right w:val="nil"/>
            </w:tcBorders>
            <w:vAlign w:val="center"/>
          </w:tcPr>
          <w:p w14:paraId="1F4AD082">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符合</w:t>
            </w:r>
          </w:p>
        </w:tc>
      </w:tr>
      <w:tr w14:paraId="27C5D9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top w:val="single" w:color="auto" w:sz="4" w:space="0"/>
              <w:left w:val="nil"/>
              <w:bottom w:val="single" w:color="auto" w:sz="4" w:space="0"/>
              <w:right w:val="single" w:color="auto" w:sz="4" w:space="0"/>
            </w:tcBorders>
            <w:vAlign w:val="center"/>
          </w:tcPr>
          <w:p w14:paraId="3D94878D">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0620F31C">
            <w:pPr>
              <w:pStyle w:val="44"/>
              <w:bidi w:val="0"/>
              <w:rPr>
                <w:rFonts w:hint="default" w:ascii="Times New Roman" w:hAnsi="Times New Roman" w:cs="Times New Roman"/>
                <w:color w:val="auto"/>
                <w:highlight w:val="none"/>
                <w:lang w:val="zh-CN"/>
              </w:rPr>
            </w:pPr>
          </w:p>
        </w:tc>
        <w:tc>
          <w:tcPr>
            <w:tcW w:w="2331" w:type="pct"/>
            <w:tcBorders>
              <w:top w:val="single" w:color="auto" w:sz="4" w:space="0"/>
              <w:left w:val="single" w:color="auto" w:sz="4" w:space="0"/>
              <w:bottom w:val="single" w:color="auto" w:sz="4" w:space="0"/>
              <w:right w:val="single" w:color="auto" w:sz="4" w:space="0"/>
            </w:tcBorders>
            <w:vAlign w:val="center"/>
          </w:tcPr>
          <w:p w14:paraId="391B2634">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8.4一般工业固体废物回填作业结束后应立即实施土地复垦（回填地下的除外），土地复垦应符合本标准9.9条的规定。</w:t>
            </w:r>
          </w:p>
        </w:tc>
        <w:tc>
          <w:tcPr>
            <w:tcW w:w="1407" w:type="pct"/>
            <w:tcBorders>
              <w:top w:val="single" w:color="auto" w:sz="4" w:space="0"/>
              <w:left w:val="single" w:color="auto" w:sz="4" w:space="0"/>
              <w:bottom w:val="single" w:color="auto" w:sz="4" w:space="0"/>
              <w:right w:val="single" w:color="auto" w:sz="4" w:space="0"/>
            </w:tcBorders>
            <w:vAlign w:val="center"/>
          </w:tcPr>
          <w:p w14:paraId="61957919">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本项目一般工业固体废物回填作业结束后立即实施土地复垦，土地复垦符合本标准9.9条的规定。</w:t>
            </w:r>
          </w:p>
        </w:tc>
        <w:tc>
          <w:tcPr>
            <w:tcW w:w="521" w:type="pct"/>
            <w:tcBorders>
              <w:top w:val="single" w:color="auto" w:sz="4" w:space="0"/>
              <w:left w:val="single" w:color="auto" w:sz="4" w:space="0"/>
              <w:bottom w:val="single" w:color="auto" w:sz="4" w:space="0"/>
              <w:right w:val="nil"/>
            </w:tcBorders>
            <w:vAlign w:val="center"/>
          </w:tcPr>
          <w:p w14:paraId="3E53969D">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符合</w:t>
            </w:r>
          </w:p>
        </w:tc>
      </w:tr>
      <w:tr w14:paraId="04B6C0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top w:val="single" w:color="auto" w:sz="4" w:space="0"/>
              <w:left w:val="nil"/>
              <w:bottom w:val="single" w:color="auto" w:sz="12" w:space="0"/>
              <w:right w:val="single" w:color="auto" w:sz="4" w:space="0"/>
            </w:tcBorders>
            <w:vAlign w:val="center"/>
          </w:tcPr>
          <w:p w14:paraId="6C32327C">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5CC7B8BB">
            <w:pPr>
              <w:pStyle w:val="44"/>
              <w:bidi w:val="0"/>
              <w:rPr>
                <w:rFonts w:hint="default" w:ascii="Times New Roman" w:hAnsi="Times New Roman" w:cs="Times New Roman"/>
                <w:color w:val="auto"/>
                <w:highlight w:val="none"/>
                <w:lang w:val="zh-CN"/>
              </w:rPr>
            </w:pPr>
          </w:p>
        </w:tc>
        <w:tc>
          <w:tcPr>
            <w:tcW w:w="2331" w:type="pct"/>
            <w:tcBorders>
              <w:top w:val="single" w:color="auto" w:sz="4" w:space="0"/>
              <w:left w:val="single" w:color="auto" w:sz="4" w:space="0"/>
              <w:bottom w:val="single" w:color="auto" w:sz="12" w:space="0"/>
              <w:right w:val="single" w:color="auto" w:sz="4" w:space="0"/>
            </w:tcBorders>
            <w:vAlign w:val="center"/>
          </w:tcPr>
          <w:p w14:paraId="7506B72C">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8.5食品制造业、纺织服装和服饰业、造纸和纸制品业、农副食品加工业等为日常生活提供服务的活动中产生的与生活垃圾性质相近的一般工业固体废物以及其他有机物含量超过5%的一般工业固体废物（煤矸石除外）不得进行充填、回填作业。</w:t>
            </w:r>
          </w:p>
        </w:tc>
        <w:tc>
          <w:tcPr>
            <w:tcW w:w="1407" w:type="pct"/>
            <w:tcBorders>
              <w:top w:val="single" w:color="auto" w:sz="4" w:space="0"/>
              <w:left w:val="single" w:color="auto" w:sz="4" w:space="0"/>
              <w:bottom w:val="single" w:color="auto" w:sz="12" w:space="0"/>
              <w:right w:val="single" w:color="auto" w:sz="4" w:space="0"/>
            </w:tcBorders>
            <w:vAlign w:val="center"/>
          </w:tcPr>
          <w:p w14:paraId="1DADF9A3">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本项目回填物煤矸石的有机物含量</w:t>
            </w:r>
            <w:r>
              <w:rPr>
                <w:rFonts w:hint="default" w:ascii="Times New Roman" w:hAnsi="Times New Roman" w:cs="Times New Roman"/>
                <w:color w:val="auto"/>
                <w:highlight w:val="none"/>
                <w:lang w:val="en-US" w:eastAsia="zh-CN"/>
              </w:rPr>
              <w:t>7.53</w:t>
            </w:r>
            <w:r>
              <w:rPr>
                <w:rFonts w:hint="default" w:ascii="Times New Roman" w:hAnsi="Times New Roman" w:cs="Times New Roman"/>
                <w:color w:val="auto"/>
                <w:highlight w:val="none"/>
                <w:lang w:val="zh-CN"/>
              </w:rPr>
              <w:t>%。</w:t>
            </w:r>
          </w:p>
        </w:tc>
        <w:tc>
          <w:tcPr>
            <w:tcW w:w="521" w:type="pct"/>
            <w:tcBorders>
              <w:top w:val="single" w:color="auto" w:sz="4" w:space="0"/>
              <w:left w:val="single" w:color="auto" w:sz="4" w:space="0"/>
              <w:bottom w:val="single" w:color="auto" w:sz="12" w:space="0"/>
              <w:right w:val="nil"/>
            </w:tcBorders>
            <w:vAlign w:val="center"/>
          </w:tcPr>
          <w:p w14:paraId="364EB65C">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符合</w:t>
            </w:r>
          </w:p>
        </w:tc>
      </w:tr>
    </w:tbl>
    <w:p w14:paraId="15840877">
      <w:pPr>
        <w:pStyle w:val="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1.4.3.</w:t>
      </w:r>
      <w:r>
        <w:rPr>
          <w:rFonts w:hint="default" w:ascii="Times New Roman" w:hAnsi="Times New Roman" w:cs="Times New Roman"/>
          <w:color w:val="auto"/>
          <w:highlight w:val="none"/>
          <w:lang w:val="en-US" w:eastAsia="zh-CN"/>
        </w:rPr>
        <w:t>17</w:t>
      </w:r>
      <w:r>
        <w:rPr>
          <w:rFonts w:hint="default" w:ascii="Times New Roman" w:hAnsi="Times New Roman" w:cs="Times New Roman"/>
          <w:color w:val="auto"/>
          <w:highlight w:val="none"/>
        </w:rPr>
        <w:t>与《黑龙江省水土保持规划》(2015-2030年）、《鸡西市水土保持规划》（2019-2030年）符合性分析</w:t>
      </w:r>
    </w:p>
    <w:p w14:paraId="05458816">
      <w:pPr>
        <w:pStyle w:val="25"/>
        <w:widowControl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根据《黑龙江省水土保持规划》(2015-2030年）、《鸡西市水土保持规划》（2019-2030年），鸡西市城子河区位于东北漫川漫岗水土流失重点治理区，为省级治理区。</w:t>
      </w:r>
      <w:r>
        <w:rPr>
          <w:rFonts w:hint="default" w:ascii="Times New Roman" w:hAnsi="Times New Roman" w:cs="Times New Roman"/>
          <w:bCs/>
          <w:snapToGrid w:val="0"/>
          <w:color w:val="auto"/>
          <w:kern w:val="0"/>
          <w:highlight w:val="none"/>
        </w:rPr>
        <w:t>本项目对历史遗留矿山进行生态修复</w:t>
      </w:r>
      <w:r>
        <w:rPr>
          <w:rFonts w:hint="default" w:ascii="Times New Roman" w:hAnsi="Times New Roman" w:cs="Times New Roman"/>
          <w:color w:val="auto"/>
          <w:highlight w:val="none"/>
        </w:rPr>
        <w:t xml:space="preserve">，项目实施后提高区域的植被覆盖率，可使区域内野生动物的数量增加，生物量增加，提高生物多样性，可消除遗留采坑的水土流失、坍塌隐患，对当地生态环境起到积极的作用，因此本项目与《黑龙江省水土保持规划》(2015-2030年）、《鸡西市水土保持规划》（2019-2030年）符合。 </w:t>
      </w:r>
    </w:p>
    <w:p w14:paraId="57827913">
      <w:pPr>
        <w:pStyle w:val="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1.4.3.1</w:t>
      </w:r>
      <w:r>
        <w:rPr>
          <w:rFonts w:hint="default" w:ascii="Times New Roman" w:hAnsi="Times New Roman" w:cs="Times New Roman"/>
          <w:color w:val="auto"/>
          <w:highlight w:val="none"/>
          <w:lang w:val="en-US" w:eastAsia="zh-CN"/>
        </w:rPr>
        <w:t>8</w:t>
      </w:r>
      <w:r>
        <w:rPr>
          <w:rFonts w:hint="default" w:ascii="Times New Roman" w:hAnsi="Times New Roman" w:cs="Times New Roman"/>
          <w:color w:val="auto"/>
          <w:highlight w:val="none"/>
        </w:rPr>
        <w:t>与《鸡西市国土空间总体规划》（2021—2035年）符合性分析</w:t>
      </w:r>
    </w:p>
    <w:p w14:paraId="44DC7DC7">
      <w:pPr>
        <w:pStyle w:val="25"/>
        <w:bidi w:val="0"/>
        <w:rPr>
          <w:rFonts w:hint="default" w:ascii="Times New Roman" w:hAnsi="Times New Roman" w:cs="Times New Roman"/>
          <w:color w:val="auto"/>
        </w:rPr>
      </w:pPr>
      <w:r>
        <w:rPr>
          <w:rFonts w:hint="default" w:ascii="Times New Roman" w:hAnsi="Times New Roman" w:cs="Times New Roman"/>
          <w:color w:val="auto"/>
          <w:lang w:val="en-US" w:eastAsia="zh-CN"/>
        </w:rPr>
        <w:t>1、</w:t>
      </w:r>
      <w:r>
        <w:rPr>
          <w:rFonts w:hint="default" w:ascii="Times New Roman" w:hAnsi="Times New Roman" w:cs="Times New Roman"/>
          <w:color w:val="auto"/>
        </w:rPr>
        <w:t>相关内容</w:t>
      </w:r>
    </w:p>
    <w:p w14:paraId="436BB9E0">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规划中国土综合整治和生态修复提出：构建整治修复格局，①两屏包括老爷岭余脉生态屏障和三江平原湿地生态屏障；②四廊包括穆棱河生态廊道、七虎林河生态廊道、阿布沁河生态廊道及乌苏里江－松阿察河生态廊道；③多片区包括生态功能修复区、矿山环境治理与修复区、城市环境综合整治区和农林业治区。</w:t>
      </w:r>
    </w:p>
    <w:p w14:paraId="16C69667">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生态修复重点工程包括两大屏障生态修复工程、两大屏障生态修复工程、水土保持生态修复工程、矿山环境修复工程、湿地保护修复工程及保护生物多样性重大工程。其中山体生态修复治理的修复目标为：山体开发建设管控、“还绿于民”、受损山体修复、修复矿山生态环境。</w:t>
      </w:r>
    </w:p>
    <w:p w14:paraId="497D7D26">
      <w:pPr>
        <w:pStyle w:val="25"/>
        <w:numPr>
          <w:ilvl w:val="0"/>
          <w:numId w:val="0"/>
        </w:numPr>
        <w:ind w:left="0" w:leftChars="0" w:firstLine="480" w:firstLineChars="200"/>
        <w:rPr>
          <w:rFonts w:hint="default" w:ascii="Times New Roman" w:hAnsi="Times New Roman" w:cs="Times New Roman"/>
          <w:color w:val="auto"/>
          <w:highlight w:val="none"/>
          <w:lang w:val="en-US" w:eastAsia="zh-CN"/>
        </w:rPr>
      </w:pPr>
      <w:bookmarkStart w:id="48" w:name="_Hlk148357494"/>
      <w:r>
        <w:rPr>
          <w:rFonts w:hint="default" w:ascii="Times New Roman" w:hAnsi="Times New Roman" w:cs="Times New Roman"/>
          <w:color w:val="auto"/>
          <w:kern w:val="2"/>
          <w:sz w:val="24"/>
          <w:szCs w:val="24"/>
          <w:lang w:val="en-US" w:eastAsia="zh-CN" w:bidi="ar-SA"/>
        </w:rPr>
        <w:t>2</w:t>
      </w:r>
      <w:r>
        <w:rPr>
          <w:rFonts w:hint="default" w:ascii="Times New Roman" w:hAnsi="Times New Roman" w:eastAsia="宋体" w:cs="Times New Roman"/>
          <w:color w:val="auto"/>
          <w:kern w:val="2"/>
          <w:sz w:val="24"/>
          <w:szCs w:val="24"/>
          <w:lang w:val="en-US" w:eastAsia="zh-CN" w:bidi="ar-SA"/>
        </w:rPr>
        <w:t>、</w:t>
      </w:r>
      <w:r>
        <w:rPr>
          <w:rFonts w:hint="default" w:ascii="Times New Roman" w:hAnsi="Times New Roman" w:cs="Times New Roman"/>
          <w:color w:val="auto"/>
          <w:highlight w:val="none"/>
          <w:lang w:val="en-US" w:eastAsia="zh-CN"/>
        </w:rPr>
        <w:t>符合性分析</w:t>
      </w:r>
    </w:p>
    <w:p w14:paraId="5B84A098">
      <w:pPr>
        <w:pStyle w:val="25"/>
        <w:bidi w:val="0"/>
        <w:rPr>
          <w:rFonts w:hint="default" w:ascii="Times New Roman" w:hAnsi="Times New Roman" w:cs="Times New Roman"/>
          <w:color w:val="auto"/>
        </w:rPr>
      </w:pPr>
      <w:r>
        <w:rPr>
          <w:rFonts w:hint="default" w:ascii="Times New Roman" w:hAnsi="Times New Roman" w:cs="Times New Roman"/>
          <w:color w:val="auto"/>
        </w:rPr>
        <w:t>本项目对鸡西市城子河区历史遗留矿山进行生态修复，</w:t>
      </w:r>
      <w:r>
        <w:rPr>
          <w:rFonts w:hint="default" w:ascii="Times New Roman" w:hAnsi="Times New Roman" w:cs="Times New Roman"/>
          <w:color w:val="auto"/>
          <w:lang w:val="en-US" w:eastAsia="zh-CN"/>
        </w:rPr>
        <w:t>12个项目现状均为工矿用地，复垦后为林地，</w:t>
      </w:r>
      <w:r>
        <w:rPr>
          <w:rFonts w:hint="default" w:ascii="Times New Roman" w:hAnsi="Times New Roman" w:cs="Times New Roman"/>
          <w:color w:val="auto"/>
        </w:rPr>
        <w:t>项目的实施不但能改善场地环境、恢复土地利用价值、区域土地利用功能、创造新的生态景观，而且对项目区本身的安全和稳定性也具有重要意义，会增加占地内的植被覆盖率和生物产量，可使区域内野生动物的数量增加，生物量增加，提高生物多样性，并且起到水土保持、防风固沙的效果，可消除遗留采坑的水土流失、坍塌隐患。</w:t>
      </w:r>
      <w:bookmarkEnd w:id="48"/>
      <w:r>
        <w:rPr>
          <w:rFonts w:hint="default" w:ascii="Times New Roman" w:hAnsi="Times New Roman" w:cs="Times New Roman"/>
          <w:color w:val="auto"/>
        </w:rPr>
        <w:t>根据与黑龙江省</w:t>
      </w:r>
      <w:r>
        <w:rPr>
          <w:rFonts w:hint="default" w:ascii="Times New Roman" w:hAnsi="Times New Roman" w:cs="Times New Roman"/>
          <w:color w:val="auto"/>
          <w:lang w:val="en-US" w:eastAsia="zh-CN"/>
        </w:rPr>
        <w:t>生态环境分区管控</w:t>
      </w:r>
      <w:r>
        <w:rPr>
          <w:rFonts w:hint="default" w:ascii="Times New Roman" w:hAnsi="Times New Roman" w:cs="Times New Roman"/>
          <w:color w:val="auto"/>
        </w:rPr>
        <w:t>划定矢量成果叠加，本项目不在生态保护红线范围内故符合《鸡西市国土空间总体规划》（2021—2035年）要求。</w:t>
      </w:r>
    </w:p>
    <w:p w14:paraId="0A11C362">
      <w:pPr>
        <w:pStyle w:val="5"/>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1.4.3.</w:t>
      </w:r>
      <w:r>
        <w:rPr>
          <w:rFonts w:hint="default" w:ascii="Times New Roman" w:hAnsi="Times New Roman" w:cs="Times New Roman"/>
          <w:color w:val="auto"/>
          <w:highlight w:val="none"/>
        </w:rPr>
        <w:t>1</w:t>
      </w:r>
      <w:r>
        <w:rPr>
          <w:rFonts w:hint="default" w:ascii="Times New Roman" w:hAnsi="Times New Roman" w:cs="Times New Roman"/>
          <w:color w:val="auto"/>
          <w:highlight w:val="none"/>
          <w:lang w:val="en-US" w:eastAsia="zh-CN"/>
        </w:rPr>
        <w:t>9</w:t>
      </w:r>
      <w:r>
        <w:rPr>
          <w:rFonts w:hint="default" w:ascii="Times New Roman" w:hAnsi="Times New Roman" w:cs="Times New Roman"/>
          <w:color w:val="auto"/>
          <w:highlight w:val="none"/>
          <w:lang w:val="zh-CN"/>
        </w:rPr>
        <w:t>与《黑龙江省生态功能区划》符合性分析</w:t>
      </w:r>
    </w:p>
    <w:p w14:paraId="66814A1C">
      <w:pPr>
        <w:spacing w:line="500" w:lineRule="exact"/>
        <w:ind w:firstLine="480" w:firstLineChars="200"/>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根据《黑龙江省生态功能区规划》，本项目位于</w:t>
      </w:r>
      <w:r>
        <w:rPr>
          <w:rFonts w:hint="default" w:ascii="Times New Roman" w:hAnsi="Times New Roman" w:cs="Times New Roman"/>
          <w:color w:val="auto"/>
          <w:sz w:val="24"/>
          <w:highlight w:val="none"/>
          <w:lang w:val="zh-CN"/>
        </w:rPr>
        <w:fldChar w:fldCharType="begin"/>
      </w:r>
      <w:r>
        <w:rPr>
          <w:rFonts w:hint="default" w:ascii="Times New Roman" w:hAnsi="Times New Roman" w:cs="Times New Roman"/>
          <w:color w:val="auto"/>
          <w:sz w:val="24"/>
          <w:highlight w:val="none"/>
          <w:lang w:val="zh-CN"/>
        </w:rPr>
        <w:instrText xml:space="preserve"> = 1 \* ROMAN </w:instrText>
      </w:r>
      <w:r>
        <w:rPr>
          <w:rFonts w:hint="default" w:ascii="Times New Roman" w:hAnsi="Times New Roman" w:cs="Times New Roman"/>
          <w:color w:val="auto"/>
          <w:sz w:val="24"/>
          <w:highlight w:val="none"/>
          <w:lang w:val="zh-CN"/>
        </w:rPr>
        <w:fldChar w:fldCharType="separate"/>
      </w:r>
      <w:r>
        <w:rPr>
          <w:rFonts w:hint="default" w:ascii="Times New Roman" w:hAnsi="Times New Roman" w:cs="Times New Roman"/>
          <w:color w:val="auto"/>
          <w:sz w:val="24"/>
          <w:highlight w:val="none"/>
          <w:lang w:val="zh-CN"/>
        </w:rPr>
        <w:t>I</w:t>
      </w:r>
      <w:r>
        <w:rPr>
          <w:rFonts w:hint="default" w:ascii="Times New Roman" w:hAnsi="Times New Roman" w:cs="Times New Roman"/>
          <w:color w:val="auto"/>
          <w:sz w:val="24"/>
          <w:highlight w:val="none"/>
          <w:lang w:val="zh-CN"/>
        </w:rPr>
        <w:fldChar w:fldCharType="end"/>
      </w:r>
      <w:r>
        <w:rPr>
          <w:rFonts w:hint="default" w:ascii="Times New Roman" w:hAnsi="Times New Roman" w:cs="Times New Roman"/>
          <w:color w:val="auto"/>
          <w:sz w:val="24"/>
          <w:highlight w:val="none"/>
          <w:lang w:val="zh-CN"/>
        </w:rPr>
        <w:t>-3-2-6鸡西矿、农业、林业生态功能区，主要生态环境问题为植被覆盖率低，矿产开采的生态恢复措施未跟上，引发严重的次生生态环境问题；该区南部小片地区土壤侵蚀敏感性为高度敏感；主要生态系统服务功能为土壤保持、林矿农业生产；保护措施与发展方向为合理地进行矿产开发，禁止野蛮开采的情况出现，大力发展生态林业和生态农业。</w:t>
      </w:r>
    </w:p>
    <w:p w14:paraId="09050744">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本项目所在地为城子河区采石场的废弃采坑、煤矿工业广场和煤矸石堆场，经过多年开采，形成了裸漏的开采面，地质情况较差。本项目对历史矿山进行生态修复，本项目的建设既可以减少水土流失，又可改善废弃矿山的生态环境。因此，本项目的建设符合《</w:t>
      </w:r>
      <w:bookmarkStart w:id="49" w:name="OLE_LINK15"/>
      <w:r>
        <w:rPr>
          <w:rFonts w:hint="default" w:ascii="Times New Roman" w:hAnsi="Times New Roman" w:cs="Times New Roman"/>
          <w:color w:val="auto"/>
          <w:sz w:val="24"/>
          <w:szCs w:val="22"/>
          <w:highlight w:val="none"/>
        </w:rPr>
        <w:t>黑龙江省生态功能区划</w:t>
      </w:r>
      <w:bookmarkEnd w:id="49"/>
      <w:r>
        <w:rPr>
          <w:rFonts w:hint="default" w:ascii="Times New Roman" w:hAnsi="Times New Roman" w:cs="Times New Roman"/>
          <w:color w:val="auto"/>
          <w:sz w:val="24"/>
          <w:szCs w:val="22"/>
          <w:highlight w:val="none"/>
        </w:rPr>
        <w:t>》。</w:t>
      </w:r>
    </w:p>
    <w:p w14:paraId="20F46F2E">
      <w:pPr>
        <w:pStyle w:val="25"/>
        <w:spacing w:line="240" w:lineRule="auto"/>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mc:AlternateContent>
          <mc:Choice Requires="wps">
            <w:drawing>
              <wp:anchor distT="0" distB="0" distL="114300" distR="114300" simplePos="0" relativeHeight="251669504" behindDoc="0" locked="0" layoutInCell="1" allowOverlap="1">
                <wp:simplePos x="0" y="0"/>
                <wp:positionH relativeFrom="column">
                  <wp:posOffset>3422650</wp:posOffset>
                </wp:positionH>
                <wp:positionV relativeFrom="paragraph">
                  <wp:posOffset>4211955</wp:posOffset>
                </wp:positionV>
                <wp:extent cx="108585" cy="114935"/>
                <wp:effectExtent l="12700" t="12700" r="31115" b="24765"/>
                <wp:wrapNone/>
                <wp:docPr id="15" name="六角星 15"/>
                <wp:cNvGraphicFramePr/>
                <a:graphic xmlns:a="http://schemas.openxmlformats.org/drawingml/2006/main">
                  <a:graphicData uri="http://schemas.microsoft.com/office/word/2010/wordprocessingShape">
                    <wps:wsp>
                      <wps:cNvSpPr/>
                      <wps:spPr>
                        <a:xfrm>
                          <a:off x="4565650" y="5126355"/>
                          <a:ext cx="108585" cy="114935"/>
                        </a:xfrm>
                        <a:prstGeom prst="star6">
                          <a:avLst/>
                        </a:prstGeom>
                        <a:solidFill>
                          <a:schemeClr val="accent2"/>
                        </a:solidFill>
                        <a:ln>
                          <a:solidFill>
                            <a:schemeClr val="accent2"/>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69.5pt;margin-top:331.65pt;height:9.05pt;width:8.55pt;z-index:251669504;v-text-anchor:middle;mso-width-relative:page;mso-height-relative:page;" fillcolor="#C0504D [3205]" filled="t" stroked="t" coordsize="108585,114935" o:gfxdata="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jTc0md0AAAALAQAADwAAAAAAAAABACAAAAAi&#10;AAAAZHJzL2Rvd25yZXYueG1sUEsBAhQAFAAAAAgAh07iQGpGrAB3AgAA7gQAAA4AAAAAAAAAAQAg&#10;AAAALAEAAGRycy9lMm9Eb2MueG1sUEsFBgAAAAAGAAYAWQEAABUGAAAAAA==&#10;" path="m0,28733l36194,28733,54292,0,72390,28733,108584,28733,90488,57467,108584,86201,72390,86201,54292,114935,36194,86201,0,86201,18096,57467xe">
                <v:path o:connectlocs="108584,28733;108584,86201;54292,114935;0,86201;0,28733;54292,0" o:connectangles="0,0,82,164,164,247"/>
                <v:fill on="t" focussize="0,0"/>
                <v:stroke weight="2pt" color="#C0504D [3205]" joinstyle="round"/>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68480" behindDoc="0" locked="0" layoutInCell="1" allowOverlap="1">
                <wp:simplePos x="0" y="0"/>
                <wp:positionH relativeFrom="column">
                  <wp:posOffset>3927475</wp:posOffset>
                </wp:positionH>
                <wp:positionV relativeFrom="paragraph">
                  <wp:posOffset>3477260</wp:posOffset>
                </wp:positionV>
                <wp:extent cx="817880" cy="294005"/>
                <wp:effectExtent l="440055" t="6350" r="18415" b="518795"/>
                <wp:wrapNone/>
                <wp:docPr id="14" name="圆角矩形标注 14"/>
                <wp:cNvGraphicFramePr/>
                <a:graphic xmlns:a="http://schemas.openxmlformats.org/drawingml/2006/main">
                  <a:graphicData uri="http://schemas.microsoft.com/office/word/2010/wordprocessingShape">
                    <wps:wsp>
                      <wps:cNvSpPr/>
                      <wps:spPr>
                        <a:xfrm>
                          <a:off x="4974590" y="4429760"/>
                          <a:ext cx="817880" cy="294005"/>
                        </a:xfrm>
                        <a:prstGeom prst="wedgeRoundRectCallout">
                          <a:avLst>
                            <a:gd name="adj1" fmla="val -103061"/>
                            <a:gd name="adj2" fmla="val 219503"/>
                            <a:gd name="adj3" fmla="val 16667"/>
                          </a:avLst>
                        </a:prstGeom>
                        <a:noFill/>
                        <a:ln w="12700" cmpd="sng">
                          <a:solidFill>
                            <a:schemeClr val="tx1"/>
                          </a:solidFill>
                          <a:prstDash val="solid"/>
                        </a:ln>
                      </wps:spPr>
                      <wps:style>
                        <a:lnRef idx="2">
                          <a:schemeClr val="accent1">
                            <a:lumMod val="75000"/>
                          </a:schemeClr>
                        </a:lnRef>
                        <a:fillRef idx="1">
                          <a:schemeClr val="accent1"/>
                        </a:fillRef>
                        <a:effectRef idx="0">
                          <a:srgbClr val="FFFFFF"/>
                        </a:effectRef>
                        <a:fontRef idx="minor">
                          <a:schemeClr val="lt1"/>
                        </a:fontRef>
                      </wps:style>
                      <wps:txbx>
                        <w:txbxContent>
                          <w:p w14:paraId="49CEDF72">
                            <w:pPr>
                              <w:jc w:val="center"/>
                              <w:rPr>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09.25pt;margin-top:273.8pt;height:23.15pt;width:64.4pt;z-index:251668480;v-text-anchor:middle;mso-width-relative:page;mso-height-relative:page;" filled="f" stroked="t" coordsize="21600,21600" o:gfxdata="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I2anlnYAAAACwEAAA8AAAAA&#10;AAAAAQAgAAAAIgAAAGRycy9kb3ducmV2LnhtbFBLAQIUABQAAAAIAIdO4kB+QUjCvwIAAGEFAAAO&#10;AAAAAAAAAAEAIAAAACcBAABkcnMvZTJvRG9jLnhtbFBLBQYAAAAABgAGAFkBAABYBgAAAAA=&#10;" adj="-11461,58213,14400">
                <v:fill on="f" focussize="0,0"/>
                <v:stroke weight="1pt" color="#000000 [3213]" joinstyle="round"/>
                <v:imagedata o:title=""/>
                <o:lock v:ext="edit" aspectratio="f"/>
                <v:textbox>
                  <w:txbxContent>
                    <w:p w14:paraId="49CEDF72">
                      <w:pPr>
                        <w:jc w:val="center"/>
                        <w:rPr>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项目位置</w:t>
                      </w:r>
                    </w:p>
                  </w:txbxContent>
                </v:textbox>
              </v:shape>
            </w:pict>
          </mc:Fallback>
        </mc:AlternateContent>
      </w:r>
      <w:r>
        <w:rPr>
          <w:rFonts w:hint="default" w:ascii="Times New Roman" w:hAnsi="Times New Roman" w:cs="Times New Roman"/>
          <w:color w:val="auto"/>
          <w:highlight w:val="none"/>
        </w:rPr>
        <w:drawing>
          <wp:inline distT="0" distB="0" distL="114300" distR="114300">
            <wp:extent cx="5273040" cy="5586095"/>
            <wp:effectExtent l="0" t="0" r="3810" b="14605"/>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16"/>
                    <a:stretch>
                      <a:fillRect/>
                    </a:stretch>
                  </pic:blipFill>
                  <pic:spPr>
                    <a:xfrm>
                      <a:off x="0" y="0"/>
                      <a:ext cx="5273040" cy="5586095"/>
                    </a:xfrm>
                    <a:prstGeom prst="rect">
                      <a:avLst/>
                    </a:prstGeom>
                    <a:solidFill>
                      <a:schemeClr val="accent2"/>
                    </a:solidFill>
                    <a:ln>
                      <a:noFill/>
                    </a:ln>
                  </pic:spPr>
                </pic:pic>
              </a:graphicData>
            </a:graphic>
          </wp:inline>
        </w:drawing>
      </w:r>
    </w:p>
    <w:p w14:paraId="5C5A0962">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图1-4-1黑龙江省生态功能区划图</w:t>
      </w:r>
    </w:p>
    <w:p w14:paraId="0526CDFF">
      <w:pPr>
        <w:pStyle w:val="5"/>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1.4.3.</w:t>
      </w:r>
      <w:r>
        <w:rPr>
          <w:rFonts w:hint="default" w:ascii="Times New Roman" w:hAnsi="Times New Roman" w:cs="Times New Roman"/>
          <w:color w:val="auto"/>
          <w:highlight w:val="none"/>
          <w:lang w:val="en-US" w:eastAsia="zh-CN"/>
        </w:rPr>
        <w:t>20</w:t>
      </w:r>
      <w:r>
        <w:rPr>
          <w:rFonts w:hint="default" w:ascii="Times New Roman" w:hAnsi="Times New Roman" w:cs="Times New Roman"/>
          <w:snapToGrid w:val="0"/>
          <w:color w:val="auto"/>
          <w:highlight w:val="none"/>
          <w:lang w:val="zh-CN"/>
        </w:rPr>
        <w:t>与</w:t>
      </w:r>
      <w:bookmarkStart w:id="50" w:name="_Hlk520812012"/>
      <w:r>
        <w:rPr>
          <w:rFonts w:hint="default" w:ascii="Times New Roman" w:hAnsi="Times New Roman" w:cs="Times New Roman"/>
          <w:snapToGrid w:val="0"/>
          <w:color w:val="auto"/>
          <w:highlight w:val="none"/>
          <w:lang w:val="zh-CN"/>
        </w:rPr>
        <w:t>《黑龙江省主体功能区划》</w:t>
      </w:r>
      <w:bookmarkEnd w:id="50"/>
      <w:r>
        <w:rPr>
          <w:rFonts w:hint="default" w:ascii="Times New Roman" w:hAnsi="Times New Roman" w:cs="Times New Roman"/>
          <w:snapToGrid w:val="0"/>
          <w:color w:val="auto"/>
          <w:highlight w:val="none"/>
          <w:lang w:val="zh-CN"/>
        </w:rPr>
        <w:t>符合性分析</w:t>
      </w:r>
    </w:p>
    <w:p w14:paraId="3CB95780">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本项目位于鸡西市，属于省级重点开发区域。</w:t>
      </w:r>
    </w:p>
    <w:p w14:paraId="2D5E9541">
      <w:pPr>
        <w:spacing w:line="500" w:lineRule="exact"/>
        <w:ind w:firstLine="480" w:firstLineChars="200"/>
        <w:rPr>
          <w:rFonts w:hint="default" w:ascii="Times New Roman" w:hAnsi="Times New Roman" w:cs="Times New Roman"/>
          <w:snapToGrid w:val="0"/>
          <w:color w:val="auto"/>
          <w:sz w:val="24"/>
          <w:szCs w:val="22"/>
          <w:highlight w:val="none"/>
        </w:rPr>
      </w:pPr>
      <w:r>
        <w:rPr>
          <w:rFonts w:hint="default" w:ascii="Times New Roman" w:hAnsi="Times New Roman" w:cs="Times New Roman"/>
          <w:snapToGrid w:val="0"/>
          <w:color w:val="auto"/>
          <w:sz w:val="24"/>
          <w:szCs w:val="22"/>
          <w:highlight w:val="none"/>
        </w:rPr>
        <w:t>功能定位：全省重要的能源基地和煤电化基地，以煤机为重点的装备制造业基地，以石墨精深加工为重点的新材料基地，打造国内生态旅游城市，建设对俄进出口产品加工基地、优质农产品加工基地。</w:t>
      </w:r>
    </w:p>
    <w:p w14:paraId="2090AA98">
      <w:pPr>
        <w:spacing w:line="500" w:lineRule="exact"/>
        <w:ind w:firstLine="480" w:firstLineChars="200"/>
        <w:rPr>
          <w:rFonts w:hint="default" w:ascii="Times New Roman" w:hAnsi="Times New Roman" w:cs="Times New Roman"/>
          <w:snapToGrid w:val="0"/>
          <w:color w:val="auto"/>
          <w:sz w:val="24"/>
          <w:szCs w:val="22"/>
          <w:highlight w:val="none"/>
        </w:rPr>
      </w:pPr>
      <w:r>
        <w:rPr>
          <w:rFonts w:hint="default" w:ascii="Times New Roman" w:hAnsi="Times New Roman" w:cs="Times New Roman"/>
          <w:snapToGrid w:val="0"/>
          <w:color w:val="auto"/>
          <w:sz w:val="24"/>
          <w:szCs w:val="22"/>
          <w:highlight w:val="none"/>
        </w:rPr>
        <w:t>产业发展方向及布局：发展煤电化、石墨新材料、装备制造、绿色食品和生态旅游五大主导产业。永庆煤化工园区、滴道煤电循环经济产业等园区重点发展煤炭、电力、煤化工、建材产业；麻山石墨产业园区、恒山石墨产业园区等园区重点发展石墨新材料产业；鸡西煤机园区重点发展煤机装备制造产业；依托农业资源优势重点发展绿色食品和医药产业；依托兴凯湖、乌苏里江等良好的生态资源重点发展生态旅游产业。</w:t>
      </w:r>
    </w:p>
    <w:p w14:paraId="68ED43BC">
      <w:pPr>
        <w:spacing w:line="500" w:lineRule="exact"/>
        <w:ind w:firstLine="480" w:firstLineChars="200"/>
        <w:rPr>
          <w:rFonts w:hint="default" w:ascii="Times New Roman" w:hAnsi="Times New Roman" w:cs="Times New Roman"/>
          <w:snapToGrid w:val="0"/>
          <w:color w:val="auto"/>
          <w:sz w:val="24"/>
          <w:szCs w:val="22"/>
          <w:highlight w:val="none"/>
        </w:rPr>
      </w:pPr>
      <w:r>
        <w:rPr>
          <w:rFonts w:hint="default" w:ascii="Times New Roman" w:hAnsi="Times New Roman" w:cs="Times New Roman"/>
          <w:snapToGrid w:val="0"/>
          <w:color w:val="auto"/>
          <w:sz w:val="24"/>
          <w:szCs w:val="22"/>
          <w:highlight w:val="none"/>
        </w:rPr>
        <w:t>生态建设：加强水土流失预防和治理。开展重点矿区生态修复和环境治理，加强煤矸石等废弃物和采煤沉陷区治理，强化煤层气抽采及综合利用，提高矿区土地复垦和矿井水回收利用率。</w:t>
      </w:r>
    </w:p>
    <w:p w14:paraId="714C7E2D">
      <w:pPr>
        <w:spacing w:line="500" w:lineRule="exact"/>
        <w:ind w:firstLine="480" w:firstLineChars="200"/>
        <w:rPr>
          <w:rFonts w:hint="default" w:ascii="Times New Roman" w:hAnsi="Times New Roman" w:cs="Times New Roman"/>
          <w:snapToGrid w:val="0"/>
          <w:color w:val="auto"/>
          <w:sz w:val="24"/>
          <w:szCs w:val="22"/>
          <w:highlight w:val="none"/>
        </w:rPr>
      </w:pPr>
      <w:r>
        <w:rPr>
          <w:rFonts w:hint="default" w:ascii="Times New Roman" w:hAnsi="Times New Roman" w:cs="Times New Roman"/>
          <w:snapToGrid w:val="0"/>
          <w:color w:val="auto"/>
          <w:sz w:val="24"/>
          <w:szCs w:val="22"/>
          <w:highlight w:val="none"/>
        </w:rPr>
        <w:t>基础设施建设：完善主城区基础设施建设，加快鸡西机场改扩建和东部物流通道建设。</w:t>
      </w:r>
    </w:p>
    <w:p w14:paraId="1E91805B">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mc:AlternateContent>
          <mc:Choice Requires="wps">
            <w:drawing>
              <wp:anchor distT="0" distB="0" distL="114300" distR="114300" simplePos="0" relativeHeight="251660288" behindDoc="0" locked="0" layoutInCell="1" allowOverlap="1">
                <wp:simplePos x="0" y="0"/>
                <wp:positionH relativeFrom="column">
                  <wp:posOffset>3421380</wp:posOffset>
                </wp:positionH>
                <wp:positionV relativeFrom="paragraph">
                  <wp:posOffset>2664460</wp:posOffset>
                </wp:positionV>
                <wp:extent cx="1087755" cy="392430"/>
                <wp:effectExtent l="170815" t="4445" r="17780" b="155575"/>
                <wp:wrapNone/>
                <wp:docPr id="490470110" name="对话气泡: 矩形 8"/>
                <wp:cNvGraphicFramePr/>
                <a:graphic xmlns:a="http://schemas.openxmlformats.org/drawingml/2006/main">
                  <a:graphicData uri="http://schemas.microsoft.com/office/word/2010/wordprocessingShape">
                    <wps:wsp>
                      <wps:cNvSpPr/>
                      <wps:spPr>
                        <a:xfrm>
                          <a:off x="0" y="0"/>
                          <a:ext cx="1087755" cy="392430"/>
                        </a:xfrm>
                        <a:prstGeom prst="wedgeRectCallout">
                          <a:avLst>
                            <a:gd name="adj1" fmla="val -65278"/>
                            <a:gd name="adj2" fmla="val 88081"/>
                          </a:avLst>
                        </a:prstGeom>
                        <a:ln w="3175"/>
                      </wps:spPr>
                      <wps:style>
                        <a:lnRef idx="2">
                          <a:schemeClr val="dk1"/>
                        </a:lnRef>
                        <a:fillRef idx="1">
                          <a:schemeClr val="lt1"/>
                        </a:fillRef>
                        <a:effectRef idx="0">
                          <a:schemeClr val="dk1"/>
                        </a:effectRef>
                        <a:fontRef idx="minor">
                          <a:schemeClr val="dk1"/>
                        </a:fontRef>
                      </wps:style>
                      <wps:txbx>
                        <w:txbxContent>
                          <w:p w14:paraId="78BC5409">
                            <w:r>
                              <w:rPr>
                                <w:rFonts w:hint="eastAsia"/>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8" o:spid="_x0000_s1026" o:spt="61" type="#_x0000_t61" style="position:absolute;left:0pt;margin-left:269.4pt;margin-top:209.8pt;height:30.9pt;width:85.65pt;z-index:251660288;v-text-anchor:middle;mso-width-relative:page;mso-height-relative:page;" fillcolor="#FFFFFF [3201]" filled="t" stroked="t" coordsize="21600,21600" o:gfxdata="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AAAAAGRycy9QSwECFAAUAAAACACHTuJA9n/xRtsAAAALAQAADwAAAAAAAAABACAA&#10;AAAiAAAAZHJzL2Rvd25yZXYueG1sUEsBAhQAFAAAAAgAh07iQFldvYu1AgAAWwUAAA4AAAAAAAAA&#10;AQAgAAAAKgEAAGRycy9lMm9Eb2MueG1sUEsFBgAAAAAGAAYAWQEAAFEGAAAAAA==&#10;" adj="-3300,29825">
                <v:fill on="t" focussize="0,0"/>
                <v:stroke weight="0.25pt" color="#000000 [3200]" joinstyle="round"/>
                <v:imagedata o:title=""/>
                <o:lock v:ext="edit" aspectratio="f"/>
                <v:textbox>
                  <w:txbxContent>
                    <w:p w14:paraId="78BC5409">
                      <w:r>
                        <w:rPr>
                          <w:rFonts w:hint="eastAsia"/>
                        </w:rPr>
                        <w:t>本项目</w:t>
                      </w:r>
                    </w:p>
                  </w:txbxContent>
                </v:textbox>
              </v:shape>
            </w:pict>
          </mc:Fallback>
        </mc:AlternateContent>
      </w:r>
      <w:r>
        <w:rPr>
          <w:rFonts w:hint="default" w:ascii="Times New Roman" w:hAnsi="Times New Roman" w:cs="Times New Roman"/>
          <w:color w:val="auto"/>
          <w:highlight w:val="none"/>
        </w:rPr>
        <w:drawing>
          <wp:inline distT="0" distB="0" distL="0" distR="0">
            <wp:extent cx="5274310" cy="3963035"/>
            <wp:effectExtent l="0" t="0" r="2540" b="0"/>
            <wp:docPr id="183327517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275179" name="图片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274310" cy="3963035"/>
                    </a:xfrm>
                    <a:prstGeom prst="rect">
                      <a:avLst/>
                    </a:prstGeom>
                    <a:noFill/>
                    <a:ln>
                      <a:noFill/>
                    </a:ln>
                  </pic:spPr>
                </pic:pic>
              </a:graphicData>
            </a:graphic>
          </wp:inline>
        </w:drawing>
      </w:r>
    </w:p>
    <w:p w14:paraId="4EF5EE36">
      <w:pPr>
        <w:pStyle w:val="27"/>
        <w:bidi w:val="0"/>
        <w:rPr>
          <w:rFonts w:hint="default" w:ascii="Times New Roman" w:hAnsi="Times New Roman" w:cs="Times New Roman" w:eastAsiaTheme="majorEastAsia"/>
          <w:snapToGrid w:val="0"/>
          <w:color w:val="auto"/>
          <w:sz w:val="24"/>
          <w:highlight w:val="none"/>
          <w:lang w:val="zh-CN"/>
        </w:rPr>
      </w:pPr>
      <w:r>
        <w:rPr>
          <w:rFonts w:hint="default" w:ascii="Times New Roman" w:hAnsi="Times New Roman" w:cs="Times New Roman" w:eastAsiaTheme="majorEastAsia"/>
          <w:color w:val="auto"/>
          <w:highlight w:val="none"/>
        </w:rPr>
        <w:t>图</w:t>
      </w:r>
      <w:r>
        <w:rPr>
          <w:rFonts w:hint="default" w:ascii="Times New Roman" w:hAnsi="Times New Roman" w:cs="Times New Roman" w:eastAsiaTheme="majorEastAsia"/>
          <w:snapToGrid w:val="0"/>
          <w:color w:val="auto"/>
          <w:sz w:val="24"/>
          <w:highlight w:val="none"/>
          <w:lang w:val="zh-CN"/>
        </w:rPr>
        <w:t>1-4-2黑龙江省主体功能区划图</w:t>
      </w:r>
    </w:p>
    <w:p w14:paraId="4BC06E93">
      <w:pPr>
        <w:spacing w:line="500" w:lineRule="exact"/>
        <w:ind w:firstLine="480" w:firstLineChars="200"/>
        <w:rPr>
          <w:rFonts w:hint="default" w:ascii="Times New Roman" w:hAnsi="Times New Roman" w:cs="Times New Roman"/>
          <w:snapToGrid w:val="0"/>
          <w:color w:val="auto"/>
          <w:sz w:val="24"/>
          <w:szCs w:val="22"/>
          <w:highlight w:val="none"/>
        </w:rPr>
      </w:pPr>
      <w:r>
        <w:rPr>
          <w:rFonts w:hint="default" w:ascii="Times New Roman" w:hAnsi="Times New Roman" w:cs="Times New Roman"/>
          <w:snapToGrid w:val="0"/>
          <w:color w:val="auto"/>
          <w:sz w:val="24"/>
          <w:szCs w:val="22"/>
          <w:highlight w:val="none"/>
        </w:rPr>
        <w:t>本项目对鸡西市城子河区历史遗留矿山进行生态修复，项目的实施不但能改善场地环境、恢复土地利用价值和土地利用功能、提高农产品供给能力，而且对项目区本身的安全和稳定性也具有重要意义</w:t>
      </w:r>
      <w:r>
        <w:rPr>
          <w:rFonts w:hint="default" w:ascii="Times New Roman" w:hAnsi="Times New Roman" w:cs="Times New Roman"/>
          <w:color w:val="auto"/>
          <w:sz w:val="24"/>
          <w:szCs w:val="22"/>
          <w:highlight w:val="none"/>
        </w:rPr>
        <w:t>。因此，符合</w:t>
      </w:r>
      <w:r>
        <w:rPr>
          <w:rFonts w:hint="default" w:ascii="Times New Roman" w:hAnsi="Times New Roman" w:cs="Times New Roman"/>
          <w:snapToGrid w:val="0"/>
          <w:color w:val="auto"/>
          <w:sz w:val="24"/>
          <w:szCs w:val="22"/>
          <w:highlight w:val="none"/>
        </w:rPr>
        <w:t>《黑龙江省主体功能区划》中的功能定位和发展方向。</w:t>
      </w:r>
    </w:p>
    <w:p w14:paraId="5AFE47E0">
      <w:pPr>
        <w:pStyle w:val="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zh-CN"/>
        </w:rPr>
        <w:t>1.4.3.2</w:t>
      </w:r>
      <w:r>
        <w:rPr>
          <w:rFonts w:hint="default" w:ascii="Times New Roman" w:hAnsi="Times New Roman" w:cs="Times New Roman"/>
          <w:color w:val="auto"/>
          <w:highlight w:val="none"/>
          <w:lang w:val="en-US" w:eastAsia="zh-CN"/>
        </w:rPr>
        <w:t>1与《黑龙江省固体废物污染环境防治条例》符合性分析</w:t>
      </w:r>
    </w:p>
    <w:p w14:paraId="059ED2F9">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1、相关内容：第二十二条 鼓励采取充填、回填、发电、生产建筑材料、回收矿产品、制取化工产品、筑路等途径对煤矸石进行综合利用。</w:t>
      </w:r>
    </w:p>
    <w:p w14:paraId="0CC80614">
      <w:pP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2、符合性分析：</w:t>
      </w:r>
      <w:r>
        <w:rPr>
          <w:rFonts w:hint="default" w:ascii="Times New Roman" w:hAnsi="Times New Roman" w:cs="Times New Roman"/>
          <w:color w:val="auto"/>
          <w:sz w:val="24"/>
          <w:szCs w:val="22"/>
          <w:highlight w:val="none"/>
        </w:rPr>
        <w:t>本项目属于历史遗留矿山修复项目，其中兴顺采石场(2#)利用本项目中鸡西市城子河区城西村北 1.5km 煤矿工业广场(41#)煤矸石堆场对采石场废弃采坑进行回填，</w:t>
      </w:r>
      <w:r>
        <w:rPr>
          <w:rFonts w:hint="default" w:ascii="Times New Roman" w:hAnsi="Times New Roman" w:cs="Times New Roman"/>
          <w:color w:val="auto"/>
          <w:sz w:val="24"/>
          <w:szCs w:val="22"/>
          <w:highlight w:val="none"/>
          <w:lang w:val="en-US" w:eastAsia="zh-CN"/>
        </w:rPr>
        <w:t>属于</w:t>
      </w:r>
      <w:r>
        <w:rPr>
          <w:rFonts w:hint="default" w:ascii="Times New Roman" w:hAnsi="Times New Roman" w:cs="Times New Roman"/>
          <w:color w:val="auto"/>
          <w:highlight w:val="none"/>
          <w:lang w:val="en-US" w:eastAsia="zh-CN"/>
        </w:rPr>
        <w:t>黑龙江省固体废物污染环境防治条例中鼓励采用回填途径对煤矸石进行综合利用。</w:t>
      </w:r>
    </w:p>
    <w:p w14:paraId="5AA67292">
      <w:pPr>
        <w:pStyle w:val="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1.4.3.22与《煤矸石综合利用管理办法》符合性分析</w:t>
      </w:r>
    </w:p>
    <w:p w14:paraId="2968CA6A">
      <w:pPr>
        <w:numPr>
          <w:ilvl w:val="0"/>
          <w:numId w:val="0"/>
        </w:numPr>
        <w:ind w:firstLine="480" w:firstLineChars="200"/>
        <w:rPr>
          <w:rFonts w:hint="default" w:ascii="Times New Roman" w:hAnsi="Times New Roman" w:eastAsia="宋体" w:cs="Times New Roman"/>
          <w:i w:val="0"/>
          <w:iCs w:val="0"/>
          <w:caps w:val="0"/>
          <w:color w:val="auto"/>
          <w:spacing w:val="0"/>
          <w:sz w:val="21"/>
          <w:szCs w:val="21"/>
          <w:shd w:val="clear" w:fill="FFFFFF"/>
        </w:rPr>
      </w:pPr>
      <w:r>
        <w:rPr>
          <w:rFonts w:hint="default" w:ascii="Times New Roman" w:hAnsi="Times New Roman" w:cs="Times New Roman"/>
          <w:color w:val="auto"/>
          <w:highlight w:val="none"/>
          <w:lang w:val="en-US" w:eastAsia="zh-CN"/>
        </w:rPr>
        <w:t>1、相关内容：</w:t>
      </w:r>
      <w:r>
        <w:rPr>
          <w:rFonts w:hint="default" w:ascii="Times New Roman" w:hAnsi="Times New Roman" w:eastAsia="宋体" w:cs="Times New Roman"/>
          <w:i w:val="0"/>
          <w:iCs w:val="0"/>
          <w:caps w:val="0"/>
          <w:color w:val="auto"/>
          <w:spacing w:val="0"/>
          <w:sz w:val="21"/>
          <w:szCs w:val="21"/>
          <w:shd w:val="clear" w:fill="FFFFFF"/>
        </w:rPr>
        <w:t>第十八条　综合利用煤矸石的单位和个人在贮运、利用煤矸石时，必须采取措施，防止二次污染。</w:t>
      </w:r>
    </w:p>
    <w:p w14:paraId="446620D8">
      <w:pPr>
        <w:numPr>
          <w:ilvl w:val="0"/>
          <w:numId w:val="0"/>
        </w:numPr>
        <w:ind w:firstLine="420"/>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aps w:val="0"/>
          <w:color w:val="auto"/>
          <w:spacing w:val="0"/>
          <w:sz w:val="21"/>
          <w:szCs w:val="21"/>
          <w:shd w:val="clear" w:fill="FFFFFF"/>
          <w:lang w:val="en-US" w:eastAsia="zh-CN"/>
        </w:rPr>
        <w:t>2、符合性分析：</w:t>
      </w:r>
      <w:r>
        <w:rPr>
          <w:rFonts w:hint="default" w:ascii="Times New Roman" w:hAnsi="Times New Roman" w:cs="Times New Roman"/>
          <w:color w:val="auto"/>
        </w:rPr>
        <w:t>回填区</w:t>
      </w:r>
      <w:r>
        <w:rPr>
          <w:rFonts w:hint="default" w:ascii="Times New Roman" w:hAnsi="Times New Roman" w:cs="Times New Roman"/>
          <w:color w:val="auto"/>
          <w:lang w:val="en-US" w:eastAsia="zh-CN"/>
        </w:rPr>
        <w:t>煤矸石采取分区填埋、洒水降尘等措施，</w:t>
      </w:r>
      <w:r>
        <w:rPr>
          <w:rFonts w:hint="default" w:ascii="Times New Roman" w:hAnsi="Times New Roman" w:cs="Times New Roman"/>
          <w:color w:val="auto"/>
        </w:rPr>
        <w:t>煤矸石均采用封闭运输，并按照规定的路线和时间行驶</w:t>
      </w:r>
      <w:r>
        <w:rPr>
          <w:rFonts w:hint="default" w:ascii="Times New Roman" w:hAnsi="Times New Roman" w:cs="Times New Roman"/>
          <w:color w:val="auto"/>
          <w:lang w:val="en-US" w:eastAsia="zh-CN"/>
        </w:rPr>
        <w:t>等措施，防治二次污染。本项目符合</w:t>
      </w:r>
      <w:r>
        <w:rPr>
          <w:rFonts w:hint="default" w:ascii="Times New Roman" w:hAnsi="Times New Roman" w:cs="Times New Roman"/>
          <w:color w:val="auto"/>
          <w:highlight w:val="none"/>
          <w:lang w:val="en-US" w:eastAsia="zh-CN"/>
        </w:rPr>
        <w:t>《煤矸石综合利用管理办法》。</w:t>
      </w:r>
    </w:p>
    <w:p w14:paraId="049CDFC8">
      <w:pPr>
        <w:pStyle w:val="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1.4.3.23与《土地复垦条例实施办法》合理性分析</w:t>
      </w:r>
    </w:p>
    <w:p w14:paraId="37806048">
      <w:pPr>
        <w:pStyle w:val="25"/>
        <w:numPr>
          <w:ilvl w:val="0"/>
          <w:numId w:val="0"/>
        </w:numPr>
        <w:bidi w:val="0"/>
        <w:ind w:firstLine="480" w:firstLineChars="200"/>
        <w:rPr>
          <w:rFonts w:hint="default" w:ascii="Times New Roman" w:hAnsi="Times New Roman" w:cs="Times New Roman"/>
          <w:color w:val="auto"/>
          <w:lang w:val="en-US" w:eastAsia="zh-CN"/>
        </w:rPr>
      </w:pPr>
      <w:r>
        <w:rPr>
          <w:rFonts w:hint="default" w:ascii="Times New Roman" w:hAnsi="Times New Roman" w:eastAsia="宋体" w:cs="Times New Roman"/>
          <w:color w:val="auto"/>
          <w:kern w:val="2"/>
          <w:sz w:val="24"/>
          <w:szCs w:val="24"/>
          <w:lang w:val="en-US" w:eastAsia="zh-CN" w:bidi="ar-SA"/>
        </w:rPr>
        <w:t>1、</w:t>
      </w:r>
      <w:r>
        <w:rPr>
          <w:rFonts w:hint="default" w:ascii="Times New Roman" w:hAnsi="Times New Roman" w:cs="Times New Roman"/>
          <w:color w:val="auto"/>
          <w:lang w:val="en-US" w:eastAsia="zh-CN"/>
        </w:rPr>
        <w:t>相关内容：第十五条  土地复垦义务人在实施土地复垦工程前，应当依据审查通过的土地复垦方案进行土地复垦规划设计，将土地复垦方案和土地复垦规划设计一并报所在地县级自然资源主管部门备案。</w:t>
      </w:r>
    </w:p>
    <w:p w14:paraId="1081D2D9">
      <w:pPr>
        <w:pStyle w:val="25"/>
        <w:numPr>
          <w:ilvl w:val="0"/>
          <w:numId w:val="0"/>
        </w:numPr>
        <w:bidi w:val="0"/>
        <w:ind w:firstLine="480" w:firstLineChars="200"/>
        <w:rPr>
          <w:rFonts w:hint="default" w:ascii="Times New Roman" w:hAnsi="Times New Roman" w:cs="Times New Roman"/>
          <w:color w:val="auto"/>
          <w:lang w:val="en-US" w:eastAsia="zh-CN"/>
        </w:rPr>
      </w:pPr>
      <w:r>
        <w:rPr>
          <w:rFonts w:hint="default" w:ascii="Times New Roman" w:hAnsi="Times New Roman" w:eastAsia="宋体" w:cs="Times New Roman"/>
          <w:color w:val="auto"/>
          <w:kern w:val="2"/>
          <w:sz w:val="24"/>
          <w:szCs w:val="24"/>
          <w:lang w:val="en-US" w:eastAsia="zh-CN" w:bidi="ar-SA"/>
        </w:rPr>
        <w:t>2、</w:t>
      </w:r>
      <w:r>
        <w:rPr>
          <w:rFonts w:hint="default" w:ascii="Times New Roman" w:hAnsi="Times New Roman" w:cs="Times New Roman"/>
          <w:color w:val="auto"/>
          <w:lang w:val="en-US" w:eastAsia="zh-CN"/>
        </w:rPr>
        <w:t>符合性分析：本项目已完成复垦设计文件并进行评审备案。</w:t>
      </w:r>
    </w:p>
    <w:p w14:paraId="1C836C27">
      <w:pPr>
        <w:pStyle w:val="39"/>
        <w:rPr>
          <w:rFonts w:hint="default" w:ascii="Times New Roman" w:hAnsi="Times New Roman" w:cs="Times New Roman"/>
          <w:color w:val="auto"/>
          <w:highlight w:val="none"/>
        </w:rPr>
      </w:pPr>
      <w:bookmarkStart w:id="51" w:name="_Toc29961"/>
      <w:bookmarkStart w:id="52" w:name="_Toc15991621"/>
      <w:r>
        <w:rPr>
          <w:rFonts w:hint="default" w:ascii="Times New Roman" w:hAnsi="Times New Roman" w:cs="Times New Roman"/>
          <w:color w:val="auto"/>
          <w:highlight w:val="none"/>
        </w:rPr>
        <w:t>1.4.4选址合理性分析</w:t>
      </w:r>
      <w:bookmarkEnd w:id="51"/>
    </w:p>
    <w:p w14:paraId="78D8C445">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snapToGrid w:val="0"/>
          <w:color w:val="auto"/>
          <w:highlight w:val="none"/>
        </w:rPr>
        <w:t>拟建项目修复历史遗留废弃矿山共计12个，其中包括露天采石场8个</w:t>
      </w:r>
      <w:r>
        <w:rPr>
          <w:rFonts w:hint="default" w:ascii="Times New Roman" w:hAnsi="Times New Roman" w:cs="Times New Roman"/>
          <w:snapToGrid w:val="0"/>
          <w:color w:val="auto"/>
          <w:lang w:eastAsia="zh-CN"/>
        </w:rPr>
        <w:t>煤矿工业广场2个、矸石堆场2个</w:t>
      </w:r>
      <w:r>
        <w:rPr>
          <w:rFonts w:hint="default" w:ascii="Times New Roman" w:hAnsi="Times New Roman" w:cs="Times New Roman"/>
          <w:snapToGrid w:val="0"/>
          <w:color w:val="auto"/>
        </w:rPr>
        <w:t>，</w:t>
      </w:r>
      <w:r>
        <w:rPr>
          <w:rFonts w:hint="default" w:ascii="Times New Roman" w:hAnsi="Times New Roman" w:cs="Times New Roman"/>
          <w:color w:val="auto"/>
          <w:highlight w:val="none"/>
        </w:rPr>
        <w:t>目前均处于荒废状态，春季是扬尘源，雨季易造成水土流失，土地利用率低，景观环境差。城子河区住房和建设局委托建设单位对</w:t>
      </w:r>
      <w:r>
        <w:rPr>
          <w:rFonts w:hint="default" w:ascii="Times New Roman" w:hAnsi="Times New Roman" w:cs="Times New Roman"/>
          <w:snapToGrid w:val="0"/>
          <w:color w:val="auto"/>
          <w:highlight w:val="none"/>
        </w:rPr>
        <w:t>结合每一处修复场地实际情况，制定专属修复方案，涉及的修复工程内容主要包括清理工程、场地平整工程、回填工程、挡土墙工程、截排水沟工程和植被恢复工程等，</w:t>
      </w:r>
      <w:r>
        <w:rPr>
          <w:rFonts w:hint="default" w:ascii="Times New Roman" w:hAnsi="Times New Roman" w:cs="Times New Roman"/>
          <w:color w:val="auto"/>
          <w:highlight w:val="none"/>
        </w:rPr>
        <w:t>不但能改善场地环境、恢复土地利用价值、区域土地利用功能、创造新的生态景观，而且对项目区本身的安全和稳定性也具有重要意义，可起到水土保持、防风固沙的效果，可消除遗留采坑的水土流失、坍塌隐患。因此，选址合理。</w:t>
      </w:r>
    </w:p>
    <w:p w14:paraId="2EEE7C6F">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本项目评价范围内无自然保护区、风景名胜区、森林公园、地质公园、重要湿地、饮用水源保护区等环境敏感区，不占用生态保护红线。因此，选址合理。</w:t>
      </w:r>
    </w:p>
    <w:p w14:paraId="0A0D2AF4">
      <w:pPr>
        <w:pStyle w:val="25"/>
        <w:ind w:firstLine="48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项目区为历史遗留采矿形成，现均为工矿用地，复垦后恢复为林地。</w:t>
      </w:r>
    </w:p>
    <w:p w14:paraId="0E28816C">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根据项目周边自然环境的踏查，项目选址周边最近敏感点为2#东侧</w:t>
      </w:r>
      <w:r>
        <w:rPr>
          <w:rFonts w:hint="default" w:ascii="Times New Roman" w:hAnsi="Times New Roman" w:cs="Times New Roman"/>
          <w:color w:val="auto"/>
          <w:highlight w:val="none"/>
          <w:lang w:val="en-US" w:eastAsia="zh-CN"/>
        </w:rPr>
        <w:t>100</w:t>
      </w:r>
      <w:r>
        <w:rPr>
          <w:rFonts w:hint="default" w:ascii="Times New Roman" w:hAnsi="Times New Roman" w:cs="Times New Roman"/>
          <w:color w:val="auto"/>
          <w:highlight w:val="none"/>
        </w:rPr>
        <w:t>m处城海村，位于常年主导风向侧风向。经预测计算，本项目厂界外大气污染物短期贡献浓度无超标点，因此本项目不需要设置大气环境防护距离，对敏感点的影响很小，因此从大气环境影响的角度分析，选址合理。</w:t>
      </w:r>
    </w:p>
    <w:p w14:paraId="42F9D092">
      <w:pPr>
        <w:pStyle w:val="25"/>
        <w:ind w:firstLine="480"/>
        <w:rPr>
          <w:rFonts w:hint="default" w:ascii="Times New Roman" w:hAnsi="Times New Roman" w:cs="Times New Roman"/>
          <w:color w:val="auto"/>
          <w:highlight w:val="none"/>
        </w:rPr>
      </w:pPr>
      <w:r>
        <w:rPr>
          <w:rFonts w:hint="eastAsia" w:cs="Times New Roman"/>
          <w:color w:val="auto"/>
          <w:highlight w:val="none"/>
          <w:lang w:val="en-US" w:eastAsia="zh-CN"/>
        </w:rPr>
        <w:t>2#</w:t>
      </w:r>
      <w:r>
        <w:rPr>
          <w:rFonts w:hint="default" w:ascii="Times New Roman" w:hAnsi="Times New Roman" w:cs="Times New Roman"/>
          <w:color w:val="auto"/>
          <w:highlight w:val="none"/>
        </w:rPr>
        <w:t>项目边界最近的地表水体为城子河，本项目在回填活动前已开展环境本底调查，并按照《建设用地土壤污染风险评估技术导则》（HJ25.3-2019）等相关标准开展环境风险评估，形成了环境风险评估报告并通过专家评审，风险评估报告重点评估项目对地下水、地表水及周边土壤的环境污染风险，评估结论为环境风险可以接受。因此，选址合理。</w:t>
      </w:r>
    </w:p>
    <w:p w14:paraId="04C33DB2">
      <w:pPr>
        <w:pStyle w:val="25"/>
        <w:keepNext w:val="0"/>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工作区地貌单元为构造剥蚀低山丘陵区，含水层为基岩风化裂隙水，富水性弱，主要充水水源为大气降水、基岩风化裂隙水。该岩床充水含水层与岩床直接接触，属于直接充水岩床，地基承载力高，R&gt;30t/m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工程地质条件较好，满足承载力要求。场底标高位于当地侵蚀基准面以上，地形有利于自然排水，充水含水层富水性弱且补给条件差，区内第四系覆盖很少，无老空水分布，属水文地质条件简单型岩床，不属于地下开采的活动塌陷区，不会产生塌陷或沉降。煤矸石回填时将反复碾压，碾压质量按设计要求严格控制，保证压实系数不小于0.9，确保碾压层稳定，不会出现下沉、开裂的现象。</w:t>
      </w:r>
    </w:p>
    <w:p w14:paraId="3AF0AEF4">
      <w:pPr>
        <w:pStyle w:val="25"/>
        <w:keepNext w:val="0"/>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综上所述，拟建项目选址是可行的。</w:t>
      </w:r>
    </w:p>
    <w:bookmarkEnd w:id="52"/>
    <w:p w14:paraId="3E749936">
      <w:pPr>
        <w:pStyle w:val="41"/>
        <w:keepNext w:val="0"/>
        <w:pageBreakBefore w:val="0"/>
        <w:kinsoku/>
        <w:wordWrap/>
        <w:overflowPunct/>
        <w:topLinePunct w:val="0"/>
        <w:autoSpaceDE/>
        <w:autoSpaceDN/>
        <w:bidi w:val="0"/>
        <w:adjustRightInd w:val="0"/>
        <w:snapToGrid w:val="0"/>
        <w:spacing w:after="0" w:line="360" w:lineRule="auto"/>
        <w:textAlignment w:val="auto"/>
        <w:rPr>
          <w:rFonts w:hint="default" w:ascii="Times New Roman" w:hAnsi="Times New Roman" w:cs="Times New Roman"/>
          <w:color w:val="auto"/>
          <w:highlight w:val="none"/>
        </w:rPr>
      </w:pPr>
      <w:bookmarkStart w:id="53" w:name="_Toc119316786"/>
      <w:bookmarkStart w:id="54" w:name="_Toc6867"/>
      <w:bookmarkStart w:id="55" w:name="_Toc152926803"/>
      <w:bookmarkStart w:id="56" w:name="_Toc12890"/>
      <w:r>
        <w:rPr>
          <w:rFonts w:hint="default" w:ascii="Times New Roman" w:hAnsi="Times New Roman" w:cs="Times New Roman"/>
          <w:color w:val="auto"/>
          <w:highlight w:val="none"/>
        </w:rPr>
        <w:t>1.5关注的主要环境问题</w:t>
      </w:r>
      <w:bookmarkEnd w:id="53"/>
      <w:bookmarkEnd w:id="54"/>
      <w:bookmarkEnd w:id="55"/>
      <w:bookmarkEnd w:id="56"/>
    </w:p>
    <w:p w14:paraId="1A268CE7">
      <w:pPr>
        <w:pStyle w:val="25"/>
        <w:keepNext w:val="0"/>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color w:val="auto"/>
          <w:highlight w:val="none"/>
        </w:rPr>
      </w:pPr>
      <w:bookmarkStart w:id="57" w:name="_Toc479252801"/>
      <w:r>
        <w:rPr>
          <w:rFonts w:hint="default" w:ascii="Times New Roman" w:hAnsi="Times New Roman" w:cs="Times New Roman"/>
          <w:color w:val="auto"/>
          <w:highlight w:val="none"/>
        </w:rPr>
        <w:t>根据本项目工程特点和项目周边环境现状，关注的主要问题为：</w:t>
      </w:r>
    </w:p>
    <w:p w14:paraId="53F83D0E">
      <w:pPr>
        <w:pStyle w:val="25"/>
        <w:keepNext w:val="0"/>
        <w:pageBreakBefore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1、施工期</w:t>
      </w:r>
    </w:p>
    <w:p w14:paraId="754B1255">
      <w:pPr>
        <w:pStyle w:val="25"/>
        <w:keepNext w:val="0"/>
        <w:pageBreakBefore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（1）大气：施工扬尘、施工机械和运输车辆的燃油废气对周边大气环境的污染影响；</w:t>
      </w:r>
    </w:p>
    <w:p w14:paraId="5C0B3552">
      <w:pPr>
        <w:pStyle w:val="25"/>
        <w:keepNext w:val="0"/>
        <w:pageBreakBefore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（2）噪声：包括施工设施及运输车辆产生的噪声对周边声环境的污染影响；</w:t>
      </w:r>
    </w:p>
    <w:p w14:paraId="065E55FE">
      <w:pPr>
        <w:pStyle w:val="25"/>
        <w:bidi w:val="0"/>
        <w:rPr>
          <w:rFonts w:hint="default"/>
          <w:color w:val="auto"/>
        </w:rPr>
      </w:pPr>
      <w:r>
        <w:rPr>
          <w:rFonts w:hint="default"/>
          <w:color w:val="auto"/>
        </w:rPr>
        <w:t>（3）固废：本项目施工期产生固废为建筑垃圾、场地清理废物</w:t>
      </w:r>
      <w:r>
        <w:rPr>
          <w:rFonts w:hint="default"/>
          <w:color w:val="auto"/>
          <w:lang w:eastAsia="zh-CN"/>
        </w:rPr>
        <w:t>、</w:t>
      </w:r>
      <w:r>
        <w:rPr>
          <w:rFonts w:hint="default"/>
          <w:color w:val="auto"/>
          <w:lang w:val="en-US" w:eastAsia="zh-CN"/>
        </w:rPr>
        <w:t>厂区内现在废石 及清理的基岩、沉渣等。</w:t>
      </w:r>
    </w:p>
    <w:p w14:paraId="48AA9504">
      <w:pPr>
        <w:pStyle w:val="25"/>
        <w:bidi w:val="0"/>
        <w:rPr>
          <w:rFonts w:hint="default"/>
          <w:color w:val="auto"/>
        </w:rPr>
      </w:pPr>
      <w:r>
        <w:rPr>
          <w:rFonts w:hint="default"/>
          <w:color w:val="auto"/>
        </w:rPr>
        <w:t>（4）地表水：施工期产生施工废水；</w:t>
      </w:r>
    </w:p>
    <w:p w14:paraId="281124DE">
      <w:pPr>
        <w:pStyle w:val="25"/>
        <w:bidi w:val="0"/>
        <w:rPr>
          <w:rFonts w:hint="default"/>
          <w:color w:val="auto"/>
        </w:rPr>
      </w:pPr>
      <w:r>
        <w:rPr>
          <w:rFonts w:hint="default"/>
          <w:color w:val="auto"/>
        </w:rPr>
        <w:t>（</w:t>
      </w:r>
      <w:r>
        <w:rPr>
          <w:rFonts w:hint="default"/>
          <w:color w:val="auto"/>
          <w:lang w:val="en-US" w:eastAsia="zh-CN"/>
        </w:rPr>
        <w:t>5</w:t>
      </w:r>
      <w:r>
        <w:rPr>
          <w:rFonts w:hint="default"/>
          <w:color w:val="auto"/>
        </w:rPr>
        <w:t>）</w:t>
      </w:r>
      <w:r>
        <w:rPr>
          <w:rFonts w:hint="default"/>
          <w:color w:val="auto"/>
          <w:lang w:val="en-US" w:eastAsia="zh-CN"/>
        </w:rPr>
        <w:t>地下水、土壤</w:t>
      </w:r>
      <w:r>
        <w:rPr>
          <w:rFonts w:hint="eastAsia"/>
          <w:color w:val="auto"/>
          <w:lang w:val="en-US" w:eastAsia="zh-CN"/>
        </w:rPr>
        <w:t>：</w:t>
      </w:r>
      <w:r>
        <w:rPr>
          <w:rFonts w:hint="default"/>
          <w:color w:val="auto"/>
        </w:rPr>
        <w:t>淋溶水对周围地下水、土壤的影响及污染防治措施的有效性；</w:t>
      </w:r>
    </w:p>
    <w:p w14:paraId="1AACC767">
      <w:pPr>
        <w:pStyle w:val="25"/>
        <w:bidi w:val="0"/>
        <w:rPr>
          <w:rFonts w:hint="default"/>
          <w:color w:val="auto"/>
        </w:rPr>
      </w:pPr>
      <w:r>
        <w:rPr>
          <w:rFonts w:hint="default"/>
          <w:color w:val="auto"/>
        </w:rPr>
        <w:t>（</w:t>
      </w:r>
      <w:r>
        <w:rPr>
          <w:rFonts w:hint="default"/>
          <w:color w:val="auto"/>
          <w:lang w:val="en-US" w:eastAsia="zh-CN"/>
        </w:rPr>
        <w:t>6</w:t>
      </w:r>
      <w:r>
        <w:rPr>
          <w:rFonts w:hint="default"/>
          <w:color w:val="auto"/>
        </w:rPr>
        <w:t>）生态：施工过程中土方开挖对自然景观、水土流失、生物多样性、土地利用功能等产生影响</w:t>
      </w:r>
    </w:p>
    <w:p w14:paraId="1E87CC65">
      <w:pPr>
        <w:pStyle w:val="25"/>
        <w:bidi w:val="0"/>
        <w:rPr>
          <w:rFonts w:hint="default"/>
          <w:color w:val="auto"/>
        </w:rPr>
      </w:pPr>
      <w:r>
        <w:rPr>
          <w:rFonts w:hint="eastAsia"/>
          <w:color w:val="auto"/>
          <w:lang w:eastAsia="zh-CN"/>
        </w:rPr>
        <w:t>（</w:t>
      </w:r>
      <w:r>
        <w:rPr>
          <w:rFonts w:hint="eastAsia"/>
          <w:color w:val="auto"/>
          <w:lang w:val="en-US" w:eastAsia="zh-CN"/>
        </w:rPr>
        <w:t>7</w:t>
      </w:r>
      <w:r>
        <w:rPr>
          <w:rFonts w:hint="eastAsia"/>
          <w:color w:val="auto"/>
          <w:lang w:eastAsia="zh-CN"/>
        </w:rPr>
        <w:t>）</w:t>
      </w:r>
      <w:r>
        <w:rPr>
          <w:rFonts w:hint="eastAsia"/>
          <w:color w:val="auto"/>
          <w:lang w:val="en-US" w:eastAsia="zh-CN"/>
        </w:rPr>
        <w:t>环境风险：设置地下水监测井，监测地下水环境，防治淋溶水渗入地下水，破坏土壤和地下水环境</w:t>
      </w:r>
      <w:r>
        <w:rPr>
          <w:rFonts w:hint="default"/>
          <w:color w:val="auto"/>
        </w:rPr>
        <w:t>。</w:t>
      </w:r>
    </w:p>
    <w:p w14:paraId="5AB900DA">
      <w:pPr>
        <w:pStyle w:val="25"/>
        <w:keepNext w:val="0"/>
        <w:pageBreakBefore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、生态恢复期</w:t>
      </w:r>
    </w:p>
    <w:p w14:paraId="066293F3">
      <w:pPr>
        <w:pStyle w:val="25"/>
        <w:keepNext w:val="0"/>
        <w:pageBreakBefore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生态恢复期主要为有利影响，可减少水土流失、恢复土地功能。本项目不会对周围水环境产生不利影响。</w:t>
      </w:r>
    </w:p>
    <w:p w14:paraId="0ED28235">
      <w:pPr>
        <w:pStyle w:val="41"/>
        <w:rPr>
          <w:rFonts w:hint="default" w:ascii="Times New Roman" w:hAnsi="Times New Roman" w:cs="Times New Roman"/>
          <w:color w:val="auto"/>
          <w:highlight w:val="none"/>
        </w:rPr>
      </w:pPr>
      <w:bookmarkStart w:id="58" w:name="_Toc4361"/>
      <w:bookmarkStart w:id="59" w:name="_Toc23226"/>
      <w:bookmarkStart w:id="60" w:name="_Toc119316787"/>
      <w:bookmarkStart w:id="61" w:name="_Toc152926804"/>
      <w:r>
        <w:rPr>
          <w:rFonts w:hint="default" w:ascii="Times New Roman" w:hAnsi="Times New Roman" w:cs="Times New Roman"/>
          <w:color w:val="auto"/>
          <w:highlight w:val="none"/>
        </w:rPr>
        <w:t>1.6环境影响评价主要结论</w:t>
      </w:r>
      <w:bookmarkEnd w:id="57"/>
      <w:bookmarkEnd w:id="58"/>
      <w:bookmarkEnd w:id="59"/>
      <w:bookmarkEnd w:id="60"/>
      <w:bookmarkEnd w:id="61"/>
    </w:p>
    <w:p w14:paraId="3CD9F62F">
      <w:pPr>
        <w:pStyle w:val="25"/>
        <w:adjustRightInd/>
        <w:snapToGrid/>
        <w:ind w:firstLine="480"/>
        <w:contextualSpacing/>
        <w:rPr>
          <w:rFonts w:hint="default" w:ascii="Times New Roman" w:hAnsi="Times New Roman" w:cs="Times New Roman"/>
          <w:color w:val="auto"/>
          <w:highlight w:val="none"/>
        </w:rPr>
      </w:pPr>
      <w:r>
        <w:rPr>
          <w:rFonts w:hint="default" w:ascii="Times New Roman" w:hAnsi="Times New Roman" w:cs="Times New Roman"/>
          <w:color w:val="auto"/>
          <w:highlight w:val="none"/>
        </w:rPr>
        <w:t>本报告通过调查、分析和综合评价后认为：拟建项目符合国家和地方有关环境保护法律法规、标准、政策、规范及相关规划要求；所采用的各项污染防治措施技术可行、经济合理，能保证各类污染物长期稳定达标排放；预测结果表明项目所排放的污染物对周围环境和环境保护目标影响较小；通过采取有针对性的风险防范措施并落实应急预案，项目的环境风险可接受。综上所述，在规划相符、落实本报告书中的各项环保措施以及各级环保主管部门管理要求、项目取得周边公众理解和支持的前提下，从环保角度分析，拟建项目的建设具有环境可行性。同时，拟建项目在设计、建设、运行全过程中还必须满足消防、安全、职业卫生等相关管理要求，进行规范化的设计、施工和运行管理。</w:t>
      </w:r>
    </w:p>
    <w:p w14:paraId="544E0B8D">
      <w:pPr>
        <w:rPr>
          <w:rFonts w:hint="default" w:ascii="Times New Roman" w:hAnsi="Times New Roman" w:cs="Times New Roman"/>
          <w:color w:val="auto"/>
          <w:highlight w:val="none"/>
        </w:rPr>
        <w:sectPr>
          <w:headerReference r:id="rId7" w:type="default"/>
          <w:footerReference r:id="rId8" w:type="default"/>
          <w:pgSz w:w="11906" w:h="16838"/>
          <w:pgMar w:top="1440" w:right="1800" w:bottom="1440" w:left="1800" w:header="851" w:footer="992" w:gutter="0"/>
          <w:pgBorders>
            <w:top w:val="none" w:sz="0" w:space="0"/>
            <w:left w:val="none" w:sz="0" w:space="0"/>
            <w:bottom w:val="none" w:sz="0" w:space="0"/>
            <w:right w:val="none" w:sz="0" w:space="0"/>
          </w:pgBorders>
          <w:pgNumType w:start="1"/>
          <w:cols w:space="425" w:num="1"/>
          <w:docGrid w:type="lines" w:linePitch="312" w:charSpace="0"/>
        </w:sectPr>
      </w:pPr>
    </w:p>
    <w:p w14:paraId="1EF0F47A">
      <w:pPr>
        <w:pStyle w:val="42"/>
        <w:bidi w:val="0"/>
        <w:rPr>
          <w:rFonts w:hint="default" w:ascii="Times New Roman" w:hAnsi="Times New Roman" w:cs="Times New Roman"/>
          <w:color w:val="auto"/>
        </w:rPr>
      </w:pPr>
      <w:bookmarkStart w:id="62" w:name="_Toc140149410"/>
      <w:bookmarkStart w:id="63" w:name="_Toc29103"/>
      <w:bookmarkStart w:id="64" w:name="_Toc152926805"/>
      <w:bookmarkStart w:id="65" w:name="_Toc25989"/>
      <w:bookmarkStart w:id="66" w:name="_Toc479252802"/>
      <w:bookmarkStart w:id="67" w:name="_Toc119316788"/>
      <w:r>
        <w:rPr>
          <w:rFonts w:hint="default" w:ascii="Times New Roman" w:hAnsi="Times New Roman" w:cs="Times New Roman"/>
          <w:color w:val="auto"/>
        </w:rPr>
        <w:t>2总则</w:t>
      </w:r>
      <w:bookmarkEnd w:id="62"/>
      <w:bookmarkEnd w:id="63"/>
      <w:bookmarkEnd w:id="64"/>
      <w:bookmarkEnd w:id="65"/>
    </w:p>
    <w:p w14:paraId="1CDFBCB9">
      <w:pPr>
        <w:pStyle w:val="41"/>
        <w:bidi w:val="0"/>
        <w:rPr>
          <w:rFonts w:hint="default" w:ascii="Times New Roman" w:hAnsi="Times New Roman" w:cs="Times New Roman"/>
          <w:color w:val="auto"/>
          <w:highlight w:val="none"/>
        </w:rPr>
      </w:pPr>
      <w:bookmarkStart w:id="68" w:name="_Toc16703"/>
      <w:bookmarkStart w:id="69" w:name="_Toc140149411"/>
      <w:bookmarkStart w:id="70" w:name="_Toc14629"/>
      <w:bookmarkStart w:id="71" w:name="_Toc152926806"/>
      <w:r>
        <w:rPr>
          <w:rFonts w:hint="default" w:ascii="Times New Roman" w:hAnsi="Times New Roman" w:cs="Times New Roman"/>
          <w:color w:val="auto"/>
          <w:highlight w:val="none"/>
        </w:rPr>
        <w:t>2.1评价目的</w:t>
      </w:r>
      <w:bookmarkEnd w:id="68"/>
      <w:bookmarkEnd w:id="69"/>
      <w:bookmarkEnd w:id="70"/>
      <w:bookmarkEnd w:id="71"/>
    </w:p>
    <w:p w14:paraId="4E57B4DC">
      <w:pPr>
        <w:pStyle w:val="25"/>
        <w:bidi w:val="0"/>
        <w:rPr>
          <w:rFonts w:hint="default" w:ascii="Times New Roman" w:hAnsi="Times New Roman" w:cs="Times New Roman"/>
          <w:color w:val="auto"/>
        </w:rPr>
      </w:pPr>
      <w:r>
        <w:rPr>
          <w:rFonts w:hint="default" w:ascii="Times New Roman" w:hAnsi="Times New Roman" w:cs="Times New Roman"/>
          <w:color w:val="auto"/>
        </w:rPr>
        <w:t>根据本工程特性及工程所在地的环境特点，确定本报告的编制目的：</w:t>
      </w:r>
    </w:p>
    <w:p w14:paraId="15C249D8">
      <w:pPr>
        <w:pStyle w:val="25"/>
        <w:bidi w:val="0"/>
        <w:rPr>
          <w:rFonts w:hint="default" w:ascii="Times New Roman" w:hAnsi="Times New Roman" w:cs="Times New Roman"/>
          <w:color w:val="auto"/>
        </w:rPr>
      </w:pPr>
      <w:r>
        <w:rPr>
          <w:rFonts w:hint="default" w:ascii="Times New Roman" w:hAnsi="Times New Roman" w:cs="Times New Roman"/>
          <w:color w:val="auto"/>
        </w:rPr>
        <w:t>（1）贯彻“预防为主，防治结合，综合利用”环境管理方针，要求在开发建设活动实施之前预计可能产生的环境污染与破坏，再据此采取防治对策，做到防患于未然。</w:t>
      </w:r>
    </w:p>
    <w:p w14:paraId="5997A8DA">
      <w:pPr>
        <w:pStyle w:val="25"/>
        <w:bidi w:val="0"/>
        <w:rPr>
          <w:rFonts w:hint="default" w:ascii="Times New Roman" w:hAnsi="Times New Roman" w:cs="Times New Roman"/>
          <w:color w:val="auto"/>
        </w:rPr>
      </w:pPr>
      <w:r>
        <w:rPr>
          <w:rFonts w:hint="default" w:ascii="Times New Roman" w:hAnsi="Times New Roman" w:cs="Times New Roman"/>
          <w:color w:val="auto"/>
        </w:rPr>
        <w:t>（2）本次环评将在对本项目工程分析的基础上，分析论证本项目“三废”排放情况及从环保角度确认工艺过程的先进性，为环境影响预测提供基础数据，并为今后的环境管理工作提供科学依据。</w:t>
      </w:r>
    </w:p>
    <w:p w14:paraId="2A3594AE">
      <w:pPr>
        <w:pStyle w:val="25"/>
        <w:bidi w:val="0"/>
        <w:rPr>
          <w:rFonts w:hint="default" w:ascii="Times New Roman" w:hAnsi="Times New Roman" w:cs="Times New Roman"/>
          <w:color w:val="auto"/>
        </w:rPr>
      </w:pPr>
      <w:r>
        <w:rPr>
          <w:rFonts w:hint="default" w:ascii="Times New Roman" w:hAnsi="Times New Roman" w:cs="Times New Roman"/>
          <w:color w:val="auto"/>
        </w:rPr>
        <w:t>（3）通过对建设地点及周围环境的综合现状调查和现场监测，了解和掌握该地区的环境质量现状及污染现状，并确定环境保护目标。</w:t>
      </w:r>
    </w:p>
    <w:p w14:paraId="649596C0">
      <w:pPr>
        <w:pStyle w:val="25"/>
        <w:bidi w:val="0"/>
        <w:rPr>
          <w:rFonts w:hint="default" w:ascii="Times New Roman" w:hAnsi="Times New Roman" w:cs="Times New Roman"/>
          <w:color w:val="auto"/>
        </w:rPr>
      </w:pPr>
      <w:r>
        <w:rPr>
          <w:rFonts w:hint="default" w:ascii="Times New Roman" w:hAnsi="Times New Roman" w:cs="Times New Roman"/>
          <w:color w:val="auto"/>
        </w:rPr>
        <w:t>（4）采用适当的预测模式，预测和评价工程投产后对该地区的环境影响程度和范围，提出经济上合理，技术上可行的环境保护措施。</w:t>
      </w:r>
    </w:p>
    <w:p w14:paraId="59C51EC9">
      <w:pPr>
        <w:pStyle w:val="25"/>
        <w:bidi w:val="0"/>
        <w:rPr>
          <w:rFonts w:hint="default" w:ascii="Times New Roman" w:hAnsi="Times New Roman" w:cs="Times New Roman"/>
          <w:color w:val="auto"/>
        </w:rPr>
      </w:pPr>
      <w:r>
        <w:rPr>
          <w:rFonts w:hint="default" w:ascii="Times New Roman" w:hAnsi="Times New Roman" w:cs="Times New Roman"/>
          <w:color w:val="auto"/>
        </w:rPr>
        <w:t>（5）通过对环境、经济的损益分析，论证本工程社会效益、环境效益和经济效益的统一性。</w:t>
      </w:r>
    </w:p>
    <w:p w14:paraId="7A3AF974">
      <w:pPr>
        <w:pStyle w:val="25"/>
        <w:bidi w:val="0"/>
        <w:rPr>
          <w:rFonts w:hint="default" w:ascii="Times New Roman" w:hAnsi="Times New Roman" w:cs="Times New Roman"/>
          <w:color w:val="auto"/>
        </w:rPr>
      </w:pPr>
      <w:r>
        <w:rPr>
          <w:rFonts w:hint="default" w:ascii="Times New Roman" w:hAnsi="Times New Roman" w:cs="Times New Roman"/>
          <w:color w:val="auto"/>
        </w:rPr>
        <w:t>（6）从环境功能规划、环境容量及周围环境敏感保护目标等方面，论证本项目选址的合理性，为项目实现优化选址、合理布局、最佳设计提供科学依据。</w:t>
      </w:r>
    </w:p>
    <w:p w14:paraId="4380E1AF">
      <w:pPr>
        <w:pStyle w:val="41"/>
        <w:bidi w:val="0"/>
        <w:rPr>
          <w:rFonts w:hint="default" w:ascii="Times New Roman" w:hAnsi="Times New Roman" w:cs="Times New Roman"/>
          <w:color w:val="auto"/>
        </w:rPr>
      </w:pPr>
      <w:bookmarkStart w:id="72" w:name="_Toc140149412"/>
      <w:bookmarkStart w:id="73" w:name="_Toc8950"/>
      <w:bookmarkStart w:id="74" w:name="_Toc152926807"/>
      <w:bookmarkStart w:id="75" w:name="_Toc3061"/>
      <w:r>
        <w:rPr>
          <w:rFonts w:hint="default" w:ascii="Times New Roman" w:hAnsi="Times New Roman" w:cs="Times New Roman"/>
          <w:color w:val="auto"/>
        </w:rPr>
        <w:t>2.2评价原则</w:t>
      </w:r>
      <w:bookmarkEnd w:id="72"/>
      <w:bookmarkEnd w:id="73"/>
      <w:bookmarkEnd w:id="74"/>
      <w:bookmarkEnd w:id="75"/>
    </w:p>
    <w:p w14:paraId="425ECADE">
      <w:pPr>
        <w:pStyle w:val="25"/>
        <w:bidi w:val="0"/>
        <w:rPr>
          <w:rFonts w:hint="default" w:ascii="Times New Roman" w:hAnsi="Times New Roman" w:cs="Times New Roman"/>
          <w:color w:val="auto"/>
        </w:rPr>
      </w:pPr>
      <w:bookmarkStart w:id="76" w:name="_Toc436918980"/>
      <w:bookmarkStart w:id="77" w:name="_Toc477190961"/>
      <w:bookmarkStart w:id="78" w:name="_Toc472585613"/>
      <w:bookmarkStart w:id="79" w:name="_Toc439236475"/>
      <w:r>
        <w:rPr>
          <w:rFonts w:hint="default" w:ascii="Times New Roman" w:hAnsi="Times New Roman" w:cs="Times New Roman"/>
          <w:color w:val="auto"/>
        </w:rPr>
        <w:t xml:space="preserve">突出环境影响评价的源头预防作用，坚持保护和改善环境质量。 </w:t>
      </w:r>
    </w:p>
    <w:p w14:paraId="49998DC0">
      <w:pPr>
        <w:pStyle w:val="25"/>
        <w:bidi w:val="0"/>
        <w:rPr>
          <w:rFonts w:hint="default" w:ascii="Times New Roman" w:hAnsi="Times New Roman" w:cs="Times New Roman"/>
          <w:color w:val="auto"/>
        </w:rPr>
      </w:pPr>
      <w:r>
        <w:rPr>
          <w:rFonts w:hint="default" w:ascii="Times New Roman" w:hAnsi="Times New Roman" w:cs="Times New Roman"/>
          <w:color w:val="auto"/>
        </w:rPr>
        <w:t>（1）依法评价</w:t>
      </w:r>
    </w:p>
    <w:p w14:paraId="22DFD632">
      <w:pPr>
        <w:pStyle w:val="25"/>
        <w:bidi w:val="0"/>
        <w:rPr>
          <w:rFonts w:hint="default" w:ascii="Times New Roman" w:hAnsi="Times New Roman" w:cs="Times New Roman"/>
          <w:color w:val="auto"/>
        </w:rPr>
      </w:pPr>
      <w:r>
        <w:rPr>
          <w:rFonts w:hint="default" w:ascii="Times New Roman" w:hAnsi="Times New Roman" w:cs="Times New Roman"/>
          <w:color w:val="auto"/>
        </w:rPr>
        <w:t>贯彻执行我国环境保护相关法律法规、标准、政策和规划等，优化项目建设，服务环境管理。</w:t>
      </w:r>
    </w:p>
    <w:p w14:paraId="0028EEAC">
      <w:pPr>
        <w:pStyle w:val="25"/>
        <w:bidi w:val="0"/>
        <w:rPr>
          <w:rFonts w:hint="default" w:ascii="Times New Roman" w:hAnsi="Times New Roman" w:cs="Times New Roman"/>
          <w:color w:val="auto"/>
        </w:rPr>
      </w:pPr>
      <w:r>
        <w:rPr>
          <w:rFonts w:hint="default" w:ascii="Times New Roman" w:hAnsi="Times New Roman" w:cs="Times New Roman"/>
          <w:color w:val="auto"/>
        </w:rPr>
        <w:t>（2）科学评价</w:t>
      </w:r>
    </w:p>
    <w:p w14:paraId="3D58D9EF">
      <w:pPr>
        <w:pStyle w:val="25"/>
        <w:bidi w:val="0"/>
        <w:rPr>
          <w:rFonts w:hint="default" w:ascii="Times New Roman" w:hAnsi="Times New Roman" w:cs="Times New Roman"/>
          <w:color w:val="auto"/>
        </w:rPr>
      </w:pPr>
      <w:r>
        <w:rPr>
          <w:rFonts w:hint="default" w:ascii="Times New Roman" w:hAnsi="Times New Roman" w:cs="Times New Roman"/>
          <w:color w:val="auto"/>
        </w:rPr>
        <w:t>规范环境影响评价方法，科学分析项目建设对环境质量的影响。</w:t>
      </w:r>
    </w:p>
    <w:p w14:paraId="14AD6811">
      <w:pPr>
        <w:pStyle w:val="25"/>
        <w:bidi w:val="0"/>
        <w:rPr>
          <w:rFonts w:hint="default" w:ascii="Times New Roman" w:hAnsi="Times New Roman" w:cs="Times New Roman"/>
          <w:color w:val="auto"/>
        </w:rPr>
      </w:pPr>
      <w:r>
        <w:rPr>
          <w:rFonts w:hint="default" w:ascii="Times New Roman" w:hAnsi="Times New Roman" w:cs="Times New Roman"/>
          <w:color w:val="auto"/>
        </w:rPr>
        <w:t>（3）突出重点</w:t>
      </w:r>
    </w:p>
    <w:p w14:paraId="5B7E058D">
      <w:pPr>
        <w:pStyle w:val="25"/>
        <w:bidi w:val="0"/>
        <w:rPr>
          <w:rFonts w:hint="default" w:ascii="Times New Roman" w:hAnsi="Times New Roman" w:cs="Times New Roman"/>
          <w:snapToGrid w:val="0"/>
          <w:color w:val="auto"/>
          <w:szCs w:val="22"/>
          <w:highlight w:val="none"/>
        </w:rPr>
      </w:pPr>
      <w:r>
        <w:rPr>
          <w:rFonts w:hint="default" w:ascii="Times New Roman" w:hAnsi="Times New Roman" w:cs="Times New Roman"/>
          <w:color w:val="auto"/>
        </w:rPr>
        <w:t>根据建设项目的工程内容及其特点，明确与环境要素间的作用效应关系，充分利用符合时效的数据资料及成果，对建设项目主要环境影响予以</w:t>
      </w:r>
      <w:r>
        <w:rPr>
          <w:rFonts w:hint="default" w:ascii="Times New Roman" w:hAnsi="Times New Roman" w:cs="Times New Roman"/>
          <w:snapToGrid w:val="0"/>
          <w:color w:val="auto"/>
          <w:szCs w:val="22"/>
          <w:highlight w:val="none"/>
        </w:rPr>
        <w:t>重点分析和评价。</w:t>
      </w:r>
    </w:p>
    <w:p w14:paraId="0CA7E6F7">
      <w:pPr>
        <w:pStyle w:val="41"/>
        <w:bidi w:val="0"/>
        <w:rPr>
          <w:rFonts w:hint="default" w:ascii="Times New Roman" w:hAnsi="Times New Roman" w:cs="Times New Roman"/>
          <w:color w:val="auto"/>
          <w:highlight w:val="none"/>
        </w:rPr>
      </w:pPr>
      <w:bookmarkStart w:id="80" w:name="_Toc140149413"/>
      <w:bookmarkStart w:id="81" w:name="_Toc152926808"/>
      <w:bookmarkStart w:id="82" w:name="_Toc23442"/>
      <w:bookmarkStart w:id="83" w:name="_Toc28580"/>
      <w:r>
        <w:rPr>
          <w:rFonts w:hint="default" w:ascii="Times New Roman" w:hAnsi="Times New Roman" w:cs="Times New Roman"/>
          <w:color w:val="auto"/>
          <w:highlight w:val="none"/>
        </w:rPr>
        <w:t>2.3编制依据</w:t>
      </w:r>
      <w:bookmarkEnd w:id="76"/>
      <w:bookmarkEnd w:id="77"/>
      <w:bookmarkEnd w:id="78"/>
      <w:bookmarkEnd w:id="79"/>
      <w:bookmarkEnd w:id="80"/>
      <w:bookmarkEnd w:id="81"/>
      <w:bookmarkEnd w:id="82"/>
      <w:bookmarkEnd w:id="83"/>
    </w:p>
    <w:p w14:paraId="2054450F">
      <w:pPr>
        <w:pStyle w:val="39"/>
        <w:bidi w:val="0"/>
        <w:rPr>
          <w:rFonts w:hint="default" w:ascii="Times New Roman" w:hAnsi="Times New Roman" w:cs="Times New Roman"/>
          <w:color w:val="auto"/>
          <w:highlight w:val="none"/>
        </w:rPr>
      </w:pPr>
      <w:bookmarkStart w:id="84" w:name="_Toc685"/>
      <w:r>
        <w:rPr>
          <w:rFonts w:hint="default" w:ascii="Times New Roman" w:hAnsi="Times New Roman" w:cs="Times New Roman"/>
          <w:color w:val="auto"/>
          <w:highlight w:val="none"/>
        </w:rPr>
        <w:t>2.3.1相关法律法规及政策</w:t>
      </w:r>
      <w:bookmarkEnd w:id="84"/>
    </w:p>
    <w:p w14:paraId="5BEA142F">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（1）《中华人民共和国环境保护法》，2015年1月1日；</w:t>
      </w:r>
    </w:p>
    <w:p w14:paraId="3E1530B5">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（2）《中华人民共和国环境影响评价法》（2018修正），2018年12月29日；</w:t>
      </w:r>
    </w:p>
    <w:p w14:paraId="4DFA5D3B">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（3）《中华人民共和国森林法》，2020年7月1日起施行；</w:t>
      </w:r>
    </w:p>
    <w:p w14:paraId="18D7733B">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（4）《中华人民共和国大气污染防治法》（2018修正），2018年10月26日；</w:t>
      </w:r>
    </w:p>
    <w:p w14:paraId="1C6C6D43">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（5）《中华人民共和国水污染防治法》，2018年1月1日；</w:t>
      </w:r>
    </w:p>
    <w:p w14:paraId="06A85A1E">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（6）《中华人民共和国噪声污染防治法》，2022年6月5日；</w:t>
      </w:r>
    </w:p>
    <w:p w14:paraId="0395DBE9">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（7）《中华人民共和国固体废物污染环境防治法》，2020年9月1日；</w:t>
      </w:r>
    </w:p>
    <w:p w14:paraId="2722372A">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snapToGrid w:val="0"/>
          <w:color w:val="auto"/>
          <w:sz w:val="24"/>
          <w:szCs w:val="22"/>
          <w:highlight w:val="none"/>
        </w:rPr>
        <w:t>（8）</w:t>
      </w:r>
      <w:r>
        <w:rPr>
          <w:rFonts w:hint="default" w:ascii="Times New Roman" w:hAnsi="Times New Roman" w:cs="Times New Roman"/>
          <w:color w:val="auto"/>
          <w:sz w:val="24"/>
          <w:szCs w:val="22"/>
          <w:highlight w:val="none"/>
        </w:rPr>
        <w:t>《中华人民共和国土壤污染防治法》，2018年8月31日；</w:t>
      </w:r>
    </w:p>
    <w:p w14:paraId="66AAFE9A">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（9）《中华人民共和国清洁生产促进法》，2019年4月28日；</w:t>
      </w:r>
    </w:p>
    <w:p w14:paraId="48F64A90">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snapToGrid w:val="0"/>
          <w:color w:val="auto"/>
          <w:sz w:val="24"/>
          <w:szCs w:val="22"/>
          <w:highlight w:val="none"/>
        </w:rPr>
        <w:t>（10）</w:t>
      </w:r>
      <w:r>
        <w:rPr>
          <w:rFonts w:hint="default" w:ascii="Times New Roman" w:hAnsi="Times New Roman" w:cs="Times New Roman"/>
          <w:color w:val="auto"/>
          <w:sz w:val="24"/>
          <w:szCs w:val="22"/>
          <w:highlight w:val="none"/>
        </w:rPr>
        <w:t>《中华人民共和国循环经济促进法》，2018年10月26日修正；</w:t>
      </w:r>
    </w:p>
    <w:p w14:paraId="2B975061">
      <w:pPr>
        <w:spacing w:line="500" w:lineRule="exact"/>
        <w:ind w:firstLine="480" w:firstLineChars="200"/>
        <w:rPr>
          <w:rFonts w:hint="default" w:ascii="Times New Roman" w:hAnsi="Times New Roman" w:cs="Times New Roman"/>
          <w:snapToGrid w:val="0"/>
          <w:color w:val="auto"/>
          <w:sz w:val="24"/>
          <w:szCs w:val="22"/>
          <w:highlight w:val="none"/>
        </w:rPr>
      </w:pPr>
      <w:r>
        <w:rPr>
          <w:rFonts w:hint="default" w:ascii="Times New Roman" w:hAnsi="Times New Roman" w:cs="Times New Roman"/>
          <w:snapToGrid w:val="0"/>
          <w:color w:val="auto"/>
          <w:sz w:val="24"/>
          <w:szCs w:val="22"/>
          <w:highlight w:val="none"/>
        </w:rPr>
        <w:t>（11）国务院第682号令《建设项目环境保护管理条例》，2017年10月1日；</w:t>
      </w:r>
    </w:p>
    <w:p w14:paraId="66F35973">
      <w:pPr>
        <w:spacing w:line="500" w:lineRule="exact"/>
        <w:ind w:firstLine="480" w:firstLineChars="200"/>
        <w:rPr>
          <w:rFonts w:hint="default" w:ascii="Times New Roman" w:hAnsi="Times New Roman" w:cs="Times New Roman"/>
          <w:snapToGrid w:val="0"/>
          <w:color w:val="auto"/>
          <w:sz w:val="24"/>
          <w:szCs w:val="22"/>
          <w:highlight w:val="none"/>
        </w:rPr>
      </w:pPr>
      <w:r>
        <w:rPr>
          <w:rFonts w:hint="default" w:ascii="Times New Roman" w:hAnsi="Times New Roman" w:cs="Times New Roman"/>
          <w:snapToGrid w:val="0"/>
          <w:color w:val="auto"/>
          <w:sz w:val="24"/>
          <w:szCs w:val="22"/>
          <w:highlight w:val="none"/>
        </w:rPr>
        <w:t>（12）国发〔2005〕39号《国务院关于落实科学发展观加强环境保护的决定》，2005年12月3日；</w:t>
      </w:r>
    </w:p>
    <w:p w14:paraId="20BB842B">
      <w:pPr>
        <w:spacing w:line="500" w:lineRule="exact"/>
        <w:ind w:firstLine="480" w:firstLineChars="200"/>
        <w:rPr>
          <w:rFonts w:hint="default" w:ascii="Times New Roman" w:hAnsi="Times New Roman" w:cs="Times New Roman"/>
          <w:snapToGrid w:val="0"/>
          <w:color w:val="auto"/>
          <w:sz w:val="24"/>
          <w:szCs w:val="22"/>
          <w:highlight w:val="none"/>
        </w:rPr>
      </w:pPr>
      <w:r>
        <w:rPr>
          <w:rFonts w:hint="default" w:ascii="Times New Roman" w:hAnsi="Times New Roman" w:cs="Times New Roman"/>
          <w:color w:val="auto"/>
          <w:sz w:val="24"/>
          <w:szCs w:val="22"/>
          <w:highlight w:val="none"/>
        </w:rPr>
        <w:t>（13）</w:t>
      </w:r>
      <w:r>
        <w:rPr>
          <w:rFonts w:hint="default" w:ascii="Times New Roman" w:hAnsi="Times New Roman" w:cs="Times New Roman"/>
          <w:snapToGrid w:val="0"/>
          <w:color w:val="auto"/>
          <w:sz w:val="24"/>
          <w:szCs w:val="22"/>
          <w:highlight w:val="none"/>
        </w:rPr>
        <w:t>《建设项目环境影响评价分类管理名录》（2021年版）；</w:t>
      </w:r>
    </w:p>
    <w:p w14:paraId="54CA34F8">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（14）《产业结构调整指导目录》（2024年本）；</w:t>
      </w:r>
    </w:p>
    <w:p w14:paraId="6C5EF5A4">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（15）《国务院关于加强环境保护重点工作的意见》（国发〔2011〕35号）；</w:t>
      </w:r>
    </w:p>
    <w:p w14:paraId="120295D5">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（16）国务院令第592号《土地复垦条例》；</w:t>
      </w:r>
    </w:p>
    <w:p w14:paraId="083ACC99">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（17）《关于切实加强风险防范严格环境影响评价管理的通知》环发〔2012〕98号；</w:t>
      </w:r>
    </w:p>
    <w:p w14:paraId="52C7B03F">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（18）《关于切实加强环境影响评价监督管理工作的通知》（环办〔2013〕104号）；</w:t>
      </w:r>
    </w:p>
    <w:p w14:paraId="51C1303C">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（19）《关于印发〈突发环境事件应急预案管理暂行办法〉的通知》，（环发〔2010〕113号）；</w:t>
      </w:r>
    </w:p>
    <w:p w14:paraId="7B645558">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（20）《突发环境事件信息报告办法》，（环境保护部令第17号，2011.5.1）；</w:t>
      </w:r>
    </w:p>
    <w:p w14:paraId="532B1238">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（21）《企业事业单位突发环境事件应急预案备案管理办法（试行）》，（环发〔2015〕4号）；</w:t>
      </w:r>
    </w:p>
    <w:p w14:paraId="3666D4EC">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（22）《国务院关于印发大气污染防治行动计划的通知》（国发〔2013〕37号，2013年9月10日）；</w:t>
      </w:r>
    </w:p>
    <w:p w14:paraId="22032EC3">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（23）《国务院关于印发水污染防治行动计划的通知》（国发〔2015〕17号，2015年4月16日）；</w:t>
      </w:r>
    </w:p>
    <w:p w14:paraId="6F25BE30">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（24）《国务院关于印发土壤污染防治行动计划的通知》（国发〔2016〕31号，2016年5月28日）；</w:t>
      </w:r>
    </w:p>
    <w:p w14:paraId="15FE1EFE">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（25）《关于落实大气污染防治行动计划严格环境影响评价准入的通知》（环办〔2014〕30号，2014年3月25日）；</w:t>
      </w:r>
    </w:p>
    <w:p w14:paraId="50F7AAF3">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（26）《关于做好环境影响评价制度与排污许可制衔接相关工作的通知》（环办环评〔2017〕84号，2017年11月15日）；</w:t>
      </w:r>
    </w:p>
    <w:p w14:paraId="4865FA5A">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（27）《黑龙江省人民政府关于印发黑龙江省大气污染防治行动计划实施细则的通知》（黑政发〔2014〕1号，2014年1月26日）；</w:t>
      </w:r>
    </w:p>
    <w:p w14:paraId="0B4232E1">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（28）《黑龙江省人民政府关于印发黑龙江省水污染防治工作方案的通知》（黑政发〔2016〕3号，2016 年1月10日）；</w:t>
      </w:r>
    </w:p>
    <w:p w14:paraId="05A68F99">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（29）《黑龙江省人民政府关于印发黑龙江省土壤污染防治实施方案的通知》（黑政发〔2016〕46号，2016年12月30日）；</w:t>
      </w:r>
    </w:p>
    <w:p w14:paraId="61DF9A5A">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（30）《黑龙江省人民政府关于印发黑龙江省“十四五”生态环境保护规划的通知》（黑政规〔2021〕18号）；</w:t>
      </w:r>
    </w:p>
    <w:p w14:paraId="5A314A42">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（31）《黑龙江省“十四五”土壤地下水和农村生态环境保护规划》（黑政规〔2021〕19号）；</w:t>
      </w:r>
    </w:p>
    <w:p w14:paraId="3C9E28ED">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（32）《鸡西市人民政府印发鸡西市“十四五”生态环境保护规划的通知》，（鸡政规〔2022〕7号）。</w:t>
      </w:r>
    </w:p>
    <w:p w14:paraId="1C11C496">
      <w:pPr>
        <w:spacing w:line="500" w:lineRule="exact"/>
        <w:ind w:firstLine="480" w:firstLineChars="200"/>
        <w:rPr>
          <w:rFonts w:hint="default" w:ascii="Times New Roman" w:hAnsi="Times New Roman" w:cs="Times New Roman"/>
          <w:color w:val="auto"/>
          <w:sz w:val="24"/>
          <w:szCs w:val="22"/>
          <w:highlight w:val="none"/>
          <w:lang w:eastAsia="zh-CN"/>
        </w:rPr>
      </w:pPr>
      <w:r>
        <w:rPr>
          <w:rFonts w:hint="default" w:ascii="Times New Roman" w:hAnsi="Times New Roman" w:cs="Times New Roman"/>
          <w:color w:val="auto"/>
          <w:sz w:val="24"/>
          <w:szCs w:val="22"/>
          <w:highlight w:val="none"/>
          <w:lang w:eastAsia="zh-CN"/>
        </w:rPr>
        <w:t>（</w:t>
      </w:r>
      <w:r>
        <w:rPr>
          <w:rFonts w:hint="default" w:ascii="Times New Roman" w:hAnsi="Times New Roman" w:cs="Times New Roman"/>
          <w:color w:val="auto"/>
          <w:sz w:val="24"/>
          <w:szCs w:val="22"/>
          <w:highlight w:val="none"/>
          <w:lang w:val="en-US" w:eastAsia="zh-CN"/>
        </w:rPr>
        <w:t>33</w:t>
      </w:r>
      <w:r>
        <w:rPr>
          <w:rFonts w:hint="default" w:ascii="Times New Roman" w:hAnsi="Times New Roman" w:cs="Times New Roman"/>
          <w:color w:val="auto"/>
          <w:sz w:val="24"/>
          <w:szCs w:val="22"/>
          <w:highlight w:val="none"/>
          <w:lang w:eastAsia="zh-CN"/>
        </w:rPr>
        <w:t>）《黑龙江省固体废物污染环境防治条例》</w:t>
      </w:r>
    </w:p>
    <w:p w14:paraId="716B348B">
      <w:pPr>
        <w:spacing w:line="500" w:lineRule="exact"/>
        <w:ind w:firstLine="480" w:firstLineChars="200"/>
        <w:rPr>
          <w:rFonts w:hint="default" w:ascii="Times New Roman" w:hAnsi="Times New Roman" w:cs="Times New Roman"/>
          <w:color w:val="auto"/>
          <w:sz w:val="24"/>
          <w:szCs w:val="22"/>
          <w:highlight w:val="none"/>
          <w:lang w:eastAsia="zh-CN"/>
        </w:rPr>
      </w:pPr>
      <w:r>
        <w:rPr>
          <w:rFonts w:hint="default" w:ascii="Times New Roman" w:hAnsi="Times New Roman" w:cs="Times New Roman"/>
          <w:color w:val="auto"/>
          <w:sz w:val="24"/>
          <w:szCs w:val="22"/>
          <w:highlight w:val="none"/>
          <w:lang w:eastAsia="zh-CN"/>
        </w:rPr>
        <w:t>（</w:t>
      </w:r>
      <w:r>
        <w:rPr>
          <w:rFonts w:hint="default" w:ascii="Times New Roman" w:hAnsi="Times New Roman" w:cs="Times New Roman"/>
          <w:color w:val="auto"/>
          <w:sz w:val="24"/>
          <w:szCs w:val="22"/>
          <w:highlight w:val="none"/>
          <w:lang w:val="en-US" w:eastAsia="zh-CN"/>
        </w:rPr>
        <w:t>34</w:t>
      </w:r>
      <w:r>
        <w:rPr>
          <w:rFonts w:hint="default" w:ascii="Times New Roman" w:hAnsi="Times New Roman" w:cs="Times New Roman"/>
          <w:color w:val="auto"/>
          <w:sz w:val="24"/>
          <w:szCs w:val="22"/>
          <w:highlight w:val="none"/>
          <w:lang w:eastAsia="zh-CN"/>
        </w:rPr>
        <w:t>）《“十四五”大宗固体废弃物综合利用》</w:t>
      </w:r>
    </w:p>
    <w:p w14:paraId="70AEF444">
      <w:pPr>
        <w:spacing w:line="500" w:lineRule="exact"/>
        <w:ind w:firstLine="480" w:firstLineChars="200"/>
        <w:rPr>
          <w:rFonts w:hint="default" w:ascii="Times New Roman" w:hAnsi="Times New Roman" w:cs="Times New Roman"/>
          <w:color w:val="auto"/>
          <w:sz w:val="24"/>
          <w:szCs w:val="22"/>
          <w:highlight w:val="none"/>
          <w:lang w:eastAsia="zh-CN"/>
        </w:rPr>
      </w:pPr>
      <w:r>
        <w:rPr>
          <w:rFonts w:hint="default" w:ascii="Times New Roman" w:hAnsi="Times New Roman" w:cs="Times New Roman"/>
          <w:color w:val="auto"/>
          <w:sz w:val="24"/>
          <w:szCs w:val="22"/>
          <w:highlight w:val="none"/>
          <w:lang w:eastAsia="zh-CN"/>
        </w:rPr>
        <w:t>（</w:t>
      </w:r>
      <w:r>
        <w:rPr>
          <w:rFonts w:hint="default" w:ascii="Times New Roman" w:hAnsi="Times New Roman" w:cs="Times New Roman"/>
          <w:color w:val="auto"/>
          <w:sz w:val="24"/>
          <w:szCs w:val="22"/>
          <w:highlight w:val="none"/>
          <w:lang w:val="en-US" w:eastAsia="zh-CN"/>
        </w:rPr>
        <w:t>35</w:t>
      </w:r>
      <w:r>
        <w:rPr>
          <w:rFonts w:hint="default" w:ascii="Times New Roman" w:hAnsi="Times New Roman" w:cs="Times New Roman"/>
          <w:color w:val="auto"/>
          <w:sz w:val="24"/>
          <w:szCs w:val="22"/>
          <w:highlight w:val="none"/>
          <w:lang w:eastAsia="zh-CN"/>
        </w:rPr>
        <w:t>）《排污许可管理条例》</w:t>
      </w:r>
    </w:p>
    <w:p w14:paraId="3E484670">
      <w:pPr>
        <w:spacing w:line="500" w:lineRule="exact"/>
        <w:ind w:firstLine="480" w:firstLineChars="200"/>
        <w:rPr>
          <w:rFonts w:hint="default" w:ascii="Times New Roman" w:hAnsi="Times New Roman" w:cs="Times New Roman"/>
          <w:color w:val="auto"/>
          <w:sz w:val="24"/>
          <w:szCs w:val="22"/>
          <w:highlight w:val="none"/>
          <w:lang w:eastAsia="zh-CN"/>
        </w:rPr>
      </w:pPr>
      <w:r>
        <w:rPr>
          <w:rFonts w:hint="default" w:ascii="Times New Roman" w:hAnsi="Times New Roman" w:cs="Times New Roman"/>
          <w:color w:val="auto"/>
          <w:sz w:val="24"/>
          <w:szCs w:val="22"/>
          <w:highlight w:val="none"/>
          <w:lang w:eastAsia="zh-CN"/>
        </w:rPr>
        <w:t>（</w:t>
      </w:r>
      <w:r>
        <w:rPr>
          <w:rFonts w:hint="default" w:ascii="Times New Roman" w:hAnsi="Times New Roman" w:cs="Times New Roman"/>
          <w:color w:val="auto"/>
          <w:sz w:val="24"/>
          <w:szCs w:val="22"/>
          <w:highlight w:val="none"/>
          <w:lang w:val="en-US" w:eastAsia="zh-CN"/>
        </w:rPr>
        <w:t>36</w:t>
      </w:r>
      <w:r>
        <w:rPr>
          <w:rFonts w:hint="default" w:ascii="Times New Roman" w:hAnsi="Times New Roman" w:cs="Times New Roman"/>
          <w:color w:val="auto"/>
          <w:sz w:val="24"/>
          <w:szCs w:val="22"/>
          <w:highlight w:val="none"/>
          <w:lang w:eastAsia="zh-CN"/>
        </w:rPr>
        <w:t>）《黑龙江省空气质量持续改善行动计划实施方案》（黑政发〔2023〕19号）</w:t>
      </w:r>
    </w:p>
    <w:p w14:paraId="1A94E2F1">
      <w:pPr>
        <w:pStyle w:val="39"/>
        <w:bidi w:val="0"/>
        <w:rPr>
          <w:rFonts w:hint="default" w:ascii="Times New Roman" w:hAnsi="Times New Roman" w:cs="Times New Roman"/>
          <w:color w:val="auto"/>
          <w:highlight w:val="none"/>
        </w:rPr>
      </w:pPr>
      <w:bookmarkStart w:id="85" w:name="_Toc22538"/>
      <w:r>
        <w:rPr>
          <w:rFonts w:hint="default" w:ascii="Times New Roman" w:hAnsi="Times New Roman" w:cs="Times New Roman"/>
          <w:color w:val="auto"/>
          <w:highlight w:val="none"/>
        </w:rPr>
        <w:t>2.3.2相关技术规范</w:t>
      </w:r>
      <w:bookmarkEnd w:id="85"/>
    </w:p>
    <w:p w14:paraId="5CD2FF08">
      <w:pPr>
        <w:spacing w:line="500" w:lineRule="exact"/>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（1）《建设项目环境影响评价技术导则 总纲》(HJ2.1-2016)；</w:t>
      </w:r>
    </w:p>
    <w:p w14:paraId="258EBAB0">
      <w:pPr>
        <w:spacing w:line="500" w:lineRule="exact"/>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（2）《环境影响评价技术导则 大气环境》(HJ2.2-2018)；</w:t>
      </w:r>
    </w:p>
    <w:p w14:paraId="6F9CB12D">
      <w:pPr>
        <w:spacing w:line="500" w:lineRule="exact"/>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（3）《环境影响评价技术导则 地表水环境》(HJ2.3-2018)；</w:t>
      </w:r>
    </w:p>
    <w:p w14:paraId="6945F0E0">
      <w:pPr>
        <w:spacing w:line="500" w:lineRule="exact"/>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（4）《环境影响评价技术导则 声环境》(HJ2.4-2021)；</w:t>
      </w:r>
    </w:p>
    <w:p w14:paraId="3B36A003">
      <w:pPr>
        <w:spacing w:line="500" w:lineRule="exact"/>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（5）《环境影响评价技术导则 地下水环境》(HJ610-2016)；</w:t>
      </w:r>
    </w:p>
    <w:p w14:paraId="39A55660">
      <w:pPr>
        <w:spacing w:line="500" w:lineRule="exact"/>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（6）《环境影响评价技术导则 生态影响》(HJ19-2022)；</w:t>
      </w:r>
    </w:p>
    <w:p w14:paraId="16EF7F10">
      <w:pPr>
        <w:spacing w:line="500" w:lineRule="exact"/>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（7）《建设项目环境风险评价技术导则》(HJ 169-2018)；</w:t>
      </w:r>
    </w:p>
    <w:p w14:paraId="7CEA48A6">
      <w:pPr>
        <w:spacing w:line="500" w:lineRule="exact"/>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（8）《环境影响评价技术导则 土壤环境（试行）》(HJ 964-2018)。</w:t>
      </w:r>
    </w:p>
    <w:p w14:paraId="42F1FF37">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（9）《大气污染治理工程技术导则》（HJ2000-2010）；</w:t>
      </w:r>
    </w:p>
    <w:p w14:paraId="58D8C502">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（10）《水污染治理工程技术导则》（HJ2015-2012）；</w:t>
      </w:r>
    </w:p>
    <w:p w14:paraId="0F0ACA60">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（11）《排污单位自行监测技术指南 总则》（HJ819-2017）；</w:t>
      </w:r>
    </w:p>
    <w:p w14:paraId="2C0286E3">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（12）《地下水环境监测技术规范》（HJ/T164-2020）；</w:t>
      </w:r>
    </w:p>
    <w:p w14:paraId="77FD8D46">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（13）《污染源强核算技术指南 总则》（HJ884-2018）；</w:t>
      </w:r>
    </w:p>
    <w:p w14:paraId="5521BC53">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（14）《生产建设项目水土保持技术标准》(GB50433-2018)；</w:t>
      </w:r>
    </w:p>
    <w:p w14:paraId="0A42ACC6">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（15）《固体废物处理处置工程技术导则》（HJ2035-2013）；</w:t>
      </w:r>
    </w:p>
    <w:p w14:paraId="3AEADBA1">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（16）《环境噪声与振动控制工程技术导则》（HJ2034-2013）；</w:t>
      </w:r>
    </w:p>
    <w:p w14:paraId="38C9B53E">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（1</w:t>
      </w:r>
      <w:r>
        <w:rPr>
          <w:rFonts w:hint="default" w:ascii="Times New Roman" w:hAnsi="Times New Roman" w:cs="Times New Roman"/>
          <w:color w:val="auto"/>
          <w:sz w:val="24"/>
          <w:szCs w:val="22"/>
          <w:highlight w:val="none"/>
          <w:lang w:val="en-US" w:eastAsia="zh-CN"/>
        </w:rPr>
        <w:t>7</w:t>
      </w:r>
      <w:r>
        <w:rPr>
          <w:rFonts w:hint="default" w:ascii="Times New Roman" w:hAnsi="Times New Roman" w:cs="Times New Roman"/>
          <w:color w:val="auto"/>
          <w:sz w:val="24"/>
          <w:szCs w:val="22"/>
          <w:highlight w:val="none"/>
        </w:rPr>
        <w:t>）《开发建设项目水土保持技术规范》（GB50433-2008）；</w:t>
      </w:r>
    </w:p>
    <w:p w14:paraId="2D3ACCB7">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w:t>
      </w:r>
      <w:r>
        <w:rPr>
          <w:rFonts w:hint="default" w:ascii="Times New Roman" w:hAnsi="Times New Roman" w:cs="Times New Roman"/>
          <w:color w:val="auto"/>
          <w:sz w:val="24"/>
          <w:szCs w:val="22"/>
          <w:highlight w:val="none"/>
          <w:lang w:val="en-US" w:eastAsia="zh-CN"/>
        </w:rPr>
        <w:t>18</w:t>
      </w:r>
      <w:r>
        <w:rPr>
          <w:rFonts w:hint="default" w:ascii="Times New Roman" w:hAnsi="Times New Roman" w:cs="Times New Roman"/>
          <w:color w:val="auto"/>
          <w:sz w:val="24"/>
          <w:szCs w:val="22"/>
          <w:highlight w:val="none"/>
        </w:rPr>
        <w:t>）《开发建设项目水土流失防治标准》（GB50434-2008）。</w:t>
      </w:r>
    </w:p>
    <w:bookmarkEnd w:id="66"/>
    <w:bookmarkEnd w:id="67"/>
    <w:p w14:paraId="43CC4878">
      <w:pPr>
        <w:pStyle w:val="39"/>
        <w:rPr>
          <w:rFonts w:hint="default" w:ascii="Times New Roman" w:hAnsi="Times New Roman" w:cs="Times New Roman"/>
          <w:color w:val="auto"/>
          <w:highlight w:val="none"/>
        </w:rPr>
      </w:pPr>
      <w:bookmarkStart w:id="86" w:name="_Toc32634"/>
      <w:r>
        <w:rPr>
          <w:rFonts w:hint="default" w:ascii="Times New Roman" w:hAnsi="Times New Roman" w:cs="Times New Roman"/>
          <w:color w:val="auto"/>
          <w:highlight w:val="none"/>
        </w:rPr>
        <w:t>2.3.3其他技术文件</w:t>
      </w:r>
      <w:bookmarkEnd w:id="86"/>
    </w:p>
    <w:p w14:paraId="0F050215">
      <w:pPr>
        <w:pStyle w:val="25"/>
        <w:ind w:firstLine="480"/>
        <w:rPr>
          <w:rFonts w:hint="default" w:ascii="Times New Roman" w:hAnsi="Times New Roman" w:cs="Times New Roman"/>
          <w:snapToGrid w:val="0"/>
          <w:color w:val="auto"/>
          <w:highlight w:val="none"/>
        </w:rPr>
      </w:pPr>
      <w:r>
        <w:rPr>
          <w:rFonts w:hint="default" w:ascii="Times New Roman" w:hAnsi="Times New Roman" w:cs="Times New Roman"/>
          <w:color w:val="auto"/>
          <w:highlight w:val="none"/>
        </w:rPr>
        <w:t>（1）</w:t>
      </w:r>
      <w:r>
        <w:rPr>
          <w:rFonts w:hint="default" w:ascii="Times New Roman" w:hAnsi="Times New Roman" w:cs="Times New Roman"/>
          <w:snapToGrid w:val="0"/>
          <w:color w:val="auto"/>
          <w:highlight w:val="none"/>
        </w:rPr>
        <w:t>《鸡西市城子河区历史遗留废弃矿山地质环境综合治理项目地质环境综合治理工程实施设计》；</w:t>
      </w:r>
    </w:p>
    <w:p w14:paraId="4E2D94FA">
      <w:pPr>
        <w:pStyle w:val="25"/>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（2）《鸡西市城子河区历史遗留矿山生态修复项目环境风险评估报告》及专家意见；</w:t>
      </w:r>
    </w:p>
    <w:p w14:paraId="6A3D5356">
      <w:pPr>
        <w:pStyle w:val="41"/>
        <w:bidi w:val="0"/>
        <w:rPr>
          <w:rFonts w:hint="default" w:ascii="Times New Roman" w:hAnsi="Times New Roman" w:cs="Times New Roman"/>
          <w:color w:val="auto"/>
          <w:highlight w:val="none"/>
        </w:rPr>
      </w:pPr>
      <w:bookmarkStart w:id="87" w:name="_Toc152926809"/>
      <w:bookmarkStart w:id="88" w:name="_Toc2482"/>
      <w:bookmarkStart w:id="89" w:name="_Toc22977"/>
      <w:bookmarkStart w:id="90" w:name="_Toc119316790"/>
      <w:r>
        <w:rPr>
          <w:rFonts w:hint="default" w:ascii="Times New Roman" w:hAnsi="Times New Roman" w:cs="Times New Roman"/>
          <w:color w:val="auto"/>
          <w:highlight w:val="none"/>
        </w:rPr>
        <w:t>2.4环境影响因素识别与评价因子筛选</w:t>
      </w:r>
      <w:bookmarkEnd w:id="87"/>
      <w:bookmarkEnd w:id="88"/>
      <w:bookmarkEnd w:id="89"/>
      <w:bookmarkEnd w:id="90"/>
    </w:p>
    <w:p w14:paraId="4DB30832">
      <w:pPr>
        <w:pStyle w:val="39"/>
        <w:bidi w:val="0"/>
        <w:rPr>
          <w:rFonts w:hint="default" w:ascii="Times New Roman" w:hAnsi="Times New Roman" w:cs="Times New Roman"/>
          <w:color w:val="auto"/>
          <w:highlight w:val="none"/>
        </w:rPr>
      </w:pPr>
      <w:bookmarkStart w:id="91" w:name="_Toc17300"/>
      <w:r>
        <w:rPr>
          <w:rFonts w:hint="default" w:ascii="Times New Roman" w:hAnsi="Times New Roman" w:cs="Times New Roman"/>
          <w:color w:val="auto"/>
          <w:highlight w:val="none"/>
        </w:rPr>
        <w:t>2.4.1环境影响因素识别</w:t>
      </w:r>
      <w:bookmarkEnd w:id="91"/>
    </w:p>
    <w:p w14:paraId="684E4CF7">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根据本项目12个历史遗留矿山工程方案及生产工艺流程、污染物排放特征，以及项目区的环境现状，采用矩阵法对本项目施工期</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生态恢复期</w:t>
      </w:r>
      <w:r>
        <w:rPr>
          <w:rFonts w:hint="default" w:ascii="Times New Roman" w:hAnsi="Times New Roman" w:cs="Times New Roman"/>
          <w:color w:val="auto"/>
          <w:highlight w:val="none"/>
          <w:lang w:val="en-US" w:eastAsia="zh-CN"/>
        </w:rPr>
        <w:t>两</w:t>
      </w:r>
      <w:r>
        <w:rPr>
          <w:rFonts w:hint="default" w:ascii="Times New Roman" w:hAnsi="Times New Roman" w:cs="Times New Roman"/>
          <w:color w:val="auto"/>
          <w:highlight w:val="none"/>
        </w:rPr>
        <w:t>个时段存在的主要环境影响因素、影响类型和影响程度进行识别。</w:t>
      </w:r>
    </w:p>
    <w:p w14:paraId="1EEB81AA">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根据本项目的排污特点及污染源分析，本项目环境影响因素如下：</w:t>
      </w:r>
    </w:p>
    <w:p w14:paraId="4BDA19BE">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施工期：</w:t>
      </w:r>
    </w:p>
    <w:p w14:paraId="091A76B4">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（1）机械运行时的尾气</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场地平整、</w:t>
      </w:r>
      <w:r>
        <w:rPr>
          <w:rFonts w:hint="default" w:ascii="Times New Roman" w:hAnsi="Times New Roman" w:cs="Times New Roman"/>
          <w:color w:val="auto"/>
          <w:highlight w:val="none"/>
        </w:rPr>
        <w:t>煤矸石运输、卸车和回填作业过程产生的扬尘</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污染物为TSP；</w:t>
      </w:r>
    </w:p>
    <w:p w14:paraId="57488159">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（2）施工过程中机械设备</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运输设备</w:t>
      </w:r>
      <w:r>
        <w:rPr>
          <w:rFonts w:hint="default" w:ascii="Times New Roman" w:hAnsi="Times New Roman" w:cs="Times New Roman"/>
          <w:color w:val="auto"/>
          <w:highlight w:val="none"/>
        </w:rPr>
        <w:t>等噪声，会对周围声环境产生一定影响；</w:t>
      </w:r>
    </w:p>
    <w:p w14:paraId="139728BF">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（3）施工期产生的</w:t>
      </w:r>
      <w:r>
        <w:rPr>
          <w:rFonts w:hint="default" w:ascii="Times New Roman" w:hAnsi="Times New Roman" w:cs="Times New Roman"/>
          <w:color w:val="auto"/>
          <w:highlight w:val="none"/>
          <w:lang w:val="en-US" w:eastAsia="zh-CN"/>
        </w:rPr>
        <w:t>施工废水不妥善处理，</w:t>
      </w:r>
      <w:r>
        <w:rPr>
          <w:rFonts w:hint="default" w:ascii="Times New Roman" w:hAnsi="Times New Roman" w:cs="Times New Roman"/>
          <w:color w:val="auto"/>
          <w:highlight w:val="none"/>
        </w:rPr>
        <w:t>将对周边地表水环境产生不良影响。</w:t>
      </w:r>
    </w:p>
    <w:p w14:paraId="2902F311">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（4）施工人员生活垃圾、建筑垃圾如不妥善处置，将对周围环境造成影响；项目施工过程中</w:t>
      </w:r>
      <w:r>
        <w:rPr>
          <w:rFonts w:hint="default" w:ascii="Times New Roman" w:hAnsi="Times New Roman" w:cs="Times New Roman"/>
          <w:color w:val="auto"/>
          <w:highlight w:val="none"/>
          <w:lang w:val="en-US" w:eastAsia="zh-CN"/>
        </w:rPr>
        <w:t>产生的淋溶水</w:t>
      </w:r>
      <w:r>
        <w:rPr>
          <w:rFonts w:hint="default" w:ascii="Times New Roman" w:hAnsi="Times New Roman" w:cs="Times New Roman"/>
          <w:color w:val="auto"/>
          <w:highlight w:val="none"/>
        </w:rPr>
        <w:t>，对地下水环境</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土壤</w:t>
      </w:r>
      <w:r>
        <w:rPr>
          <w:rFonts w:hint="default" w:ascii="Times New Roman" w:hAnsi="Times New Roman" w:cs="Times New Roman"/>
          <w:color w:val="auto"/>
          <w:highlight w:val="none"/>
        </w:rPr>
        <w:t>也会产生一定的影响。</w:t>
      </w:r>
    </w:p>
    <w:p w14:paraId="7133982F">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highlight w:val="none"/>
        </w:rPr>
        <w:t>（5）</w:t>
      </w:r>
      <w:r>
        <w:rPr>
          <w:rFonts w:hint="default" w:ascii="Times New Roman" w:hAnsi="Times New Roman" w:cs="Times New Roman"/>
          <w:color w:val="auto"/>
          <w:sz w:val="24"/>
          <w:szCs w:val="22"/>
          <w:highlight w:val="none"/>
        </w:rPr>
        <w:t>工程施工中会扰动地表，易引起水土流失，给场区生态环境带来不利影响。</w:t>
      </w:r>
    </w:p>
    <w:p w14:paraId="1AED69B8">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6</w:t>
      </w:r>
      <w:r>
        <w:rPr>
          <w:rFonts w:hint="default" w:ascii="Times New Roman" w:hAnsi="Times New Roman" w:cs="Times New Roman"/>
          <w:color w:val="auto"/>
          <w:highlight w:val="none"/>
        </w:rPr>
        <w:t>）运输车辆、作业机噪声对周围声环境的影响。</w:t>
      </w:r>
    </w:p>
    <w:p w14:paraId="20FD82B3">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生态恢复期：</w:t>
      </w:r>
    </w:p>
    <w:p w14:paraId="653994B6">
      <w:pPr>
        <w:pStyle w:val="25"/>
        <w:ind w:firstLine="48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生态恢复期主要</w:t>
      </w:r>
      <w:r>
        <w:rPr>
          <w:rFonts w:hint="eastAsia" w:cs="Times New Roman"/>
          <w:color w:val="558ED5" w:themeColor="text2" w:themeTint="99"/>
          <w:highlight w:val="none"/>
          <w:lang w:val="en-US" w:eastAsia="zh-CN"/>
          <w14:textFill>
            <w14:solidFill>
              <w14:schemeClr w14:val="tx2">
                <w14:lumMod w14:val="60000"/>
                <w14:lumOff w14:val="40000"/>
              </w14:schemeClr>
            </w14:solidFill>
          </w14:textFill>
        </w:rPr>
        <w:t>种植林木，对生态环境为</w:t>
      </w: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有利影响，可减少水土流失、恢复土地功能</w:t>
      </w:r>
      <w:r>
        <w:rPr>
          <w:rFonts w:hint="eastAsia" w:cs="Times New Roman"/>
          <w:color w:val="558ED5" w:themeColor="text2" w:themeTint="99"/>
          <w:highlight w:val="none"/>
          <w:lang w:eastAsia="zh-CN"/>
          <w14:textFill>
            <w14:solidFill>
              <w14:schemeClr w14:val="tx2">
                <w14:lumMod w14:val="60000"/>
                <w14:lumOff w14:val="40000"/>
              </w14:schemeClr>
            </w14:solidFill>
          </w14:textFill>
        </w:rPr>
        <w:t>，</w:t>
      </w:r>
      <w:r>
        <w:rPr>
          <w:rFonts w:hint="eastAsia" w:cs="Times New Roman"/>
          <w:color w:val="558ED5" w:themeColor="text2" w:themeTint="99"/>
          <w:highlight w:val="none"/>
          <w:lang w:val="en-US" w:eastAsia="zh-CN"/>
          <w14:textFill>
            <w14:solidFill>
              <w14:schemeClr w14:val="tx2">
                <w14:lumMod w14:val="60000"/>
                <w14:lumOff w14:val="40000"/>
              </w14:schemeClr>
            </w14:solidFill>
          </w14:textFill>
        </w:rPr>
        <w:t>但会产生噪声及机械尾气。</w:t>
      </w:r>
    </w:p>
    <w:p w14:paraId="67086824">
      <w:pPr>
        <w:pStyle w:val="27"/>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表2-4-1环境影响因素识别一览表</w:t>
      </w:r>
    </w:p>
    <w:tbl>
      <w:tblPr>
        <w:tblStyle w:val="20"/>
        <w:tblW w:w="4524"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526"/>
        <w:gridCol w:w="1487"/>
        <w:gridCol w:w="991"/>
        <w:gridCol w:w="1919"/>
        <w:gridCol w:w="985"/>
        <w:gridCol w:w="1306"/>
        <w:gridCol w:w="967"/>
        <w:gridCol w:w="1026"/>
        <w:gridCol w:w="892"/>
        <w:gridCol w:w="919"/>
        <w:gridCol w:w="913"/>
        <w:gridCol w:w="894"/>
      </w:tblGrid>
      <w:tr w14:paraId="2FCD574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7" w:hRule="atLeast"/>
          <w:tblHeader/>
          <w:jc w:val="center"/>
        </w:trPr>
        <w:tc>
          <w:tcPr>
            <w:tcW w:w="205" w:type="pct"/>
            <w:vMerge w:val="restart"/>
            <w:tcBorders>
              <w:tl2br w:val="nil"/>
              <w:tr2bl w:val="nil"/>
            </w:tcBorders>
            <w:vAlign w:val="center"/>
          </w:tcPr>
          <w:p w14:paraId="48902377">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序号</w:t>
            </w:r>
          </w:p>
        </w:tc>
        <w:tc>
          <w:tcPr>
            <w:tcW w:w="579" w:type="pct"/>
            <w:vMerge w:val="restart"/>
            <w:tcBorders>
              <w:right w:val="single" w:color="auto" w:sz="4" w:space="0"/>
              <w:tl2br w:val="nil"/>
              <w:tr2bl w:val="nil"/>
            </w:tcBorders>
            <w:vAlign w:val="center"/>
          </w:tcPr>
          <w:p w14:paraId="5CAD65C5">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矿山名称</w:t>
            </w:r>
          </w:p>
        </w:tc>
        <w:tc>
          <w:tcPr>
            <w:tcW w:w="386" w:type="pct"/>
            <w:vMerge w:val="restart"/>
            <w:tcBorders>
              <w:left w:val="single" w:color="auto" w:sz="4" w:space="0"/>
              <w:tl2br w:val="nil"/>
              <w:tr2bl w:val="nil"/>
            </w:tcBorders>
            <w:vAlign w:val="center"/>
          </w:tcPr>
          <w:p w14:paraId="08F30926">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治理面积</w:t>
            </w:r>
          </w:p>
          <w:p w14:paraId="6EB29AEB">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（hm</w:t>
            </w:r>
            <w:r>
              <w:rPr>
                <w:rFonts w:hint="default" w:ascii="Times New Roman" w:hAnsi="Times New Roman" w:cs="Times New Roman"/>
                <w:color w:val="558ED5" w:themeColor="text2" w:themeTint="99"/>
                <w:highlight w:val="none"/>
                <w:vertAlign w:val="superscript"/>
                <w14:textFill>
                  <w14:solidFill>
                    <w14:schemeClr w14:val="tx2">
                      <w14:lumMod w14:val="60000"/>
                      <w14:lumOff w14:val="40000"/>
                    </w14:schemeClr>
                  </w14:solidFill>
                </w14:textFill>
              </w:rPr>
              <w:t>2</w:t>
            </w: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748" w:type="pct"/>
            <w:vMerge w:val="restart"/>
            <w:tcBorders>
              <w:left w:val="single" w:color="auto" w:sz="4" w:space="0"/>
              <w:tl2br w:val="nil"/>
              <w:tr2bl w:val="nil"/>
            </w:tcBorders>
            <w:vAlign w:val="center"/>
          </w:tcPr>
          <w:p w14:paraId="54EE1857">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工程方案</w:t>
            </w:r>
          </w:p>
        </w:tc>
        <w:tc>
          <w:tcPr>
            <w:tcW w:w="384" w:type="pct"/>
            <w:vMerge w:val="restart"/>
            <w:tcBorders>
              <w:tl2br w:val="nil"/>
              <w:tr2bl w:val="nil"/>
            </w:tcBorders>
            <w:vAlign w:val="center"/>
          </w:tcPr>
          <w:p w14:paraId="4D289BE5">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工期</w:t>
            </w:r>
          </w:p>
          <w:p w14:paraId="29F17550">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（月）</w:t>
            </w:r>
          </w:p>
        </w:tc>
        <w:tc>
          <w:tcPr>
            <w:tcW w:w="509" w:type="pct"/>
            <w:vMerge w:val="restart"/>
            <w:tcBorders>
              <w:tl2br w:val="nil"/>
              <w:tr2bl w:val="nil"/>
            </w:tcBorders>
            <w:vAlign w:val="center"/>
          </w:tcPr>
          <w:p w14:paraId="2F2E3EBA">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阶段</w:t>
            </w:r>
          </w:p>
        </w:tc>
        <w:tc>
          <w:tcPr>
            <w:tcW w:w="1838" w:type="pct"/>
            <w:gridSpan w:val="5"/>
            <w:tcBorders>
              <w:tl2br w:val="nil"/>
              <w:tr2bl w:val="nil"/>
            </w:tcBorders>
            <w:vAlign w:val="center"/>
          </w:tcPr>
          <w:p w14:paraId="1C29360C">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自然环境</w:t>
            </w:r>
          </w:p>
        </w:tc>
        <w:tc>
          <w:tcPr>
            <w:tcW w:w="348" w:type="pct"/>
            <w:vMerge w:val="restart"/>
            <w:tcBorders>
              <w:right w:val="nil"/>
              <w:tl2br w:val="nil"/>
              <w:tr2bl w:val="nil"/>
            </w:tcBorders>
            <w:vAlign w:val="center"/>
          </w:tcPr>
          <w:p w14:paraId="740B20FB">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生态</w:t>
            </w:r>
          </w:p>
          <w:p w14:paraId="69FD26FB">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环境</w:t>
            </w:r>
          </w:p>
        </w:tc>
      </w:tr>
      <w:tr w14:paraId="41A03E6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94" w:hRule="atLeast"/>
          <w:tblHeader/>
          <w:jc w:val="center"/>
        </w:trPr>
        <w:tc>
          <w:tcPr>
            <w:tcW w:w="205" w:type="pct"/>
            <w:vMerge w:val="continue"/>
            <w:tcBorders>
              <w:tl2br w:val="nil"/>
              <w:tr2bl w:val="nil"/>
            </w:tcBorders>
            <w:vAlign w:val="center"/>
          </w:tcPr>
          <w:p w14:paraId="739B294B">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579" w:type="pct"/>
            <w:vMerge w:val="continue"/>
            <w:tcBorders>
              <w:right w:val="single" w:color="auto" w:sz="4" w:space="0"/>
              <w:tl2br w:val="nil"/>
              <w:tr2bl w:val="nil"/>
            </w:tcBorders>
            <w:vAlign w:val="center"/>
          </w:tcPr>
          <w:p w14:paraId="228C19E9">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386" w:type="pct"/>
            <w:vMerge w:val="continue"/>
            <w:tcBorders>
              <w:left w:val="single" w:color="auto" w:sz="4" w:space="0"/>
              <w:tl2br w:val="nil"/>
              <w:tr2bl w:val="nil"/>
            </w:tcBorders>
            <w:vAlign w:val="center"/>
          </w:tcPr>
          <w:p w14:paraId="42BF3881">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748" w:type="pct"/>
            <w:vMerge w:val="continue"/>
            <w:tcBorders>
              <w:left w:val="single" w:color="auto" w:sz="4" w:space="0"/>
              <w:tl2br w:val="nil"/>
              <w:tr2bl w:val="nil"/>
            </w:tcBorders>
            <w:vAlign w:val="center"/>
          </w:tcPr>
          <w:p w14:paraId="3CE7729F">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384" w:type="pct"/>
            <w:vMerge w:val="continue"/>
            <w:tcBorders>
              <w:tl2br w:val="nil"/>
              <w:tr2bl w:val="nil"/>
            </w:tcBorders>
            <w:vAlign w:val="center"/>
          </w:tcPr>
          <w:p w14:paraId="16251BBA">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509" w:type="pct"/>
            <w:vMerge w:val="continue"/>
            <w:tcBorders>
              <w:tl2br w:val="nil"/>
              <w:tr2bl w:val="nil"/>
            </w:tcBorders>
            <w:vAlign w:val="center"/>
          </w:tcPr>
          <w:p w14:paraId="28A55982">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376" w:type="pct"/>
            <w:tcBorders>
              <w:tl2br w:val="nil"/>
              <w:tr2bl w:val="nil"/>
            </w:tcBorders>
            <w:vAlign w:val="center"/>
          </w:tcPr>
          <w:p w14:paraId="6A6786C6">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环境</w:t>
            </w:r>
          </w:p>
          <w:p w14:paraId="20AA3CC3">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空气</w:t>
            </w:r>
          </w:p>
        </w:tc>
        <w:tc>
          <w:tcPr>
            <w:tcW w:w="400" w:type="pct"/>
            <w:tcBorders>
              <w:tl2br w:val="nil"/>
              <w:tr2bl w:val="nil"/>
            </w:tcBorders>
            <w:vAlign w:val="center"/>
          </w:tcPr>
          <w:p w14:paraId="3DE9CEB8">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地表水</w:t>
            </w:r>
          </w:p>
          <w:p w14:paraId="4DAC466E">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环境</w:t>
            </w:r>
          </w:p>
        </w:tc>
        <w:tc>
          <w:tcPr>
            <w:tcW w:w="347" w:type="pct"/>
            <w:tcBorders>
              <w:tl2br w:val="nil"/>
              <w:tr2bl w:val="nil"/>
            </w:tcBorders>
            <w:vAlign w:val="center"/>
          </w:tcPr>
          <w:p w14:paraId="6516BEC7">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地下水</w:t>
            </w:r>
          </w:p>
          <w:p w14:paraId="34A1C9CF">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环境</w:t>
            </w:r>
          </w:p>
        </w:tc>
        <w:tc>
          <w:tcPr>
            <w:tcW w:w="358" w:type="pct"/>
            <w:tcBorders>
              <w:tl2br w:val="nil"/>
              <w:tr2bl w:val="nil"/>
            </w:tcBorders>
            <w:vAlign w:val="center"/>
          </w:tcPr>
          <w:p w14:paraId="3DC7EB28">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声</w:t>
            </w:r>
          </w:p>
          <w:p w14:paraId="39953905">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环境</w:t>
            </w:r>
          </w:p>
        </w:tc>
        <w:tc>
          <w:tcPr>
            <w:tcW w:w="355" w:type="pct"/>
            <w:tcBorders>
              <w:tl2br w:val="nil"/>
              <w:tr2bl w:val="nil"/>
            </w:tcBorders>
            <w:vAlign w:val="center"/>
          </w:tcPr>
          <w:p w14:paraId="2CB94657">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土壤</w:t>
            </w:r>
          </w:p>
          <w:p w14:paraId="5ACC430F">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环境</w:t>
            </w:r>
          </w:p>
        </w:tc>
        <w:tc>
          <w:tcPr>
            <w:tcW w:w="348" w:type="pct"/>
            <w:vMerge w:val="continue"/>
            <w:tcBorders>
              <w:right w:val="nil"/>
              <w:tl2br w:val="nil"/>
              <w:tr2bl w:val="nil"/>
            </w:tcBorders>
            <w:textDirection w:val="tbRlV"/>
            <w:vAlign w:val="center"/>
          </w:tcPr>
          <w:p w14:paraId="69356CEA">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r>
      <w:tr w14:paraId="2F4F233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1" w:hRule="atLeast"/>
          <w:jc w:val="center"/>
        </w:trPr>
        <w:tc>
          <w:tcPr>
            <w:tcW w:w="205" w:type="pct"/>
            <w:vMerge w:val="restart"/>
            <w:tcBorders>
              <w:tl2br w:val="nil"/>
              <w:tr2bl w:val="nil"/>
            </w:tcBorders>
            <w:vAlign w:val="center"/>
          </w:tcPr>
          <w:p w14:paraId="3B85BBE5">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w:t>
            </w:r>
          </w:p>
        </w:tc>
        <w:tc>
          <w:tcPr>
            <w:tcW w:w="579" w:type="pct"/>
            <w:vMerge w:val="restart"/>
            <w:tcBorders>
              <w:right w:val="single" w:color="auto" w:sz="4" w:space="0"/>
              <w:tl2br w:val="nil"/>
              <w:tr2bl w:val="nil"/>
            </w:tcBorders>
            <w:vAlign w:val="center"/>
          </w:tcPr>
          <w:p w14:paraId="148623ED">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鸡西市城子河区兴顺采石场</w:t>
            </w:r>
          </w:p>
          <w:p w14:paraId="791CE581">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(2#)</w:t>
            </w:r>
          </w:p>
        </w:tc>
        <w:tc>
          <w:tcPr>
            <w:tcW w:w="386" w:type="pct"/>
            <w:vMerge w:val="restart"/>
            <w:tcBorders>
              <w:left w:val="single" w:color="auto" w:sz="4" w:space="0"/>
              <w:tl2br w:val="nil"/>
              <w:tr2bl w:val="nil"/>
            </w:tcBorders>
            <w:vAlign w:val="center"/>
          </w:tcPr>
          <w:p w14:paraId="0913589A">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4.62</w:t>
            </w:r>
          </w:p>
        </w:tc>
        <w:tc>
          <w:tcPr>
            <w:tcW w:w="748" w:type="pct"/>
            <w:vMerge w:val="restart"/>
            <w:tcBorders>
              <w:left w:val="single" w:color="auto" w:sz="4" w:space="0"/>
              <w:tl2br w:val="nil"/>
              <w:tr2bl w:val="nil"/>
            </w:tcBorders>
            <w:vAlign w:val="center"/>
          </w:tcPr>
          <w:p w14:paraId="463AB3CF">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清理工程</w:t>
            </w:r>
          </w:p>
          <w:p w14:paraId="5510D7F3">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场地平整</w:t>
            </w:r>
          </w:p>
          <w:p w14:paraId="0239779F">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挡土墙工程</w:t>
            </w:r>
          </w:p>
          <w:p w14:paraId="71AEC947">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截排水沟工程</w:t>
            </w:r>
          </w:p>
          <w:p w14:paraId="596CA3AD">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植被恢复工程</w:t>
            </w:r>
          </w:p>
          <w:p w14:paraId="37D01092">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回填工程</w:t>
            </w:r>
          </w:p>
        </w:tc>
        <w:tc>
          <w:tcPr>
            <w:tcW w:w="384" w:type="pct"/>
            <w:vMerge w:val="restart"/>
            <w:tcBorders>
              <w:tl2br w:val="nil"/>
              <w:tr2bl w:val="nil"/>
            </w:tcBorders>
            <w:vAlign w:val="center"/>
          </w:tcPr>
          <w:p w14:paraId="7A0DE881">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12</w:t>
            </w:r>
          </w:p>
        </w:tc>
        <w:tc>
          <w:tcPr>
            <w:tcW w:w="509" w:type="pct"/>
            <w:tcBorders>
              <w:bottom w:val="single" w:color="auto" w:sz="4" w:space="0"/>
              <w:tl2br w:val="nil"/>
              <w:tr2bl w:val="nil"/>
            </w:tcBorders>
            <w:vAlign w:val="center"/>
          </w:tcPr>
          <w:p w14:paraId="029DA324">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施工期</w:t>
            </w:r>
          </w:p>
        </w:tc>
        <w:tc>
          <w:tcPr>
            <w:tcW w:w="376" w:type="pct"/>
            <w:tcBorders>
              <w:bottom w:val="single" w:color="auto" w:sz="4" w:space="0"/>
              <w:tl2br w:val="nil"/>
              <w:tr2bl w:val="nil"/>
            </w:tcBorders>
            <w:vAlign w:val="center"/>
          </w:tcPr>
          <w:p w14:paraId="74883C5F">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-2D</w:t>
            </w:r>
          </w:p>
        </w:tc>
        <w:tc>
          <w:tcPr>
            <w:tcW w:w="400" w:type="pct"/>
            <w:tcBorders>
              <w:bottom w:val="single" w:color="auto" w:sz="4" w:space="0"/>
              <w:tl2br w:val="nil"/>
              <w:tr2bl w:val="nil"/>
            </w:tcBorders>
            <w:vAlign w:val="center"/>
          </w:tcPr>
          <w:p w14:paraId="2980ED5F">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47" w:type="pct"/>
            <w:tcBorders>
              <w:bottom w:val="single" w:color="auto" w:sz="4" w:space="0"/>
              <w:tl2br w:val="nil"/>
              <w:tr2bl w:val="nil"/>
            </w:tcBorders>
            <w:vAlign w:val="center"/>
          </w:tcPr>
          <w:p w14:paraId="521F0C6F">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358" w:type="pct"/>
            <w:tcBorders>
              <w:bottom w:val="single" w:color="auto" w:sz="4" w:space="0"/>
              <w:tl2br w:val="nil"/>
              <w:tr2bl w:val="nil"/>
            </w:tcBorders>
            <w:vAlign w:val="center"/>
          </w:tcPr>
          <w:p w14:paraId="0C2CDDA3">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-2D</w:t>
            </w:r>
          </w:p>
        </w:tc>
        <w:tc>
          <w:tcPr>
            <w:tcW w:w="355" w:type="pct"/>
            <w:tcBorders>
              <w:bottom w:val="single" w:color="auto" w:sz="4" w:space="0"/>
              <w:tl2br w:val="nil"/>
              <w:tr2bl w:val="nil"/>
            </w:tcBorders>
            <w:vAlign w:val="center"/>
          </w:tcPr>
          <w:p w14:paraId="303F6B7D">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348" w:type="pct"/>
            <w:tcBorders>
              <w:bottom w:val="single" w:color="auto" w:sz="4" w:space="0"/>
              <w:tl2br w:val="nil"/>
              <w:tr2bl w:val="nil"/>
            </w:tcBorders>
            <w:vAlign w:val="center"/>
          </w:tcPr>
          <w:p w14:paraId="0C0B79DF">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-2D</w:t>
            </w:r>
          </w:p>
        </w:tc>
      </w:tr>
      <w:tr w14:paraId="5270270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63" w:hRule="atLeast"/>
          <w:jc w:val="center"/>
        </w:trPr>
        <w:tc>
          <w:tcPr>
            <w:tcW w:w="205" w:type="pct"/>
            <w:vMerge w:val="continue"/>
            <w:tcBorders>
              <w:tl2br w:val="nil"/>
              <w:tr2bl w:val="nil"/>
            </w:tcBorders>
            <w:vAlign w:val="center"/>
          </w:tcPr>
          <w:p w14:paraId="43E66782">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579" w:type="pct"/>
            <w:vMerge w:val="continue"/>
            <w:tcBorders>
              <w:right w:val="single" w:color="auto" w:sz="4" w:space="0"/>
              <w:tl2br w:val="nil"/>
              <w:tr2bl w:val="nil"/>
            </w:tcBorders>
            <w:vAlign w:val="center"/>
          </w:tcPr>
          <w:p w14:paraId="791DAC48">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386" w:type="pct"/>
            <w:vMerge w:val="continue"/>
            <w:tcBorders>
              <w:left w:val="single" w:color="auto" w:sz="4" w:space="0"/>
              <w:tl2br w:val="nil"/>
              <w:tr2bl w:val="nil"/>
            </w:tcBorders>
            <w:vAlign w:val="center"/>
          </w:tcPr>
          <w:p w14:paraId="4E0EB43C">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748" w:type="pct"/>
            <w:vMerge w:val="continue"/>
            <w:tcBorders>
              <w:left w:val="single" w:color="auto" w:sz="4" w:space="0"/>
              <w:tl2br w:val="nil"/>
              <w:tr2bl w:val="nil"/>
            </w:tcBorders>
            <w:vAlign w:val="center"/>
          </w:tcPr>
          <w:p w14:paraId="25254E26">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384" w:type="pct"/>
            <w:vMerge w:val="continue"/>
            <w:tcBorders>
              <w:tl2br w:val="nil"/>
              <w:tr2bl w:val="nil"/>
            </w:tcBorders>
            <w:vAlign w:val="center"/>
          </w:tcPr>
          <w:p w14:paraId="2333C4F3">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509" w:type="pct"/>
            <w:tcBorders>
              <w:top w:val="single" w:color="auto" w:sz="4" w:space="0"/>
              <w:tl2br w:val="nil"/>
              <w:tr2bl w:val="nil"/>
            </w:tcBorders>
            <w:vAlign w:val="center"/>
          </w:tcPr>
          <w:p w14:paraId="14175A26">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生态恢复期</w:t>
            </w:r>
          </w:p>
        </w:tc>
        <w:tc>
          <w:tcPr>
            <w:tcW w:w="376" w:type="pct"/>
            <w:tcBorders>
              <w:top w:val="single" w:color="auto" w:sz="4" w:space="0"/>
              <w:tl2br w:val="nil"/>
              <w:tr2bl w:val="nil"/>
            </w:tcBorders>
            <w:vAlign w:val="center"/>
          </w:tcPr>
          <w:p w14:paraId="5EEA1C4D">
            <w:pPr>
              <w:pStyle w:val="44"/>
              <w:bidi w:val="0"/>
              <w:rPr>
                <w:rFonts w:hint="default" w:ascii="Times New Roman" w:hAnsi="Times New Roman" w:eastAsia="宋体" w:cs="Times New Roman"/>
                <w:color w:val="558ED5" w:themeColor="text2" w:themeTint="99"/>
                <w:highlight w:val="none"/>
                <w:lang w:val="en-US" w:eastAsia="zh-CN"/>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400" w:type="pct"/>
            <w:tcBorders>
              <w:top w:val="single" w:color="auto" w:sz="4" w:space="0"/>
              <w:tl2br w:val="nil"/>
              <w:tr2bl w:val="nil"/>
            </w:tcBorders>
            <w:vAlign w:val="center"/>
          </w:tcPr>
          <w:p w14:paraId="564C8E2A">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47" w:type="pct"/>
            <w:tcBorders>
              <w:top w:val="single" w:color="auto" w:sz="4" w:space="0"/>
              <w:tl2br w:val="nil"/>
              <w:tr2bl w:val="nil"/>
            </w:tcBorders>
            <w:vAlign w:val="center"/>
          </w:tcPr>
          <w:p w14:paraId="51F6B314">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lang w:val="en-US" w:eastAsia="zh-CN"/>
                <w14:textFill>
                  <w14:solidFill>
                    <w14:schemeClr w14:val="tx2">
                      <w14:lumMod w14:val="60000"/>
                      <w14:lumOff w14:val="40000"/>
                    </w14:schemeClr>
                  </w14:solidFill>
                </w14:textFill>
              </w:rPr>
              <w:t>-1D</w:t>
            </w:r>
          </w:p>
        </w:tc>
        <w:tc>
          <w:tcPr>
            <w:tcW w:w="358" w:type="pct"/>
            <w:tcBorders>
              <w:top w:val="single" w:color="auto" w:sz="4" w:space="0"/>
              <w:tl2br w:val="nil"/>
              <w:tr2bl w:val="nil"/>
            </w:tcBorders>
            <w:vAlign w:val="center"/>
          </w:tcPr>
          <w:p w14:paraId="0040ED99">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355" w:type="pct"/>
            <w:tcBorders>
              <w:top w:val="single" w:color="auto" w:sz="4" w:space="0"/>
              <w:tl2br w:val="nil"/>
              <w:tr2bl w:val="nil"/>
            </w:tcBorders>
            <w:vAlign w:val="center"/>
          </w:tcPr>
          <w:p w14:paraId="55E7A633">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lang w:val="en-US" w:eastAsia="zh-CN"/>
                <w14:textFill>
                  <w14:solidFill>
                    <w14:schemeClr w14:val="tx2">
                      <w14:lumMod w14:val="60000"/>
                      <w14:lumOff w14:val="40000"/>
                    </w14:schemeClr>
                  </w14:solidFill>
                </w14:textFill>
              </w:rPr>
              <w:t>-1D</w:t>
            </w:r>
          </w:p>
        </w:tc>
        <w:tc>
          <w:tcPr>
            <w:tcW w:w="348" w:type="pct"/>
            <w:tcBorders>
              <w:top w:val="single" w:color="auto" w:sz="4" w:space="0"/>
              <w:tl2br w:val="nil"/>
              <w:tr2bl w:val="nil"/>
            </w:tcBorders>
            <w:vAlign w:val="center"/>
          </w:tcPr>
          <w:p w14:paraId="32DFE565">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+2C</w:t>
            </w:r>
          </w:p>
        </w:tc>
      </w:tr>
      <w:tr w14:paraId="2091F9A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1" w:hRule="atLeast"/>
          <w:jc w:val="center"/>
        </w:trPr>
        <w:tc>
          <w:tcPr>
            <w:tcW w:w="205" w:type="pct"/>
            <w:tcBorders>
              <w:tl2br w:val="nil"/>
              <w:tr2bl w:val="nil"/>
            </w:tcBorders>
            <w:vAlign w:val="center"/>
          </w:tcPr>
          <w:p w14:paraId="33957755">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2</w:t>
            </w:r>
          </w:p>
        </w:tc>
        <w:tc>
          <w:tcPr>
            <w:tcW w:w="579" w:type="pct"/>
            <w:tcBorders>
              <w:right w:val="single" w:color="auto" w:sz="4" w:space="0"/>
              <w:tl2br w:val="nil"/>
              <w:tr2bl w:val="nil"/>
            </w:tcBorders>
            <w:vAlign w:val="center"/>
          </w:tcPr>
          <w:p w14:paraId="5E191D9D">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鸡西市城子河区城东一队废弃采石场（14#）</w:t>
            </w:r>
          </w:p>
        </w:tc>
        <w:tc>
          <w:tcPr>
            <w:tcW w:w="386" w:type="pct"/>
            <w:tcBorders>
              <w:left w:val="single" w:color="auto" w:sz="4" w:space="0"/>
              <w:tl2br w:val="nil"/>
              <w:tr2bl w:val="nil"/>
            </w:tcBorders>
            <w:vAlign w:val="center"/>
          </w:tcPr>
          <w:p w14:paraId="70553F0C">
            <w:pPr>
              <w:pStyle w:val="44"/>
              <w:bidi w:val="0"/>
              <w:rPr>
                <w:rFonts w:hint="default" w:ascii="Times New Roman" w:hAnsi="Times New Roman" w:eastAsia="宋体" w:cs="Times New Roman"/>
                <w:color w:val="558ED5" w:themeColor="text2" w:themeTint="99"/>
                <w:highlight w:val="none"/>
                <w:lang w:val="en-US" w:eastAsia="zh-CN"/>
                <w14:textFill>
                  <w14:solidFill>
                    <w14:schemeClr w14:val="tx2">
                      <w14:lumMod w14:val="60000"/>
                      <w14:lumOff w14:val="40000"/>
                    </w14:schemeClr>
                  </w14:solidFill>
                </w14:textFill>
              </w:rPr>
            </w:pPr>
            <w:r>
              <w:rPr>
                <w:rFonts w:hint="eastAsia" w:cs="Times New Roman"/>
                <w:color w:val="558ED5" w:themeColor="text2" w:themeTint="99"/>
                <w:highlight w:val="none"/>
                <w:lang w:val="en-US" w:eastAsia="zh-CN"/>
                <w14:textFill>
                  <w14:solidFill>
                    <w14:schemeClr w14:val="tx2">
                      <w14:lumMod w14:val="60000"/>
                      <w14:lumOff w14:val="40000"/>
                    </w14:schemeClr>
                  </w14:solidFill>
                </w14:textFill>
              </w:rPr>
              <w:t>2.5</w:t>
            </w:r>
          </w:p>
        </w:tc>
        <w:tc>
          <w:tcPr>
            <w:tcW w:w="748" w:type="pct"/>
            <w:tcBorders>
              <w:left w:val="single" w:color="auto" w:sz="4" w:space="0"/>
              <w:tl2br w:val="nil"/>
              <w:tr2bl w:val="nil"/>
            </w:tcBorders>
            <w:vAlign w:val="center"/>
          </w:tcPr>
          <w:p w14:paraId="1160AD18">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危岩清理边坡整形工程</w:t>
            </w:r>
          </w:p>
          <w:p w14:paraId="44DD1D67">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场地平整</w:t>
            </w:r>
          </w:p>
          <w:p w14:paraId="71BDCE48">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CBS植被混凝土边坡绿化</w:t>
            </w:r>
          </w:p>
          <w:p w14:paraId="199FA681">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挡土墙工程</w:t>
            </w:r>
          </w:p>
          <w:p w14:paraId="1CC37091">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截排水工程</w:t>
            </w:r>
          </w:p>
          <w:p w14:paraId="10C22C04">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植被</w:t>
            </w:r>
            <w:r>
              <w:rPr>
                <w:rFonts w:hint="default" w:ascii="Times New Roman" w:hAnsi="Times New Roman" w:cs="Times New Roman"/>
                <w:color w:val="558ED5" w:themeColor="text2" w:themeTint="99"/>
                <w:highlight w:val="none"/>
                <w:lang w:eastAsia="zh-CN"/>
                <w14:textFill>
                  <w14:solidFill>
                    <w14:schemeClr w14:val="tx2">
                      <w14:lumMod w14:val="60000"/>
                      <w14:lumOff w14:val="40000"/>
                    </w14:schemeClr>
                  </w14:solidFill>
                </w14:textFill>
              </w:rPr>
              <w:t>恢复</w:t>
            </w:r>
          </w:p>
        </w:tc>
        <w:tc>
          <w:tcPr>
            <w:tcW w:w="384" w:type="pct"/>
            <w:tcBorders>
              <w:tl2br w:val="nil"/>
              <w:tr2bl w:val="nil"/>
            </w:tcBorders>
            <w:vAlign w:val="center"/>
          </w:tcPr>
          <w:p w14:paraId="041F57EB">
            <w:pPr>
              <w:pStyle w:val="44"/>
              <w:bidi w:val="0"/>
              <w:rPr>
                <w:rFonts w:hint="default" w:ascii="Times New Roman" w:hAnsi="Times New Roman" w:eastAsia="宋体" w:cs="Times New Roman"/>
                <w:color w:val="558ED5" w:themeColor="text2" w:themeTint="99"/>
                <w:highlight w:val="none"/>
                <w:lang w:eastAsia="zh-CN"/>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w:t>
            </w:r>
            <w:r>
              <w:rPr>
                <w:rFonts w:hint="default" w:ascii="Times New Roman" w:hAnsi="Times New Roman" w:cs="Times New Roman"/>
                <w:color w:val="558ED5" w:themeColor="text2" w:themeTint="99"/>
                <w:highlight w:val="none"/>
                <w:lang w:val="en-US" w:eastAsia="zh-CN"/>
                <w14:textFill>
                  <w14:solidFill>
                    <w14:schemeClr w14:val="tx2">
                      <w14:lumMod w14:val="60000"/>
                      <w14:lumOff w14:val="40000"/>
                    </w14:schemeClr>
                  </w14:solidFill>
                </w14:textFill>
              </w:rPr>
              <w:t>2</w:t>
            </w:r>
          </w:p>
        </w:tc>
        <w:tc>
          <w:tcPr>
            <w:tcW w:w="509" w:type="pct"/>
            <w:tcBorders>
              <w:tl2br w:val="nil"/>
              <w:tr2bl w:val="nil"/>
            </w:tcBorders>
            <w:vAlign w:val="center"/>
          </w:tcPr>
          <w:p w14:paraId="417C8A45">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施工期</w:t>
            </w:r>
          </w:p>
        </w:tc>
        <w:tc>
          <w:tcPr>
            <w:tcW w:w="376" w:type="pct"/>
            <w:tcBorders>
              <w:tl2br w:val="nil"/>
              <w:tr2bl w:val="nil"/>
            </w:tcBorders>
            <w:vAlign w:val="center"/>
          </w:tcPr>
          <w:p w14:paraId="61D13FDF">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400" w:type="pct"/>
            <w:tcBorders>
              <w:tl2br w:val="nil"/>
              <w:tr2bl w:val="nil"/>
            </w:tcBorders>
            <w:vAlign w:val="center"/>
          </w:tcPr>
          <w:p w14:paraId="338C40CE">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47" w:type="pct"/>
            <w:tcBorders>
              <w:tl2br w:val="nil"/>
              <w:tr2bl w:val="nil"/>
            </w:tcBorders>
            <w:vAlign w:val="center"/>
          </w:tcPr>
          <w:p w14:paraId="269EDCCE">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58" w:type="pct"/>
            <w:tcBorders>
              <w:tl2br w:val="nil"/>
              <w:tr2bl w:val="nil"/>
            </w:tcBorders>
            <w:vAlign w:val="center"/>
          </w:tcPr>
          <w:p w14:paraId="378986A1">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355" w:type="pct"/>
            <w:tcBorders>
              <w:tl2br w:val="nil"/>
              <w:tr2bl w:val="nil"/>
            </w:tcBorders>
            <w:vAlign w:val="center"/>
          </w:tcPr>
          <w:p w14:paraId="31FEA661">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48" w:type="pct"/>
            <w:tcBorders>
              <w:tl2br w:val="nil"/>
              <w:tr2bl w:val="nil"/>
            </w:tcBorders>
            <w:vAlign w:val="center"/>
          </w:tcPr>
          <w:p w14:paraId="1141B38E">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r>
      <w:tr w14:paraId="6DA1790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1" w:hRule="atLeast"/>
          <w:jc w:val="center"/>
        </w:trPr>
        <w:tc>
          <w:tcPr>
            <w:tcW w:w="205" w:type="pct"/>
            <w:vMerge w:val="restart"/>
            <w:tcBorders>
              <w:tl2br w:val="nil"/>
              <w:tr2bl w:val="nil"/>
            </w:tcBorders>
            <w:vAlign w:val="center"/>
          </w:tcPr>
          <w:p w14:paraId="58C457F7">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3</w:t>
            </w:r>
          </w:p>
        </w:tc>
        <w:tc>
          <w:tcPr>
            <w:tcW w:w="579" w:type="pct"/>
            <w:vMerge w:val="restart"/>
            <w:tcBorders>
              <w:right w:val="single" w:color="auto" w:sz="4" w:space="0"/>
              <w:tl2br w:val="nil"/>
              <w:tr2bl w:val="nil"/>
            </w:tcBorders>
            <w:vAlign w:val="center"/>
          </w:tcPr>
          <w:p w14:paraId="73E9D9C4">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鸡西市城子河区城东一队东0.2km废弃采石场（15#）</w:t>
            </w:r>
          </w:p>
        </w:tc>
        <w:tc>
          <w:tcPr>
            <w:tcW w:w="386" w:type="pct"/>
            <w:vMerge w:val="restart"/>
            <w:tcBorders>
              <w:left w:val="single" w:color="auto" w:sz="4" w:space="0"/>
              <w:tl2br w:val="nil"/>
              <w:tr2bl w:val="nil"/>
            </w:tcBorders>
            <w:vAlign w:val="center"/>
          </w:tcPr>
          <w:p w14:paraId="51F290F5">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1.36</w:t>
            </w:r>
          </w:p>
        </w:tc>
        <w:tc>
          <w:tcPr>
            <w:tcW w:w="748" w:type="pct"/>
            <w:vMerge w:val="restart"/>
            <w:tcBorders>
              <w:left w:val="single" w:color="auto" w:sz="4" w:space="0"/>
              <w:tl2br w:val="nil"/>
              <w:tr2bl w:val="nil"/>
            </w:tcBorders>
            <w:vAlign w:val="center"/>
          </w:tcPr>
          <w:p w14:paraId="61AFFB11">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危岩清理边坡整形工程</w:t>
            </w:r>
          </w:p>
          <w:p w14:paraId="373FA2E1">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场地平整</w:t>
            </w:r>
          </w:p>
          <w:p w14:paraId="1F585434">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清理工程</w:t>
            </w:r>
          </w:p>
          <w:p w14:paraId="1AA306CA">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CBS植被混凝土边坡绿化</w:t>
            </w:r>
          </w:p>
          <w:p w14:paraId="7B483A30">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植被恢复</w:t>
            </w:r>
          </w:p>
          <w:p w14:paraId="53463366">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挡土墙工程</w:t>
            </w:r>
          </w:p>
        </w:tc>
        <w:tc>
          <w:tcPr>
            <w:tcW w:w="384" w:type="pct"/>
            <w:vMerge w:val="restart"/>
            <w:tcBorders>
              <w:tl2br w:val="nil"/>
              <w:tr2bl w:val="nil"/>
            </w:tcBorders>
            <w:vAlign w:val="center"/>
          </w:tcPr>
          <w:p w14:paraId="472EB236">
            <w:pPr>
              <w:pStyle w:val="44"/>
              <w:bidi w:val="0"/>
              <w:rPr>
                <w:rFonts w:hint="default" w:ascii="Times New Roman" w:hAnsi="Times New Roman" w:eastAsia="宋体" w:cs="Times New Roman"/>
                <w:color w:val="558ED5" w:themeColor="text2" w:themeTint="99"/>
                <w:highlight w:val="none"/>
                <w:lang w:eastAsia="zh-CN"/>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w:t>
            </w:r>
            <w:r>
              <w:rPr>
                <w:rFonts w:hint="default" w:ascii="Times New Roman" w:hAnsi="Times New Roman" w:cs="Times New Roman"/>
                <w:color w:val="558ED5" w:themeColor="text2" w:themeTint="99"/>
                <w:highlight w:val="none"/>
                <w:lang w:val="en-US" w:eastAsia="zh-CN"/>
                <w14:textFill>
                  <w14:solidFill>
                    <w14:schemeClr w14:val="tx2">
                      <w14:lumMod w14:val="60000"/>
                      <w14:lumOff w14:val="40000"/>
                    </w14:schemeClr>
                  </w14:solidFill>
                </w14:textFill>
              </w:rPr>
              <w:t>2</w:t>
            </w:r>
          </w:p>
        </w:tc>
        <w:tc>
          <w:tcPr>
            <w:tcW w:w="509" w:type="pct"/>
            <w:tcBorders>
              <w:tl2br w:val="nil"/>
              <w:tr2bl w:val="nil"/>
            </w:tcBorders>
            <w:vAlign w:val="center"/>
          </w:tcPr>
          <w:p w14:paraId="65779982">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施工期</w:t>
            </w:r>
          </w:p>
        </w:tc>
        <w:tc>
          <w:tcPr>
            <w:tcW w:w="376" w:type="pct"/>
            <w:tcBorders>
              <w:tl2br w:val="nil"/>
              <w:tr2bl w:val="nil"/>
            </w:tcBorders>
            <w:vAlign w:val="center"/>
          </w:tcPr>
          <w:p w14:paraId="3848EC8A">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400" w:type="pct"/>
            <w:tcBorders>
              <w:tl2br w:val="nil"/>
              <w:tr2bl w:val="nil"/>
            </w:tcBorders>
            <w:vAlign w:val="center"/>
          </w:tcPr>
          <w:p w14:paraId="60A73B94">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47" w:type="pct"/>
            <w:tcBorders>
              <w:tl2br w:val="nil"/>
              <w:tr2bl w:val="nil"/>
            </w:tcBorders>
            <w:vAlign w:val="center"/>
          </w:tcPr>
          <w:p w14:paraId="0AA5879E">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58" w:type="pct"/>
            <w:tcBorders>
              <w:tl2br w:val="nil"/>
              <w:tr2bl w:val="nil"/>
            </w:tcBorders>
            <w:vAlign w:val="center"/>
          </w:tcPr>
          <w:p w14:paraId="0B506CA1">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355" w:type="pct"/>
            <w:tcBorders>
              <w:tl2br w:val="nil"/>
              <w:tr2bl w:val="nil"/>
            </w:tcBorders>
            <w:vAlign w:val="center"/>
          </w:tcPr>
          <w:p w14:paraId="276400C1">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48" w:type="pct"/>
            <w:tcBorders>
              <w:tl2br w:val="nil"/>
              <w:tr2bl w:val="nil"/>
            </w:tcBorders>
            <w:vAlign w:val="center"/>
          </w:tcPr>
          <w:p w14:paraId="427DC2A8">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r>
      <w:tr w14:paraId="6B21629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48" w:hRule="atLeast"/>
          <w:jc w:val="center"/>
        </w:trPr>
        <w:tc>
          <w:tcPr>
            <w:tcW w:w="205" w:type="pct"/>
            <w:vMerge w:val="continue"/>
            <w:tcBorders>
              <w:tl2br w:val="nil"/>
              <w:tr2bl w:val="nil"/>
            </w:tcBorders>
            <w:vAlign w:val="center"/>
          </w:tcPr>
          <w:p w14:paraId="0FD6826E">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579" w:type="pct"/>
            <w:vMerge w:val="continue"/>
            <w:tcBorders>
              <w:right w:val="single" w:color="auto" w:sz="4" w:space="0"/>
              <w:tl2br w:val="nil"/>
              <w:tr2bl w:val="nil"/>
            </w:tcBorders>
            <w:vAlign w:val="center"/>
          </w:tcPr>
          <w:p w14:paraId="33566504">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386" w:type="pct"/>
            <w:vMerge w:val="continue"/>
            <w:tcBorders>
              <w:left w:val="single" w:color="auto" w:sz="4" w:space="0"/>
              <w:tl2br w:val="nil"/>
              <w:tr2bl w:val="nil"/>
            </w:tcBorders>
            <w:vAlign w:val="center"/>
          </w:tcPr>
          <w:p w14:paraId="60DA9E43">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748" w:type="pct"/>
            <w:vMerge w:val="continue"/>
            <w:tcBorders>
              <w:left w:val="single" w:color="auto" w:sz="4" w:space="0"/>
              <w:tl2br w:val="nil"/>
              <w:tr2bl w:val="nil"/>
            </w:tcBorders>
            <w:vAlign w:val="center"/>
          </w:tcPr>
          <w:p w14:paraId="3DF64ED3">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384" w:type="pct"/>
            <w:vMerge w:val="continue"/>
            <w:tcBorders>
              <w:tl2br w:val="nil"/>
              <w:tr2bl w:val="nil"/>
            </w:tcBorders>
            <w:vAlign w:val="center"/>
          </w:tcPr>
          <w:p w14:paraId="2D3AD05E">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509" w:type="pct"/>
            <w:tcBorders>
              <w:tl2br w:val="nil"/>
              <w:tr2bl w:val="nil"/>
            </w:tcBorders>
            <w:vAlign w:val="center"/>
          </w:tcPr>
          <w:p w14:paraId="44586636">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生态恢复期</w:t>
            </w:r>
          </w:p>
        </w:tc>
        <w:tc>
          <w:tcPr>
            <w:tcW w:w="376" w:type="pct"/>
            <w:tcBorders>
              <w:tl2br w:val="nil"/>
              <w:tr2bl w:val="nil"/>
            </w:tcBorders>
            <w:vAlign w:val="center"/>
          </w:tcPr>
          <w:p w14:paraId="0E560B13">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400" w:type="pct"/>
            <w:tcBorders>
              <w:tl2br w:val="nil"/>
              <w:tr2bl w:val="nil"/>
            </w:tcBorders>
            <w:vAlign w:val="center"/>
          </w:tcPr>
          <w:p w14:paraId="15F38922">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47" w:type="pct"/>
            <w:tcBorders>
              <w:tl2br w:val="nil"/>
              <w:tr2bl w:val="nil"/>
            </w:tcBorders>
            <w:vAlign w:val="center"/>
          </w:tcPr>
          <w:p w14:paraId="3AE09DCA">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58" w:type="pct"/>
            <w:tcBorders>
              <w:tl2br w:val="nil"/>
              <w:tr2bl w:val="nil"/>
            </w:tcBorders>
            <w:vAlign w:val="center"/>
          </w:tcPr>
          <w:p w14:paraId="56123050">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355" w:type="pct"/>
            <w:tcBorders>
              <w:tl2br w:val="nil"/>
              <w:tr2bl w:val="nil"/>
            </w:tcBorders>
            <w:vAlign w:val="center"/>
          </w:tcPr>
          <w:p w14:paraId="12D4566A">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48" w:type="pct"/>
            <w:tcBorders>
              <w:tl2br w:val="nil"/>
              <w:tr2bl w:val="nil"/>
            </w:tcBorders>
            <w:vAlign w:val="center"/>
          </w:tcPr>
          <w:p w14:paraId="7703E2D1">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+2C</w:t>
            </w:r>
          </w:p>
        </w:tc>
      </w:tr>
      <w:tr w14:paraId="7FCB4D5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1" w:hRule="atLeast"/>
          <w:jc w:val="center"/>
        </w:trPr>
        <w:tc>
          <w:tcPr>
            <w:tcW w:w="205" w:type="pct"/>
            <w:vMerge w:val="restart"/>
            <w:tcBorders>
              <w:tl2br w:val="nil"/>
              <w:tr2bl w:val="nil"/>
            </w:tcBorders>
            <w:vAlign w:val="center"/>
          </w:tcPr>
          <w:p w14:paraId="7AD0F015">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4</w:t>
            </w:r>
          </w:p>
          <w:p w14:paraId="3C9747BF">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p w14:paraId="12A83671">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579" w:type="pct"/>
            <w:vMerge w:val="restart"/>
            <w:tcBorders>
              <w:right w:val="single" w:color="auto" w:sz="4" w:space="0"/>
              <w:tl2br w:val="nil"/>
              <w:tr2bl w:val="nil"/>
            </w:tcBorders>
            <w:vAlign w:val="center"/>
          </w:tcPr>
          <w:p w14:paraId="5A3D4E89">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鸡西市城子河区城东一队东南0.4km废弃采石场（16#）</w:t>
            </w:r>
          </w:p>
        </w:tc>
        <w:tc>
          <w:tcPr>
            <w:tcW w:w="386" w:type="pct"/>
            <w:vMerge w:val="restart"/>
            <w:tcBorders>
              <w:left w:val="single" w:color="auto" w:sz="4" w:space="0"/>
              <w:tl2br w:val="nil"/>
              <w:tr2bl w:val="nil"/>
            </w:tcBorders>
            <w:vAlign w:val="center"/>
          </w:tcPr>
          <w:p w14:paraId="3DB83B6D">
            <w:pPr>
              <w:pStyle w:val="44"/>
              <w:bidi w:val="0"/>
              <w:rPr>
                <w:rFonts w:hint="default" w:ascii="Times New Roman" w:hAnsi="Times New Roman" w:eastAsia="宋体" w:cs="Times New Roman"/>
                <w:color w:val="558ED5" w:themeColor="text2" w:themeTint="99"/>
                <w:highlight w:val="none"/>
                <w:lang w:val="en-US" w:eastAsia="zh-CN"/>
                <w14:textFill>
                  <w14:solidFill>
                    <w14:schemeClr w14:val="tx2">
                      <w14:lumMod w14:val="60000"/>
                      <w14:lumOff w14:val="40000"/>
                    </w14:schemeClr>
                  </w14:solidFill>
                </w14:textFill>
              </w:rPr>
            </w:pPr>
            <w:r>
              <w:rPr>
                <w:rFonts w:hint="eastAsia" w:cs="Times New Roman"/>
                <w:color w:val="558ED5" w:themeColor="text2" w:themeTint="99"/>
                <w:highlight w:val="none"/>
                <w:lang w:val="en-US" w:eastAsia="zh-CN"/>
                <w14:textFill>
                  <w14:solidFill>
                    <w14:schemeClr w14:val="tx2">
                      <w14:lumMod w14:val="60000"/>
                      <w14:lumOff w14:val="40000"/>
                    </w14:schemeClr>
                  </w14:solidFill>
                </w14:textFill>
              </w:rPr>
              <w:t>3.178</w:t>
            </w:r>
          </w:p>
        </w:tc>
        <w:tc>
          <w:tcPr>
            <w:tcW w:w="748" w:type="pct"/>
            <w:vMerge w:val="restart"/>
            <w:tcBorders>
              <w:left w:val="single" w:color="auto" w:sz="4" w:space="0"/>
              <w:tl2br w:val="nil"/>
              <w:tr2bl w:val="nil"/>
            </w:tcBorders>
            <w:vAlign w:val="center"/>
          </w:tcPr>
          <w:p w14:paraId="5FCC8C27">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危岩清理边坡整形工程</w:t>
            </w:r>
          </w:p>
          <w:p w14:paraId="45299FEA">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场地平整</w:t>
            </w:r>
          </w:p>
          <w:p w14:paraId="68E8B57D">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CBS植被混凝土边坡绿化</w:t>
            </w:r>
          </w:p>
          <w:p w14:paraId="42876250">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植被</w:t>
            </w:r>
            <w:r>
              <w:rPr>
                <w:rFonts w:hint="default" w:ascii="Times New Roman" w:hAnsi="Times New Roman" w:cs="Times New Roman"/>
                <w:color w:val="558ED5" w:themeColor="text2" w:themeTint="99"/>
                <w:highlight w:val="none"/>
                <w:lang w:eastAsia="zh-CN"/>
                <w14:textFill>
                  <w14:solidFill>
                    <w14:schemeClr w14:val="tx2">
                      <w14:lumMod w14:val="60000"/>
                      <w14:lumOff w14:val="40000"/>
                    </w14:schemeClr>
                  </w14:solidFill>
                </w14:textFill>
              </w:rPr>
              <w:t>恢复</w:t>
            </w:r>
          </w:p>
        </w:tc>
        <w:tc>
          <w:tcPr>
            <w:tcW w:w="384" w:type="pct"/>
            <w:vMerge w:val="restart"/>
            <w:tcBorders>
              <w:tl2br w:val="nil"/>
              <w:tr2bl w:val="nil"/>
            </w:tcBorders>
            <w:vAlign w:val="center"/>
          </w:tcPr>
          <w:p w14:paraId="5ED37219">
            <w:pPr>
              <w:pStyle w:val="44"/>
              <w:bidi w:val="0"/>
              <w:rPr>
                <w:rFonts w:hint="default" w:ascii="Times New Roman" w:hAnsi="Times New Roman" w:eastAsia="宋体" w:cs="Times New Roman"/>
                <w:color w:val="558ED5" w:themeColor="text2" w:themeTint="99"/>
                <w:highlight w:val="none"/>
                <w:lang w:eastAsia="zh-CN"/>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w:t>
            </w:r>
            <w:r>
              <w:rPr>
                <w:rFonts w:hint="default" w:ascii="Times New Roman" w:hAnsi="Times New Roman" w:cs="Times New Roman"/>
                <w:color w:val="558ED5" w:themeColor="text2" w:themeTint="99"/>
                <w:highlight w:val="none"/>
                <w:lang w:val="en-US" w:eastAsia="zh-CN"/>
                <w14:textFill>
                  <w14:solidFill>
                    <w14:schemeClr w14:val="tx2">
                      <w14:lumMod w14:val="60000"/>
                      <w14:lumOff w14:val="40000"/>
                    </w14:schemeClr>
                  </w14:solidFill>
                </w14:textFill>
              </w:rPr>
              <w:t>2</w:t>
            </w:r>
          </w:p>
        </w:tc>
        <w:tc>
          <w:tcPr>
            <w:tcW w:w="509" w:type="pct"/>
            <w:tcBorders>
              <w:tl2br w:val="nil"/>
              <w:tr2bl w:val="nil"/>
            </w:tcBorders>
            <w:vAlign w:val="center"/>
          </w:tcPr>
          <w:p w14:paraId="70CD1D85">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施工期</w:t>
            </w:r>
          </w:p>
        </w:tc>
        <w:tc>
          <w:tcPr>
            <w:tcW w:w="376" w:type="pct"/>
            <w:tcBorders>
              <w:tl2br w:val="nil"/>
              <w:tr2bl w:val="nil"/>
            </w:tcBorders>
            <w:vAlign w:val="center"/>
          </w:tcPr>
          <w:p w14:paraId="07F25B80">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400" w:type="pct"/>
            <w:tcBorders>
              <w:tl2br w:val="nil"/>
              <w:tr2bl w:val="nil"/>
            </w:tcBorders>
            <w:vAlign w:val="center"/>
          </w:tcPr>
          <w:p w14:paraId="77ACEB6E">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47" w:type="pct"/>
            <w:tcBorders>
              <w:tl2br w:val="nil"/>
              <w:tr2bl w:val="nil"/>
            </w:tcBorders>
            <w:vAlign w:val="center"/>
          </w:tcPr>
          <w:p w14:paraId="3FD0C210">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58" w:type="pct"/>
            <w:tcBorders>
              <w:tl2br w:val="nil"/>
              <w:tr2bl w:val="nil"/>
            </w:tcBorders>
            <w:vAlign w:val="center"/>
          </w:tcPr>
          <w:p w14:paraId="46B1B741">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355" w:type="pct"/>
            <w:tcBorders>
              <w:tl2br w:val="nil"/>
              <w:tr2bl w:val="nil"/>
            </w:tcBorders>
            <w:vAlign w:val="center"/>
          </w:tcPr>
          <w:p w14:paraId="2AD0117B">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48" w:type="pct"/>
            <w:tcBorders>
              <w:tl2br w:val="nil"/>
              <w:tr2bl w:val="nil"/>
            </w:tcBorders>
            <w:vAlign w:val="center"/>
          </w:tcPr>
          <w:p w14:paraId="0B3B5F7F">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r>
      <w:tr w14:paraId="3866A62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8" w:hRule="atLeast"/>
          <w:jc w:val="center"/>
        </w:trPr>
        <w:tc>
          <w:tcPr>
            <w:tcW w:w="205" w:type="pct"/>
            <w:vMerge w:val="continue"/>
            <w:tcBorders>
              <w:tl2br w:val="nil"/>
              <w:tr2bl w:val="nil"/>
            </w:tcBorders>
            <w:vAlign w:val="center"/>
          </w:tcPr>
          <w:p w14:paraId="7B5A9E6B">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579" w:type="pct"/>
            <w:vMerge w:val="continue"/>
            <w:tcBorders>
              <w:right w:val="single" w:color="auto" w:sz="4" w:space="0"/>
              <w:tl2br w:val="nil"/>
              <w:tr2bl w:val="nil"/>
            </w:tcBorders>
            <w:vAlign w:val="center"/>
          </w:tcPr>
          <w:p w14:paraId="5E7C61BC">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386" w:type="pct"/>
            <w:vMerge w:val="continue"/>
            <w:tcBorders>
              <w:left w:val="single" w:color="auto" w:sz="4" w:space="0"/>
              <w:tl2br w:val="nil"/>
              <w:tr2bl w:val="nil"/>
            </w:tcBorders>
            <w:vAlign w:val="center"/>
          </w:tcPr>
          <w:p w14:paraId="74C3091F">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748" w:type="pct"/>
            <w:vMerge w:val="continue"/>
            <w:tcBorders>
              <w:left w:val="single" w:color="auto" w:sz="4" w:space="0"/>
              <w:tl2br w:val="nil"/>
              <w:tr2bl w:val="nil"/>
            </w:tcBorders>
            <w:vAlign w:val="center"/>
          </w:tcPr>
          <w:p w14:paraId="7941E4C4">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384" w:type="pct"/>
            <w:vMerge w:val="continue"/>
            <w:tcBorders>
              <w:tl2br w:val="nil"/>
              <w:tr2bl w:val="nil"/>
            </w:tcBorders>
            <w:vAlign w:val="center"/>
          </w:tcPr>
          <w:p w14:paraId="6FF232CE">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509" w:type="pct"/>
            <w:tcBorders>
              <w:tl2br w:val="nil"/>
              <w:tr2bl w:val="nil"/>
            </w:tcBorders>
            <w:vAlign w:val="center"/>
          </w:tcPr>
          <w:p w14:paraId="3993EF90">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生态恢复期</w:t>
            </w:r>
          </w:p>
        </w:tc>
        <w:tc>
          <w:tcPr>
            <w:tcW w:w="967" w:type="dxa"/>
            <w:tcBorders>
              <w:tl2br w:val="nil"/>
              <w:tr2bl w:val="nil"/>
            </w:tcBorders>
            <w:vAlign w:val="center"/>
          </w:tcPr>
          <w:p w14:paraId="7B5A4259">
            <w:pPr>
              <w:pStyle w:val="44"/>
              <w:bidi w:val="0"/>
              <w:ind w:firstLine="0" w:firstLineChars="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1026" w:type="dxa"/>
            <w:tcBorders>
              <w:tl2br w:val="nil"/>
              <w:tr2bl w:val="nil"/>
            </w:tcBorders>
            <w:vAlign w:val="center"/>
          </w:tcPr>
          <w:p w14:paraId="50B044C5">
            <w:pPr>
              <w:pStyle w:val="44"/>
              <w:bidi w:val="0"/>
              <w:ind w:firstLine="0" w:firstLineChars="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892" w:type="dxa"/>
            <w:tcBorders>
              <w:tl2br w:val="nil"/>
              <w:tr2bl w:val="nil"/>
            </w:tcBorders>
            <w:vAlign w:val="center"/>
          </w:tcPr>
          <w:p w14:paraId="154B1DE6">
            <w:pPr>
              <w:pStyle w:val="44"/>
              <w:bidi w:val="0"/>
              <w:ind w:firstLine="0" w:firstLineChars="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919" w:type="dxa"/>
            <w:tcBorders>
              <w:tl2br w:val="nil"/>
              <w:tr2bl w:val="nil"/>
            </w:tcBorders>
            <w:vAlign w:val="center"/>
          </w:tcPr>
          <w:p w14:paraId="7DC6BC58">
            <w:pPr>
              <w:pStyle w:val="44"/>
              <w:bidi w:val="0"/>
              <w:ind w:firstLine="0" w:firstLineChars="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913" w:type="dxa"/>
            <w:tcBorders>
              <w:tl2br w:val="nil"/>
              <w:tr2bl w:val="nil"/>
            </w:tcBorders>
            <w:vAlign w:val="center"/>
          </w:tcPr>
          <w:p w14:paraId="4C347A39">
            <w:pPr>
              <w:pStyle w:val="44"/>
              <w:bidi w:val="0"/>
              <w:ind w:firstLine="0" w:firstLineChars="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48" w:type="pct"/>
            <w:tcBorders>
              <w:tl2br w:val="nil"/>
              <w:tr2bl w:val="nil"/>
            </w:tcBorders>
            <w:vAlign w:val="center"/>
          </w:tcPr>
          <w:p w14:paraId="1441B919">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+2C</w:t>
            </w:r>
          </w:p>
        </w:tc>
      </w:tr>
      <w:tr w14:paraId="73B9ED9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05" w:type="pct"/>
            <w:vMerge w:val="restart"/>
            <w:tcBorders>
              <w:tl2br w:val="nil"/>
              <w:tr2bl w:val="nil"/>
            </w:tcBorders>
            <w:vAlign w:val="center"/>
          </w:tcPr>
          <w:p w14:paraId="55004D14">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5</w:t>
            </w:r>
          </w:p>
        </w:tc>
        <w:tc>
          <w:tcPr>
            <w:tcW w:w="579" w:type="pct"/>
            <w:vMerge w:val="restart"/>
            <w:tcBorders>
              <w:right w:val="single" w:color="auto" w:sz="4" w:space="0"/>
              <w:tl2br w:val="nil"/>
              <w:tr2bl w:val="nil"/>
            </w:tcBorders>
            <w:vAlign w:val="center"/>
          </w:tcPr>
          <w:p w14:paraId="0799D33B">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鸡西市城子河区水泥厂后山废弃采石场</w:t>
            </w:r>
          </w:p>
          <w:p w14:paraId="3349458B">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(21#)</w:t>
            </w:r>
          </w:p>
        </w:tc>
        <w:tc>
          <w:tcPr>
            <w:tcW w:w="386" w:type="pct"/>
            <w:vMerge w:val="restart"/>
            <w:tcBorders>
              <w:left w:val="single" w:color="auto" w:sz="4" w:space="0"/>
              <w:tl2br w:val="nil"/>
              <w:tr2bl w:val="nil"/>
            </w:tcBorders>
            <w:vAlign w:val="center"/>
          </w:tcPr>
          <w:p w14:paraId="4A0D212B">
            <w:pPr>
              <w:pStyle w:val="44"/>
              <w:bidi w:val="0"/>
              <w:rPr>
                <w:rFonts w:hint="default" w:ascii="Times New Roman" w:hAnsi="Times New Roman" w:eastAsia="宋体" w:cs="Times New Roman"/>
                <w:color w:val="558ED5" w:themeColor="text2" w:themeTint="99"/>
                <w:highlight w:val="none"/>
                <w:lang w:val="en-US" w:eastAsia="zh-CN"/>
                <w14:textFill>
                  <w14:solidFill>
                    <w14:schemeClr w14:val="tx2">
                      <w14:lumMod w14:val="60000"/>
                      <w14:lumOff w14:val="40000"/>
                    </w14:schemeClr>
                  </w14:solidFill>
                </w14:textFill>
              </w:rPr>
            </w:pPr>
            <w:r>
              <w:rPr>
                <w:rFonts w:hint="eastAsia" w:cs="Times New Roman"/>
                <w:color w:val="558ED5" w:themeColor="text2" w:themeTint="99"/>
                <w:highlight w:val="none"/>
                <w:lang w:val="en-US" w:eastAsia="zh-CN"/>
                <w14:textFill>
                  <w14:solidFill>
                    <w14:schemeClr w14:val="tx2">
                      <w14:lumMod w14:val="60000"/>
                      <w14:lumOff w14:val="40000"/>
                    </w14:schemeClr>
                  </w14:solidFill>
                </w14:textFill>
              </w:rPr>
              <w:t>4.53</w:t>
            </w:r>
          </w:p>
        </w:tc>
        <w:tc>
          <w:tcPr>
            <w:tcW w:w="748" w:type="pct"/>
            <w:vMerge w:val="restart"/>
            <w:tcBorders>
              <w:left w:val="single" w:color="auto" w:sz="4" w:space="0"/>
              <w:tl2br w:val="nil"/>
              <w:tr2bl w:val="nil"/>
            </w:tcBorders>
            <w:vAlign w:val="center"/>
          </w:tcPr>
          <w:p w14:paraId="74BE5246">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清理工程</w:t>
            </w:r>
          </w:p>
          <w:p w14:paraId="44673799">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场地平整工程</w:t>
            </w:r>
          </w:p>
          <w:p w14:paraId="46CCBF46">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挡土墙工程</w:t>
            </w:r>
          </w:p>
          <w:p w14:paraId="37D2C057">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截排水沟工程</w:t>
            </w:r>
          </w:p>
          <w:p w14:paraId="2B299044">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植被恢复工程</w:t>
            </w:r>
          </w:p>
        </w:tc>
        <w:tc>
          <w:tcPr>
            <w:tcW w:w="384" w:type="pct"/>
            <w:vMerge w:val="restart"/>
            <w:tcBorders>
              <w:tl2br w:val="nil"/>
              <w:tr2bl w:val="nil"/>
            </w:tcBorders>
            <w:vAlign w:val="center"/>
          </w:tcPr>
          <w:p w14:paraId="74903F31">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12</w:t>
            </w:r>
          </w:p>
        </w:tc>
        <w:tc>
          <w:tcPr>
            <w:tcW w:w="509" w:type="pct"/>
            <w:tcBorders>
              <w:tl2br w:val="nil"/>
              <w:tr2bl w:val="nil"/>
            </w:tcBorders>
            <w:vAlign w:val="center"/>
          </w:tcPr>
          <w:p w14:paraId="5CD5275F">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施工期</w:t>
            </w:r>
          </w:p>
        </w:tc>
        <w:tc>
          <w:tcPr>
            <w:tcW w:w="376" w:type="pct"/>
            <w:tcBorders>
              <w:tl2br w:val="nil"/>
              <w:tr2bl w:val="nil"/>
            </w:tcBorders>
            <w:vAlign w:val="center"/>
          </w:tcPr>
          <w:p w14:paraId="785448FE">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400" w:type="pct"/>
            <w:tcBorders>
              <w:tl2br w:val="nil"/>
              <w:tr2bl w:val="nil"/>
            </w:tcBorders>
            <w:vAlign w:val="center"/>
          </w:tcPr>
          <w:p w14:paraId="54811E2D">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47" w:type="pct"/>
            <w:tcBorders>
              <w:tl2br w:val="nil"/>
              <w:tr2bl w:val="nil"/>
            </w:tcBorders>
            <w:vAlign w:val="center"/>
          </w:tcPr>
          <w:p w14:paraId="786F7F62">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58" w:type="pct"/>
            <w:tcBorders>
              <w:tl2br w:val="nil"/>
              <w:tr2bl w:val="nil"/>
            </w:tcBorders>
            <w:vAlign w:val="center"/>
          </w:tcPr>
          <w:p w14:paraId="6876C70A">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355" w:type="pct"/>
            <w:tcBorders>
              <w:tl2br w:val="nil"/>
              <w:tr2bl w:val="nil"/>
            </w:tcBorders>
            <w:vAlign w:val="center"/>
          </w:tcPr>
          <w:p w14:paraId="2FBEAEF7">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48" w:type="pct"/>
            <w:tcBorders>
              <w:tl2br w:val="nil"/>
              <w:tr2bl w:val="nil"/>
            </w:tcBorders>
            <w:vAlign w:val="center"/>
          </w:tcPr>
          <w:p w14:paraId="414AF586">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r>
      <w:tr w14:paraId="28BE65A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21" w:hRule="atLeast"/>
          <w:jc w:val="center"/>
        </w:trPr>
        <w:tc>
          <w:tcPr>
            <w:tcW w:w="205" w:type="pct"/>
            <w:vMerge w:val="continue"/>
            <w:tcBorders>
              <w:tl2br w:val="nil"/>
              <w:tr2bl w:val="nil"/>
            </w:tcBorders>
            <w:vAlign w:val="center"/>
          </w:tcPr>
          <w:p w14:paraId="63F16671">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579" w:type="pct"/>
            <w:vMerge w:val="continue"/>
            <w:tcBorders>
              <w:right w:val="single" w:color="auto" w:sz="4" w:space="0"/>
              <w:tl2br w:val="nil"/>
              <w:tr2bl w:val="nil"/>
            </w:tcBorders>
            <w:vAlign w:val="center"/>
          </w:tcPr>
          <w:p w14:paraId="3EF3D9E3">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386" w:type="pct"/>
            <w:vMerge w:val="continue"/>
            <w:tcBorders>
              <w:left w:val="single" w:color="auto" w:sz="4" w:space="0"/>
              <w:tl2br w:val="nil"/>
              <w:tr2bl w:val="nil"/>
            </w:tcBorders>
            <w:vAlign w:val="center"/>
          </w:tcPr>
          <w:p w14:paraId="4C0B2584">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748" w:type="pct"/>
            <w:vMerge w:val="continue"/>
            <w:tcBorders>
              <w:left w:val="single" w:color="auto" w:sz="4" w:space="0"/>
              <w:tl2br w:val="nil"/>
              <w:tr2bl w:val="nil"/>
            </w:tcBorders>
            <w:vAlign w:val="center"/>
          </w:tcPr>
          <w:p w14:paraId="62AB162A">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384" w:type="pct"/>
            <w:vMerge w:val="continue"/>
            <w:tcBorders>
              <w:tl2br w:val="nil"/>
              <w:tr2bl w:val="nil"/>
            </w:tcBorders>
            <w:vAlign w:val="center"/>
          </w:tcPr>
          <w:p w14:paraId="587E2199">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509" w:type="pct"/>
            <w:tcBorders>
              <w:tl2br w:val="nil"/>
              <w:tr2bl w:val="nil"/>
            </w:tcBorders>
            <w:vAlign w:val="center"/>
          </w:tcPr>
          <w:p w14:paraId="79DBCA56">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生态恢复期</w:t>
            </w:r>
          </w:p>
        </w:tc>
        <w:tc>
          <w:tcPr>
            <w:tcW w:w="376" w:type="pct"/>
            <w:tcBorders>
              <w:tl2br w:val="nil"/>
              <w:tr2bl w:val="nil"/>
            </w:tcBorders>
            <w:vAlign w:val="center"/>
          </w:tcPr>
          <w:p w14:paraId="7FEE4AB0">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400" w:type="pct"/>
            <w:tcBorders>
              <w:tl2br w:val="nil"/>
              <w:tr2bl w:val="nil"/>
            </w:tcBorders>
            <w:vAlign w:val="center"/>
          </w:tcPr>
          <w:p w14:paraId="73B42F1B">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47" w:type="pct"/>
            <w:tcBorders>
              <w:tl2br w:val="nil"/>
              <w:tr2bl w:val="nil"/>
            </w:tcBorders>
            <w:vAlign w:val="center"/>
          </w:tcPr>
          <w:p w14:paraId="628011AC">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58" w:type="pct"/>
            <w:tcBorders>
              <w:tl2br w:val="nil"/>
              <w:tr2bl w:val="nil"/>
            </w:tcBorders>
            <w:vAlign w:val="center"/>
          </w:tcPr>
          <w:p w14:paraId="6632DEDB">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355" w:type="pct"/>
            <w:tcBorders>
              <w:tl2br w:val="nil"/>
              <w:tr2bl w:val="nil"/>
            </w:tcBorders>
            <w:vAlign w:val="center"/>
          </w:tcPr>
          <w:p w14:paraId="489C5C90">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48" w:type="pct"/>
            <w:tcBorders>
              <w:tl2br w:val="nil"/>
              <w:tr2bl w:val="nil"/>
            </w:tcBorders>
            <w:vAlign w:val="center"/>
          </w:tcPr>
          <w:p w14:paraId="3197D475">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+2C</w:t>
            </w:r>
          </w:p>
        </w:tc>
      </w:tr>
      <w:tr w14:paraId="0575C8F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1" w:hRule="atLeast"/>
          <w:jc w:val="center"/>
        </w:trPr>
        <w:tc>
          <w:tcPr>
            <w:tcW w:w="205" w:type="pct"/>
            <w:vMerge w:val="restart"/>
            <w:tcBorders>
              <w:tl2br w:val="nil"/>
              <w:tr2bl w:val="nil"/>
            </w:tcBorders>
            <w:vAlign w:val="center"/>
          </w:tcPr>
          <w:p w14:paraId="2B4F30CE">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6</w:t>
            </w:r>
          </w:p>
        </w:tc>
        <w:tc>
          <w:tcPr>
            <w:tcW w:w="579" w:type="pct"/>
            <w:vMerge w:val="restart"/>
            <w:tcBorders>
              <w:right w:val="single" w:color="auto" w:sz="4" w:space="0"/>
              <w:tl2br w:val="nil"/>
              <w:tr2bl w:val="nil"/>
            </w:tcBorders>
            <w:vAlign w:val="center"/>
          </w:tcPr>
          <w:p w14:paraId="181026F4">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鸡西市兴锦煤矿工业广场</w:t>
            </w:r>
          </w:p>
          <w:p w14:paraId="3EB3297F">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（25#）</w:t>
            </w:r>
          </w:p>
        </w:tc>
        <w:tc>
          <w:tcPr>
            <w:tcW w:w="386" w:type="pct"/>
            <w:vMerge w:val="restart"/>
            <w:tcBorders>
              <w:left w:val="single" w:color="auto" w:sz="4" w:space="0"/>
              <w:tl2br w:val="nil"/>
              <w:tr2bl w:val="nil"/>
            </w:tcBorders>
            <w:vAlign w:val="center"/>
          </w:tcPr>
          <w:p w14:paraId="4500FA51">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1.04</w:t>
            </w:r>
          </w:p>
        </w:tc>
        <w:tc>
          <w:tcPr>
            <w:tcW w:w="748" w:type="pct"/>
            <w:vMerge w:val="restart"/>
            <w:tcBorders>
              <w:left w:val="single" w:color="auto" w:sz="4" w:space="0"/>
              <w:tl2br w:val="nil"/>
              <w:tr2bl w:val="nil"/>
            </w:tcBorders>
            <w:vAlign w:val="center"/>
          </w:tcPr>
          <w:p w14:paraId="518FC586">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清理工程</w:t>
            </w:r>
          </w:p>
          <w:p w14:paraId="13998631">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场地平整工程</w:t>
            </w:r>
          </w:p>
          <w:p w14:paraId="03BDB77B">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植被恢复工程</w:t>
            </w:r>
          </w:p>
        </w:tc>
        <w:tc>
          <w:tcPr>
            <w:tcW w:w="384" w:type="pct"/>
            <w:vMerge w:val="restart"/>
            <w:tcBorders>
              <w:tl2br w:val="nil"/>
              <w:tr2bl w:val="nil"/>
            </w:tcBorders>
            <w:vAlign w:val="center"/>
          </w:tcPr>
          <w:p w14:paraId="2034AD92">
            <w:pPr>
              <w:pStyle w:val="44"/>
              <w:bidi w:val="0"/>
              <w:rPr>
                <w:rFonts w:hint="default" w:ascii="Times New Roman" w:hAnsi="Times New Roman" w:eastAsia="宋体" w:cs="Times New Roman"/>
                <w:color w:val="558ED5" w:themeColor="text2" w:themeTint="99"/>
                <w:highlight w:val="none"/>
                <w:lang w:eastAsia="zh-CN"/>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w:t>
            </w:r>
            <w:r>
              <w:rPr>
                <w:rFonts w:hint="default" w:ascii="Times New Roman" w:hAnsi="Times New Roman" w:cs="Times New Roman"/>
                <w:color w:val="558ED5" w:themeColor="text2" w:themeTint="99"/>
                <w:highlight w:val="none"/>
                <w:lang w:val="en-US" w:eastAsia="zh-CN"/>
                <w14:textFill>
                  <w14:solidFill>
                    <w14:schemeClr w14:val="tx2">
                      <w14:lumMod w14:val="60000"/>
                      <w14:lumOff w14:val="40000"/>
                    </w14:schemeClr>
                  </w14:solidFill>
                </w14:textFill>
              </w:rPr>
              <w:t>2</w:t>
            </w:r>
          </w:p>
        </w:tc>
        <w:tc>
          <w:tcPr>
            <w:tcW w:w="509" w:type="pct"/>
            <w:tcBorders>
              <w:tl2br w:val="nil"/>
              <w:tr2bl w:val="nil"/>
            </w:tcBorders>
            <w:vAlign w:val="center"/>
          </w:tcPr>
          <w:p w14:paraId="1FF3833F">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施工期</w:t>
            </w:r>
          </w:p>
        </w:tc>
        <w:tc>
          <w:tcPr>
            <w:tcW w:w="376" w:type="pct"/>
            <w:tcBorders>
              <w:tl2br w:val="nil"/>
              <w:tr2bl w:val="nil"/>
            </w:tcBorders>
            <w:vAlign w:val="center"/>
          </w:tcPr>
          <w:p w14:paraId="5BFECD1E">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400" w:type="pct"/>
            <w:tcBorders>
              <w:tl2br w:val="nil"/>
              <w:tr2bl w:val="nil"/>
            </w:tcBorders>
            <w:vAlign w:val="center"/>
          </w:tcPr>
          <w:p w14:paraId="590FF1CE">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47" w:type="pct"/>
            <w:tcBorders>
              <w:tl2br w:val="nil"/>
              <w:tr2bl w:val="nil"/>
            </w:tcBorders>
            <w:vAlign w:val="center"/>
          </w:tcPr>
          <w:p w14:paraId="53BC59FB">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58" w:type="pct"/>
            <w:tcBorders>
              <w:tl2br w:val="nil"/>
              <w:tr2bl w:val="nil"/>
            </w:tcBorders>
            <w:vAlign w:val="center"/>
          </w:tcPr>
          <w:p w14:paraId="7BD4CC78">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355" w:type="pct"/>
            <w:tcBorders>
              <w:tl2br w:val="nil"/>
              <w:tr2bl w:val="nil"/>
            </w:tcBorders>
            <w:vAlign w:val="center"/>
          </w:tcPr>
          <w:p w14:paraId="2DB51314">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48" w:type="pct"/>
            <w:tcBorders>
              <w:tl2br w:val="nil"/>
              <w:tr2bl w:val="nil"/>
            </w:tcBorders>
            <w:vAlign w:val="center"/>
          </w:tcPr>
          <w:p w14:paraId="16A9A6EE">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r>
      <w:tr w14:paraId="573250E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8" w:hRule="atLeast"/>
          <w:jc w:val="center"/>
        </w:trPr>
        <w:tc>
          <w:tcPr>
            <w:tcW w:w="205" w:type="pct"/>
            <w:vMerge w:val="continue"/>
            <w:tcBorders>
              <w:tl2br w:val="nil"/>
              <w:tr2bl w:val="nil"/>
            </w:tcBorders>
            <w:vAlign w:val="center"/>
          </w:tcPr>
          <w:p w14:paraId="0EA91897">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579" w:type="pct"/>
            <w:vMerge w:val="continue"/>
            <w:tcBorders>
              <w:right w:val="single" w:color="auto" w:sz="4" w:space="0"/>
              <w:tl2br w:val="nil"/>
              <w:tr2bl w:val="nil"/>
            </w:tcBorders>
            <w:vAlign w:val="center"/>
          </w:tcPr>
          <w:p w14:paraId="0821036B">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386" w:type="pct"/>
            <w:vMerge w:val="continue"/>
            <w:tcBorders>
              <w:left w:val="single" w:color="auto" w:sz="4" w:space="0"/>
              <w:tl2br w:val="nil"/>
              <w:tr2bl w:val="nil"/>
            </w:tcBorders>
            <w:vAlign w:val="center"/>
          </w:tcPr>
          <w:p w14:paraId="3791C3A0">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748" w:type="pct"/>
            <w:vMerge w:val="continue"/>
            <w:tcBorders>
              <w:left w:val="single" w:color="auto" w:sz="4" w:space="0"/>
              <w:tl2br w:val="nil"/>
              <w:tr2bl w:val="nil"/>
            </w:tcBorders>
            <w:vAlign w:val="center"/>
          </w:tcPr>
          <w:p w14:paraId="6E0A9947">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384" w:type="pct"/>
            <w:vMerge w:val="continue"/>
            <w:tcBorders>
              <w:tl2br w:val="nil"/>
              <w:tr2bl w:val="nil"/>
            </w:tcBorders>
            <w:vAlign w:val="center"/>
          </w:tcPr>
          <w:p w14:paraId="27A735ED">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509" w:type="pct"/>
            <w:tcBorders>
              <w:tl2br w:val="nil"/>
              <w:tr2bl w:val="nil"/>
            </w:tcBorders>
            <w:vAlign w:val="center"/>
          </w:tcPr>
          <w:p w14:paraId="54CC85C3">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生态恢复期</w:t>
            </w:r>
          </w:p>
        </w:tc>
        <w:tc>
          <w:tcPr>
            <w:tcW w:w="967" w:type="dxa"/>
            <w:tcBorders>
              <w:tl2br w:val="nil"/>
              <w:tr2bl w:val="nil"/>
            </w:tcBorders>
            <w:vAlign w:val="center"/>
          </w:tcPr>
          <w:p w14:paraId="45345A50">
            <w:pPr>
              <w:pStyle w:val="44"/>
              <w:bidi w:val="0"/>
              <w:ind w:firstLine="0" w:firstLineChars="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1026" w:type="dxa"/>
            <w:tcBorders>
              <w:tl2br w:val="nil"/>
              <w:tr2bl w:val="nil"/>
            </w:tcBorders>
            <w:vAlign w:val="center"/>
          </w:tcPr>
          <w:p w14:paraId="04798C0D">
            <w:pPr>
              <w:pStyle w:val="44"/>
              <w:bidi w:val="0"/>
              <w:ind w:firstLine="0" w:firstLineChars="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892" w:type="dxa"/>
            <w:tcBorders>
              <w:tl2br w:val="nil"/>
              <w:tr2bl w:val="nil"/>
            </w:tcBorders>
            <w:vAlign w:val="center"/>
          </w:tcPr>
          <w:p w14:paraId="45FE9228">
            <w:pPr>
              <w:pStyle w:val="44"/>
              <w:bidi w:val="0"/>
              <w:ind w:firstLine="0" w:firstLineChars="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919" w:type="dxa"/>
            <w:tcBorders>
              <w:tl2br w:val="nil"/>
              <w:tr2bl w:val="nil"/>
            </w:tcBorders>
            <w:vAlign w:val="center"/>
          </w:tcPr>
          <w:p w14:paraId="5239F4A7">
            <w:pPr>
              <w:pStyle w:val="44"/>
              <w:bidi w:val="0"/>
              <w:ind w:firstLine="0" w:firstLineChars="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355" w:type="pct"/>
            <w:tcBorders>
              <w:tl2br w:val="nil"/>
              <w:tr2bl w:val="nil"/>
            </w:tcBorders>
            <w:vAlign w:val="center"/>
          </w:tcPr>
          <w:p w14:paraId="146B88A2">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48" w:type="pct"/>
            <w:tcBorders>
              <w:tl2br w:val="nil"/>
              <w:tr2bl w:val="nil"/>
            </w:tcBorders>
            <w:vAlign w:val="center"/>
          </w:tcPr>
          <w:p w14:paraId="7C6559C8">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+2C</w:t>
            </w:r>
          </w:p>
        </w:tc>
      </w:tr>
      <w:tr w14:paraId="55F0642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1" w:hRule="atLeast"/>
          <w:jc w:val="center"/>
        </w:trPr>
        <w:tc>
          <w:tcPr>
            <w:tcW w:w="205" w:type="pct"/>
            <w:vMerge w:val="restart"/>
            <w:tcBorders>
              <w:tl2br w:val="nil"/>
              <w:tr2bl w:val="nil"/>
            </w:tcBorders>
            <w:vAlign w:val="center"/>
          </w:tcPr>
          <w:p w14:paraId="40579D4B">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7</w:t>
            </w:r>
          </w:p>
        </w:tc>
        <w:tc>
          <w:tcPr>
            <w:tcW w:w="579" w:type="pct"/>
            <w:vMerge w:val="restart"/>
            <w:tcBorders>
              <w:right w:val="single" w:color="auto" w:sz="4" w:space="0"/>
              <w:tl2br w:val="nil"/>
              <w:tr2bl w:val="nil"/>
            </w:tcBorders>
            <w:vAlign w:val="center"/>
          </w:tcPr>
          <w:p w14:paraId="7C3A101F">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鸡西市城子河区新立煤矿工业广场(31#)</w:t>
            </w:r>
          </w:p>
        </w:tc>
        <w:tc>
          <w:tcPr>
            <w:tcW w:w="386" w:type="pct"/>
            <w:vMerge w:val="restart"/>
            <w:tcBorders>
              <w:left w:val="single" w:color="auto" w:sz="4" w:space="0"/>
              <w:tl2br w:val="nil"/>
              <w:tr2bl w:val="nil"/>
            </w:tcBorders>
            <w:vAlign w:val="center"/>
          </w:tcPr>
          <w:p w14:paraId="66FBE182">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1.67</w:t>
            </w:r>
          </w:p>
        </w:tc>
        <w:tc>
          <w:tcPr>
            <w:tcW w:w="748" w:type="pct"/>
            <w:vMerge w:val="restart"/>
            <w:tcBorders>
              <w:left w:val="single" w:color="auto" w:sz="4" w:space="0"/>
              <w:tl2br w:val="nil"/>
              <w:tr2bl w:val="nil"/>
            </w:tcBorders>
            <w:vAlign w:val="center"/>
          </w:tcPr>
          <w:p w14:paraId="680730B6">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清理工程</w:t>
            </w:r>
          </w:p>
          <w:p w14:paraId="76E492F3">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场地平整工程</w:t>
            </w:r>
          </w:p>
        </w:tc>
        <w:tc>
          <w:tcPr>
            <w:tcW w:w="384" w:type="pct"/>
            <w:vMerge w:val="restart"/>
            <w:tcBorders>
              <w:tl2br w:val="nil"/>
              <w:tr2bl w:val="nil"/>
            </w:tcBorders>
            <w:vAlign w:val="center"/>
          </w:tcPr>
          <w:p w14:paraId="39E67681">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12</w:t>
            </w:r>
          </w:p>
        </w:tc>
        <w:tc>
          <w:tcPr>
            <w:tcW w:w="509" w:type="pct"/>
            <w:tcBorders>
              <w:tl2br w:val="nil"/>
              <w:tr2bl w:val="nil"/>
            </w:tcBorders>
            <w:vAlign w:val="center"/>
          </w:tcPr>
          <w:p w14:paraId="595D0103">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施工期</w:t>
            </w:r>
          </w:p>
        </w:tc>
        <w:tc>
          <w:tcPr>
            <w:tcW w:w="376" w:type="pct"/>
            <w:tcBorders>
              <w:tl2br w:val="nil"/>
              <w:tr2bl w:val="nil"/>
            </w:tcBorders>
            <w:vAlign w:val="center"/>
          </w:tcPr>
          <w:p w14:paraId="5FFCBB3C">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400" w:type="pct"/>
            <w:tcBorders>
              <w:tl2br w:val="nil"/>
              <w:tr2bl w:val="nil"/>
            </w:tcBorders>
            <w:vAlign w:val="center"/>
          </w:tcPr>
          <w:p w14:paraId="7DA7E341">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47" w:type="pct"/>
            <w:tcBorders>
              <w:tl2br w:val="nil"/>
              <w:tr2bl w:val="nil"/>
            </w:tcBorders>
            <w:vAlign w:val="center"/>
          </w:tcPr>
          <w:p w14:paraId="2CC63B7C">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58" w:type="pct"/>
            <w:tcBorders>
              <w:tl2br w:val="nil"/>
              <w:tr2bl w:val="nil"/>
            </w:tcBorders>
            <w:vAlign w:val="center"/>
          </w:tcPr>
          <w:p w14:paraId="4BE4DC16">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355" w:type="pct"/>
            <w:tcBorders>
              <w:tl2br w:val="nil"/>
              <w:tr2bl w:val="nil"/>
            </w:tcBorders>
            <w:vAlign w:val="center"/>
          </w:tcPr>
          <w:p w14:paraId="25DC223E">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48" w:type="pct"/>
            <w:tcBorders>
              <w:tl2br w:val="nil"/>
              <w:tr2bl w:val="nil"/>
            </w:tcBorders>
            <w:vAlign w:val="center"/>
          </w:tcPr>
          <w:p w14:paraId="091A6DBB">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r>
      <w:tr w14:paraId="7F92B4B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8" w:hRule="atLeast"/>
          <w:jc w:val="center"/>
        </w:trPr>
        <w:tc>
          <w:tcPr>
            <w:tcW w:w="205" w:type="pct"/>
            <w:vMerge w:val="continue"/>
            <w:tcBorders>
              <w:tl2br w:val="nil"/>
              <w:tr2bl w:val="nil"/>
            </w:tcBorders>
            <w:vAlign w:val="center"/>
          </w:tcPr>
          <w:p w14:paraId="4DE6D0D8">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579" w:type="pct"/>
            <w:vMerge w:val="continue"/>
            <w:tcBorders>
              <w:right w:val="single" w:color="auto" w:sz="4" w:space="0"/>
              <w:tl2br w:val="nil"/>
              <w:tr2bl w:val="nil"/>
            </w:tcBorders>
            <w:vAlign w:val="center"/>
          </w:tcPr>
          <w:p w14:paraId="2AE6DF8A">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386" w:type="pct"/>
            <w:vMerge w:val="continue"/>
            <w:tcBorders>
              <w:left w:val="single" w:color="auto" w:sz="4" w:space="0"/>
              <w:tl2br w:val="nil"/>
              <w:tr2bl w:val="nil"/>
            </w:tcBorders>
            <w:vAlign w:val="center"/>
          </w:tcPr>
          <w:p w14:paraId="6E1F6001">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748" w:type="pct"/>
            <w:vMerge w:val="continue"/>
            <w:tcBorders>
              <w:left w:val="single" w:color="auto" w:sz="4" w:space="0"/>
              <w:tl2br w:val="nil"/>
              <w:tr2bl w:val="nil"/>
            </w:tcBorders>
            <w:vAlign w:val="center"/>
          </w:tcPr>
          <w:p w14:paraId="44B2FC13">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384" w:type="pct"/>
            <w:vMerge w:val="continue"/>
            <w:tcBorders>
              <w:tl2br w:val="nil"/>
              <w:tr2bl w:val="nil"/>
            </w:tcBorders>
            <w:vAlign w:val="center"/>
          </w:tcPr>
          <w:p w14:paraId="217D4C88">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509" w:type="pct"/>
            <w:tcBorders>
              <w:tl2br w:val="nil"/>
              <w:tr2bl w:val="nil"/>
            </w:tcBorders>
            <w:vAlign w:val="center"/>
          </w:tcPr>
          <w:p w14:paraId="5EEDB8E6">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生态恢复期</w:t>
            </w:r>
          </w:p>
        </w:tc>
        <w:tc>
          <w:tcPr>
            <w:tcW w:w="967" w:type="dxa"/>
            <w:tcBorders>
              <w:tl2br w:val="nil"/>
              <w:tr2bl w:val="nil"/>
            </w:tcBorders>
            <w:vAlign w:val="center"/>
          </w:tcPr>
          <w:p w14:paraId="60DB31EF">
            <w:pPr>
              <w:pStyle w:val="44"/>
              <w:bidi w:val="0"/>
              <w:ind w:firstLine="0" w:firstLineChars="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1026" w:type="dxa"/>
            <w:tcBorders>
              <w:tl2br w:val="nil"/>
              <w:tr2bl w:val="nil"/>
            </w:tcBorders>
            <w:vAlign w:val="center"/>
          </w:tcPr>
          <w:p w14:paraId="54178A9F">
            <w:pPr>
              <w:pStyle w:val="44"/>
              <w:bidi w:val="0"/>
              <w:ind w:firstLine="0" w:firstLineChars="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892" w:type="dxa"/>
            <w:tcBorders>
              <w:tl2br w:val="nil"/>
              <w:tr2bl w:val="nil"/>
            </w:tcBorders>
            <w:vAlign w:val="center"/>
          </w:tcPr>
          <w:p w14:paraId="262DC5B6">
            <w:pPr>
              <w:pStyle w:val="44"/>
              <w:bidi w:val="0"/>
              <w:ind w:firstLine="0" w:firstLineChars="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919" w:type="dxa"/>
            <w:tcBorders>
              <w:tl2br w:val="nil"/>
              <w:tr2bl w:val="nil"/>
            </w:tcBorders>
            <w:vAlign w:val="center"/>
          </w:tcPr>
          <w:p w14:paraId="4506A9B0">
            <w:pPr>
              <w:pStyle w:val="44"/>
              <w:bidi w:val="0"/>
              <w:ind w:firstLine="0" w:firstLineChars="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355" w:type="pct"/>
            <w:tcBorders>
              <w:tl2br w:val="nil"/>
              <w:tr2bl w:val="nil"/>
            </w:tcBorders>
            <w:vAlign w:val="center"/>
          </w:tcPr>
          <w:p w14:paraId="2BA8A539">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48" w:type="pct"/>
            <w:tcBorders>
              <w:tl2br w:val="nil"/>
              <w:tr2bl w:val="nil"/>
            </w:tcBorders>
            <w:vAlign w:val="center"/>
          </w:tcPr>
          <w:p w14:paraId="7FD73ED7">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+2C</w:t>
            </w:r>
          </w:p>
        </w:tc>
      </w:tr>
      <w:tr w14:paraId="5745B75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1" w:hRule="atLeast"/>
          <w:jc w:val="center"/>
        </w:trPr>
        <w:tc>
          <w:tcPr>
            <w:tcW w:w="205" w:type="pct"/>
            <w:vMerge w:val="restart"/>
            <w:tcBorders>
              <w:tl2br w:val="nil"/>
              <w:tr2bl w:val="nil"/>
            </w:tcBorders>
            <w:vAlign w:val="center"/>
          </w:tcPr>
          <w:p w14:paraId="3A2BBF00">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8</w:t>
            </w:r>
          </w:p>
        </w:tc>
        <w:tc>
          <w:tcPr>
            <w:tcW w:w="579" w:type="pct"/>
            <w:vMerge w:val="restart"/>
            <w:tcBorders>
              <w:right w:val="single" w:color="auto" w:sz="4" w:space="0"/>
              <w:tl2br w:val="nil"/>
              <w:tr2bl w:val="nil"/>
            </w:tcBorders>
            <w:vAlign w:val="center"/>
          </w:tcPr>
          <w:p w14:paraId="3B4B39D8">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鸡西市城子河区城西村北 1.5km 煤矿工业广场(41#)</w:t>
            </w:r>
          </w:p>
        </w:tc>
        <w:tc>
          <w:tcPr>
            <w:tcW w:w="386" w:type="pct"/>
            <w:vMerge w:val="restart"/>
            <w:tcBorders>
              <w:left w:val="single" w:color="auto" w:sz="4" w:space="0"/>
              <w:tl2br w:val="nil"/>
              <w:tr2bl w:val="nil"/>
            </w:tcBorders>
            <w:vAlign w:val="center"/>
          </w:tcPr>
          <w:p w14:paraId="4C3A810E">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3.06</w:t>
            </w:r>
          </w:p>
        </w:tc>
        <w:tc>
          <w:tcPr>
            <w:tcW w:w="748" w:type="pct"/>
            <w:vMerge w:val="restart"/>
            <w:tcBorders>
              <w:left w:val="single" w:color="auto" w:sz="4" w:space="0"/>
              <w:tl2br w:val="nil"/>
              <w:tr2bl w:val="nil"/>
            </w:tcBorders>
            <w:vAlign w:val="center"/>
          </w:tcPr>
          <w:p w14:paraId="7B75DBAF">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场地平整</w:t>
            </w:r>
          </w:p>
        </w:tc>
        <w:tc>
          <w:tcPr>
            <w:tcW w:w="384" w:type="pct"/>
            <w:vMerge w:val="restart"/>
            <w:tcBorders>
              <w:tl2br w:val="nil"/>
              <w:tr2bl w:val="nil"/>
            </w:tcBorders>
            <w:vAlign w:val="center"/>
          </w:tcPr>
          <w:p w14:paraId="7379D476">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12</w:t>
            </w:r>
          </w:p>
        </w:tc>
        <w:tc>
          <w:tcPr>
            <w:tcW w:w="509" w:type="pct"/>
            <w:tcBorders>
              <w:tl2br w:val="nil"/>
              <w:tr2bl w:val="nil"/>
            </w:tcBorders>
            <w:vAlign w:val="center"/>
          </w:tcPr>
          <w:p w14:paraId="23D8B7DE">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施工期</w:t>
            </w:r>
          </w:p>
        </w:tc>
        <w:tc>
          <w:tcPr>
            <w:tcW w:w="376" w:type="pct"/>
            <w:tcBorders>
              <w:tl2br w:val="nil"/>
              <w:tr2bl w:val="nil"/>
            </w:tcBorders>
            <w:vAlign w:val="center"/>
          </w:tcPr>
          <w:p w14:paraId="4C128302">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400" w:type="pct"/>
            <w:tcBorders>
              <w:tl2br w:val="nil"/>
              <w:tr2bl w:val="nil"/>
            </w:tcBorders>
            <w:vAlign w:val="center"/>
          </w:tcPr>
          <w:p w14:paraId="7D38C8E0">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47" w:type="pct"/>
            <w:tcBorders>
              <w:tl2br w:val="nil"/>
              <w:tr2bl w:val="nil"/>
            </w:tcBorders>
            <w:vAlign w:val="center"/>
          </w:tcPr>
          <w:p w14:paraId="067F41D3">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58" w:type="pct"/>
            <w:tcBorders>
              <w:tl2br w:val="nil"/>
              <w:tr2bl w:val="nil"/>
            </w:tcBorders>
            <w:vAlign w:val="center"/>
          </w:tcPr>
          <w:p w14:paraId="5B0CE649">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355" w:type="pct"/>
            <w:tcBorders>
              <w:tl2br w:val="nil"/>
              <w:tr2bl w:val="nil"/>
            </w:tcBorders>
            <w:vAlign w:val="center"/>
          </w:tcPr>
          <w:p w14:paraId="18EB65EC">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48" w:type="pct"/>
            <w:tcBorders>
              <w:tl2br w:val="nil"/>
              <w:tr2bl w:val="nil"/>
            </w:tcBorders>
            <w:vAlign w:val="center"/>
          </w:tcPr>
          <w:p w14:paraId="19B1DBB0">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r>
      <w:tr w14:paraId="508CE96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21" w:hRule="atLeast"/>
          <w:jc w:val="center"/>
        </w:trPr>
        <w:tc>
          <w:tcPr>
            <w:tcW w:w="205" w:type="pct"/>
            <w:vMerge w:val="continue"/>
            <w:tcBorders>
              <w:tl2br w:val="nil"/>
              <w:tr2bl w:val="nil"/>
            </w:tcBorders>
            <w:vAlign w:val="center"/>
          </w:tcPr>
          <w:p w14:paraId="39CF6694">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579" w:type="pct"/>
            <w:vMerge w:val="continue"/>
            <w:tcBorders>
              <w:right w:val="single" w:color="auto" w:sz="4" w:space="0"/>
              <w:tl2br w:val="nil"/>
              <w:tr2bl w:val="nil"/>
            </w:tcBorders>
            <w:vAlign w:val="center"/>
          </w:tcPr>
          <w:p w14:paraId="649F1202">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386" w:type="pct"/>
            <w:vMerge w:val="continue"/>
            <w:tcBorders>
              <w:left w:val="single" w:color="auto" w:sz="4" w:space="0"/>
              <w:tl2br w:val="nil"/>
              <w:tr2bl w:val="nil"/>
            </w:tcBorders>
            <w:vAlign w:val="center"/>
          </w:tcPr>
          <w:p w14:paraId="422117D2">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748" w:type="pct"/>
            <w:vMerge w:val="continue"/>
            <w:tcBorders>
              <w:left w:val="single" w:color="auto" w:sz="4" w:space="0"/>
              <w:tl2br w:val="nil"/>
              <w:tr2bl w:val="nil"/>
            </w:tcBorders>
            <w:vAlign w:val="center"/>
          </w:tcPr>
          <w:p w14:paraId="0A9BB5E6">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384" w:type="pct"/>
            <w:vMerge w:val="continue"/>
            <w:tcBorders>
              <w:tl2br w:val="nil"/>
              <w:tr2bl w:val="nil"/>
            </w:tcBorders>
            <w:vAlign w:val="center"/>
          </w:tcPr>
          <w:p w14:paraId="129DED88">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509" w:type="pct"/>
            <w:tcBorders>
              <w:tl2br w:val="nil"/>
              <w:tr2bl w:val="nil"/>
            </w:tcBorders>
            <w:vAlign w:val="center"/>
          </w:tcPr>
          <w:p w14:paraId="4FAE3DFE">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生态恢复期</w:t>
            </w:r>
          </w:p>
        </w:tc>
        <w:tc>
          <w:tcPr>
            <w:tcW w:w="967" w:type="dxa"/>
            <w:tcBorders>
              <w:tl2br w:val="nil"/>
              <w:tr2bl w:val="nil"/>
            </w:tcBorders>
            <w:vAlign w:val="center"/>
          </w:tcPr>
          <w:p w14:paraId="6A8D0CF7">
            <w:pPr>
              <w:pStyle w:val="44"/>
              <w:bidi w:val="0"/>
              <w:ind w:firstLine="0" w:firstLineChars="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1026" w:type="dxa"/>
            <w:tcBorders>
              <w:tl2br w:val="nil"/>
              <w:tr2bl w:val="nil"/>
            </w:tcBorders>
            <w:vAlign w:val="center"/>
          </w:tcPr>
          <w:p w14:paraId="40375BD0">
            <w:pPr>
              <w:pStyle w:val="44"/>
              <w:bidi w:val="0"/>
              <w:ind w:firstLine="0" w:firstLineChars="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892" w:type="dxa"/>
            <w:tcBorders>
              <w:tl2br w:val="nil"/>
              <w:tr2bl w:val="nil"/>
            </w:tcBorders>
            <w:vAlign w:val="center"/>
          </w:tcPr>
          <w:p w14:paraId="26CA0C9C">
            <w:pPr>
              <w:pStyle w:val="44"/>
              <w:bidi w:val="0"/>
              <w:ind w:firstLine="0" w:firstLineChars="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919" w:type="dxa"/>
            <w:tcBorders>
              <w:tl2br w:val="nil"/>
              <w:tr2bl w:val="nil"/>
            </w:tcBorders>
            <w:vAlign w:val="center"/>
          </w:tcPr>
          <w:p w14:paraId="3052928A">
            <w:pPr>
              <w:pStyle w:val="44"/>
              <w:bidi w:val="0"/>
              <w:ind w:firstLine="0" w:firstLineChars="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355" w:type="pct"/>
            <w:tcBorders>
              <w:tl2br w:val="nil"/>
              <w:tr2bl w:val="nil"/>
            </w:tcBorders>
            <w:vAlign w:val="center"/>
          </w:tcPr>
          <w:p w14:paraId="6ACC981D">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48" w:type="pct"/>
            <w:tcBorders>
              <w:tl2br w:val="nil"/>
              <w:tr2bl w:val="nil"/>
            </w:tcBorders>
            <w:vAlign w:val="center"/>
          </w:tcPr>
          <w:p w14:paraId="45F48486">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+2C</w:t>
            </w:r>
          </w:p>
        </w:tc>
      </w:tr>
      <w:tr w14:paraId="3CD4DD7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1" w:hRule="atLeast"/>
          <w:jc w:val="center"/>
        </w:trPr>
        <w:tc>
          <w:tcPr>
            <w:tcW w:w="205" w:type="pct"/>
            <w:vMerge w:val="restart"/>
            <w:tcBorders>
              <w:tl2br w:val="nil"/>
              <w:tr2bl w:val="nil"/>
            </w:tcBorders>
            <w:shd w:val="clear" w:color="auto" w:fill="auto"/>
            <w:vAlign w:val="center"/>
          </w:tcPr>
          <w:p w14:paraId="48E34E17">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bookmarkStart w:id="92" w:name="OLE_LINK4" w:colFirst="0" w:colLast="0"/>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9</w:t>
            </w:r>
          </w:p>
          <w:p w14:paraId="5337A63D">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579" w:type="pct"/>
            <w:vMerge w:val="restart"/>
            <w:tcBorders>
              <w:right w:val="single" w:color="auto" w:sz="4" w:space="0"/>
              <w:tl2br w:val="nil"/>
              <w:tr2bl w:val="nil"/>
            </w:tcBorders>
            <w:vAlign w:val="center"/>
          </w:tcPr>
          <w:p w14:paraId="18F162DB">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鸡西市城子河区仲兴村北2.2km煤矿工业广场（45#）</w:t>
            </w:r>
          </w:p>
        </w:tc>
        <w:tc>
          <w:tcPr>
            <w:tcW w:w="386" w:type="pct"/>
            <w:vMerge w:val="restart"/>
            <w:tcBorders>
              <w:left w:val="single" w:color="auto" w:sz="4" w:space="0"/>
              <w:tl2br w:val="nil"/>
              <w:tr2bl w:val="nil"/>
            </w:tcBorders>
            <w:vAlign w:val="center"/>
          </w:tcPr>
          <w:p w14:paraId="26496187">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2.5</w:t>
            </w:r>
          </w:p>
        </w:tc>
        <w:tc>
          <w:tcPr>
            <w:tcW w:w="748" w:type="pct"/>
            <w:vMerge w:val="restart"/>
            <w:tcBorders>
              <w:left w:val="single" w:color="auto" w:sz="4" w:space="0"/>
              <w:tl2br w:val="nil"/>
              <w:tr2bl w:val="nil"/>
            </w:tcBorders>
            <w:vAlign w:val="center"/>
          </w:tcPr>
          <w:p w14:paraId="682F4597">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清理工程</w:t>
            </w:r>
          </w:p>
          <w:p w14:paraId="788DB1FB">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场地平整工程</w:t>
            </w:r>
          </w:p>
          <w:p w14:paraId="6EF1DB3F">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植被恢复工程</w:t>
            </w:r>
          </w:p>
        </w:tc>
        <w:tc>
          <w:tcPr>
            <w:tcW w:w="384" w:type="pct"/>
            <w:vMerge w:val="restart"/>
            <w:tcBorders>
              <w:tl2br w:val="nil"/>
              <w:tr2bl w:val="nil"/>
            </w:tcBorders>
            <w:shd w:val="clear" w:color="auto" w:fill="auto"/>
            <w:vAlign w:val="center"/>
          </w:tcPr>
          <w:p w14:paraId="5720FDA3">
            <w:pPr>
              <w:pStyle w:val="44"/>
              <w:bidi w:val="0"/>
              <w:rPr>
                <w:rFonts w:hint="default" w:ascii="Times New Roman" w:hAnsi="Times New Roman" w:eastAsia="宋体" w:cs="Times New Roman"/>
                <w:color w:val="558ED5" w:themeColor="text2" w:themeTint="99"/>
                <w:highlight w:val="none"/>
                <w:lang w:val="en-US" w:eastAsia="zh-CN"/>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lang w:val="en-US" w:eastAsia="zh-CN"/>
                <w14:textFill>
                  <w14:solidFill>
                    <w14:schemeClr w14:val="tx2">
                      <w14:lumMod w14:val="60000"/>
                      <w14:lumOff w14:val="40000"/>
                    </w14:schemeClr>
                  </w14:solidFill>
                </w14:textFill>
              </w:rPr>
              <w:t>12</w:t>
            </w:r>
          </w:p>
        </w:tc>
        <w:tc>
          <w:tcPr>
            <w:tcW w:w="509" w:type="pct"/>
            <w:tcBorders>
              <w:tl2br w:val="nil"/>
              <w:tr2bl w:val="nil"/>
            </w:tcBorders>
            <w:shd w:val="clear" w:color="auto" w:fill="auto"/>
            <w:vAlign w:val="center"/>
          </w:tcPr>
          <w:p w14:paraId="27AF2857">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施工期</w:t>
            </w:r>
          </w:p>
        </w:tc>
        <w:tc>
          <w:tcPr>
            <w:tcW w:w="376" w:type="pct"/>
            <w:tcBorders>
              <w:tl2br w:val="nil"/>
              <w:tr2bl w:val="nil"/>
            </w:tcBorders>
            <w:shd w:val="clear" w:color="auto" w:fill="auto"/>
            <w:vAlign w:val="center"/>
          </w:tcPr>
          <w:p w14:paraId="05AB4815">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400" w:type="pct"/>
            <w:tcBorders>
              <w:tl2br w:val="nil"/>
              <w:tr2bl w:val="nil"/>
            </w:tcBorders>
            <w:shd w:val="clear" w:color="auto" w:fill="auto"/>
            <w:vAlign w:val="center"/>
          </w:tcPr>
          <w:p w14:paraId="16F90321">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47" w:type="pct"/>
            <w:tcBorders>
              <w:tl2br w:val="nil"/>
              <w:tr2bl w:val="nil"/>
            </w:tcBorders>
            <w:shd w:val="clear" w:color="auto" w:fill="auto"/>
            <w:vAlign w:val="center"/>
          </w:tcPr>
          <w:p w14:paraId="69F9D6FD">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58" w:type="pct"/>
            <w:tcBorders>
              <w:tl2br w:val="nil"/>
              <w:tr2bl w:val="nil"/>
            </w:tcBorders>
            <w:shd w:val="clear" w:color="auto" w:fill="auto"/>
            <w:vAlign w:val="center"/>
          </w:tcPr>
          <w:p w14:paraId="30B9851F">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355" w:type="pct"/>
            <w:tcBorders>
              <w:tl2br w:val="nil"/>
              <w:tr2bl w:val="nil"/>
            </w:tcBorders>
            <w:shd w:val="clear" w:color="auto" w:fill="auto"/>
            <w:vAlign w:val="center"/>
          </w:tcPr>
          <w:p w14:paraId="5834CE9A">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48" w:type="pct"/>
            <w:tcBorders>
              <w:tl2br w:val="nil"/>
              <w:tr2bl w:val="nil"/>
            </w:tcBorders>
            <w:shd w:val="clear" w:color="auto" w:fill="auto"/>
            <w:vAlign w:val="center"/>
          </w:tcPr>
          <w:p w14:paraId="7CE6C9B3">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r>
      <w:tr w14:paraId="2B748B9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21" w:hRule="atLeast"/>
          <w:jc w:val="center"/>
        </w:trPr>
        <w:tc>
          <w:tcPr>
            <w:tcW w:w="205" w:type="pct"/>
            <w:vMerge w:val="continue"/>
            <w:tcBorders>
              <w:tl2br w:val="nil"/>
              <w:tr2bl w:val="nil"/>
            </w:tcBorders>
            <w:vAlign w:val="center"/>
          </w:tcPr>
          <w:p w14:paraId="038DE128">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579" w:type="pct"/>
            <w:vMerge w:val="continue"/>
            <w:tcBorders>
              <w:right w:val="single" w:color="auto" w:sz="4" w:space="0"/>
              <w:tl2br w:val="nil"/>
              <w:tr2bl w:val="nil"/>
            </w:tcBorders>
            <w:vAlign w:val="center"/>
          </w:tcPr>
          <w:p w14:paraId="75036E1B">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386" w:type="pct"/>
            <w:vMerge w:val="continue"/>
            <w:tcBorders>
              <w:left w:val="single" w:color="auto" w:sz="4" w:space="0"/>
              <w:tl2br w:val="nil"/>
              <w:tr2bl w:val="nil"/>
            </w:tcBorders>
            <w:vAlign w:val="center"/>
          </w:tcPr>
          <w:p w14:paraId="6FAC38E7">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748" w:type="pct"/>
            <w:vMerge w:val="continue"/>
            <w:tcBorders>
              <w:left w:val="single" w:color="auto" w:sz="4" w:space="0"/>
              <w:tl2br w:val="nil"/>
              <w:tr2bl w:val="nil"/>
            </w:tcBorders>
            <w:vAlign w:val="center"/>
          </w:tcPr>
          <w:p w14:paraId="3D0FF3F3">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384" w:type="pct"/>
            <w:vMerge w:val="continue"/>
            <w:tcBorders>
              <w:tl2br w:val="nil"/>
              <w:tr2bl w:val="nil"/>
            </w:tcBorders>
            <w:vAlign w:val="center"/>
          </w:tcPr>
          <w:p w14:paraId="280E78D6">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509" w:type="pct"/>
            <w:tcBorders>
              <w:tl2br w:val="nil"/>
              <w:tr2bl w:val="nil"/>
            </w:tcBorders>
            <w:shd w:val="clear" w:color="auto" w:fill="auto"/>
            <w:vAlign w:val="center"/>
          </w:tcPr>
          <w:p w14:paraId="4E3E6F20">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生态恢复期</w:t>
            </w:r>
          </w:p>
        </w:tc>
        <w:tc>
          <w:tcPr>
            <w:tcW w:w="967" w:type="dxa"/>
            <w:tcBorders>
              <w:tl2br w:val="nil"/>
              <w:tr2bl w:val="nil"/>
            </w:tcBorders>
            <w:shd w:val="clear" w:color="auto" w:fill="auto"/>
            <w:vAlign w:val="center"/>
          </w:tcPr>
          <w:p w14:paraId="4C3A001B">
            <w:pPr>
              <w:pStyle w:val="44"/>
              <w:bidi w:val="0"/>
              <w:ind w:firstLine="0" w:firstLineChars="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1026" w:type="dxa"/>
            <w:tcBorders>
              <w:tl2br w:val="nil"/>
              <w:tr2bl w:val="nil"/>
            </w:tcBorders>
            <w:shd w:val="clear" w:color="auto" w:fill="auto"/>
            <w:vAlign w:val="center"/>
          </w:tcPr>
          <w:p w14:paraId="6822F1B5">
            <w:pPr>
              <w:pStyle w:val="44"/>
              <w:bidi w:val="0"/>
              <w:ind w:firstLine="0" w:firstLineChars="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892" w:type="dxa"/>
            <w:tcBorders>
              <w:tl2br w:val="nil"/>
              <w:tr2bl w:val="nil"/>
            </w:tcBorders>
            <w:shd w:val="clear" w:color="auto" w:fill="auto"/>
            <w:vAlign w:val="center"/>
          </w:tcPr>
          <w:p w14:paraId="1F9FAE28">
            <w:pPr>
              <w:pStyle w:val="44"/>
              <w:bidi w:val="0"/>
              <w:ind w:firstLine="0" w:firstLineChars="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919" w:type="dxa"/>
            <w:tcBorders>
              <w:tl2br w:val="nil"/>
              <w:tr2bl w:val="nil"/>
            </w:tcBorders>
            <w:shd w:val="clear" w:color="auto" w:fill="auto"/>
            <w:vAlign w:val="center"/>
          </w:tcPr>
          <w:p w14:paraId="4BE9029B">
            <w:pPr>
              <w:pStyle w:val="44"/>
              <w:bidi w:val="0"/>
              <w:ind w:firstLine="0" w:firstLineChars="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355" w:type="pct"/>
            <w:tcBorders>
              <w:tl2br w:val="nil"/>
              <w:tr2bl w:val="nil"/>
            </w:tcBorders>
            <w:shd w:val="clear" w:color="auto" w:fill="auto"/>
            <w:vAlign w:val="center"/>
          </w:tcPr>
          <w:p w14:paraId="4515D87D">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48" w:type="pct"/>
            <w:tcBorders>
              <w:tl2br w:val="nil"/>
              <w:tr2bl w:val="nil"/>
            </w:tcBorders>
            <w:shd w:val="clear" w:color="auto" w:fill="auto"/>
            <w:vAlign w:val="center"/>
          </w:tcPr>
          <w:p w14:paraId="721F07A0">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+2C</w:t>
            </w:r>
          </w:p>
        </w:tc>
      </w:tr>
      <w:tr w14:paraId="1549886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1" w:hRule="atLeast"/>
          <w:jc w:val="center"/>
        </w:trPr>
        <w:tc>
          <w:tcPr>
            <w:tcW w:w="205" w:type="pct"/>
            <w:vMerge w:val="restart"/>
            <w:tcBorders>
              <w:tl2br w:val="nil"/>
              <w:tr2bl w:val="nil"/>
            </w:tcBorders>
            <w:shd w:val="clear" w:color="auto" w:fill="auto"/>
            <w:vAlign w:val="center"/>
          </w:tcPr>
          <w:p w14:paraId="311D2E66">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10</w:t>
            </w:r>
          </w:p>
          <w:p w14:paraId="4789DE83">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579" w:type="pct"/>
            <w:vMerge w:val="restart"/>
            <w:tcBorders>
              <w:right w:val="single" w:color="auto" w:sz="4" w:space="0"/>
              <w:tl2br w:val="nil"/>
              <w:tr2bl w:val="nil"/>
            </w:tcBorders>
            <w:vAlign w:val="center"/>
          </w:tcPr>
          <w:p w14:paraId="0F2A312B">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鸡西市城子河区龙山屯废弃采石场（47#）</w:t>
            </w:r>
          </w:p>
        </w:tc>
        <w:tc>
          <w:tcPr>
            <w:tcW w:w="386" w:type="pct"/>
            <w:vMerge w:val="restart"/>
            <w:tcBorders>
              <w:left w:val="single" w:color="auto" w:sz="4" w:space="0"/>
              <w:tl2br w:val="nil"/>
              <w:tr2bl w:val="nil"/>
            </w:tcBorders>
            <w:vAlign w:val="center"/>
          </w:tcPr>
          <w:p w14:paraId="656BDF47">
            <w:pPr>
              <w:pStyle w:val="44"/>
              <w:bidi w:val="0"/>
              <w:rPr>
                <w:rFonts w:hint="default" w:ascii="Times New Roman" w:hAnsi="Times New Roman" w:eastAsia="宋体" w:cs="Times New Roman"/>
                <w:color w:val="558ED5" w:themeColor="text2" w:themeTint="99"/>
                <w:highlight w:val="none"/>
                <w:lang w:val="en-US" w:eastAsia="zh-CN"/>
                <w14:textFill>
                  <w14:solidFill>
                    <w14:schemeClr w14:val="tx2">
                      <w14:lumMod w14:val="60000"/>
                      <w14:lumOff w14:val="40000"/>
                    </w14:schemeClr>
                  </w14:solidFill>
                </w14:textFill>
              </w:rPr>
            </w:pPr>
            <w:r>
              <w:rPr>
                <w:rFonts w:hint="eastAsia" w:cs="Times New Roman"/>
                <w:color w:val="558ED5" w:themeColor="text2" w:themeTint="99"/>
                <w:highlight w:val="none"/>
                <w:lang w:val="en-US" w:eastAsia="zh-CN"/>
                <w14:textFill>
                  <w14:solidFill>
                    <w14:schemeClr w14:val="tx2">
                      <w14:lumMod w14:val="60000"/>
                      <w14:lumOff w14:val="40000"/>
                    </w14:schemeClr>
                  </w14:solidFill>
                </w14:textFill>
              </w:rPr>
              <w:t>1.08</w:t>
            </w:r>
          </w:p>
        </w:tc>
        <w:tc>
          <w:tcPr>
            <w:tcW w:w="748" w:type="pct"/>
            <w:vMerge w:val="restart"/>
            <w:tcBorders>
              <w:left w:val="single" w:color="auto" w:sz="4" w:space="0"/>
              <w:tl2br w:val="nil"/>
              <w:tr2bl w:val="nil"/>
            </w:tcBorders>
            <w:vAlign w:val="center"/>
          </w:tcPr>
          <w:p w14:paraId="229CD39E">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危岩清理</w:t>
            </w:r>
          </w:p>
          <w:p w14:paraId="76619D54">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边坡整形工程</w:t>
            </w:r>
          </w:p>
          <w:p w14:paraId="19DD86FF">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场地平整</w:t>
            </w:r>
          </w:p>
          <w:p w14:paraId="62909244">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CBS植被混凝土边坡绿化</w:t>
            </w:r>
          </w:p>
          <w:p w14:paraId="5F482C4B">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挡土墙工程</w:t>
            </w:r>
          </w:p>
          <w:p w14:paraId="6ED8212B">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植被恢复</w:t>
            </w:r>
          </w:p>
        </w:tc>
        <w:tc>
          <w:tcPr>
            <w:tcW w:w="384" w:type="pct"/>
            <w:vMerge w:val="restart"/>
            <w:tcBorders>
              <w:tl2br w:val="nil"/>
              <w:tr2bl w:val="nil"/>
            </w:tcBorders>
            <w:vAlign w:val="center"/>
          </w:tcPr>
          <w:p w14:paraId="747D6C59">
            <w:pPr>
              <w:pStyle w:val="44"/>
              <w:bidi w:val="0"/>
              <w:rPr>
                <w:rFonts w:hint="default" w:ascii="Times New Roman" w:hAnsi="Times New Roman" w:eastAsia="宋体" w:cs="Times New Roman"/>
                <w:color w:val="558ED5" w:themeColor="text2" w:themeTint="99"/>
                <w:highlight w:val="none"/>
                <w:lang w:eastAsia="zh-CN"/>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w:t>
            </w:r>
            <w:r>
              <w:rPr>
                <w:rFonts w:hint="default" w:ascii="Times New Roman" w:hAnsi="Times New Roman" w:cs="Times New Roman"/>
                <w:color w:val="558ED5" w:themeColor="text2" w:themeTint="99"/>
                <w:highlight w:val="none"/>
                <w:lang w:val="en-US" w:eastAsia="zh-CN"/>
                <w14:textFill>
                  <w14:solidFill>
                    <w14:schemeClr w14:val="tx2">
                      <w14:lumMod w14:val="60000"/>
                      <w14:lumOff w14:val="40000"/>
                    </w14:schemeClr>
                  </w14:solidFill>
                </w14:textFill>
              </w:rPr>
              <w:t>2</w:t>
            </w:r>
          </w:p>
        </w:tc>
        <w:tc>
          <w:tcPr>
            <w:tcW w:w="509" w:type="pct"/>
            <w:tcBorders>
              <w:tl2br w:val="nil"/>
              <w:tr2bl w:val="nil"/>
            </w:tcBorders>
            <w:vAlign w:val="center"/>
          </w:tcPr>
          <w:p w14:paraId="0AB28ABF">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施工期</w:t>
            </w:r>
          </w:p>
        </w:tc>
        <w:tc>
          <w:tcPr>
            <w:tcW w:w="376" w:type="pct"/>
            <w:tcBorders>
              <w:tl2br w:val="nil"/>
              <w:tr2bl w:val="nil"/>
            </w:tcBorders>
            <w:vAlign w:val="center"/>
          </w:tcPr>
          <w:p w14:paraId="7E8170F6">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400" w:type="pct"/>
            <w:tcBorders>
              <w:tl2br w:val="nil"/>
              <w:tr2bl w:val="nil"/>
            </w:tcBorders>
            <w:vAlign w:val="center"/>
          </w:tcPr>
          <w:p w14:paraId="46D79AAF">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47" w:type="pct"/>
            <w:tcBorders>
              <w:tl2br w:val="nil"/>
              <w:tr2bl w:val="nil"/>
            </w:tcBorders>
            <w:vAlign w:val="center"/>
          </w:tcPr>
          <w:p w14:paraId="5855F53A">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58" w:type="pct"/>
            <w:tcBorders>
              <w:tl2br w:val="nil"/>
              <w:tr2bl w:val="nil"/>
            </w:tcBorders>
            <w:vAlign w:val="center"/>
          </w:tcPr>
          <w:p w14:paraId="74ADA11C">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355" w:type="pct"/>
            <w:tcBorders>
              <w:tl2br w:val="nil"/>
              <w:tr2bl w:val="nil"/>
            </w:tcBorders>
            <w:vAlign w:val="center"/>
          </w:tcPr>
          <w:p w14:paraId="440AB6B8">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48" w:type="pct"/>
            <w:tcBorders>
              <w:tl2br w:val="nil"/>
              <w:tr2bl w:val="nil"/>
            </w:tcBorders>
            <w:vAlign w:val="center"/>
          </w:tcPr>
          <w:p w14:paraId="6A107AF2">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r>
      <w:tr w14:paraId="3426ADB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206" w:hRule="atLeast"/>
          <w:jc w:val="center"/>
        </w:trPr>
        <w:tc>
          <w:tcPr>
            <w:tcW w:w="205" w:type="pct"/>
            <w:vMerge w:val="continue"/>
            <w:tcBorders>
              <w:tl2br w:val="nil"/>
              <w:tr2bl w:val="nil"/>
            </w:tcBorders>
            <w:vAlign w:val="center"/>
          </w:tcPr>
          <w:p w14:paraId="43C3AC6C">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579" w:type="pct"/>
            <w:vMerge w:val="continue"/>
            <w:tcBorders>
              <w:right w:val="single" w:color="auto" w:sz="4" w:space="0"/>
              <w:tl2br w:val="nil"/>
              <w:tr2bl w:val="nil"/>
            </w:tcBorders>
            <w:vAlign w:val="center"/>
          </w:tcPr>
          <w:p w14:paraId="44BA878C">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386" w:type="pct"/>
            <w:vMerge w:val="continue"/>
            <w:tcBorders>
              <w:left w:val="single" w:color="auto" w:sz="4" w:space="0"/>
              <w:tl2br w:val="nil"/>
              <w:tr2bl w:val="nil"/>
            </w:tcBorders>
            <w:vAlign w:val="center"/>
          </w:tcPr>
          <w:p w14:paraId="5FC6B62F">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748" w:type="pct"/>
            <w:vMerge w:val="continue"/>
            <w:tcBorders>
              <w:left w:val="single" w:color="auto" w:sz="4" w:space="0"/>
              <w:tl2br w:val="nil"/>
              <w:tr2bl w:val="nil"/>
            </w:tcBorders>
            <w:vAlign w:val="center"/>
          </w:tcPr>
          <w:p w14:paraId="654803A9">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384" w:type="pct"/>
            <w:vMerge w:val="continue"/>
            <w:tcBorders>
              <w:tl2br w:val="nil"/>
              <w:tr2bl w:val="nil"/>
            </w:tcBorders>
            <w:vAlign w:val="center"/>
          </w:tcPr>
          <w:p w14:paraId="16C15B64">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509" w:type="pct"/>
            <w:tcBorders>
              <w:tl2br w:val="nil"/>
              <w:tr2bl w:val="nil"/>
            </w:tcBorders>
            <w:vAlign w:val="center"/>
          </w:tcPr>
          <w:p w14:paraId="12DBBB83">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生态恢复期</w:t>
            </w:r>
          </w:p>
        </w:tc>
        <w:tc>
          <w:tcPr>
            <w:tcW w:w="967" w:type="dxa"/>
            <w:tcBorders>
              <w:tl2br w:val="nil"/>
              <w:tr2bl w:val="nil"/>
            </w:tcBorders>
            <w:vAlign w:val="center"/>
          </w:tcPr>
          <w:p w14:paraId="12B53C34">
            <w:pPr>
              <w:pStyle w:val="44"/>
              <w:bidi w:val="0"/>
              <w:ind w:firstLine="0" w:firstLineChars="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1026" w:type="dxa"/>
            <w:tcBorders>
              <w:tl2br w:val="nil"/>
              <w:tr2bl w:val="nil"/>
            </w:tcBorders>
            <w:vAlign w:val="center"/>
          </w:tcPr>
          <w:p w14:paraId="4DD33F6D">
            <w:pPr>
              <w:pStyle w:val="44"/>
              <w:bidi w:val="0"/>
              <w:ind w:firstLine="0" w:firstLineChars="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892" w:type="dxa"/>
            <w:tcBorders>
              <w:tl2br w:val="nil"/>
              <w:tr2bl w:val="nil"/>
            </w:tcBorders>
            <w:vAlign w:val="center"/>
          </w:tcPr>
          <w:p w14:paraId="3C351CB4">
            <w:pPr>
              <w:pStyle w:val="44"/>
              <w:bidi w:val="0"/>
              <w:ind w:firstLine="0" w:firstLineChars="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919" w:type="dxa"/>
            <w:tcBorders>
              <w:tl2br w:val="nil"/>
              <w:tr2bl w:val="nil"/>
            </w:tcBorders>
            <w:vAlign w:val="center"/>
          </w:tcPr>
          <w:p w14:paraId="5C9AF2A4">
            <w:pPr>
              <w:pStyle w:val="44"/>
              <w:bidi w:val="0"/>
              <w:ind w:firstLine="0" w:firstLineChars="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355" w:type="pct"/>
            <w:tcBorders>
              <w:tl2br w:val="nil"/>
              <w:tr2bl w:val="nil"/>
            </w:tcBorders>
            <w:vAlign w:val="center"/>
          </w:tcPr>
          <w:p w14:paraId="3F5B61D5">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48" w:type="pct"/>
            <w:tcBorders>
              <w:tl2br w:val="nil"/>
              <w:tr2bl w:val="nil"/>
            </w:tcBorders>
            <w:vAlign w:val="center"/>
          </w:tcPr>
          <w:p w14:paraId="2FC50391">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+2C</w:t>
            </w:r>
          </w:p>
        </w:tc>
      </w:tr>
      <w:tr w14:paraId="48B1770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1" w:hRule="atLeast"/>
          <w:jc w:val="center"/>
        </w:trPr>
        <w:tc>
          <w:tcPr>
            <w:tcW w:w="205" w:type="pct"/>
            <w:vMerge w:val="restart"/>
            <w:tcBorders>
              <w:tl2br w:val="nil"/>
              <w:tr2bl w:val="nil"/>
            </w:tcBorders>
            <w:shd w:val="clear" w:color="auto" w:fill="auto"/>
            <w:vAlign w:val="center"/>
          </w:tcPr>
          <w:p w14:paraId="4AE214E0">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11</w:t>
            </w:r>
          </w:p>
        </w:tc>
        <w:tc>
          <w:tcPr>
            <w:tcW w:w="579" w:type="pct"/>
            <w:vMerge w:val="restart"/>
            <w:tcBorders>
              <w:right w:val="single" w:color="auto" w:sz="4" w:space="0"/>
              <w:tl2br w:val="nil"/>
              <w:tr2bl w:val="nil"/>
            </w:tcBorders>
            <w:vAlign w:val="center"/>
          </w:tcPr>
          <w:p w14:paraId="5E47AA58">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鸡西市城子河区城海村东南 1.7km</w:t>
            </w:r>
          </w:p>
          <w:p w14:paraId="7E5ECB0E">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废弃采石场(59#)</w:t>
            </w:r>
          </w:p>
        </w:tc>
        <w:tc>
          <w:tcPr>
            <w:tcW w:w="386" w:type="pct"/>
            <w:vMerge w:val="restart"/>
            <w:tcBorders>
              <w:left w:val="single" w:color="auto" w:sz="4" w:space="0"/>
              <w:tl2br w:val="nil"/>
              <w:tr2bl w:val="nil"/>
            </w:tcBorders>
            <w:vAlign w:val="center"/>
          </w:tcPr>
          <w:p w14:paraId="566B427E">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0.45</w:t>
            </w:r>
          </w:p>
        </w:tc>
        <w:tc>
          <w:tcPr>
            <w:tcW w:w="748" w:type="pct"/>
            <w:vMerge w:val="restart"/>
            <w:tcBorders>
              <w:left w:val="single" w:color="auto" w:sz="4" w:space="0"/>
              <w:tl2br w:val="nil"/>
              <w:tr2bl w:val="nil"/>
            </w:tcBorders>
            <w:vAlign w:val="center"/>
          </w:tcPr>
          <w:p w14:paraId="6BE2CC9D">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场地平整</w:t>
            </w:r>
          </w:p>
          <w:p w14:paraId="76D09200">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植被恢复</w:t>
            </w:r>
          </w:p>
        </w:tc>
        <w:tc>
          <w:tcPr>
            <w:tcW w:w="384" w:type="pct"/>
            <w:vMerge w:val="restart"/>
            <w:tcBorders>
              <w:tl2br w:val="nil"/>
              <w:tr2bl w:val="nil"/>
            </w:tcBorders>
            <w:vAlign w:val="center"/>
          </w:tcPr>
          <w:p w14:paraId="3A7E0AA7">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12</w:t>
            </w:r>
          </w:p>
        </w:tc>
        <w:tc>
          <w:tcPr>
            <w:tcW w:w="509" w:type="pct"/>
            <w:tcBorders>
              <w:tl2br w:val="nil"/>
              <w:tr2bl w:val="nil"/>
            </w:tcBorders>
            <w:vAlign w:val="center"/>
          </w:tcPr>
          <w:p w14:paraId="106B7DDD">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施工期</w:t>
            </w:r>
          </w:p>
        </w:tc>
        <w:tc>
          <w:tcPr>
            <w:tcW w:w="376" w:type="pct"/>
            <w:tcBorders>
              <w:tl2br w:val="nil"/>
              <w:tr2bl w:val="nil"/>
            </w:tcBorders>
            <w:vAlign w:val="center"/>
          </w:tcPr>
          <w:p w14:paraId="06C84EEC">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400" w:type="pct"/>
            <w:tcBorders>
              <w:tl2br w:val="nil"/>
              <w:tr2bl w:val="nil"/>
            </w:tcBorders>
            <w:vAlign w:val="center"/>
          </w:tcPr>
          <w:p w14:paraId="4D8859B9">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47" w:type="pct"/>
            <w:tcBorders>
              <w:tl2br w:val="nil"/>
              <w:tr2bl w:val="nil"/>
            </w:tcBorders>
            <w:vAlign w:val="center"/>
          </w:tcPr>
          <w:p w14:paraId="02E6EB92">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58" w:type="pct"/>
            <w:tcBorders>
              <w:tl2br w:val="nil"/>
              <w:tr2bl w:val="nil"/>
            </w:tcBorders>
            <w:vAlign w:val="center"/>
          </w:tcPr>
          <w:p w14:paraId="6FE7FFF3">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355" w:type="pct"/>
            <w:tcBorders>
              <w:tl2br w:val="nil"/>
              <w:tr2bl w:val="nil"/>
            </w:tcBorders>
            <w:vAlign w:val="center"/>
          </w:tcPr>
          <w:p w14:paraId="32530B29">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48" w:type="pct"/>
            <w:tcBorders>
              <w:tl2br w:val="nil"/>
              <w:tr2bl w:val="nil"/>
            </w:tcBorders>
            <w:vAlign w:val="center"/>
          </w:tcPr>
          <w:p w14:paraId="36DFF471">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r>
      <w:bookmarkEnd w:id="92"/>
      <w:tr w14:paraId="049BB9E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21" w:hRule="atLeast"/>
          <w:jc w:val="center"/>
        </w:trPr>
        <w:tc>
          <w:tcPr>
            <w:tcW w:w="205" w:type="pct"/>
            <w:vMerge w:val="continue"/>
            <w:tcBorders>
              <w:tl2br w:val="nil"/>
              <w:tr2bl w:val="nil"/>
            </w:tcBorders>
            <w:vAlign w:val="center"/>
          </w:tcPr>
          <w:p w14:paraId="66BE8781">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579" w:type="pct"/>
            <w:vMerge w:val="continue"/>
            <w:tcBorders>
              <w:right w:val="single" w:color="auto" w:sz="4" w:space="0"/>
              <w:tl2br w:val="nil"/>
              <w:tr2bl w:val="nil"/>
            </w:tcBorders>
            <w:vAlign w:val="center"/>
          </w:tcPr>
          <w:p w14:paraId="36615FEB">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386" w:type="pct"/>
            <w:vMerge w:val="continue"/>
            <w:tcBorders>
              <w:left w:val="single" w:color="auto" w:sz="4" w:space="0"/>
              <w:tl2br w:val="nil"/>
              <w:tr2bl w:val="nil"/>
            </w:tcBorders>
            <w:vAlign w:val="center"/>
          </w:tcPr>
          <w:p w14:paraId="1157B371">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748" w:type="pct"/>
            <w:vMerge w:val="continue"/>
            <w:tcBorders>
              <w:left w:val="single" w:color="auto" w:sz="4" w:space="0"/>
              <w:tl2br w:val="nil"/>
              <w:tr2bl w:val="nil"/>
            </w:tcBorders>
            <w:vAlign w:val="center"/>
          </w:tcPr>
          <w:p w14:paraId="6C8BC386">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384" w:type="pct"/>
            <w:vMerge w:val="continue"/>
            <w:tcBorders>
              <w:tl2br w:val="nil"/>
              <w:tr2bl w:val="nil"/>
            </w:tcBorders>
            <w:vAlign w:val="center"/>
          </w:tcPr>
          <w:p w14:paraId="48D8E4D7">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509" w:type="pct"/>
            <w:tcBorders>
              <w:tl2br w:val="nil"/>
              <w:tr2bl w:val="nil"/>
            </w:tcBorders>
            <w:vAlign w:val="center"/>
          </w:tcPr>
          <w:p w14:paraId="43CFDB01">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生态恢复期</w:t>
            </w:r>
          </w:p>
        </w:tc>
        <w:tc>
          <w:tcPr>
            <w:tcW w:w="967" w:type="dxa"/>
            <w:tcBorders>
              <w:tl2br w:val="nil"/>
              <w:tr2bl w:val="nil"/>
            </w:tcBorders>
            <w:vAlign w:val="center"/>
          </w:tcPr>
          <w:p w14:paraId="18119978">
            <w:pPr>
              <w:pStyle w:val="44"/>
              <w:bidi w:val="0"/>
              <w:ind w:firstLine="0" w:firstLineChars="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1026" w:type="dxa"/>
            <w:tcBorders>
              <w:tl2br w:val="nil"/>
              <w:tr2bl w:val="nil"/>
            </w:tcBorders>
            <w:vAlign w:val="center"/>
          </w:tcPr>
          <w:p w14:paraId="76395DD8">
            <w:pPr>
              <w:pStyle w:val="44"/>
              <w:bidi w:val="0"/>
              <w:ind w:firstLine="0" w:firstLineChars="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892" w:type="dxa"/>
            <w:tcBorders>
              <w:tl2br w:val="nil"/>
              <w:tr2bl w:val="nil"/>
            </w:tcBorders>
            <w:vAlign w:val="center"/>
          </w:tcPr>
          <w:p w14:paraId="11D20BBA">
            <w:pPr>
              <w:pStyle w:val="44"/>
              <w:bidi w:val="0"/>
              <w:ind w:firstLine="0" w:firstLineChars="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919" w:type="dxa"/>
            <w:tcBorders>
              <w:tl2br w:val="nil"/>
              <w:tr2bl w:val="nil"/>
            </w:tcBorders>
            <w:vAlign w:val="center"/>
          </w:tcPr>
          <w:p w14:paraId="4218938B">
            <w:pPr>
              <w:pStyle w:val="44"/>
              <w:bidi w:val="0"/>
              <w:ind w:firstLine="0" w:firstLineChars="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355" w:type="pct"/>
            <w:tcBorders>
              <w:tl2br w:val="nil"/>
              <w:tr2bl w:val="nil"/>
            </w:tcBorders>
            <w:vAlign w:val="center"/>
          </w:tcPr>
          <w:p w14:paraId="43E12572">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48" w:type="pct"/>
            <w:tcBorders>
              <w:tl2br w:val="nil"/>
              <w:tr2bl w:val="nil"/>
            </w:tcBorders>
            <w:vAlign w:val="center"/>
          </w:tcPr>
          <w:p w14:paraId="2F665A1C">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+2C</w:t>
            </w:r>
          </w:p>
        </w:tc>
      </w:tr>
      <w:tr w14:paraId="664BC4D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1" w:hRule="atLeast"/>
          <w:jc w:val="center"/>
        </w:trPr>
        <w:tc>
          <w:tcPr>
            <w:tcW w:w="205" w:type="pct"/>
            <w:vMerge w:val="restart"/>
            <w:tcBorders>
              <w:tl2br w:val="nil"/>
              <w:tr2bl w:val="nil"/>
            </w:tcBorders>
            <w:vAlign w:val="center"/>
          </w:tcPr>
          <w:p w14:paraId="653731DF">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12</w:t>
            </w:r>
          </w:p>
        </w:tc>
        <w:tc>
          <w:tcPr>
            <w:tcW w:w="579" w:type="pct"/>
            <w:vMerge w:val="restart"/>
            <w:tcBorders>
              <w:right w:val="single" w:color="auto" w:sz="4" w:space="0"/>
              <w:tl2br w:val="nil"/>
              <w:tr2bl w:val="nil"/>
            </w:tcBorders>
            <w:vAlign w:val="center"/>
          </w:tcPr>
          <w:p w14:paraId="1181343F">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鸡西市城子河区城海村东南2.7km</w:t>
            </w:r>
          </w:p>
          <w:p w14:paraId="24BE0E82">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废弃采石场（60#）</w:t>
            </w:r>
          </w:p>
        </w:tc>
        <w:tc>
          <w:tcPr>
            <w:tcW w:w="386" w:type="pct"/>
            <w:vMerge w:val="restart"/>
            <w:tcBorders>
              <w:left w:val="single" w:color="auto" w:sz="4" w:space="0"/>
              <w:tl2br w:val="nil"/>
              <w:tr2bl w:val="nil"/>
            </w:tcBorders>
            <w:vAlign w:val="center"/>
          </w:tcPr>
          <w:p w14:paraId="5C26B1ED">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0.66</w:t>
            </w:r>
          </w:p>
        </w:tc>
        <w:tc>
          <w:tcPr>
            <w:tcW w:w="748" w:type="pct"/>
            <w:vMerge w:val="restart"/>
            <w:tcBorders>
              <w:left w:val="single" w:color="auto" w:sz="4" w:space="0"/>
              <w:tl2br w:val="nil"/>
              <w:tr2bl w:val="nil"/>
            </w:tcBorders>
            <w:vAlign w:val="center"/>
          </w:tcPr>
          <w:p w14:paraId="1E964FD5">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危岩清理</w:t>
            </w:r>
          </w:p>
          <w:p w14:paraId="5384BE0B">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边坡整形工程</w:t>
            </w:r>
          </w:p>
          <w:p w14:paraId="267B89E2">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场地平整</w:t>
            </w:r>
          </w:p>
          <w:p w14:paraId="6C656D6E">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植被恢复</w:t>
            </w:r>
          </w:p>
        </w:tc>
        <w:tc>
          <w:tcPr>
            <w:tcW w:w="384" w:type="pct"/>
            <w:vMerge w:val="restart"/>
            <w:tcBorders>
              <w:tl2br w:val="nil"/>
              <w:tr2bl w:val="nil"/>
            </w:tcBorders>
            <w:vAlign w:val="center"/>
          </w:tcPr>
          <w:p w14:paraId="0A23F5FF">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12</w:t>
            </w:r>
          </w:p>
        </w:tc>
        <w:tc>
          <w:tcPr>
            <w:tcW w:w="509" w:type="pct"/>
            <w:tcBorders>
              <w:tl2br w:val="nil"/>
              <w:tr2bl w:val="nil"/>
            </w:tcBorders>
            <w:vAlign w:val="center"/>
          </w:tcPr>
          <w:p w14:paraId="20A0F3CE">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施工期</w:t>
            </w:r>
          </w:p>
        </w:tc>
        <w:tc>
          <w:tcPr>
            <w:tcW w:w="376" w:type="pct"/>
            <w:tcBorders>
              <w:tl2br w:val="nil"/>
              <w:tr2bl w:val="nil"/>
            </w:tcBorders>
            <w:vAlign w:val="center"/>
          </w:tcPr>
          <w:p w14:paraId="59B5FA34">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400" w:type="pct"/>
            <w:tcBorders>
              <w:tl2br w:val="nil"/>
              <w:tr2bl w:val="nil"/>
            </w:tcBorders>
            <w:vAlign w:val="center"/>
          </w:tcPr>
          <w:p w14:paraId="354C8AF6">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47" w:type="pct"/>
            <w:tcBorders>
              <w:tl2br w:val="nil"/>
              <w:tr2bl w:val="nil"/>
            </w:tcBorders>
            <w:vAlign w:val="center"/>
          </w:tcPr>
          <w:p w14:paraId="547BD2B0">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58" w:type="pct"/>
            <w:tcBorders>
              <w:tl2br w:val="nil"/>
              <w:tr2bl w:val="nil"/>
            </w:tcBorders>
            <w:vAlign w:val="center"/>
          </w:tcPr>
          <w:p w14:paraId="2D4E832E">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355" w:type="pct"/>
            <w:tcBorders>
              <w:tl2br w:val="nil"/>
              <w:tr2bl w:val="nil"/>
            </w:tcBorders>
            <w:vAlign w:val="center"/>
          </w:tcPr>
          <w:p w14:paraId="380B3C00">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48" w:type="pct"/>
            <w:tcBorders>
              <w:tl2br w:val="nil"/>
              <w:tr2bl w:val="nil"/>
            </w:tcBorders>
            <w:vAlign w:val="center"/>
          </w:tcPr>
          <w:p w14:paraId="22099FFF">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r>
      <w:tr w14:paraId="7FE8DD2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44" w:hRule="atLeast"/>
          <w:jc w:val="center"/>
        </w:trPr>
        <w:tc>
          <w:tcPr>
            <w:tcW w:w="205" w:type="pct"/>
            <w:vMerge w:val="continue"/>
            <w:tcBorders>
              <w:tl2br w:val="nil"/>
              <w:tr2bl w:val="nil"/>
            </w:tcBorders>
            <w:vAlign w:val="center"/>
          </w:tcPr>
          <w:p w14:paraId="427187D3">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579" w:type="pct"/>
            <w:vMerge w:val="continue"/>
            <w:tcBorders>
              <w:right w:val="single" w:color="auto" w:sz="4" w:space="0"/>
              <w:tl2br w:val="nil"/>
              <w:tr2bl w:val="nil"/>
            </w:tcBorders>
            <w:vAlign w:val="center"/>
          </w:tcPr>
          <w:p w14:paraId="1874867E">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386" w:type="pct"/>
            <w:vMerge w:val="continue"/>
            <w:tcBorders>
              <w:left w:val="single" w:color="auto" w:sz="4" w:space="0"/>
              <w:tl2br w:val="nil"/>
              <w:tr2bl w:val="nil"/>
            </w:tcBorders>
            <w:vAlign w:val="center"/>
          </w:tcPr>
          <w:p w14:paraId="5A665C6E">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748" w:type="pct"/>
            <w:vMerge w:val="continue"/>
            <w:tcBorders>
              <w:left w:val="single" w:color="auto" w:sz="4" w:space="0"/>
              <w:tl2br w:val="nil"/>
              <w:tr2bl w:val="nil"/>
            </w:tcBorders>
            <w:vAlign w:val="center"/>
          </w:tcPr>
          <w:p w14:paraId="23F4C52C">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384" w:type="pct"/>
            <w:vMerge w:val="continue"/>
            <w:tcBorders>
              <w:tl2br w:val="nil"/>
              <w:tr2bl w:val="nil"/>
            </w:tcBorders>
            <w:vAlign w:val="center"/>
          </w:tcPr>
          <w:p w14:paraId="003D0154">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p>
        </w:tc>
        <w:tc>
          <w:tcPr>
            <w:tcW w:w="509" w:type="pct"/>
            <w:tcBorders>
              <w:tl2br w:val="nil"/>
              <w:tr2bl w:val="nil"/>
            </w:tcBorders>
            <w:vAlign w:val="center"/>
          </w:tcPr>
          <w:p w14:paraId="3F68ACE9">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生态恢复期</w:t>
            </w:r>
          </w:p>
        </w:tc>
        <w:tc>
          <w:tcPr>
            <w:tcW w:w="967" w:type="dxa"/>
            <w:tcBorders>
              <w:tl2br w:val="nil"/>
              <w:tr2bl w:val="nil"/>
            </w:tcBorders>
            <w:vAlign w:val="center"/>
          </w:tcPr>
          <w:p w14:paraId="2DBE45BB">
            <w:pPr>
              <w:pStyle w:val="44"/>
              <w:bidi w:val="0"/>
              <w:ind w:firstLine="0" w:firstLineChars="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1026" w:type="dxa"/>
            <w:tcBorders>
              <w:tl2br w:val="nil"/>
              <w:tr2bl w:val="nil"/>
            </w:tcBorders>
            <w:vAlign w:val="center"/>
          </w:tcPr>
          <w:p w14:paraId="7785EC0D">
            <w:pPr>
              <w:pStyle w:val="44"/>
              <w:bidi w:val="0"/>
              <w:ind w:firstLine="0" w:firstLineChars="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892" w:type="dxa"/>
            <w:tcBorders>
              <w:tl2br w:val="nil"/>
              <w:tr2bl w:val="nil"/>
            </w:tcBorders>
            <w:vAlign w:val="center"/>
          </w:tcPr>
          <w:p w14:paraId="67BD95BF">
            <w:pPr>
              <w:pStyle w:val="44"/>
              <w:bidi w:val="0"/>
              <w:ind w:firstLine="0" w:firstLineChars="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919" w:type="dxa"/>
            <w:tcBorders>
              <w:tl2br w:val="nil"/>
              <w:tr2bl w:val="nil"/>
            </w:tcBorders>
            <w:vAlign w:val="center"/>
          </w:tcPr>
          <w:p w14:paraId="6F26B74C">
            <w:pPr>
              <w:pStyle w:val="44"/>
              <w:bidi w:val="0"/>
              <w:ind w:firstLine="0" w:firstLineChars="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-1D</w:t>
            </w:r>
          </w:p>
        </w:tc>
        <w:tc>
          <w:tcPr>
            <w:tcW w:w="355" w:type="pct"/>
            <w:tcBorders>
              <w:tl2br w:val="nil"/>
              <w:tr2bl w:val="nil"/>
            </w:tcBorders>
            <w:vAlign w:val="center"/>
          </w:tcPr>
          <w:p w14:paraId="3B52C290">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p>
        </w:tc>
        <w:tc>
          <w:tcPr>
            <w:tcW w:w="348" w:type="pct"/>
            <w:tcBorders>
              <w:tl2br w:val="nil"/>
              <w:tr2bl w:val="nil"/>
            </w:tcBorders>
            <w:vAlign w:val="center"/>
          </w:tcPr>
          <w:p w14:paraId="70FEF423">
            <w:pPr>
              <w:pStyle w:val="44"/>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+2C</w:t>
            </w:r>
          </w:p>
        </w:tc>
      </w:tr>
    </w:tbl>
    <w:p w14:paraId="2378CD27">
      <w:pPr>
        <w:spacing w:line="360" w:lineRule="auto"/>
        <w:rPr>
          <w:rFonts w:hint="default" w:ascii="Times New Roman" w:hAnsi="Times New Roman" w:cs="Times New Roman"/>
          <w:color w:val="558ED5" w:themeColor="text2" w:themeTint="99"/>
          <w:sz w:val="18"/>
          <w:szCs w:val="18"/>
          <w:highlight w:val="none"/>
          <w14:textFill>
            <w14:solidFill>
              <w14:schemeClr w14:val="tx2">
                <w14:lumMod w14:val="60000"/>
                <w14:lumOff w14:val="40000"/>
              </w14:schemeClr>
            </w14:solidFill>
          </w14:textFill>
        </w:rPr>
      </w:pPr>
      <w:r>
        <w:rPr>
          <w:rFonts w:hint="default" w:ascii="Times New Roman" w:hAnsi="Times New Roman" w:cs="Times New Roman"/>
          <w:b/>
          <w:bCs/>
          <w:color w:val="558ED5" w:themeColor="text2" w:themeTint="99"/>
          <w:sz w:val="18"/>
          <w:szCs w:val="18"/>
          <w:highlight w:val="none"/>
          <w14:textFill>
            <w14:solidFill>
              <w14:schemeClr w14:val="tx2">
                <w14:lumMod w14:val="60000"/>
                <w14:lumOff w14:val="40000"/>
              </w14:schemeClr>
            </w14:solidFill>
          </w14:textFill>
        </w:rPr>
        <w:t>备注：1、表中“+”表示正效益，“-”表示负效益；2、表中数字表示影响的相对程度，“1”表示影响较小，“2”表示影响中等，“3”表示影响较大；3、表中“D”表示短期影响，“C”表示长期影响。</w:t>
      </w:r>
    </w:p>
    <w:p w14:paraId="40E77716">
      <w:pPr>
        <w:pStyle w:val="39"/>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sectPr>
          <w:pgSz w:w="16838" w:h="11906" w:orient="landscape"/>
          <w:pgMar w:top="1440" w:right="1440" w:bottom="1440" w:left="1440" w:header="851" w:footer="992" w:gutter="0"/>
          <w:pgBorders>
            <w:top w:val="none" w:sz="0" w:space="0"/>
            <w:left w:val="none" w:sz="0" w:space="0"/>
            <w:bottom w:val="none" w:sz="0" w:space="0"/>
            <w:right w:val="none" w:sz="0" w:space="0"/>
          </w:pgBorders>
          <w:cols w:space="425" w:num="1"/>
          <w:docGrid w:type="lines" w:linePitch="312" w:charSpace="0"/>
        </w:sectPr>
      </w:pPr>
    </w:p>
    <w:p w14:paraId="314DD63B">
      <w:pPr>
        <w:pStyle w:val="39"/>
        <w:rPr>
          <w:rFonts w:hint="default" w:ascii="Times New Roman" w:hAnsi="Times New Roman" w:cs="Times New Roman"/>
          <w:color w:val="auto"/>
          <w:highlight w:val="none"/>
        </w:rPr>
      </w:pPr>
      <w:bookmarkStart w:id="93" w:name="_Toc7379"/>
      <w:r>
        <w:rPr>
          <w:rFonts w:hint="default" w:ascii="Times New Roman" w:hAnsi="Times New Roman" w:cs="Times New Roman"/>
          <w:color w:val="auto"/>
          <w:highlight w:val="none"/>
        </w:rPr>
        <w:t>2.4.2评价因子筛选</w:t>
      </w:r>
      <w:bookmarkEnd w:id="93"/>
    </w:p>
    <w:p w14:paraId="12206097">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根据本项目周边环境及项目特征，确定本项目现状评价因子和预测评价因子，具体见下表。</w:t>
      </w:r>
    </w:p>
    <w:p w14:paraId="7F263B72">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表2-4-2</w:t>
      </w:r>
      <w:r>
        <w:rPr>
          <w:rFonts w:hint="default" w:ascii="Times New Roman" w:hAnsi="Times New Roman" w:cs="Times New Roman"/>
          <w:color w:val="auto"/>
          <w:highlight w:val="none"/>
          <w:lang w:val="en-US" w:eastAsia="zh-CN"/>
        </w:rPr>
        <w:t xml:space="preserve">  2#遗留矿山</w:t>
      </w:r>
      <w:r>
        <w:rPr>
          <w:rFonts w:hint="default" w:ascii="Times New Roman" w:hAnsi="Times New Roman" w:cs="Times New Roman"/>
          <w:color w:val="auto"/>
          <w:highlight w:val="none"/>
        </w:rPr>
        <w:t>环境影响评价因子筛选结果</w:t>
      </w:r>
    </w:p>
    <w:tbl>
      <w:tblPr>
        <w:tblStyle w:val="20"/>
        <w:tblW w:w="8379"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279"/>
        <w:gridCol w:w="1439"/>
        <w:gridCol w:w="5661"/>
      </w:tblGrid>
      <w:tr w14:paraId="18746FB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rPr>
          <w:trHeight w:val="371" w:hRule="atLeast"/>
          <w:jc w:val="center"/>
        </w:trPr>
        <w:tc>
          <w:tcPr>
            <w:tcW w:w="1279" w:type="dxa"/>
            <w:vAlign w:val="center"/>
          </w:tcPr>
          <w:p w14:paraId="0002B04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环境要素</w:t>
            </w:r>
          </w:p>
        </w:tc>
        <w:tc>
          <w:tcPr>
            <w:tcW w:w="1439" w:type="dxa"/>
            <w:vAlign w:val="center"/>
          </w:tcPr>
          <w:p w14:paraId="02324C7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评价类别</w:t>
            </w:r>
          </w:p>
        </w:tc>
        <w:tc>
          <w:tcPr>
            <w:tcW w:w="5661" w:type="dxa"/>
            <w:vAlign w:val="center"/>
          </w:tcPr>
          <w:p w14:paraId="5EAC70E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评价因子</w:t>
            </w:r>
          </w:p>
        </w:tc>
      </w:tr>
      <w:tr w14:paraId="74BC36F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1" w:hRule="atLeast"/>
          <w:jc w:val="center"/>
        </w:trPr>
        <w:tc>
          <w:tcPr>
            <w:tcW w:w="1279" w:type="dxa"/>
            <w:vMerge w:val="restart"/>
            <w:vAlign w:val="center"/>
          </w:tcPr>
          <w:p w14:paraId="0E8B33B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环境空气</w:t>
            </w:r>
          </w:p>
        </w:tc>
        <w:tc>
          <w:tcPr>
            <w:tcW w:w="1439" w:type="dxa"/>
            <w:vAlign w:val="center"/>
          </w:tcPr>
          <w:p w14:paraId="0D4C365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现状评价</w:t>
            </w:r>
          </w:p>
        </w:tc>
        <w:tc>
          <w:tcPr>
            <w:tcW w:w="5661" w:type="dxa"/>
            <w:vAlign w:val="center"/>
          </w:tcPr>
          <w:p w14:paraId="3FCE9F2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PM</w:t>
            </w:r>
            <w:r>
              <w:rPr>
                <w:rFonts w:hint="default" w:ascii="Times New Roman" w:hAnsi="Times New Roman" w:cs="Times New Roman"/>
                <w:color w:val="auto"/>
                <w:highlight w:val="none"/>
                <w:vertAlign w:val="subscript"/>
              </w:rPr>
              <w:t>10</w:t>
            </w:r>
            <w:r>
              <w:rPr>
                <w:rFonts w:hint="default" w:ascii="Times New Roman" w:hAnsi="Times New Roman" w:cs="Times New Roman"/>
                <w:color w:val="auto"/>
                <w:highlight w:val="none"/>
              </w:rPr>
              <w:t>、PM</w:t>
            </w:r>
            <w:r>
              <w:rPr>
                <w:rFonts w:hint="default" w:ascii="Times New Roman" w:hAnsi="Times New Roman" w:cs="Times New Roman"/>
                <w:color w:val="auto"/>
                <w:highlight w:val="none"/>
                <w:vertAlign w:val="subscript"/>
              </w:rPr>
              <w:t>2.5</w:t>
            </w:r>
            <w:r>
              <w:rPr>
                <w:rFonts w:hint="default" w:ascii="Times New Roman" w:hAnsi="Times New Roman" w:cs="Times New Roman"/>
                <w:color w:val="auto"/>
                <w:highlight w:val="none"/>
              </w:rPr>
              <w:t>、NO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、SO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、CO、O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、TSP</w:t>
            </w:r>
          </w:p>
        </w:tc>
      </w:tr>
      <w:tr w14:paraId="293C639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1" w:hRule="atLeast"/>
          <w:jc w:val="center"/>
        </w:trPr>
        <w:tc>
          <w:tcPr>
            <w:tcW w:w="1279" w:type="dxa"/>
            <w:vMerge w:val="continue"/>
            <w:vAlign w:val="center"/>
          </w:tcPr>
          <w:p w14:paraId="4AEE6820">
            <w:pPr>
              <w:pStyle w:val="44"/>
              <w:bidi w:val="0"/>
              <w:rPr>
                <w:rFonts w:hint="default" w:ascii="Times New Roman" w:hAnsi="Times New Roman" w:cs="Times New Roman"/>
                <w:color w:val="auto"/>
                <w:highlight w:val="none"/>
              </w:rPr>
            </w:pPr>
          </w:p>
        </w:tc>
        <w:tc>
          <w:tcPr>
            <w:tcW w:w="1439" w:type="dxa"/>
            <w:vAlign w:val="center"/>
          </w:tcPr>
          <w:p w14:paraId="371D6C9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预测分析</w:t>
            </w:r>
          </w:p>
        </w:tc>
        <w:tc>
          <w:tcPr>
            <w:tcW w:w="5661" w:type="dxa"/>
            <w:vAlign w:val="center"/>
          </w:tcPr>
          <w:p w14:paraId="7EDAC17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TSP</w:t>
            </w:r>
          </w:p>
        </w:tc>
      </w:tr>
      <w:tr w14:paraId="40869D7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1" w:hRule="atLeast"/>
          <w:jc w:val="center"/>
        </w:trPr>
        <w:tc>
          <w:tcPr>
            <w:tcW w:w="1279" w:type="dxa"/>
            <w:vMerge w:val="restart"/>
            <w:vAlign w:val="center"/>
          </w:tcPr>
          <w:p w14:paraId="393E554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声环境</w:t>
            </w:r>
          </w:p>
        </w:tc>
        <w:tc>
          <w:tcPr>
            <w:tcW w:w="1439" w:type="dxa"/>
            <w:vAlign w:val="center"/>
          </w:tcPr>
          <w:p w14:paraId="275AF73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现状评价</w:t>
            </w:r>
          </w:p>
        </w:tc>
        <w:tc>
          <w:tcPr>
            <w:tcW w:w="5661" w:type="dxa"/>
            <w:vMerge w:val="restart"/>
            <w:vAlign w:val="center"/>
          </w:tcPr>
          <w:p w14:paraId="67C9B73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等效连续A声级Leq（A）</w:t>
            </w:r>
          </w:p>
        </w:tc>
      </w:tr>
      <w:tr w14:paraId="3339363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1" w:hRule="atLeast"/>
          <w:jc w:val="center"/>
        </w:trPr>
        <w:tc>
          <w:tcPr>
            <w:tcW w:w="1279" w:type="dxa"/>
            <w:vMerge w:val="continue"/>
            <w:vAlign w:val="center"/>
          </w:tcPr>
          <w:p w14:paraId="299F9A3C">
            <w:pPr>
              <w:pStyle w:val="44"/>
              <w:bidi w:val="0"/>
              <w:rPr>
                <w:rFonts w:hint="default" w:ascii="Times New Roman" w:hAnsi="Times New Roman" w:cs="Times New Roman"/>
                <w:color w:val="auto"/>
                <w:highlight w:val="none"/>
              </w:rPr>
            </w:pPr>
          </w:p>
        </w:tc>
        <w:tc>
          <w:tcPr>
            <w:tcW w:w="1439" w:type="dxa"/>
            <w:vAlign w:val="center"/>
          </w:tcPr>
          <w:p w14:paraId="6AECA67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预测分析</w:t>
            </w:r>
          </w:p>
        </w:tc>
        <w:tc>
          <w:tcPr>
            <w:tcW w:w="5661" w:type="dxa"/>
            <w:vMerge w:val="continue"/>
            <w:vAlign w:val="center"/>
          </w:tcPr>
          <w:p w14:paraId="13BC208B">
            <w:pPr>
              <w:pStyle w:val="44"/>
              <w:bidi w:val="0"/>
              <w:rPr>
                <w:rFonts w:hint="default" w:ascii="Times New Roman" w:hAnsi="Times New Roman" w:cs="Times New Roman"/>
                <w:color w:val="auto"/>
                <w:highlight w:val="none"/>
              </w:rPr>
            </w:pPr>
          </w:p>
        </w:tc>
      </w:tr>
      <w:tr w14:paraId="62C47AB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51" w:hRule="atLeast"/>
          <w:jc w:val="center"/>
        </w:trPr>
        <w:tc>
          <w:tcPr>
            <w:tcW w:w="1279" w:type="dxa"/>
            <w:vMerge w:val="restart"/>
            <w:vAlign w:val="center"/>
          </w:tcPr>
          <w:p w14:paraId="48415B9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地表水</w:t>
            </w:r>
          </w:p>
        </w:tc>
        <w:tc>
          <w:tcPr>
            <w:tcW w:w="1439" w:type="dxa"/>
            <w:vAlign w:val="center"/>
          </w:tcPr>
          <w:p w14:paraId="0E6411F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现状评价</w:t>
            </w:r>
          </w:p>
        </w:tc>
        <w:tc>
          <w:tcPr>
            <w:tcW w:w="5661" w:type="dxa"/>
            <w:vAlign w:val="center"/>
          </w:tcPr>
          <w:p w14:paraId="3012F81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pH、COD、氨氮、总磷、BOD</w:t>
            </w:r>
            <w:r>
              <w:rPr>
                <w:rFonts w:hint="default" w:ascii="Times New Roman" w:hAnsi="Times New Roman" w:cs="Times New Roman"/>
                <w:color w:val="auto"/>
                <w:highlight w:val="none"/>
                <w:vertAlign w:val="subscript"/>
              </w:rPr>
              <w:t>5</w:t>
            </w:r>
            <w:r>
              <w:rPr>
                <w:rFonts w:hint="default" w:ascii="Times New Roman" w:hAnsi="Times New Roman" w:cs="Times New Roman"/>
                <w:color w:val="auto"/>
                <w:highlight w:val="none"/>
              </w:rPr>
              <w:t>、总氮、SS、石油类、阴离子表面活性剂、粪大肠菌群数</w:t>
            </w:r>
          </w:p>
        </w:tc>
      </w:tr>
      <w:tr w14:paraId="72FA1A2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1" w:hRule="atLeast"/>
          <w:jc w:val="center"/>
        </w:trPr>
        <w:tc>
          <w:tcPr>
            <w:tcW w:w="1279" w:type="dxa"/>
            <w:vMerge w:val="continue"/>
            <w:vAlign w:val="center"/>
          </w:tcPr>
          <w:p w14:paraId="4418A339">
            <w:pPr>
              <w:pStyle w:val="44"/>
              <w:bidi w:val="0"/>
              <w:rPr>
                <w:rFonts w:hint="default" w:ascii="Times New Roman" w:hAnsi="Times New Roman" w:cs="Times New Roman"/>
                <w:color w:val="auto"/>
                <w:highlight w:val="none"/>
              </w:rPr>
            </w:pPr>
          </w:p>
        </w:tc>
        <w:tc>
          <w:tcPr>
            <w:tcW w:w="1439" w:type="dxa"/>
            <w:vAlign w:val="center"/>
          </w:tcPr>
          <w:p w14:paraId="003A8D9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预测分析</w:t>
            </w:r>
          </w:p>
        </w:tc>
        <w:tc>
          <w:tcPr>
            <w:tcW w:w="5661" w:type="dxa"/>
          </w:tcPr>
          <w:p w14:paraId="6157739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水污染控制和水环境影响减缓措施有效性评价</w:t>
            </w:r>
          </w:p>
        </w:tc>
      </w:tr>
      <w:tr w14:paraId="0ADEF14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364" w:hRule="atLeast"/>
          <w:jc w:val="center"/>
        </w:trPr>
        <w:tc>
          <w:tcPr>
            <w:tcW w:w="1279" w:type="dxa"/>
            <w:vAlign w:val="center"/>
          </w:tcPr>
          <w:p w14:paraId="6D8E0CA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地下水</w:t>
            </w:r>
          </w:p>
        </w:tc>
        <w:tc>
          <w:tcPr>
            <w:tcW w:w="1439" w:type="dxa"/>
            <w:vAlign w:val="center"/>
          </w:tcPr>
          <w:p w14:paraId="7D8953D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现状评价</w:t>
            </w:r>
          </w:p>
        </w:tc>
        <w:tc>
          <w:tcPr>
            <w:tcW w:w="5661" w:type="dxa"/>
            <w:vAlign w:val="center"/>
          </w:tcPr>
          <w:p w14:paraId="186236D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K</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、Na</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、Ca</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、Mg</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、CO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、HCO</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、Cl</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、SO4</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；pH、氨氮、硝酸盐、亚硝酸盐、挥发性酚类、氰化物、砷、汞、铬（六价）、总硬度、铅、氟</w:t>
            </w:r>
            <w:r>
              <w:rPr>
                <w:rFonts w:hint="default" w:ascii="Times New Roman" w:hAnsi="Times New Roman" w:cs="Times New Roman"/>
                <w:color w:val="auto"/>
                <w:highlight w:val="none"/>
                <w:lang w:val="en-US" w:eastAsia="zh-CN"/>
              </w:rPr>
              <w:t>化物</w:t>
            </w:r>
            <w:r>
              <w:rPr>
                <w:rFonts w:hint="default" w:ascii="Times New Roman" w:hAnsi="Times New Roman" w:cs="Times New Roman"/>
                <w:color w:val="auto"/>
                <w:highlight w:val="none"/>
              </w:rPr>
              <w:t>、镉、铁、锰、溶解性总固体、高锰酸盐指数、硫酸盐、氯化物、总大肠菌群、细菌总数</w:t>
            </w:r>
          </w:p>
        </w:tc>
      </w:tr>
      <w:tr w14:paraId="1B8A767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1" w:hRule="atLeast"/>
          <w:jc w:val="center"/>
        </w:trPr>
        <w:tc>
          <w:tcPr>
            <w:tcW w:w="1279" w:type="dxa"/>
            <w:vAlign w:val="center"/>
          </w:tcPr>
          <w:p w14:paraId="65F90C8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地下水</w:t>
            </w:r>
          </w:p>
        </w:tc>
        <w:tc>
          <w:tcPr>
            <w:tcW w:w="1439" w:type="dxa"/>
            <w:vAlign w:val="center"/>
          </w:tcPr>
          <w:p w14:paraId="1E62EC2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预测分析</w:t>
            </w:r>
          </w:p>
        </w:tc>
        <w:tc>
          <w:tcPr>
            <w:tcW w:w="5661" w:type="dxa"/>
            <w:vAlign w:val="center"/>
          </w:tcPr>
          <w:p w14:paraId="5409EB08">
            <w:pPr>
              <w:pStyle w:val="44"/>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六价</w:t>
            </w:r>
            <w:r>
              <w:rPr>
                <w:rFonts w:hint="default" w:ascii="Times New Roman" w:hAnsi="Times New Roman" w:cs="Times New Roman"/>
                <w:color w:val="auto"/>
                <w:highlight w:val="none"/>
              </w:rPr>
              <w:t>铬、</w:t>
            </w:r>
            <w:r>
              <w:rPr>
                <w:rFonts w:hint="default" w:ascii="Times New Roman" w:hAnsi="Times New Roman" w:cs="Times New Roman"/>
                <w:color w:val="auto"/>
                <w:highlight w:val="none"/>
                <w:lang w:val="en-US" w:eastAsia="zh-CN"/>
              </w:rPr>
              <w:t>COD</w:t>
            </w:r>
          </w:p>
        </w:tc>
      </w:tr>
      <w:tr w14:paraId="2F93587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6" w:hRule="atLeast"/>
          <w:jc w:val="center"/>
        </w:trPr>
        <w:tc>
          <w:tcPr>
            <w:tcW w:w="1279" w:type="dxa"/>
            <w:vMerge w:val="restart"/>
            <w:vAlign w:val="center"/>
          </w:tcPr>
          <w:p w14:paraId="5EE54F3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固体废物</w:t>
            </w:r>
          </w:p>
        </w:tc>
        <w:tc>
          <w:tcPr>
            <w:tcW w:w="1439" w:type="dxa"/>
            <w:vAlign w:val="center"/>
          </w:tcPr>
          <w:p w14:paraId="1E1C5B5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现状评价</w:t>
            </w:r>
          </w:p>
        </w:tc>
        <w:tc>
          <w:tcPr>
            <w:tcW w:w="5661" w:type="dxa"/>
            <w:vAlign w:val="center"/>
          </w:tcPr>
          <w:p w14:paraId="40E86C6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14:paraId="74C6810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5" w:hRule="atLeast"/>
          <w:jc w:val="center"/>
        </w:trPr>
        <w:tc>
          <w:tcPr>
            <w:tcW w:w="1279" w:type="dxa"/>
            <w:vMerge w:val="continue"/>
            <w:vAlign w:val="center"/>
          </w:tcPr>
          <w:p w14:paraId="37CC8D14">
            <w:pPr>
              <w:pStyle w:val="44"/>
              <w:bidi w:val="0"/>
              <w:rPr>
                <w:rFonts w:hint="default" w:ascii="Times New Roman" w:hAnsi="Times New Roman" w:cs="Times New Roman"/>
                <w:color w:val="auto"/>
                <w:highlight w:val="none"/>
              </w:rPr>
            </w:pPr>
          </w:p>
        </w:tc>
        <w:tc>
          <w:tcPr>
            <w:tcW w:w="1439" w:type="dxa"/>
            <w:vAlign w:val="center"/>
          </w:tcPr>
          <w:p w14:paraId="3D4D0CA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影响分析</w:t>
            </w:r>
          </w:p>
        </w:tc>
        <w:tc>
          <w:tcPr>
            <w:tcW w:w="5661" w:type="dxa"/>
            <w:vAlign w:val="center"/>
          </w:tcPr>
          <w:p w14:paraId="4FEA90E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生活垃圾</w:t>
            </w:r>
          </w:p>
        </w:tc>
      </w:tr>
      <w:tr w14:paraId="1473695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952" w:hRule="atLeast"/>
          <w:jc w:val="center"/>
        </w:trPr>
        <w:tc>
          <w:tcPr>
            <w:tcW w:w="1279" w:type="dxa"/>
            <w:vMerge w:val="restart"/>
            <w:vAlign w:val="center"/>
          </w:tcPr>
          <w:p w14:paraId="238B89E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土壤</w:t>
            </w:r>
          </w:p>
        </w:tc>
        <w:tc>
          <w:tcPr>
            <w:tcW w:w="1439" w:type="dxa"/>
            <w:vAlign w:val="center"/>
          </w:tcPr>
          <w:p w14:paraId="3B3557C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现状评价</w:t>
            </w:r>
          </w:p>
        </w:tc>
        <w:tc>
          <w:tcPr>
            <w:tcW w:w="5661" w:type="dxa"/>
            <w:vAlign w:val="center"/>
          </w:tcPr>
          <w:p w14:paraId="08753B5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砷、镉、铬（六价）、铜、铅、汞、镍、四氯化碳、氯仿、氯甲烷、1,1-二氯乙烷、1,2-二氯乙烷、1,1-二氯乙烯、顺-1,2-二氯乙烯、反-1,2-二氯乙烯、二氯甲烷、1,2-二氯丙烷、1,1,1,2-四氯乙烷、1,1,2,2-四氯乙烷、四氯乙烯、1,1,1-三氯乙烷、1,1,2-三氯乙烷、三氯乙烯、1,2,3-三氯丙烷、氯乙烯、氯苯、1,2-二氯苯、1,4-二氯苯、乙苯、苯乙烯、硝基苯、苯胺、2-氯酚、苯并[a]蒽、苯并[a]芘、苯并[b]荧蒽、苯并[k]荧蒽、䓛（又名1，2-苯并菲）、二苯并[a,h]蒽、茚并[1,2,3-cd]芘、萘、苯、甲苯、间二甲苯+对二甲苯、邻二甲苯、pH</w:t>
            </w:r>
          </w:p>
        </w:tc>
      </w:tr>
      <w:tr w14:paraId="5A02C25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1" w:hRule="atLeast"/>
          <w:jc w:val="center"/>
        </w:trPr>
        <w:tc>
          <w:tcPr>
            <w:tcW w:w="1279" w:type="dxa"/>
            <w:vMerge w:val="continue"/>
            <w:vAlign w:val="center"/>
          </w:tcPr>
          <w:p w14:paraId="5342FF6E">
            <w:pPr>
              <w:pStyle w:val="44"/>
              <w:bidi w:val="0"/>
              <w:rPr>
                <w:rFonts w:hint="default" w:ascii="Times New Roman" w:hAnsi="Times New Roman" w:cs="Times New Roman"/>
                <w:color w:val="auto"/>
                <w:highlight w:val="none"/>
              </w:rPr>
            </w:pPr>
          </w:p>
        </w:tc>
        <w:tc>
          <w:tcPr>
            <w:tcW w:w="1439" w:type="dxa"/>
            <w:vAlign w:val="center"/>
          </w:tcPr>
          <w:p w14:paraId="4C4DFA8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预测分析</w:t>
            </w:r>
          </w:p>
        </w:tc>
        <w:tc>
          <w:tcPr>
            <w:tcW w:w="5661" w:type="dxa"/>
            <w:vAlign w:val="center"/>
          </w:tcPr>
          <w:p w14:paraId="6690BF2B">
            <w:pPr>
              <w:pStyle w:val="44"/>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六价铬</w:t>
            </w:r>
          </w:p>
        </w:tc>
      </w:tr>
      <w:tr w14:paraId="2605627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1" w:hRule="atLeast"/>
          <w:jc w:val="center"/>
        </w:trPr>
        <w:tc>
          <w:tcPr>
            <w:tcW w:w="1279" w:type="dxa"/>
            <w:vMerge w:val="restart"/>
            <w:vAlign w:val="center"/>
          </w:tcPr>
          <w:p w14:paraId="1BAA428D">
            <w:pPr>
              <w:pStyle w:val="44"/>
              <w:bidi w:val="0"/>
              <w:rPr>
                <w:rFonts w:hint="default" w:ascii="Times New Roman" w:hAnsi="Times New Roman" w:cs="Times New Roman"/>
                <w:color w:val="auto"/>
                <w:highlight w:val="none"/>
              </w:rPr>
            </w:pPr>
            <w:bookmarkStart w:id="94" w:name="_Toc15991632"/>
            <w:r>
              <w:rPr>
                <w:rFonts w:hint="default" w:ascii="Times New Roman" w:hAnsi="Times New Roman" w:cs="Times New Roman"/>
                <w:color w:val="auto"/>
                <w:highlight w:val="none"/>
              </w:rPr>
              <w:t>环境风险</w:t>
            </w:r>
          </w:p>
        </w:tc>
        <w:tc>
          <w:tcPr>
            <w:tcW w:w="1439" w:type="dxa"/>
            <w:vAlign w:val="center"/>
          </w:tcPr>
          <w:p w14:paraId="6DC7D9A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现状评价</w:t>
            </w:r>
          </w:p>
        </w:tc>
        <w:tc>
          <w:tcPr>
            <w:tcW w:w="5661" w:type="dxa"/>
            <w:vAlign w:val="center"/>
          </w:tcPr>
          <w:p w14:paraId="26F527D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14:paraId="578DFDF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1" w:hRule="atLeast"/>
          <w:jc w:val="center"/>
        </w:trPr>
        <w:tc>
          <w:tcPr>
            <w:tcW w:w="1279" w:type="dxa"/>
            <w:vMerge w:val="continue"/>
            <w:vAlign w:val="center"/>
          </w:tcPr>
          <w:p w14:paraId="6438E7B5">
            <w:pPr>
              <w:pStyle w:val="44"/>
              <w:bidi w:val="0"/>
              <w:rPr>
                <w:rFonts w:hint="default" w:ascii="Times New Roman" w:hAnsi="Times New Roman" w:cs="Times New Roman"/>
                <w:color w:val="auto"/>
                <w:highlight w:val="none"/>
              </w:rPr>
            </w:pPr>
          </w:p>
        </w:tc>
        <w:tc>
          <w:tcPr>
            <w:tcW w:w="1439" w:type="dxa"/>
            <w:vAlign w:val="center"/>
          </w:tcPr>
          <w:p w14:paraId="761DED0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影响分析</w:t>
            </w:r>
          </w:p>
        </w:tc>
        <w:tc>
          <w:tcPr>
            <w:tcW w:w="5661" w:type="dxa"/>
            <w:vAlign w:val="center"/>
          </w:tcPr>
          <w:p w14:paraId="751C3E4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淋溶水下渗</w:t>
            </w:r>
          </w:p>
        </w:tc>
      </w:tr>
      <w:tr w14:paraId="356E183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rPr>
          <w:trHeight w:val="551" w:hRule="atLeast"/>
          <w:jc w:val="center"/>
        </w:trPr>
        <w:tc>
          <w:tcPr>
            <w:tcW w:w="1279" w:type="dxa"/>
            <w:vMerge w:val="restart"/>
            <w:vAlign w:val="center"/>
          </w:tcPr>
          <w:p w14:paraId="0FFD714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生态环境</w:t>
            </w:r>
          </w:p>
        </w:tc>
        <w:tc>
          <w:tcPr>
            <w:tcW w:w="1439" w:type="dxa"/>
            <w:vAlign w:val="center"/>
          </w:tcPr>
          <w:p w14:paraId="08EE786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现状评价</w:t>
            </w:r>
          </w:p>
        </w:tc>
        <w:tc>
          <w:tcPr>
            <w:tcW w:w="5661" w:type="dxa"/>
            <w:vAlign w:val="center"/>
          </w:tcPr>
          <w:p w14:paraId="3F8D93D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工程占地、土地利用、植被、土壤、水土流失、景观、生态敏感目标等</w:t>
            </w:r>
          </w:p>
        </w:tc>
      </w:tr>
      <w:tr w14:paraId="2042482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11" w:hRule="atLeast"/>
          <w:jc w:val="center"/>
        </w:trPr>
        <w:tc>
          <w:tcPr>
            <w:tcW w:w="1279" w:type="dxa"/>
            <w:vMerge w:val="continue"/>
            <w:vAlign w:val="center"/>
          </w:tcPr>
          <w:p w14:paraId="5E64906E">
            <w:pPr>
              <w:pStyle w:val="44"/>
              <w:bidi w:val="0"/>
              <w:rPr>
                <w:rFonts w:hint="default" w:ascii="Times New Roman" w:hAnsi="Times New Roman" w:cs="Times New Roman"/>
                <w:color w:val="auto"/>
                <w:highlight w:val="none"/>
              </w:rPr>
            </w:pPr>
          </w:p>
        </w:tc>
        <w:tc>
          <w:tcPr>
            <w:tcW w:w="1439" w:type="dxa"/>
            <w:vAlign w:val="center"/>
          </w:tcPr>
          <w:p w14:paraId="5305B76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影响分析</w:t>
            </w:r>
          </w:p>
        </w:tc>
        <w:tc>
          <w:tcPr>
            <w:tcW w:w="5661" w:type="dxa"/>
            <w:vAlign w:val="center"/>
          </w:tcPr>
          <w:p w14:paraId="1D59FCC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植被破坏、土地裸露、土壤污染、水土流失、生态功能变化等</w:t>
            </w:r>
          </w:p>
        </w:tc>
      </w:tr>
    </w:tbl>
    <w:p w14:paraId="5D21E60C">
      <w:pPr>
        <w:pStyle w:val="27"/>
        <w:bidi w:val="0"/>
        <w:rPr>
          <w:rFonts w:hint="default" w:ascii="Times New Roman" w:hAnsi="Times New Roman" w:cs="Times New Roman"/>
          <w:color w:val="auto"/>
          <w:highlight w:val="none"/>
        </w:rPr>
      </w:pPr>
      <w:bookmarkStart w:id="95" w:name="_Toc119316791"/>
      <w:r>
        <w:rPr>
          <w:rFonts w:hint="default" w:ascii="Times New Roman" w:hAnsi="Times New Roman" w:cs="Times New Roman"/>
          <w:color w:val="auto"/>
          <w:highlight w:val="none"/>
        </w:rPr>
        <w:t>表2-4-</w:t>
      </w:r>
      <w:r>
        <w:rPr>
          <w:rFonts w:hint="default" w:ascii="Times New Roman" w:hAnsi="Times New Roman" w:cs="Times New Roman"/>
          <w:color w:val="auto"/>
          <w:highlight w:val="none"/>
          <w:lang w:val="en-US" w:eastAsia="zh-CN"/>
        </w:rPr>
        <w:t>3 其他遗留矿山</w:t>
      </w:r>
      <w:r>
        <w:rPr>
          <w:rFonts w:hint="default" w:ascii="Times New Roman" w:hAnsi="Times New Roman" w:cs="Times New Roman"/>
          <w:color w:val="auto"/>
          <w:highlight w:val="none"/>
        </w:rPr>
        <w:t>环境影响评价因子筛选结果</w:t>
      </w:r>
    </w:p>
    <w:tbl>
      <w:tblPr>
        <w:tblStyle w:val="20"/>
        <w:tblW w:w="8250"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823"/>
        <w:gridCol w:w="1134"/>
        <w:gridCol w:w="1276"/>
        <w:gridCol w:w="5017"/>
      </w:tblGrid>
      <w:tr w14:paraId="2C289A9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rPr>
          <w:trHeight w:val="313" w:hRule="atLeast"/>
          <w:jc w:val="center"/>
        </w:trPr>
        <w:tc>
          <w:tcPr>
            <w:tcW w:w="823" w:type="dxa"/>
            <w:vAlign w:val="center"/>
          </w:tcPr>
          <w:p w14:paraId="6A66983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评价阶段</w:t>
            </w:r>
          </w:p>
        </w:tc>
        <w:tc>
          <w:tcPr>
            <w:tcW w:w="1134" w:type="dxa"/>
            <w:vAlign w:val="center"/>
          </w:tcPr>
          <w:p w14:paraId="3E84658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环境要素</w:t>
            </w:r>
          </w:p>
        </w:tc>
        <w:tc>
          <w:tcPr>
            <w:tcW w:w="1276" w:type="dxa"/>
            <w:vAlign w:val="center"/>
          </w:tcPr>
          <w:p w14:paraId="01912BD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评价类别</w:t>
            </w:r>
          </w:p>
        </w:tc>
        <w:tc>
          <w:tcPr>
            <w:tcW w:w="5017" w:type="dxa"/>
            <w:vAlign w:val="center"/>
          </w:tcPr>
          <w:p w14:paraId="579D4F0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评价因子</w:t>
            </w:r>
          </w:p>
        </w:tc>
      </w:tr>
      <w:tr w14:paraId="289D869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823" w:type="dxa"/>
            <w:vMerge w:val="restart"/>
            <w:vAlign w:val="center"/>
          </w:tcPr>
          <w:p w14:paraId="0C640FD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w:t>
            </w:r>
          </w:p>
        </w:tc>
        <w:tc>
          <w:tcPr>
            <w:tcW w:w="1134" w:type="dxa"/>
            <w:vMerge w:val="restart"/>
            <w:vAlign w:val="center"/>
          </w:tcPr>
          <w:p w14:paraId="373330E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环境空气</w:t>
            </w:r>
          </w:p>
        </w:tc>
        <w:tc>
          <w:tcPr>
            <w:tcW w:w="1276" w:type="dxa"/>
            <w:vAlign w:val="center"/>
          </w:tcPr>
          <w:p w14:paraId="7C71197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现状评价</w:t>
            </w:r>
          </w:p>
        </w:tc>
        <w:tc>
          <w:tcPr>
            <w:tcW w:w="5017" w:type="dxa"/>
            <w:vAlign w:val="center"/>
          </w:tcPr>
          <w:p w14:paraId="5DE4794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PM</w:t>
            </w:r>
            <w:r>
              <w:rPr>
                <w:rFonts w:hint="default" w:ascii="Times New Roman" w:hAnsi="Times New Roman" w:cs="Times New Roman"/>
                <w:color w:val="auto"/>
                <w:highlight w:val="none"/>
                <w:vertAlign w:val="subscript"/>
              </w:rPr>
              <w:t>10</w:t>
            </w:r>
            <w:r>
              <w:rPr>
                <w:rFonts w:hint="default" w:ascii="Times New Roman" w:hAnsi="Times New Roman" w:cs="Times New Roman"/>
                <w:color w:val="auto"/>
                <w:highlight w:val="none"/>
              </w:rPr>
              <w:t>、PM</w:t>
            </w:r>
            <w:r>
              <w:rPr>
                <w:rFonts w:hint="default" w:ascii="Times New Roman" w:hAnsi="Times New Roman" w:cs="Times New Roman"/>
                <w:color w:val="auto"/>
                <w:highlight w:val="none"/>
                <w:vertAlign w:val="subscript"/>
              </w:rPr>
              <w:t>2.5</w:t>
            </w:r>
            <w:r>
              <w:rPr>
                <w:rFonts w:hint="default" w:ascii="Times New Roman" w:hAnsi="Times New Roman" w:cs="Times New Roman"/>
                <w:color w:val="auto"/>
                <w:highlight w:val="none"/>
              </w:rPr>
              <w:t>、NO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、SO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、CO、O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、TSP</w:t>
            </w:r>
          </w:p>
        </w:tc>
      </w:tr>
      <w:tr w14:paraId="2925E65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823" w:type="dxa"/>
            <w:vMerge w:val="continue"/>
            <w:vAlign w:val="center"/>
          </w:tcPr>
          <w:p w14:paraId="303BF2AC">
            <w:pPr>
              <w:pStyle w:val="44"/>
              <w:bidi w:val="0"/>
              <w:rPr>
                <w:rFonts w:hint="default" w:ascii="Times New Roman" w:hAnsi="Times New Roman" w:cs="Times New Roman"/>
                <w:color w:val="auto"/>
                <w:highlight w:val="none"/>
              </w:rPr>
            </w:pPr>
          </w:p>
        </w:tc>
        <w:tc>
          <w:tcPr>
            <w:tcW w:w="1134" w:type="dxa"/>
            <w:vMerge w:val="continue"/>
            <w:vAlign w:val="center"/>
          </w:tcPr>
          <w:p w14:paraId="65CC130A">
            <w:pPr>
              <w:pStyle w:val="44"/>
              <w:bidi w:val="0"/>
              <w:rPr>
                <w:rFonts w:hint="default" w:ascii="Times New Roman" w:hAnsi="Times New Roman" w:cs="Times New Roman"/>
                <w:color w:val="auto"/>
                <w:highlight w:val="none"/>
              </w:rPr>
            </w:pPr>
          </w:p>
        </w:tc>
        <w:tc>
          <w:tcPr>
            <w:tcW w:w="1276" w:type="dxa"/>
            <w:vAlign w:val="center"/>
          </w:tcPr>
          <w:p w14:paraId="3928C7C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预测分析</w:t>
            </w:r>
          </w:p>
        </w:tc>
        <w:tc>
          <w:tcPr>
            <w:tcW w:w="5017" w:type="dxa"/>
            <w:vAlign w:val="center"/>
          </w:tcPr>
          <w:p w14:paraId="1E86A82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TSP</w:t>
            </w:r>
          </w:p>
        </w:tc>
      </w:tr>
      <w:tr w14:paraId="25C1753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823" w:type="dxa"/>
            <w:vMerge w:val="continue"/>
            <w:vAlign w:val="center"/>
          </w:tcPr>
          <w:p w14:paraId="29EE80FB">
            <w:pPr>
              <w:pStyle w:val="44"/>
              <w:bidi w:val="0"/>
              <w:rPr>
                <w:rFonts w:hint="default" w:ascii="Times New Roman" w:hAnsi="Times New Roman" w:cs="Times New Roman"/>
                <w:color w:val="auto"/>
                <w:highlight w:val="none"/>
              </w:rPr>
            </w:pPr>
          </w:p>
        </w:tc>
        <w:tc>
          <w:tcPr>
            <w:tcW w:w="1134" w:type="dxa"/>
            <w:vMerge w:val="restart"/>
            <w:vAlign w:val="center"/>
          </w:tcPr>
          <w:p w14:paraId="48E7154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声环境</w:t>
            </w:r>
          </w:p>
        </w:tc>
        <w:tc>
          <w:tcPr>
            <w:tcW w:w="1276" w:type="dxa"/>
            <w:vAlign w:val="center"/>
          </w:tcPr>
          <w:p w14:paraId="6D64146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现状评价</w:t>
            </w:r>
          </w:p>
        </w:tc>
        <w:tc>
          <w:tcPr>
            <w:tcW w:w="5017" w:type="dxa"/>
            <w:vMerge w:val="restart"/>
            <w:vAlign w:val="center"/>
          </w:tcPr>
          <w:p w14:paraId="413DA6E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等效连续A声级Leq（A）</w:t>
            </w:r>
          </w:p>
        </w:tc>
      </w:tr>
      <w:tr w14:paraId="0CAF10D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64" w:hRule="atLeast"/>
          <w:jc w:val="center"/>
        </w:trPr>
        <w:tc>
          <w:tcPr>
            <w:tcW w:w="823" w:type="dxa"/>
            <w:vMerge w:val="continue"/>
            <w:vAlign w:val="center"/>
          </w:tcPr>
          <w:p w14:paraId="158653E7">
            <w:pPr>
              <w:pStyle w:val="44"/>
              <w:bidi w:val="0"/>
              <w:rPr>
                <w:rFonts w:hint="default" w:ascii="Times New Roman" w:hAnsi="Times New Roman" w:cs="Times New Roman"/>
                <w:color w:val="auto"/>
                <w:highlight w:val="none"/>
              </w:rPr>
            </w:pPr>
          </w:p>
        </w:tc>
        <w:tc>
          <w:tcPr>
            <w:tcW w:w="1134" w:type="dxa"/>
            <w:vMerge w:val="continue"/>
            <w:vAlign w:val="center"/>
          </w:tcPr>
          <w:p w14:paraId="484F8C54">
            <w:pPr>
              <w:pStyle w:val="44"/>
              <w:bidi w:val="0"/>
              <w:rPr>
                <w:rFonts w:hint="default" w:ascii="Times New Roman" w:hAnsi="Times New Roman" w:cs="Times New Roman"/>
                <w:color w:val="auto"/>
                <w:highlight w:val="none"/>
              </w:rPr>
            </w:pPr>
          </w:p>
        </w:tc>
        <w:tc>
          <w:tcPr>
            <w:tcW w:w="1276" w:type="dxa"/>
            <w:vAlign w:val="center"/>
          </w:tcPr>
          <w:p w14:paraId="4A30115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预测分析</w:t>
            </w:r>
          </w:p>
        </w:tc>
        <w:tc>
          <w:tcPr>
            <w:tcW w:w="5017" w:type="dxa"/>
            <w:vMerge w:val="continue"/>
            <w:vAlign w:val="center"/>
          </w:tcPr>
          <w:p w14:paraId="0AE0170D">
            <w:pPr>
              <w:pStyle w:val="44"/>
              <w:bidi w:val="0"/>
              <w:rPr>
                <w:rFonts w:hint="default" w:ascii="Times New Roman" w:hAnsi="Times New Roman" w:cs="Times New Roman"/>
                <w:color w:val="auto"/>
                <w:highlight w:val="none"/>
              </w:rPr>
            </w:pPr>
          </w:p>
        </w:tc>
      </w:tr>
      <w:tr w14:paraId="740C235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38" w:hRule="atLeast"/>
          <w:jc w:val="center"/>
        </w:trPr>
        <w:tc>
          <w:tcPr>
            <w:tcW w:w="823" w:type="dxa"/>
            <w:vMerge w:val="continue"/>
            <w:vAlign w:val="center"/>
          </w:tcPr>
          <w:p w14:paraId="72699EE8">
            <w:pPr>
              <w:pStyle w:val="44"/>
              <w:bidi w:val="0"/>
              <w:rPr>
                <w:rFonts w:hint="default" w:ascii="Times New Roman" w:hAnsi="Times New Roman" w:cs="Times New Roman"/>
                <w:color w:val="auto"/>
                <w:highlight w:val="none"/>
              </w:rPr>
            </w:pPr>
          </w:p>
        </w:tc>
        <w:tc>
          <w:tcPr>
            <w:tcW w:w="1134" w:type="dxa"/>
            <w:vMerge w:val="restart"/>
            <w:vAlign w:val="center"/>
          </w:tcPr>
          <w:p w14:paraId="30FB324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固体废物</w:t>
            </w:r>
          </w:p>
        </w:tc>
        <w:tc>
          <w:tcPr>
            <w:tcW w:w="1276" w:type="dxa"/>
            <w:vAlign w:val="center"/>
          </w:tcPr>
          <w:p w14:paraId="7AEF420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现状评价</w:t>
            </w:r>
          </w:p>
        </w:tc>
        <w:tc>
          <w:tcPr>
            <w:tcW w:w="5017" w:type="dxa"/>
            <w:vAlign w:val="center"/>
          </w:tcPr>
          <w:p w14:paraId="4DC3A80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14:paraId="79C4D76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37" w:hRule="atLeast"/>
          <w:jc w:val="center"/>
        </w:trPr>
        <w:tc>
          <w:tcPr>
            <w:tcW w:w="823" w:type="dxa"/>
            <w:vMerge w:val="continue"/>
            <w:vAlign w:val="center"/>
          </w:tcPr>
          <w:p w14:paraId="53D04C45">
            <w:pPr>
              <w:pStyle w:val="44"/>
              <w:bidi w:val="0"/>
              <w:rPr>
                <w:rFonts w:hint="default" w:ascii="Times New Roman" w:hAnsi="Times New Roman" w:cs="Times New Roman"/>
                <w:color w:val="auto"/>
                <w:highlight w:val="none"/>
              </w:rPr>
            </w:pPr>
          </w:p>
        </w:tc>
        <w:tc>
          <w:tcPr>
            <w:tcW w:w="1134" w:type="dxa"/>
            <w:vMerge w:val="continue"/>
            <w:vAlign w:val="center"/>
          </w:tcPr>
          <w:p w14:paraId="1A1541A0">
            <w:pPr>
              <w:pStyle w:val="44"/>
              <w:bidi w:val="0"/>
              <w:rPr>
                <w:rFonts w:hint="default" w:ascii="Times New Roman" w:hAnsi="Times New Roman" w:cs="Times New Roman"/>
                <w:color w:val="auto"/>
                <w:highlight w:val="none"/>
              </w:rPr>
            </w:pPr>
          </w:p>
        </w:tc>
        <w:tc>
          <w:tcPr>
            <w:tcW w:w="1276" w:type="dxa"/>
            <w:vAlign w:val="center"/>
          </w:tcPr>
          <w:p w14:paraId="50EB6B4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影响分析</w:t>
            </w:r>
          </w:p>
        </w:tc>
        <w:tc>
          <w:tcPr>
            <w:tcW w:w="5017" w:type="dxa"/>
            <w:vAlign w:val="center"/>
          </w:tcPr>
          <w:p w14:paraId="35F2884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生活垃圾</w:t>
            </w:r>
          </w:p>
        </w:tc>
      </w:tr>
      <w:tr w14:paraId="1A1F091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823" w:type="dxa"/>
            <w:vMerge w:val="continue"/>
            <w:vAlign w:val="center"/>
          </w:tcPr>
          <w:p w14:paraId="60871EB4">
            <w:pPr>
              <w:pStyle w:val="44"/>
              <w:bidi w:val="0"/>
              <w:rPr>
                <w:rFonts w:hint="default" w:ascii="Times New Roman" w:hAnsi="Times New Roman" w:cs="Times New Roman"/>
                <w:color w:val="auto"/>
                <w:highlight w:val="none"/>
              </w:rPr>
            </w:pPr>
          </w:p>
        </w:tc>
        <w:tc>
          <w:tcPr>
            <w:tcW w:w="1134" w:type="dxa"/>
            <w:vMerge w:val="restart"/>
            <w:vAlign w:val="center"/>
          </w:tcPr>
          <w:p w14:paraId="4A6D089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生态环境</w:t>
            </w:r>
          </w:p>
        </w:tc>
        <w:tc>
          <w:tcPr>
            <w:tcW w:w="1276" w:type="dxa"/>
            <w:vAlign w:val="center"/>
          </w:tcPr>
          <w:p w14:paraId="3B21EAA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现状评价</w:t>
            </w:r>
          </w:p>
        </w:tc>
        <w:tc>
          <w:tcPr>
            <w:tcW w:w="5017" w:type="dxa"/>
            <w:vAlign w:val="center"/>
          </w:tcPr>
          <w:p w14:paraId="215E34E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工程占地、土地利用、植被、土壤、水土流失、景观、生态敏感目标等</w:t>
            </w:r>
          </w:p>
        </w:tc>
      </w:tr>
      <w:tr w14:paraId="2FD7404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823" w:type="dxa"/>
            <w:vMerge w:val="continue"/>
            <w:vAlign w:val="center"/>
          </w:tcPr>
          <w:p w14:paraId="1EBF600A">
            <w:pPr>
              <w:pStyle w:val="44"/>
              <w:bidi w:val="0"/>
              <w:rPr>
                <w:rFonts w:hint="default" w:ascii="Times New Roman" w:hAnsi="Times New Roman" w:cs="Times New Roman"/>
                <w:color w:val="auto"/>
                <w:highlight w:val="none"/>
              </w:rPr>
            </w:pPr>
          </w:p>
        </w:tc>
        <w:tc>
          <w:tcPr>
            <w:tcW w:w="1134" w:type="dxa"/>
            <w:vMerge w:val="continue"/>
            <w:vAlign w:val="center"/>
          </w:tcPr>
          <w:p w14:paraId="700244F1">
            <w:pPr>
              <w:pStyle w:val="44"/>
              <w:bidi w:val="0"/>
              <w:rPr>
                <w:rFonts w:hint="default" w:ascii="Times New Roman" w:hAnsi="Times New Roman" w:cs="Times New Roman"/>
                <w:color w:val="auto"/>
                <w:highlight w:val="none"/>
              </w:rPr>
            </w:pPr>
          </w:p>
        </w:tc>
        <w:tc>
          <w:tcPr>
            <w:tcW w:w="1276" w:type="dxa"/>
            <w:vAlign w:val="center"/>
          </w:tcPr>
          <w:p w14:paraId="033C8BE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影响分析</w:t>
            </w:r>
          </w:p>
        </w:tc>
        <w:tc>
          <w:tcPr>
            <w:tcW w:w="5017" w:type="dxa"/>
            <w:vAlign w:val="center"/>
          </w:tcPr>
          <w:p w14:paraId="76F5F80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植被破坏、土地裸露、土壤污染、水土流失、生态功能变化等</w:t>
            </w:r>
          </w:p>
        </w:tc>
      </w:tr>
    </w:tbl>
    <w:p w14:paraId="0A74C728">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表2-4-</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lang w:val="zh-CN"/>
        </w:rPr>
        <w:t>生态影响评价因子筛选</w:t>
      </w:r>
    </w:p>
    <w:tbl>
      <w:tblPr>
        <w:tblStyle w:val="20"/>
        <w:tblW w:w="482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21"/>
        <w:gridCol w:w="396"/>
        <w:gridCol w:w="606"/>
        <w:gridCol w:w="833"/>
        <w:gridCol w:w="1693"/>
        <w:gridCol w:w="1681"/>
        <w:gridCol w:w="1161"/>
        <w:gridCol w:w="9"/>
        <w:gridCol w:w="1016"/>
      </w:tblGrid>
      <w:tr w14:paraId="7F13EB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499" w:type="pct"/>
            <w:tcBorders>
              <w:tl2br w:val="nil"/>
              <w:tr2bl w:val="nil"/>
            </w:tcBorders>
            <w:vAlign w:val="center"/>
          </w:tcPr>
          <w:p w14:paraId="3D08F4D7">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评价时段</w:t>
            </w:r>
          </w:p>
        </w:tc>
        <w:tc>
          <w:tcPr>
            <w:tcW w:w="240" w:type="pct"/>
            <w:tcBorders>
              <w:tl2br w:val="nil"/>
              <w:tr2bl w:val="nil"/>
            </w:tcBorders>
            <w:vAlign w:val="center"/>
          </w:tcPr>
          <w:p w14:paraId="1BA5B57F">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序号</w:t>
            </w:r>
          </w:p>
        </w:tc>
        <w:tc>
          <w:tcPr>
            <w:tcW w:w="875" w:type="pct"/>
            <w:gridSpan w:val="2"/>
            <w:tcBorders>
              <w:tl2br w:val="nil"/>
              <w:tr2bl w:val="nil"/>
            </w:tcBorders>
            <w:vAlign w:val="center"/>
          </w:tcPr>
          <w:p w14:paraId="3F30975D">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受影响对象</w:t>
            </w:r>
          </w:p>
        </w:tc>
        <w:tc>
          <w:tcPr>
            <w:tcW w:w="1030" w:type="pct"/>
            <w:tcBorders>
              <w:tl2br w:val="nil"/>
              <w:tr2bl w:val="nil"/>
            </w:tcBorders>
            <w:vAlign w:val="center"/>
          </w:tcPr>
          <w:p w14:paraId="462B968A">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评价因子</w:t>
            </w:r>
          </w:p>
        </w:tc>
        <w:tc>
          <w:tcPr>
            <w:tcW w:w="1023" w:type="pct"/>
            <w:tcBorders>
              <w:tl2br w:val="nil"/>
              <w:tr2bl w:val="nil"/>
            </w:tcBorders>
            <w:vAlign w:val="center"/>
          </w:tcPr>
          <w:p w14:paraId="113AF81D">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工程内容及影响方式</w:t>
            </w:r>
          </w:p>
        </w:tc>
        <w:tc>
          <w:tcPr>
            <w:tcW w:w="712" w:type="pct"/>
            <w:gridSpan w:val="2"/>
            <w:tcBorders>
              <w:tl2br w:val="nil"/>
              <w:tr2bl w:val="nil"/>
            </w:tcBorders>
            <w:vAlign w:val="center"/>
          </w:tcPr>
          <w:p w14:paraId="1E4D2B0E">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影响性质</w:t>
            </w:r>
          </w:p>
        </w:tc>
        <w:tc>
          <w:tcPr>
            <w:tcW w:w="618" w:type="pct"/>
            <w:tcBorders>
              <w:tl2br w:val="nil"/>
              <w:tr2bl w:val="nil"/>
            </w:tcBorders>
            <w:vAlign w:val="center"/>
          </w:tcPr>
          <w:p w14:paraId="11798C9C">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影响程度</w:t>
            </w:r>
          </w:p>
        </w:tc>
      </w:tr>
      <w:tr w14:paraId="33A386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499" w:type="pct"/>
            <w:vMerge w:val="restart"/>
            <w:tcBorders>
              <w:tl2br w:val="nil"/>
              <w:tr2bl w:val="nil"/>
            </w:tcBorders>
            <w:vAlign w:val="center"/>
          </w:tcPr>
          <w:p w14:paraId="3A4FBAB8">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施工期</w:t>
            </w:r>
          </w:p>
        </w:tc>
        <w:tc>
          <w:tcPr>
            <w:tcW w:w="240" w:type="pct"/>
            <w:tcBorders>
              <w:tl2br w:val="nil"/>
              <w:tr2bl w:val="nil"/>
            </w:tcBorders>
            <w:vAlign w:val="center"/>
          </w:tcPr>
          <w:p w14:paraId="1FBAFEFC">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w:t>
            </w:r>
          </w:p>
        </w:tc>
        <w:tc>
          <w:tcPr>
            <w:tcW w:w="368" w:type="pct"/>
            <w:vMerge w:val="restart"/>
            <w:tcBorders>
              <w:tl2br w:val="nil"/>
              <w:tr2bl w:val="nil"/>
            </w:tcBorders>
            <w:vAlign w:val="center"/>
          </w:tcPr>
          <w:p w14:paraId="63D4D0BA">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物种</w:t>
            </w:r>
          </w:p>
        </w:tc>
        <w:tc>
          <w:tcPr>
            <w:tcW w:w="506" w:type="pct"/>
            <w:tcBorders>
              <w:tl2br w:val="nil"/>
              <w:tr2bl w:val="nil"/>
            </w:tcBorders>
            <w:vAlign w:val="center"/>
          </w:tcPr>
          <w:p w14:paraId="76585ED6">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野生植物</w:t>
            </w:r>
          </w:p>
        </w:tc>
        <w:tc>
          <w:tcPr>
            <w:tcW w:w="1030" w:type="pct"/>
            <w:tcBorders>
              <w:tl2br w:val="nil"/>
              <w:tr2bl w:val="nil"/>
            </w:tcBorders>
            <w:vAlign w:val="center"/>
          </w:tcPr>
          <w:p w14:paraId="373B2DD4">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分布范围</w:t>
            </w:r>
          </w:p>
        </w:tc>
        <w:tc>
          <w:tcPr>
            <w:tcW w:w="1023" w:type="pct"/>
            <w:tcBorders>
              <w:tl2br w:val="nil"/>
              <w:tr2bl w:val="nil"/>
            </w:tcBorders>
            <w:vAlign w:val="center"/>
          </w:tcPr>
          <w:p w14:paraId="745A020B">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工程占地/直接影响</w:t>
            </w:r>
          </w:p>
        </w:tc>
        <w:tc>
          <w:tcPr>
            <w:tcW w:w="712" w:type="pct"/>
            <w:gridSpan w:val="2"/>
            <w:tcBorders>
              <w:tl2br w:val="nil"/>
              <w:tr2bl w:val="nil"/>
            </w:tcBorders>
            <w:vAlign w:val="center"/>
          </w:tcPr>
          <w:p w14:paraId="3C0D4CA5">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短期、可逆</w:t>
            </w:r>
          </w:p>
        </w:tc>
        <w:tc>
          <w:tcPr>
            <w:tcW w:w="618" w:type="pct"/>
            <w:tcBorders>
              <w:tl2br w:val="nil"/>
              <w:tr2bl w:val="nil"/>
            </w:tcBorders>
            <w:vAlign w:val="center"/>
          </w:tcPr>
          <w:p w14:paraId="6542181A">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较小</w:t>
            </w:r>
          </w:p>
        </w:tc>
      </w:tr>
      <w:tr w14:paraId="2B81DD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499" w:type="pct"/>
            <w:vMerge w:val="continue"/>
            <w:tcBorders>
              <w:tl2br w:val="nil"/>
              <w:tr2bl w:val="nil"/>
            </w:tcBorders>
            <w:vAlign w:val="center"/>
          </w:tcPr>
          <w:p w14:paraId="23600375">
            <w:pPr>
              <w:pStyle w:val="44"/>
              <w:bidi w:val="0"/>
              <w:jc w:val="center"/>
              <w:rPr>
                <w:rFonts w:hint="default" w:ascii="Times New Roman" w:hAnsi="Times New Roman" w:cs="Times New Roman"/>
                <w:color w:val="auto"/>
                <w:highlight w:val="none"/>
                <w:lang w:val="zh-CN"/>
              </w:rPr>
            </w:pPr>
          </w:p>
        </w:tc>
        <w:tc>
          <w:tcPr>
            <w:tcW w:w="240" w:type="pct"/>
            <w:tcBorders>
              <w:tl2br w:val="nil"/>
              <w:tr2bl w:val="nil"/>
            </w:tcBorders>
            <w:vAlign w:val="center"/>
          </w:tcPr>
          <w:p w14:paraId="35716A6F">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w:t>
            </w:r>
          </w:p>
        </w:tc>
        <w:tc>
          <w:tcPr>
            <w:tcW w:w="368" w:type="pct"/>
            <w:vMerge w:val="continue"/>
            <w:tcBorders>
              <w:tl2br w:val="nil"/>
              <w:tr2bl w:val="nil"/>
            </w:tcBorders>
            <w:vAlign w:val="center"/>
          </w:tcPr>
          <w:p w14:paraId="5B0CF060">
            <w:pPr>
              <w:pStyle w:val="44"/>
              <w:bidi w:val="0"/>
              <w:jc w:val="center"/>
              <w:rPr>
                <w:rFonts w:hint="default" w:ascii="Times New Roman" w:hAnsi="Times New Roman" w:cs="Times New Roman"/>
                <w:color w:val="auto"/>
                <w:highlight w:val="none"/>
                <w:lang w:val="zh-CN"/>
              </w:rPr>
            </w:pPr>
          </w:p>
        </w:tc>
        <w:tc>
          <w:tcPr>
            <w:tcW w:w="506" w:type="pct"/>
            <w:tcBorders>
              <w:tl2br w:val="nil"/>
              <w:tr2bl w:val="nil"/>
            </w:tcBorders>
            <w:vAlign w:val="center"/>
          </w:tcPr>
          <w:p w14:paraId="1A6E7ABA">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野生动物</w:t>
            </w:r>
          </w:p>
        </w:tc>
        <w:tc>
          <w:tcPr>
            <w:tcW w:w="1030" w:type="pct"/>
            <w:tcBorders>
              <w:tl2br w:val="nil"/>
              <w:tr2bl w:val="nil"/>
            </w:tcBorders>
            <w:vAlign w:val="center"/>
          </w:tcPr>
          <w:p w14:paraId="1B6701F9">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分布范围、行为</w:t>
            </w:r>
          </w:p>
        </w:tc>
        <w:tc>
          <w:tcPr>
            <w:tcW w:w="1023" w:type="pct"/>
            <w:tcBorders>
              <w:tl2br w:val="nil"/>
              <w:tr2bl w:val="nil"/>
            </w:tcBorders>
            <w:vAlign w:val="center"/>
          </w:tcPr>
          <w:p w14:paraId="59C35D1C">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工程占地、施工活动/直接影响</w:t>
            </w:r>
          </w:p>
        </w:tc>
        <w:tc>
          <w:tcPr>
            <w:tcW w:w="712" w:type="pct"/>
            <w:gridSpan w:val="2"/>
            <w:tcBorders>
              <w:tl2br w:val="nil"/>
              <w:tr2bl w:val="nil"/>
            </w:tcBorders>
            <w:vAlign w:val="center"/>
          </w:tcPr>
          <w:p w14:paraId="36D7E918">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短期、可逆</w:t>
            </w:r>
          </w:p>
        </w:tc>
        <w:tc>
          <w:tcPr>
            <w:tcW w:w="618" w:type="pct"/>
            <w:tcBorders>
              <w:tl2br w:val="nil"/>
              <w:tr2bl w:val="nil"/>
            </w:tcBorders>
            <w:vAlign w:val="center"/>
          </w:tcPr>
          <w:p w14:paraId="1416031B">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较小</w:t>
            </w:r>
          </w:p>
        </w:tc>
      </w:tr>
      <w:tr w14:paraId="6630FF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499" w:type="pct"/>
            <w:vMerge w:val="continue"/>
            <w:tcBorders>
              <w:tl2br w:val="nil"/>
              <w:tr2bl w:val="nil"/>
            </w:tcBorders>
            <w:vAlign w:val="center"/>
          </w:tcPr>
          <w:p w14:paraId="302BB300">
            <w:pPr>
              <w:pStyle w:val="44"/>
              <w:bidi w:val="0"/>
              <w:jc w:val="center"/>
              <w:rPr>
                <w:rFonts w:hint="default" w:ascii="Times New Roman" w:hAnsi="Times New Roman" w:cs="Times New Roman"/>
                <w:color w:val="auto"/>
                <w:highlight w:val="none"/>
                <w:lang w:val="zh-CN"/>
              </w:rPr>
            </w:pPr>
          </w:p>
        </w:tc>
        <w:tc>
          <w:tcPr>
            <w:tcW w:w="240" w:type="pct"/>
            <w:tcBorders>
              <w:tl2br w:val="nil"/>
              <w:tr2bl w:val="nil"/>
            </w:tcBorders>
            <w:vAlign w:val="center"/>
          </w:tcPr>
          <w:p w14:paraId="177EE20A">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3</w:t>
            </w:r>
          </w:p>
        </w:tc>
        <w:tc>
          <w:tcPr>
            <w:tcW w:w="368" w:type="pct"/>
            <w:tcBorders>
              <w:tl2br w:val="nil"/>
              <w:tr2bl w:val="nil"/>
            </w:tcBorders>
            <w:vAlign w:val="center"/>
          </w:tcPr>
          <w:p w14:paraId="79B267B4">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生境</w:t>
            </w:r>
          </w:p>
        </w:tc>
        <w:tc>
          <w:tcPr>
            <w:tcW w:w="1537" w:type="pct"/>
            <w:gridSpan w:val="2"/>
            <w:tcBorders>
              <w:tl2br w:val="nil"/>
              <w:tr2bl w:val="nil"/>
            </w:tcBorders>
            <w:vAlign w:val="center"/>
          </w:tcPr>
          <w:p w14:paraId="4C416EEF">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生境面积、质量、连通性等</w:t>
            </w:r>
          </w:p>
        </w:tc>
        <w:tc>
          <w:tcPr>
            <w:tcW w:w="1023" w:type="pct"/>
            <w:tcBorders>
              <w:tl2br w:val="nil"/>
              <w:tr2bl w:val="nil"/>
            </w:tcBorders>
            <w:vAlign w:val="center"/>
          </w:tcPr>
          <w:p w14:paraId="05499B1F">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工程占地、施工活动/直接影响</w:t>
            </w:r>
          </w:p>
        </w:tc>
        <w:tc>
          <w:tcPr>
            <w:tcW w:w="712" w:type="pct"/>
            <w:gridSpan w:val="2"/>
            <w:tcBorders>
              <w:tl2br w:val="nil"/>
              <w:tr2bl w:val="nil"/>
            </w:tcBorders>
            <w:vAlign w:val="center"/>
          </w:tcPr>
          <w:p w14:paraId="73D0B4FF">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短期、可逆</w:t>
            </w:r>
          </w:p>
        </w:tc>
        <w:tc>
          <w:tcPr>
            <w:tcW w:w="618" w:type="pct"/>
            <w:tcBorders>
              <w:tl2br w:val="nil"/>
              <w:tr2bl w:val="nil"/>
            </w:tcBorders>
            <w:vAlign w:val="center"/>
          </w:tcPr>
          <w:p w14:paraId="28BC9871">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较小</w:t>
            </w:r>
          </w:p>
        </w:tc>
      </w:tr>
      <w:tr w14:paraId="0D9D39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6" w:hRule="atLeast"/>
          <w:jc w:val="center"/>
        </w:trPr>
        <w:tc>
          <w:tcPr>
            <w:tcW w:w="499" w:type="pct"/>
            <w:vMerge w:val="continue"/>
            <w:tcBorders>
              <w:tl2br w:val="nil"/>
              <w:tr2bl w:val="nil"/>
            </w:tcBorders>
            <w:vAlign w:val="center"/>
          </w:tcPr>
          <w:p w14:paraId="00D97E0E">
            <w:pPr>
              <w:pStyle w:val="44"/>
              <w:bidi w:val="0"/>
              <w:jc w:val="center"/>
              <w:rPr>
                <w:rFonts w:hint="default" w:ascii="Times New Roman" w:hAnsi="Times New Roman" w:cs="Times New Roman"/>
                <w:color w:val="auto"/>
                <w:highlight w:val="none"/>
                <w:lang w:val="zh-CN"/>
              </w:rPr>
            </w:pPr>
          </w:p>
        </w:tc>
        <w:tc>
          <w:tcPr>
            <w:tcW w:w="240" w:type="pct"/>
            <w:tcBorders>
              <w:tl2br w:val="nil"/>
              <w:tr2bl w:val="nil"/>
            </w:tcBorders>
            <w:vAlign w:val="center"/>
          </w:tcPr>
          <w:p w14:paraId="32C59D34">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4</w:t>
            </w:r>
          </w:p>
        </w:tc>
        <w:tc>
          <w:tcPr>
            <w:tcW w:w="875" w:type="pct"/>
            <w:gridSpan w:val="2"/>
            <w:tcBorders>
              <w:tl2br w:val="nil"/>
              <w:tr2bl w:val="nil"/>
            </w:tcBorders>
            <w:vAlign w:val="center"/>
          </w:tcPr>
          <w:p w14:paraId="622C9D9F">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生态系统</w:t>
            </w:r>
          </w:p>
        </w:tc>
        <w:tc>
          <w:tcPr>
            <w:tcW w:w="1030" w:type="pct"/>
            <w:tcBorders>
              <w:tl2br w:val="nil"/>
              <w:tr2bl w:val="nil"/>
            </w:tcBorders>
            <w:vAlign w:val="center"/>
          </w:tcPr>
          <w:p w14:paraId="64A7B7E9">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植被覆盖度、生产力、生物量、生态系统功能等</w:t>
            </w:r>
          </w:p>
        </w:tc>
        <w:tc>
          <w:tcPr>
            <w:tcW w:w="1023" w:type="pct"/>
            <w:tcBorders>
              <w:tl2br w:val="nil"/>
              <w:tr2bl w:val="nil"/>
            </w:tcBorders>
            <w:vAlign w:val="center"/>
          </w:tcPr>
          <w:p w14:paraId="11475165">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施工活动/直接影响</w:t>
            </w:r>
          </w:p>
        </w:tc>
        <w:tc>
          <w:tcPr>
            <w:tcW w:w="712" w:type="pct"/>
            <w:gridSpan w:val="2"/>
            <w:tcBorders>
              <w:tl2br w:val="nil"/>
              <w:tr2bl w:val="nil"/>
            </w:tcBorders>
            <w:vAlign w:val="center"/>
          </w:tcPr>
          <w:p w14:paraId="780A4ACF">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短期、可逆</w:t>
            </w:r>
          </w:p>
        </w:tc>
        <w:tc>
          <w:tcPr>
            <w:tcW w:w="618" w:type="pct"/>
            <w:tcBorders>
              <w:tl2br w:val="nil"/>
              <w:tr2bl w:val="nil"/>
            </w:tcBorders>
            <w:vAlign w:val="center"/>
          </w:tcPr>
          <w:p w14:paraId="3DE4CD1A">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较小</w:t>
            </w:r>
          </w:p>
        </w:tc>
      </w:tr>
      <w:tr w14:paraId="052AD9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499" w:type="pct"/>
            <w:vMerge w:val="continue"/>
            <w:tcBorders>
              <w:tl2br w:val="nil"/>
              <w:tr2bl w:val="nil"/>
            </w:tcBorders>
            <w:vAlign w:val="center"/>
          </w:tcPr>
          <w:p w14:paraId="63B3181F">
            <w:pPr>
              <w:pStyle w:val="44"/>
              <w:bidi w:val="0"/>
              <w:jc w:val="center"/>
              <w:rPr>
                <w:rFonts w:hint="default" w:ascii="Times New Roman" w:hAnsi="Times New Roman" w:cs="Times New Roman"/>
                <w:color w:val="auto"/>
                <w:highlight w:val="none"/>
                <w:lang w:val="zh-CN"/>
              </w:rPr>
            </w:pPr>
          </w:p>
        </w:tc>
        <w:tc>
          <w:tcPr>
            <w:tcW w:w="240" w:type="pct"/>
            <w:tcBorders>
              <w:tl2br w:val="nil"/>
              <w:tr2bl w:val="nil"/>
            </w:tcBorders>
            <w:vAlign w:val="center"/>
          </w:tcPr>
          <w:p w14:paraId="68B14170">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5</w:t>
            </w:r>
          </w:p>
        </w:tc>
        <w:tc>
          <w:tcPr>
            <w:tcW w:w="875" w:type="pct"/>
            <w:gridSpan w:val="2"/>
            <w:tcBorders>
              <w:tl2br w:val="nil"/>
              <w:tr2bl w:val="nil"/>
            </w:tcBorders>
            <w:vAlign w:val="center"/>
          </w:tcPr>
          <w:p w14:paraId="73286044">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生物多样性</w:t>
            </w:r>
          </w:p>
        </w:tc>
        <w:tc>
          <w:tcPr>
            <w:tcW w:w="1030" w:type="pct"/>
            <w:tcBorders>
              <w:tl2br w:val="nil"/>
              <w:tr2bl w:val="nil"/>
            </w:tcBorders>
            <w:vAlign w:val="center"/>
          </w:tcPr>
          <w:p w14:paraId="6F021732">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物种丰富度、生态系统多样性</w:t>
            </w:r>
          </w:p>
        </w:tc>
        <w:tc>
          <w:tcPr>
            <w:tcW w:w="1023" w:type="pct"/>
            <w:tcBorders>
              <w:tl2br w:val="nil"/>
              <w:tr2bl w:val="nil"/>
            </w:tcBorders>
            <w:vAlign w:val="center"/>
          </w:tcPr>
          <w:p w14:paraId="3E40DB2A">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施工活动/直接影响</w:t>
            </w:r>
          </w:p>
        </w:tc>
        <w:tc>
          <w:tcPr>
            <w:tcW w:w="712" w:type="pct"/>
            <w:gridSpan w:val="2"/>
            <w:tcBorders>
              <w:tl2br w:val="nil"/>
              <w:tr2bl w:val="nil"/>
            </w:tcBorders>
            <w:vAlign w:val="center"/>
          </w:tcPr>
          <w:p w14:paraId="5924B9CA">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短期、可逆</w:t>
            </w:r>
          </w:p>
        </w:tc>
        <w:tc>
          <w:tcPr>
            <w:tcW w:w="618" w:type="pct"/>
            <w:tcBorders>
              <w:tl2br w:val="nil"/>
              <w:tr2bl w:val="nil"/>
            </w:tcBorders>
            <w:vAlign w:val="center"/>
          </w:tcPr>
          <w:p w14:paraId="70F86AEC">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较小</w:t>
            </w:r>
          </w:p>
        </w:tc>
      </w:tr>
      <w:tr w14:paraId="70ACB0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499" w:type="pct"/>
            <w:vMerge w:val="restart"/>
            <w:tcBorders>
              <w:tl2br w:val="nil"/>
              <w:tr2bl w:val="nil"/>
            </w:tcBorders>
            <w:vAlign w:val="center"/>
          </w:tcPr>
          <w:p w14:paraId="7D110A5D">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生态恢复期</w:t>
            </w:r>
          </w:p>
        </w:tc>
        <w:tc>
          <w:tcPr>
            <w:tcW w:w="240" w:type="pct"/>
            <w:tcBorders>
              <w:tl2br w:val="nil"/>
              <w:tr2bl w:val="nil"/>
            </w:tcBorders>
            <w:vAlign w:val="center"/>
          </w:tcPr>
          <w:p w14:paraId="11C78434">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w:t>
            </w:r>
          </w:p>
        </w:tc>
        <w:tc>
          <w:tcPr>
            <w:tcW w:w="368" w:type="pct"/>
            <w:vMerge w:val="restart"/>
            <w:tcBorders>
              <w:tl2br w:val="nil"/>
              <w:tr2bl w:val="nil"/>
            </w:tcBorders>
            <w:vAlign w:val="center"/>
          </w:tcPr>
          <w:p w14:paraId="2E278074">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物种</w:t>
            </w:r>
          </w:p>
        </w:tc>
        <w:tc>
          <w:tcPr>
            <w:tcW w:w="506" w:type="pct"/>
            <w:tcBorders>
              <w:tl2br w:val="nil"/>
              <w:tr2bl w:val="nil"/>
            </w:tcBorders>
            <w:vAlign w:val="center"/>
          </w:tcPr>
          <w:p w14:paraId="3C77B982">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野生植物</w:t>
            </w:r>
          </w:p>
        </w:tc>
        <w:tc>
          <w:tcPr>
            <w:tcW w:w="1030" w:type="pct"/>
            <w:tcBorders>
              <w:tl2br w:val="nil"/>
              <w:tr2bl w:val="nil"/>
            </w:tcBorders>
            <w:vAlign w:val="center"/>
          </w:tcPr>
          <w:p w14:paraId="5814821F">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分布范围</w:t>
            </w:r>
          </w:p>
        </w:tc>
        <w:tc>
          <w:tcPr>
            <w:tcW w:w="1023" w:type="pct"/>
            <w:tcBorders>
              <w:tl2br w:val="nil"/>
              <w:tr2bl w:val="nil"/>
            </w:tcBorders>
            <w:vAlign w:val="center"/>
          </w:tcPr>
          <w:p w14:paraId="25D0CD8F">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生态恢复/间接影响</w:t>
            </w:r>
          </w:p>
        </w:tc>
        <w:tc>
          <w:tcPr>
            <w:tcW w:w="706" w:type="pct"/>
            <w:tcBorders>
              <w:tl2br w:val="nil"/>
              <w:tr2bl w:val="nil"/>
            </w:tcBorders>
            <w:vAlign w:val="center"/>
          </w:tcPr>
          <w:p w14:paraId="566AA8CF">
            <w:pPr>
              <w:pStyle w:val="44"/>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623" w:type="pct"/>
            <w:gridSpan w:val="2"/>
            <w:tcBorders>
              <w:tl2br w:val="nil"/>
              <w:tr2bl w:val="nil"/>
            </w:tcBorders>
            <w:vAlign w:val="center"/>
          </w:tcPr>
          <w:p w14:paraId="54DB0070">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无</w:t>
            </w:r>
          </w:p>
        </w:tc>
      </w:tr>
      <w:tr w14:paraId="30A969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499" w:type="pct"/>
            <w:vMerge w:val="continue"/>
            <w:tcBorders>
              <w:tl2br w:val="nil"/>
              <w:tr2bl w:val="nil"/>
            </w:tcBorders>
            <w:vAlign w:val="center"/>
          </w:tcPr>
          <w:p w14:paraId="2BFA8EA9">
            <w:pPr>
              <w:pStyle w:val="44"/>
              <w:bidi w:val="0"/>
              <w:jc w:val="center"/>
              <w:rPr>
                <w:rFonts w:hint="default" w:ascii="Times New Roman" w:hAnsi="Times New Roman" w:cs="Times New Roman"/>
                <w:color w:val="auto"/>
                <w:highlight w:val="none"/>
                <w:lang w:val="zh-CN"/>
              </w:rPr>
            </w:pPr>
          </w:p>
        </w:tc>
        <w:tc>
          <w:tcPr>
            <w:tcW w:w="240" w:type="pct"/>
            <w:tcBorders>
              <w:tl2br w:val="nil"/>
              <w:tr2bl w:val="nil"/>
            </w:tcBorders>
            <w:vAlign w:val="center"/>
          </w:tcPr>
          <w:p w14:paraId="463FC389">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w:t>
            </w:r>
          </w:p>
        </w:tc>
        <w:tc>
          <w:tcPr>
            <w:tcW w:w="368" w:type="pct"/>
            <w:vMerge w:val="continue"/>
            <w:tcBorders>
              <w:tl2br w:val="nil"/>
              <w:tr2bl w:val="nil"/>
            </w:tcBorders>
            <w:vAlign w:val="center"/>
          </w:tcPr>
          <w:p w14:paraId="173D25F4">
            <w:pPr>
              <w:pStyle w:val="44"/>
              <w:bidi w:val="0"/>
              <w:jc w:val="center"/>
              <w:rPr>
                <w:rFonts w:hint="default" w:ascii="Times New Roman" w:hAnsi="Times New Roman" w:cs="Times New Roman"/>
                <w:color w:val="auto"/>
                <w:highlight w:val="none"/>
                <w:lang w:val="zh-CN"/>
              </w:rPr>
            </w:pPr>
          </w:p>
        </w:tc>
        <w:tc>
          <w:tcPr>
            <w:tcW w:w="506" w:type="pct"/>
            <w:tcBorders>
              <w:tl2br w:val="nil"/>
              <w:tr2bl w:val="nil"/>
            </w:tcBorders>
            <w:vAlign w:val="center"/>
          </w:tcPr>
          <w:p w14:paraId="1FE5CA8C">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野生动物</w:t>
            </w:r>
          </w:p>
        </w:tc>
        <w:tc>
          <w:tcPr>
            <w:tcW w:w="1030" w:type="pct"/>
            <w:tcBorders>
              <w:tl2br w:val="nil"/>
              <w:tr2bl w:val="nil"/>
            </w:tcBorders>
            <w:vAlign w:val="center"/>
          </w:tcPr>
          <w:p w14:paraId="4D982C95">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分布范围、行为</w:t>
            </w:r>
          </w:p>
        </w:tc>
        <w:tc>
          <w:tcPr>
            <w:tcW w:w="1023" w:type="pct"/>
            <w:tcBorders>
              <w:tl2br w:val="nil"/>
              <w:tr2bl w:val="nil"/>
            </w:tcBorders>
            <w:vAlign w:val="center"/>
          </w:tcPr>
          <w:p w14:paraId="61F33428">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生态恢复/间接影响</w:t>
            </w:r>
          </w:p>
        </w:tc>
        <w:tc>
          <w:tcPr>
            <w:tcW w:w="706" w:type="pct"/>
            <w:tcBorders>
              <w:tl2br w:val="nil"/>
              <w:tr2bl w:val="nil"/>
            </w:tcBorders>
            <w:vAlign w:val="center"/>
          </w:tcPr>
          <w:p w14:paraId="4A24CF2D">
            <w:pPr>
              <w:pStyle w:val="44"/>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623" w:type="pct"/>
            <w:gridSpan w:val="2"/>
            <w:tcBorders>
              <w:tl2br w:val="nil"/>
              <w:tr2bl w:val="nil"/>
            </w:tcBorders>
            <w:vAlign w:val="center"/>
          </w:tcPr>
          <w:p w14:paraId="012CD9BA">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无</w:t>
            </w:r>
          </w:p>
        </w:tc>
      </w:tr>
      <w:tr w14:paraId="466758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499" w:type="pct"/>
            <w:vMerge w:val="continue"/>
            <w:tcBorders>
              <w:tl2br w:val="nil"/>
              <w:tr2bl w:val="nil"/>
            </w:tcBorders>
            <w:vAlign w:val="center"/>
          </w:tcPr>
          <w:p w14:paraId="6E2EC459">
            <w:pPr>
              <w:pStyle w:val="44"/>
              <w:bidi w:val="0"/>
              <w:jc w:val="center"/>
              <w:rPr>
                <w:rFonts w:hint="default" w:ascii="Times New Roman" w:hAnsi="Times New Roman" w:cs="Times New Roman"/>
                <w:color w:val="auto"/>
                <w:highlight w:val="none"/>
                <w:lang w:val="zh-CN"/>
              </w:rPr>
            </w:pPr>
          </w:p>
        </w:tc>
        <w:tc>
          <w:tcPr>
            <w:tcW w:w="240" w:type="pct"/>
            <w:tcBorders>
              <w:tl2br w:val="nil"/>
              <w:tr2bl w:val="nil"/>
            </w:tcBorders>
            <w:vAlign w:val="center"/>
          </w:tcPr>
          <w:p w14:paraId="132F8661">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3</w:t>
            </w:r>
          </w:p>
        </w:tc>
        <w:tc>
          <w:tcPr>
            <w:tcW w:w="875" w:type="pct"/>
            <w:gridSpan w:val="2"/>
            <w:tcBorders>
              <w:tl2br w:val="nil"/>
              <w:tr2bl w:val="nil"/>
            </w:tcBorders>
            <w:vAlign w:val="center"/>
          </w:tcPr>
          <w:p w14:paraId="2142F2A9">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生境</w:t>
            </w:r>
          </w:p>
        </w:tc>
        <w:tc>
          <w:tcPr>
            <w:tcW w:w="1030" w:type="pct"/>
            <w:tcBorders>
              <w:tl2br w:val="nil"/>
              <w:tr2bl w:val="nil"/>
            </w:tcBorders>
            <w:vAlign w:val="center"/>
          </w:tcPr>
          <w:p w14:paraId="2063F272">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生境面积、质量、连通性等</w:t>
            </w:r>
          </w:p>
        </w:tc>
        <w:tc>
          <w:tcPr>
            <w:tcW w:w="1023" w:type="pct"/>
            <w:tcBorders>
              <w:tl2br w:val="nil"/>
              <w:tr2bl w:val="nil"/>
            </w:tcBorders>
            <w:vAlign w:val="center"/>
          </w:tcPr>
          <w:p w14:paraId="3558C9F8">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生态恢复/直接影响</w:t>
            </w:r>
          </w:p>
        </w:tc>
        <w:tc>
          <w:tcPr>
            <w:tcW w:w="706" w:type="pct"/>
            <w:tcBorders>
              <w:tl2br w:val="nil"/>
              <w:tr2bl w:val="nil"/>
            </w:tcBorders>
            <w:vAlign w:val="center"/>
          </w:tcPr>
          <w:p w14:paraId="2A48FEAB">
            <w:pPr>
              <w:pStyle w:val="44"/>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623" w:type="pct"/>
            <w:gridSpan w:val="2"/>
            <w:tcBorders>
              <w:tl2br w:val="nil"/>
              <w:tr2bl w:val="nil"/>
            </w:tcBorders>
            <w:vAlign w:val="center"/>
          </w:tcPr>
          <w:p w14:paraId="4D5EBC37">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无</w:t>
            </w:r>
          </w:p>
        </w:tc>
      </w:tr>
      <w:tr w14:paraId="3B23E7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6" w:hRule="atLeast"/>
          <w:jc w:val="center"/>
        </w:trPr>
        <w:tc>
          <w:tcPr>
            <w:tcW w:w="499" w:type="pct"/>
            <w:vMerge w:val="continue"/>
            <w:tcBorders>
              <w:tl2br w:val="nil"/>
              <w:tr2bl w:val="nil"/>
            </w:tcBorders>
            <w:vAlign w:val="center"/>
          </w:tcPr>
          <w:p w14:paraId="05BB347E">
            <w:pPr>
              <w:pStyle w:val="44"/>
              <w:bidi w:val="0"/>
              <w:jc w:val="center"/>
              <w:rPr>
                <w:rFonts w:hint="default" w:ascii="Times New Roman" w:hAnsi="Times New Roman" w:cs="Times New Roman"/>
                <w:color w:val="auto"/>
                <w:highlight w:val="none"/>
                <w:lang w:val="zh-CN"/>
              </w:rPr>
            </w:pPr>
          </w:p>
        </w:tc>
        <w:tc>
          <w:tcPr>
            <w:tcW w:w="240" w:type="pct"/>
            <w:tcBorders>
              <w:tl2br w:val="nil"/>
              <w:tr2bl w:val="nil"/>
            </w:tcBorders>
            <w:vAlign w:val="center"/>
          </w:tcPr>
          <w:p w14:paraId="79D98143">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4</w:t>
            </w:r>
          </w:p>
        </w:tc>
        <w:tc>
          <w:tcPr>
            <w:tcW w:w="875" w:type="pct"/>
            <w:gridSpan w:val="2"/>
            <w:tcBorders>
              <w:tl2br w:val="nil"/>
              <w:tr2bl w:val="nil"/>
            </w:tcBorders>
            <w:vAlign w:val="center"/>
          </w:tcPr>
          <w:p w14:paraId="2840F016">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生态系统</w:t>
            </w:r>
          </w:p>
        </w:tc>
        <w:tc>
          <w:tcPr>
            <w:tcW w:w="1030" w:type="pct"/>
            <w:tcBorders>
              <w:tl2br w:val="nil"/>
              <w:tr2bl w:val="nil"/>
            </w:tcBorders>
            <w:vAlign w:val="center"/>
          </w:tcPr>
          <w:p w14:paraId="5E474280">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植被覆盖度、生产力、生物量、生态系统功能等</w:t>
            </w:r>
          </w:p>
        </w:tc>
        <w:tc>
          <w:tcPr>
            <w:tcW w:w="1023" w:type="pct"/>
            <w:tcBorders>
              <w:tl2br w:val="nil"/>
              <w:tr2bl w:val="nil"/>
            </w:tcBorders>
            <w:vAlign w:val="center"/>
          </w:tcPr>
          <w:p w14:paraId="6ECEFF6A">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生态恢复/直接影响</w:t>
            </w:r>
          </w:p>
        </w:tc>
        <w:tc>
          <w:tcPr>
            <w:tcW w:w="706" w:type="pct"/>
            <w:tcBorders>
              <w:tl2br w:val="nil"/>
              <w:tr2bl w:val="nil"/>
            </w:tcBorders>
            <w:vAlign w:val="center"/>
          </w:tcPr>
          <w:p w14:paraId="16297A53">
            <w:pPr>
              <w:pStyle w:val="44"/>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623" w:type="pct"/>
            <w:gridSpan w:val="2"/>
            <w:tcBorders>
              <w:tl2br w:val="nil"/>
              <w:tr2bl w:val="nil"/>
            </w:tcBorders>
            <w:vAlign w:val="center"/>
          </w:tcPr>
          <w:p w14:paraId="50467C85">
            <w:pPr>
              <w:pStyle w:val="44"/>
              <w:bidi w:val="0"/>
              <w:ind w:firstLine="0" w:firstLineChars="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无</w:t>
            </w:r>
          </w:p>
        </w:tc>
      </w:tr>
      <w:tr w14:paraId="211B21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3" w:hRule="atLeast"/>
          <w:jc w:val="center"/>
        </w:trPr>
        <w:tc>
          <w:tcPr>
            <w:tcW w:w="499" w:type="pct"/>
            <w:vMerge w:val="continue"/>
            <w:tcBorders>
              <w:tl2br w:val="nil"/>
              <w:tr2bl w:val="nil"/>
            </w:tcBorders>
            <w:vAlign w:val="center"/>
          </w:tcPr>
          <w:p w14:paraId="6B6BD339">
            <w:pPr>
              <w:pStyle w:val="44"/>
              <w:bidi w:val="0"/>
              <w:jc w:val="center"/>
              <w:rPr>
                <w:rFonts w:hint="default" w:ascii="Times New Roman" w:hAnsi="Times New Roman" w:cs="Times New Roman"/>
                <w:color w:val="auto"/>
                <w:highlight w:val="none"/>
                <w:lang w:val="zh-CN"/>
              </w:rPr>
            </w:pPr>
          </w:p>
        </w:tc>
        <w:tc>
          <w:tcPr>
            <w:tcW w:w="240" w:type="pct"/>
            <w:tcBorders>
              <w:tl2br w:val="nil"/>
              <w:tr2bl w:val="nil"/>
            </w:tcBorders>
            <w:vAlign w:val="center"/>
          </w:tcPr>
          <w:p w14:paraId="22932267">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5</w:t>
            </w:r>
          </w:p>
        </w:tc>
        <w:tc>
          <w:tcPr>
            <w:tcW w:w="875" w:type="pct"/>
            <w:gridSpan w:val="2"/>
            <w:tcBorders>
              <w:tl2br w:val="nil"/>
              <w:tr2bl w:val="nil"/>
            </w:tcBorders>
            <w:vAlign w:val="center"/>
          </w:tcPr>
          <w:p w14:paraId="019B8417">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生物多样性</w:t>
            </w:r>
          </w:p>
        </w:tc>
        <w:tc>
          <w:tcPr>
            <w:tcW w:w="1030" w:type="pct"/>
            <w:tcBorders>
              <w:tl2br w:val="nil"/>
              <w:tr2bl w:val="nil"/>
            </w:tcBorders>
            <w:vAlign w:val="center"/>
          </w:tcPr>
          <w:p w14:paraId="46272273">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物种丰富度、生态系统多样性</w:t>
            </w:r>
          </w:p>
        </w:tc>
        <w:tc>
          <w:tcPr>
            <w:tcW w:w="1023" w:type="pct"/>
            <w:tcBorders>
              <w:tl2br w:val="nil"/>
              <w:tr2bl w:val="nil"/>
            </w:tcBorders>
            <w:vAlign w:val="center"/>
          </w:tcPr>
          <w:p w14:paraId="6661632D">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生态恢复/直接影响</w:t>
            </w:r>
          </w:p>
        </w:tc>
        <w:tc>
          <w:tcPr>
            <w:tcW w:w="706" w:type="pct"/>
            <w:tcBorders>
              <w:tl2br w:val="nil"/>
              <w:tr2bl w:val="nil"/>
            </w:tcBorders>
            <w:vAlign w:val="center"/>
          </w:tcPr>
          <w:p w14:paraId="4126B301">
            <w:pPr>
              <w:pStyle w:val="44"/>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623" w:type="pct"/>
            <w:gridSpan w:val="2"/>
            <w:tcBorders>
              <w:tl2br w:val="nil"/>
              <w:tr2bl w:val="nil"/>
            </w:tcBorders>
            <w:vAlign w:val="center"/>
          </w:tcPr>
          <w:p w14:paraId="04ADF84C">
            <w:pPr>
              <w:pStyle w:val="44"/>
              <w:bidi w:val="0"/>
              <w:ind w:firstLine="0" w:firstLineChars="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无</w:t>
            </w:r>
          </w:p>
        </w:tc>
      </w:tr>
    </w:tbl>
    <w:p w14:paraId="28D94876">
      <w:pPr>
        <w:pStyle w:val="41"/>
        <w:rPr>
          <w:rFonts w:hint="default" w:ascii="Times New Roman" w:hAnsi="Times New Roman" w:cs="Times New Roman"/>
          <w:color w:val="auto"/>
          <w:highlight w:val="none"/>
        </w:rPr>
      </w:pPr>
      <w:bookmarkStart w:id="96" w:name="_Toc25561"/>
      <w:bookmarkStart w:id="97" w:name="_Toc152926810"/>
      <w:bookmarkStart w:id="98" w:name="_Toc2785"/>
      <w:r>
        <w:rPr>
          <w:rFonts w:hint="default" w:ascii="Times New Roman" w:hAnsi="Times New Roman" w:cs="Times New Roman"/>
          <w:color w:val="auto"/>
          <w:highlight w:val="none"/>
        </w:rPr>
        <w:t>2.5评价标准</w:t>
      </w:r>
      <w:bookmarkEnd w:id="94"/>
      <w:bookmarkEnd w:id="95"/>
      <w:bookmarkEnd w:id="96"/>
      <w:bookmarkEnd w:id="97"/>
      <w:bookmarkEnd w:id="98"/>
    </w:p>
    <w:p w14:paraId="32BDA744">
      <w:pPr>
        <w:pStyle w:val="39"/>
        <w:rPr>
          <w:rFonts w:hint="default" w:ascii="Times New Roman" w:hAnsi="Times New Roman" w:cs="Times New Roman"/>
          <w:color w:val="auto"/>
          <w:highlight w:val="none"/>
        </w:rPr>
      </w:pPr>
      <w:bookmarkStart w:id="99" w:name="_Toc22918"/>
      <w:r>
        <w:rPr>
          <w:rFonts w:hint="default" w:ascii="Times New Roman" w:hAnsi="Times New Roman" w:cs="Times New Roman"/>
          <w:color w:val="auto"/>
          <w:highlight w:val="none"/>
        </w:rPr>
        <w:t>2.5.1环境质量标准</w:t>
      </w:r>
      <w:bookmarkEnd w:id="99"/>
    </w:p>
    <w:p w14:paraId="30C6B1B9">
      <w:pPr>
        <w:spacing w:line="500" w:lineRule="exact"/>
        <w:ind w:firstLine="480" w:firstLineChars="200"/>
        <w:rPr>
          <w:rFonts w:hint="default" w:ascii="Times New Roman" w:hAnsi="Times New Roman" w:cs="Times New Roman"/>
          <w:snapToGrid w:val="0"/>
          <w:color w:val="auto"/>
          <w:sz w:val="24"/>
          <w:szCs w:val="22"/>
          <w:highlight w:val="none"/>
        </w:rPr>
      </w:pPr>
      <w:r>
        <w:rPr>
          <w:rFonts w:hint="default" w:ascii="Times New Roman" w:hAnsi="Times New Roman" w:cs="Times New Roman"/>
          <w:snapToGrid w:val="0"/>
          <w:color w:val="auto"/>
          <w:sz w:val="24"/>
          <w:szCs w:val="22"/>
          <w:highlight w:val="none"/>
          <w:lang w:val="en-US" w:eastAsia="zh-CN"/>
        </w:rPr>
        <w:t>1、</w:t>
      </w:r>
      <w:r>
        <w:rPr>
          <w:rFonts w:hint="default" w:ascii="Times New Roman" w:hAnsi="Times New Roman" w:cs="Times New Roman"/>
          <w:snapToGrid w:val="0"/>
          <w:color w:val="auto"/>
          <w:sz w:val="24"/>
          <w:szCs w:val="22"/>
          <w:highlight w:val="none"/>
        </w:rPr>
        <w:t>环境空气</w:t>
      </w:r>
    </w:p>
    <w:p w14:paraId="519CCDC3">
      <w:pPr>
        <w:spacing w:line="500" w:lineRule="exact"/>
        <w:ind w:firstLine="480" w:firstLineChars="200"/>
        <w:rPr>
          <w:rFonts w:hint="default" w:ascii="Times New Roman" w:hAnsi="Times New Roman" w:cs="Times New Roman"/>
          <w:snapToGrid w:val="0"/>
          <w:color w:val="auto"/>
          <w:kern w:val="0"/>
          <w:sz w:val="24"/>
          <w:szCs w:val="22"/>
          <w:highlight w:val="none"/>
        </w:rPr>
      </w:pPr>
      <w:r>
        <w:rPr>
          <w:rFonts w:hint="default" w:ascii="Times New Roman" w:hAnsi="Times New Roman" w:cs="Times New Roman"/>
          <w:snapToGrid w:val="0"/>
          <w:color w:val="auto"/>
          <w:sz w:val="24"/>
          <w:szCs w:val="22"/>
          <w:highlight w:val="none"/>
        </w:rPr>
        <w:t>PM</w:t>
      </w:r>
      <w:r>
        <w:rPr>
          <w:rFonts w:hint="default" w:ascii="Times New Roman" w:hAnsi="Times New Roman" w:cs="Times New Roman"/>
          <w:snapToGrid w:val="0"/>
          <w:color w:val="auto"/>
          <w:sz w:val="24"/>
          <w:szCs w:val="22"/>
          <w:highlight w:val="none"/>
          <w:vertAlign w:val="subscript"/>
        </w:rPr>
        <w:t>2.5</w:t>
      </w:r>
      <w:r>
        <w:rPr>
          <w:rFonts w:hint="default" w:ascii="Times New Roman" w:hAnsi="Times New Roman" w:cs="Times New Roman"/>
          <w:snapToGrid w:val="0"/>
          <w:color w:val="auto"/>
          <w:sz w:val="24"/>
          <w:szCs w:val="22"/>
          <w:highlight w:val="none"/>
        </w:rPr>
        <w:t>、PM</w:t>
      </w:r>
      <w:r>
        <w:rPr>
          <w:rFonts w:hint="default" w:ascii="Times New Roman" w:hAnsi="Times New Roman" w:cs="Times New Roman"/>
          <w:snapToGrid w:val="0"/>
          <w:color w:val="auto"/>
          <w:sz w:val="24"/>
          <w:szCs w:val="22"/>
          <w:highlight w:val="none"/>
          <w:vertAlign w:val="subscript"/>
        </w:rPr>
        <w:t>10</w:t>
      </w:r>
      <w:r>
        <w:rPr>
          <w:rFonts w:hint="default" w:ascii="Times New Roman" w:hAnsi="Times New Roman" w:cs="Times New Roman"/>
          <w:snapToGrid w:val="0"/>
          <w:color w:val="auto"/>
          <w:sz w:val="24"/>
          <w:szCs w:val="22"/>
          <w:highlight w:val="none"/>
        </w:rPr>
        <w:t>、NO</w:t>
      </w:r>
      <w:r>
        <w:rPr>
          <w:rFonts w:hint="default" w:ascii="Times New Roman" w:hAnsi="Times New Roman" w:cs="Times New Roman"/>
          <w:snapToGrid w:val="0"/>
          <w:color w:val="auto"/>
          <w:sz w:val="24"/>
          <w:szCs w:val="22"/>
          <w:highlight w:val="none"/>
          <w:vertAlign w:val="subscript"/>
        </w:rPr>
        <w:t>2</w:t>
      </w:r>
      <w:r>
        <w:rPr>
          <w:rFonts w:hint="default" w:ascii="Times New Roman" w:hAnsi="Times New Roman" w:cs="Times New Roman"/>
          <w:snapToGrid w:val="0"/>
          <w:color w:val="auto"/>
          <w:sz w:val="24"/>
          <w:szCs w:val="22"/>
          <w:highlight w:val="none"/>
        </w:rPr>
        <w:t>、SO</w:t>
      </w:r>
      <w:r>
        <w:rPr>
          <w:rFonts w:hint="default" w:ascii="Times New Roman" w:hAnsi="Times New Roman" w:cs="Times New Roman"/>
          <w:snapToGrid w:val="0"/>
          <w:color w:val="auto"/>
          <w:sz w:val="24"/>
          <w:szCs w:val="22"/>
          <w:highlight w:val="none"/>
          <w:vertAlign w:val="subscript"/>
        </w:rPr>
        <w:t>2</w:t>
      </w:r>
      <w:r>
        <w:rPr>
          <w:rFonts w:hint="default" w:ascii="Times New Roman" w:hAnsi="Times New Roman" w:cs="Times New Roman"/>
          <w:snapToGrid w:val="0"/>
          <w:color w:val="auto"/>
          <w:sz w:val="24"/>
          <w:szCs w:val="22"/>
          <w:highlight w:val="none"/>
        </w:rPr>
        <w:t>、CO、O</w:t>
      </w:r>
      <w:r>
        <w:rPr>
          <w:rFonts w:hint="default" w:ascii="Times New Roman" w:hAnsi="Times New Roman" w:cs="Times New Roman"/>
          <w:snapToGrid w:val="0"/>
          <w:color w:val="auto"/>
          <w:sz w:val="24"/>
          <w:szCs w:val="22"/>
          <w:highlight w:val="none"/>
          <w:vertAlign w:val="subscript"/>
        </w:rPr>
        <w:t>3</w:t>
      </w:r>
      <w:r>
        <w:rPr>
          <w:rFonts w:hint="default" w:ascii="Times New Roman" w:hAnsi="Times New Roman" w:cs="Times New Roman"/>
          <w:snapToGrid w:val="0"/>
          <w:color w:val="auto"/>
          <w:sz w:val="24"/>
          <w:szCs w:val="22"/>
          <w:highlight w:val="none"/>
        </w:rPr>
        <w:t>、TSP</w:t>
      </w:r>
      <w:r>
        <w:rPr>
          <w:rFonts w:hint="default" w:ascii="Times New Roman" w:hAnsi="Times New Roman" w:cs="Times New Roman"/>
          <w:snapToGrid w:val="0"/>
          <w:color w:val="auto"/>
          <w:kern w:val="0"/>
          <w:sz w:val="24"/>
          <w:szCs w:val="22"/>
          <w:highlight w:val="none"/>
        </w:rPr>
        <w:t>执行《环境空气质量标准》（GB3095-2012）及修改单中的二级标准。</w:t>
      </w:r>
    </w:p>
    <w:p w14:paraId="054064FA">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表2-5-1环境空气质量标准</w:t>
      </w:r>
    </w:p>
    <w:tbl>
      <w:tblPr>
        <w:tblStyle w:val="2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64"/>
        <w:gridCol w:w="1868"/>
        <w:gridCol w:w="1287"/>
        <w:gridCol w:w="1081"/>
        <w:gridCol w:w="2618"/>
        <w:gridCol w:w="1104"/>
      </w:tblGrid>
      <w:tr w14:paraId="3E61A5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restart"/>
            <w:tcBorders>
              <w:top w:val="single" w:color="auto" w:sz="12" w:space="0"/>
              <w:left w:val="nil"/>
              <w:bottom w:val="single" w:color="auto" w:sz="4" w:space="0"/>
              <w:right w:val="single" w:color="auto" w:sz="4" w:space="0"/>
            </w:tcBorders>
            <w:vAlign w:val="center"/>
          </w:tcPr>
          <w:p w14:paraId="126E8A5D">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环境</w:t>
            </w:r>
          </w:p>
          <w:p w14:paraId="35BEC676">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要素</w:t>
            </w:r>
          </w:p>
        </w:tc>
        <w:tc>
          <w:tcPr>
            <w:tcW w:w="1096" w:type="pct"/>
            <w:vMerge w:val="restart"/>
            <w:tcBorders>
              <w:top w:val="single" w:color="auto" w:sz="12" w:space="0"/>
              <w:left w:val="single" w:color="auto" w:sz="4" w:space="0"/>
              <w:bottom w:val="single" w:color="auto" w:sz="4" w:space="0"/>
              <w:right w:val="single" w:color="auto" w:sz="4" w:space="0"/>
            </w:tcBorders>
            <w:vAlign w:val="center"/>
          </w:tcPr>
          <w:p w14:paraId="72D06AF1">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标准名称及级别</w:t>
            </w:r>
          </w:p>
        </w:tc>
        <w:tc>
          <w:tcPr>
            <w:tcW w:w="755" w:type="pct"/>
            <w:vMerge w:val="restart"/>
            <w:tcBorders>
              <w:top w:val="single" w:color="auto" w:sz="12" w:space="0"/>
              <w:left w:val="single" w:color="auto" w:sz="4" w:space="0"/>
              <w:bottom w:val="single" w:color="auto" w:sz="4" w:space="0"/>
              <w:right w:val="single" w:color="auto" w:sz="4" w:space="0"/>
            </w:tcBorders>
            <w:vAlign w:val="center"/>
          </w:tcPr>
          <w:p w14:paraId="40A383BB">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项目</w:t>
            </w:r>
          </w:p>
        </w:tc>
        <w:tc>
          <w:tcPr>
            <w:tcW w:w="2818" w:type="pct"/>
            <w:gridSpan w:val="3"/>
            <w:tcBorders>
              <w:top w:val="single" w:color="auto" w:sz="12" w:space="0"/>
              <w:left w:val="single" w:color="auto" w:sz="4" w:space="0"/>
              <w:bottom w:val="single" w:color="auto" w:sz="4" w:space="0"/>
              <w:right w:val="nil"/>
            </w:tcBorders>
            <w:vAlign w:val="center"/>
          </w:tcPr>
          <w:p w14:paraId="5C01713A">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标准值</w:t>
            </w:r>
          </w:p>
        </w:tc>
      </w:tr>
      <w:tr w14:paraId="4255F0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12" w:space="0"/>
              <w:left w:val="nil"/>
              <w:bottom w:val="single" w:color="auto" w:sz="4" w:space="0"/>
              <w:right w:val="single" w:color="auto" w:sz="4" w:space="0"/>
            </w:tcBorders>
            <w:vAlign w:val="center"/>
          </w:tcPr>
          <w:p w14:paraId="430A606D">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12" w:space="0"/>
              <w:left w:val="single" w:color="auto" w:sz="4" w:space="0"/>
              <w:bottom w:val="single" w:color="auto" w:sz="4" w:space="0"/>
              <w:right w:val="single" w:color="auto" w:sz="4" w:space="0"/>
            </w:tcBorders>
            <w:vAlign w:val="center"/>
          </w:tcPr>
          <w:p w14:paraId="00220E78">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12" w:space="0"/>
              <w:left w:val="single" w:color="auto" w:sz="4" w:space="0"/>
              <w:bottom w:val="single" w:color="auto" w:sz="4" w:space="0"/>
              <w:right w:val="single" w:color="auto" w:sz="4" w:space="0"/>
            </w:tcBorders>
            <w:vAlign w:val="center"/>
          </w:tcPr>
          <w:p w14:paraId="3591AF0B">
            <w:pPr>
              <w:pStyle w:val="44"/>
              <w:bidi w:val="0"/>
              <w:rPr>
                <w:rFonts w:hint="default" w:ascii="Times New Roman" w:hAnsi="Times New Roman" w:cs="Times New Roman"/>
                <w:color w:val="auto"/>
                <w:highlight w:val="none"/>
                <w:lang w:val="zh-CN"/>
              </w:rPr>
            </w:pPr>
          </w:p>
        </w:tc>
        <w:tc>
          <w:tcPr>
            <w:tcW w:w="634" w:type="pct"/>
            <w:tcBorders>
              <w:top w:val="single" w:color="auto" w:sz="4" w:space="0"/>
              <w:left w:val="single" w:color="auto" w:sz="4" w:space="0"/>
              <w:bottom w:val="single" w:color="auto" w:sz="4" w:space="0"/>
              <w:right w:val="single" w:color="auto" w:sz="4" w:space="0"/>
            </w:tcBorders>
            <w:vAlign w:val="center"/>
          </w:tcPr>
          <w:p w14:paraId="30F4FB3C">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单位</w:t>
            </w:r>
          </w:p>
        </w:tc>
        <w:tc>
          <w:tcPr>
            <w:tcW w:w="2184" w:type="pct"/>
            <w:gridSpan w:val="2"/>
            <w:tcBorders>
              <w:top w:val="single" w:color="auto" w:sz="4" w:space="0"/>
              <w:left w:val="single" w:color="auto" w:sz="4" w:space="0"/>
              <w:bottom w:val="single" w:color="auto" w:sz="4" w:space="0"/>
              <w:right w:val="nil"/>
            </w:tcBorders>
            <w:vAlign w:val="center"/>
          </w:tcPr>
          <w:p w14:paraId="4157048A">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数值</w:t>
            </w:r>
          </w:p>
        </w:tc>
      </w:tr>
      <w:tr w14:paraId="5D3CCD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restart"/>
            <w:tcBorders>
              <w:top w:val="single" w:color="auto" w:sz="4" w:space="0"/>
              <w:left w:val="nil"/>
              <w:bottom w:val="single" w:color="auto" w:sz="12" w:space="0"/>
              <w:right w:val="single" w:color="auto" w:sz="4" w:space="0"/>
            </w:tcBorders>
            <w:vAlign w:val="center"/>
          </w:tcPr>
          <w:p w14:paraId="75F884EA">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环</w:t>
            </w:r>
          </w:p>
          <w:p w14:paraId="5A0FEF1B">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境</w:t>
            </w:r>
          </w:p>
          <w:p w14:paraId="3054C071">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空</w:t>
            </w:r>
          </w:p>
          <w:p w14:paraId="3E677C87">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气</w:t>
            </w:r>
          </w:p>
        </w:tc>
        <w:tc>
          <w:tcPr>
            <w:tcW w:w="1096" w:type="pct"/>
            <w:vMerge w:val="restart"/>
            <w:tcBorders>
              <w:top w:val="single" w:color="auto" w:sz="4" w:space="0"/>
              <w:left w:val="single" w:color="auto" w:sz="4" w:space="0"/>
              <w:bottom w:val="single" w:color="auto" w:sz="12" w:space="0"/>
              <w:right w:val="single" w:color="auto" w:sz="4" w:space="0"/>
            </w:tcBorders>
            <w:vAlign w:val="center"/>
          </w:tcPr>
          <w:p w14:paraId="232119D7">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《环境空气质量标准》（GB3095-2012）及修改单中二级标准</w:t>
            </w:r>
          </w:p>
        </w:tc>
        <w:tc>
          <w:tcPr>
            <w:tcW w:w="755" w:type="pct"/>
            <w:vMerge w:val="restart"/>
            <w:tcBorders>
              <w:top w:val="single" w:color="auto" w:sz="4" w:space="0"/>
              <w:left w:val="single" w:color="auto" w:sz="4" w:space="0"/>
              <w:bottom w:val="single" w:color="auto" w:sz="4" w:space="0"/>
              <w:right w:val="single" w:color="auto" w:sz="4" w:space="0"/>
            </w:tcBorders>
            <w:vAlign w:val="center"/>
          </w:tcPr>
          <w:p w14:paraId="47E91BEE">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PM</w:t>
            </w:r>
            <w:r>
              <w:rPr>
                <w:rFonts w:hint="default" w:ascii="Times New Roman" w:hAnsi="Times New Roman" w:cs="Times New Roman"/>
                <w:color w:val="auto"/>
                <w:highlight w:val="none"/>
                <w:vertAlign w:val="subscript"/>
                <w:lang w:val="zh-CN"/>
              </w:rPr>
              <w:t>10</w:t>
            </w:r>
          </w:p>
        </w:tc>
        <w:tc>
          <w:tcPr>
            <w:tcW w:w="634" w:type="pct"/>
            <w:vMerge w:val="restart"/>
            <w:tcBorders>
              <w:top w:val="single" w:color="auto" w:sz="4" w:space="0"/>
              <w:left w:val="single" w:color="auto" w:sz="4" w:space="0"/>
              <w:bottom w:val="single" w:color="auto" w:sz="4" w:space="0"/>
              <w:right w:val="single" w:color="auto" w:sz="4" w:space="0"/>
            </w:tcBorders>
            <w:vAlign w:val="center"/>
          </w:tcPr>
          <w:p w14:paraId="54E15699">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μg/m</w:t>
            </w:r>
            <w:r>
              <w:rPr>
                <w:rFonts w:hint="default" w:ascii="Times New Roman" w:hAnsi="Times New Roman" w:cs="Times New Roman"/>
                <w:color w:val="auto"/>
                <w:highlight w:val="none"/>
                <w:vertAlign w:val="superscript"/>
                <w:lang w:val="zh-CN"/>
              </w:rPr>
              <w:t>3</w:t>
            </w:r>
          </w:p>
        </w:tc>
        <w:tc>
          <w:tcPr>
            <w:tcW w:w="1536" w:type="pct"/>
            <w:tcBorders>
              <w:top w:val="single" w:color="auto" w:sz="4" w:space="0"/>
              <w:left w:val="single" w:color="auto" w:sz="4" w:space="0"/>
              <w:bottom w:val="single" w:color="auto" w:sz="4" w:space="0"/>
              <w:right w:val="single" w:color="auto" w:sz="4" w:space="0"/>
            </w:tcBorders>
            <w:vAlign w:val="center"/>
          </w:tcPr>
          <w:p w14:paraId="63C3FCF4">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24小时平均</w:t>
            </w:r>
          </w:p>
        </w:tc>
        <w:tc>
          <w:tcPr>
            <w:tcW w:w="648" w:type="pct"/>
            <w:tcBorders>
              <w:top w:val="single" w:color="auto" w:sz="4" w:space="0"/>
              <w:left w:val="single" w:color="auto" w:sz="4" w:space="0"/>
              <w:bottom w:val="single" w:color="auto" w:sz="4" w:space="0"/>
              <w:right w:val="nil"/>
            </w:tcBorders>
            <w:vAlign w:val="center"/>
          </w:tcPr>
          <w:p w14:paraId="70CC0084">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150</w:t>
            </w:r>
          </w:p>
        </w:tc>
      </w:tr>
      <w:tr w14:paraId="4FCABA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nil"/>
              <w:bottom w:val="single" w:color="auto" w:sz="12" w:space="0"/>
              <w:right w:val="single" w:color="auto" w:sz="4" w:space="0"/>
            </w:tcBorders>
            <w:vAlign w:val="center"/>
          </w:tcPr>
          <w:p w14:paraId="00924FCD">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080C1F2D">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5414C190">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3B5289D7">
            <w:pPr>
              <w:pStyle w:val="44"/>
              <w:bidi w:val="0"/>
              <w:rPr>
                <w:rFonts w:hint="default" w:ascii="Times New Roman" w:hAnsi="Times New Roman" w:cs="Times New Roman"/>
                <w:color w:val="auto"/>
                <w:highlight w:val="none"/>
                <w:lang w:val="zh-CN"/>
              </w:rPr>
            </w:pPr>
          </w:p>
        </w:tc>
        <w:tc>
          <w:tcPr>
            <w:tcW w:w="1536" w:type="pct"/>
            <w:tcBorders>
              <w:top w:val="single" w:color="auto" w:sz="4" w:space="0"/>
              <w:left w:val="single" w:color="auto" w:sz="4" w:space="0"/>
              <w:bottom w:val="single" w:color="auto" w:sz="4" w:space="0"/>
              <w:right w:val="single" w:color="auto" w:sz="4" w:space="0"/>
            </w:tcBorders>
            <w:vAlign w:val="center"/>
          </w:tcPr>
          <w:p w14:paraId="687EDB10">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年平均</w:t>
            </w:r>
          </w:p>
        </w:tc>
        <w:tc>
          <w:tcPr>
            <w:tcW w:w="648" w:type="pct"/>
            <w:tcBorders>
              <w:top w:val="single" w:color="auto" w:sz="4" w:space="0"/>
              <w:left w:val="single" w:color="auto" w:sz="4" w:space="0"/>
              <w:bottom w:val="single" w:color="auto" w:sz="4" w:space="0"/>
              <w:right w:val="nil"/>
            </w:tcBorders>
            <w:vAlign w:val="center"/>
          </w:tcPr>
          <w:p w14:paraId="65A6EC79">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70</w:t>
            </w:r>
          </w:p>
        </w:tc>
      </w:tr>
      <w:tr w14:paraId="0F1837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nil"/>
              <w:bottom w:val="single" w:color="auto" w:sz="12" w:space="0"/>
              <w:right w:val="single" w:color="auto" w:sz="4" w:space="0"/>
            </w:tcBorders>
            <w:vAlign w:val="center"/>
          </w:tcPr>
          <w:p w14:paraId="2F6FB97B">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6C2B6D8F">
            <w:pPr>
              <w:pStyle w:val="44"/>
              <w:bidi w:val="0"/>
              <w:rPr>
                <w:rFonts w:hint="default" w:ascii="Times New Roman" w:hAnsi="Times New Roman" w:cs="Times New Roman"/>
                <w:color w:val="auto"/>
                <w:highlight w:val="none"/>
                <w:lang w:val="zh-CN"/>
              </w:rPr>
            </w:pPr>
          </w:p>
        </w:tc>
        <w:tc>
          <w:tcPr>
            <w:tcW w:w="755" w:type="pct"/>
            <w:vMerge w:val="restart"/>
            <w:tcBorders>
              <w:top w:val="single" w:color="auto" w:sz="4" w:space="0"/>
              <w:left w:val="single" w:color="auto" w:sz="4" w:space="0"/>
              <w:bottom w:val="single" w:color="auto" w:sz="4" w:space="0"/>
              <w:right w:val="single" w:color="auto" w:sz="4" w:space="0"/>
            </w:tcBorders>
            <w:vAlign w:val="center"/>
          </w:tcPr>
          <w:p w14:paraId="59170AE6">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rPr>
              <w:t>NO</w:t>
            </w:r>
            <w:r>
              <w:rPr>
                <w:rFonts w:hint="default" w:ascii="Times New Roman" w:hAnsi="Times New Roman" w:cs="Times New Roman"/>
                <w:color w:val="auto"/>
                <w:highlight w:val="none"/>
                <w:vertAlign w:val="subscript"/>
              </w:rPr>
              <w:t>2</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6409EE72">
            <w:pPr>
              <w:pStyle w:val="44"/>
              <w:bidi w:val="0"/>
              <w:rPr>
                <w:rFonts w:hint="default" w:ascii="Times New Roman" w:hAnsi="Times New Roman" w:cs="Times New Roman"/>
                <w:color w:val="auto"/>
                <w:highlight w:val="none"/>
                <w:lang w:val="zh-CN"/>
              </w:rPr>
            </w:pPr>
          </w:p>
        </w:tc>
        <w:tc>
          <w:tcPr>
            <w:tcW w:w="1536" w:type="pct"/>
            <w:tcBorders>
              <w:top w:val="single" w:color="auto" w:sz="4" w:space="0"/>
              <w:left w:val="single" w:color="auto" w:sz="4" w:space="0"/>
              <w:bottom w:val="single" w:color="auto" w:sz="4" w:space="0"/>
              <w:right w:val="single" w:color="auto" w:sz="4" w:space="0"/>
            </w:tcBorders>
            <w:vAlign w:val="center"/>
          </w:tcPr>
          <w:p w14:paraId="6C0D83E5">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1小时平均</w:t>
            </w:r>
          </w:p>
        </w:tc>
        <w:tc>
          <w:tcPr>
            <w:tcW w:w="648" w:type="pct"/>
            <w:tcBorders>
              <w:top w:val="single" w:color="auto" w:sz="4" w:space="0"/>
              <w:left w:val="single" w:color="auto" w:sz="4" w:space="0"/>
              <w:bottom w:val="single" w:color="auto" w:sz="4" w:space="0"/>
              <w:right w:val="nil"/>
            </w:tcBorders>
            <w:vAlign w:val="center"/>
          </w:tcPr>
          <w:p w14:paraId="5D89EB64">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200</w:t>
            </w:r>
          </w:p>
        </w:tc>
      </w:tr>
      <w:tr w14:paraId="3D8BB8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nil"/>
              <w:bottom w:val="single" w:color="auto" w:sz="12" w:space="0"/>
              <w:right w:val="single" w:color="auto" w:sz="4" w:space="0"/>
            </w:tcBorders>
            <w:vAlign w:val="center"/>
          </w:tcPr>
          <w:p w14:paraId="2F0D00AC">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20DF9F94">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3DF9A31E">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2CF39223">
            <w:pPr>
              <w:pStyle w:val="44"/>
              <w:bidi w:val="0"/>
              <w:rPr>
                <w:rFonts w:hint="default" w:ascii="Times New Roman" w:hAnsi="Times New Roman" w:cs="Times New Roman"/>
                <w:color w:val="auto"/>
                <w:highlight w:val="none"/>
                <w:lang w:val="zh-CN"/>
              </w:rPr>
            </w:pPr>
          </w:p>
        </w:tc>
        <w:tc>
          <w:tcPr>
            <w:tcW w:w="1536" w:type="pct"/>
            <w:tcBorders>
              <w:top w:val="single" w:color="auto" w:sz="4" w:space="0"/>
              <w:left w:val="single" w:color="auto" w:sz="4" w:space="0"/>
              <w:bottom w:val="single" w:color="auto" w:sz="4" w:space="0"/>
              <w:right w:val="single" w:color="auto" w:sz="4" w:space="0"/>
            </w:tcBorders>
            <w:vAlign w:val="center"/>
          </w:tcPr>
          <w:p w14:paraId="173A1332">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24小时平均</w:t>
            </w:r>
          </w:p>
        </w:tc>
        <w:tc>
          <w:tcPr>
            <w:tcW w:w="648" w:type="pct"/>
            <w:tcBorders>
              <w:top w:val="single" w:color="auto" w:sz="4" w:space="0"/>
              <w:left w:val="single" w:color="auto" w:sz="4" w:space="0"/>
              <w:bottom w:val="single" w:color="auto" w:sz="4" w:space="0"/>
              <w:right w:val="nil"/>
            </w:tcBorders>
            <w:vAlign w:val="center"/>
          </w:tcPr>
          <w:p w14:paraId="29FF2DC5">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80</w:t>
            </w:r>
          </w:p>
        </w:tc>
      </w:tr>
      <w:tr w14:paraId="579CC6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nil"/>
              <w:bottom w:val="single" w:color="auto" w:sz="12" w:space="0"/>
              <w:right w:val="single" w:color="auto" w:sz="4" w:space="0"/>
            </w:tcBorders>
            <w:vAlign w:val="center"/>
          </w:tcPr>
          <w:p w14:paraId="343C9ECF">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14A52FFD">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202EA6A6">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38BBE873">
            <w:pPr>
              <w:pStyle w:val="44"/>
              <w:bidi w:val="0"/>
              <w:rPr>
                <w:rFonts w:hint="default" w:ascii="Times New Roman" w:hAnsi="Times New Roman" w:cs="Times New Roman"/>
                <w:color w:val="auto"/>
                <w:highlight w:val="none"/>
                <w:lang w:val="zh-CN"/>
              </w:rPr>
            </w:pPr>
          </w:p>
        </w:tc>
        <w:tc>
          <w:tcPr>
            <w:tcW w:w="1536" w:type="pct"/>
            <w:tcBorders>
              <w:top w:val="single" w:color="auto" w:sz="4" w:space="0"/>
              <w:left w:val="single" w:color="auto" w:sz="4" w:space="0"/>
              <w:bottom w:val="single" w:color="auto" w:sz="4" w:space="0"/>
              <w:right w:val="single" w:color="auto" w:sz="4" w:space="0"/>
            </w:tcBorders>
            <w:vAlign w:val="center"/>
          </w:tcPr>
          <w:p w14:paraId="1BD15BD2">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年平均</w:t>
            </w:r>
          </w:p>
        </w:tc>
        <w:tc>
          <w:tcPr>
            <w:tcW w:w="648" w:type="pct"/>
            <w:tcBorders>
              <w:top w:val="single" w:color="auto" w:sz="4" w:space="0"/>
              <w:left w:val="single" w:color="auto" w:sz="4" w:space="0"/>
              <w:bottom w:val="single" w:color="auto" w:sz="4" w:space="0"/>
              <w:right w:val="nil"/>
            </w:tcBorders>
            <w:vAlign w:val="center"/>
          </w:tcPr>
          <w:p w14:paraId="49BC4B2D">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40</w:t>
            </w:r>
          </w:p>
        </w:tc>
      </w:tr>
      <w:tr w14:paraId="209DBA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nil"/>
              <w:bottom w:val="single" w:color="auto" w:sz="12" w:space="0"/>
              <w:right w:val="single" w:color="auto" w:sz="4" w:space="0"/>
            </w:tcBorders>
            <w:vAlign w:val="center"/>
          </w:tcPr>
          <w:p w14:paraId="3479FAD2">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46981DD6">
            <w:pPr>
              <w:pStyle w:val="44"/>
              <w:bidi w:val="0"/>
              <w:rPr>
                <w:rFonts w:hint="default" w:ascii="Times New Roman" w:hAnsi="Times New Roman" w:cs="Times New Roman"/>
                <w:color w:val="auto"/>
                <w:highlight w:val="none"/>
                <w:lang w:val="zh-CN"/>
              </w:rPr>
            </w:pPr>
          </w:p>
        </w:tc>
        <w:tc>
          <w:tcPr>
            <w:tcW w:w="755" w:type="pct"/>
            <w:vMerge w:val="restart"/>
            <w:tcBorders>
              <w:top w:val="single" w:color="auto" w:sz="4" w:space="0"/>
              <w:left w:val="single" w:color="auto" w:sz="4" w:space="0"/>
              <w:bottom w:val="single" w:color="auto" w:sz="4" w:space="0"/>
              <w:right w:val="single" w:color="auto" w:sz="4" w:space="0"/>
            </w:tcBorders>
            <w:vAlign w:val="center"/>
          </w:tcPr>
          <w:p w14:paraId="54BD6286">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SO</w:t>
            </w:r>
            <w:r>
              <w:rPr>
                <w:rFonts w:hint="default" w:ascii="Times New Roman" w:hAnsi="Times New Roman" w:cs="Times New Roman"/>
                <w:color w:val="auto"/>
                <w:highlight w:val="none"/>
                <w:vertAlign w:val="subscript"/>
                <w:lang w:val="zh-CN"/>
              </w:rPr>
              <w:t>2</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007988F9">
            <w:pPr>
              <w:pStyle w:val="44"/>
              <w:bidi w:val="0"/>
              <w:rPr>
                <w:rFonts w:hint="default" w:ascii="Times New Roman" w:hAnsi="Times New Roman" w:cs="Times New Roman"/>
                <w:color w:val="auto"/>
                <w:highlight w:val="none"/>
                <w:lang w:val="zh-CN"/>
              </w:rPr>
            </w:pPr>
          </w:p>
        </w:tc>
        <w:tc>
          <w:tcPr>
            <w:tcW w:w="1536" w:type="pct"/>
            <w:tcBorders>
              <w:top w:val="single" w:color="auto" w:sz="4" w:space="0"/>
              <w:left w:val="single" w:color="auto" w:sz="4" w:space="0"/>
              <w:bottom w:val="single" w:color="auto" w:sz="4" w:space="0"/>
              <w:right w:val="single" w:color="auto" w:sz="4" w:space="0"/>
            </w:tcBorders>
            <w:vAlign w:val="center"/>
          </w:tcPr>
          <w:p w14:paraId="51886736">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1小时平均</w:t>
            </w:r>
          </w:p>
        </w:tc>
        <w:tc>
          <w:tcPr>
            <w:tcW w:w="648" w:type="pct"/>
            <w:tcBorders>
              <w:top w:val="single" w:color="auto" w:sz="4" w:space="0"/>
              <w:left w:val="single" w:color="auto" w:sz="4" w:space="0"/>
              <w:bottom w:val="single" w:color="auto" w:sz="4" w:space="0"/>
              <w:right w:val="nil"/>
            </w:tcBorders>
            <w:vAlign w:val="center"/>
          </w:tcPr>
          <w:p w14:paraId="78EC69A4">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500</w:t>
            </w:r>
          </w:p>
        </w:tc>
      </w:tr>
      <w:tr w14:paraId="4FB1B7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nil"/>
              <w:bottom w:val="single" w:color="auto" w:sz="12" w:space="0"/>
              <w:right w:val="single" w:color="auto" w:sz="4" w:space="0"/>
            </w:tcBorders>
            <w:vAlign w:val="center"/>
          </w:tcPr>
          <w:p w14:paraId="5E171EC8">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3804BEB7">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29154714">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30548084">
            <w:pPr>
              <w:pStyle w:val="44"/>
              <w:bidi w:val="0"/>
              <w:rPr>
                <w:rFonts w:hint="default" w:ascii="Times New Roman" w:hAnsi="Times New Roman" w:cs="Times New Roman"/>
                <w:color w:val="auto"/>
                <w:highlight w:val="none"/>
                <w:lang w:val="zh-CN"/>
              </w:rPr>
            </w:pPr>
          </w:p>
        </w:tc>
        <w:tc>
          <w:tcPr>
            <w:tcW w:w="1536" w:type="pct"/>
            <w:tcBorders>
              <w:top w:val="single" w:color="auto" w:sz="4" w:space="0"/>
              <w:left w:val="single" w:color="auto" w:sz="4" w:space="0"/>
              <w:bottom w:val="single" w:color="auto" w:sz="4" w:space="0"/>
              <w:right w:val="single" w:color="auto" w:sz="4" w:space="0"/>
            </w:tcBorders>
            <w:vAlign w:val="center"/>
          </w:tcPr>
          <w:p w14:paraId="34D30EE9">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24小时平均</w:t>
            </w:r>
          </w:p>
        </w:tc>
        <w:tc>
          <w:tcPr>
            <w:tcW w:w="648" w:type="pct"/>
            <w:tcBorders>
              <w:top w:val="single" w:color="auto" w:sz="4" w:space="0"/>
              <w:left w:val="single" w:color="auto" w:sz="4" w:space="0"/>
              <w:bottom w:val="single" w:color="auto" w:sz="4" w:space="0"/>
              <w:right w:val="nil"/>
            </w:tcBorders>
            <w:vAlign w:val="center"/>
          </w:tcPr>
          <w:p w14:paraId="1FEFDB03">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150</w:t>
            </w:r>
          </w:p>
        </w:tc>
      </w:tr>
      <w:tr w14:paraId="0E82EC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nil"/>
              <w:bottom w:val="single" w:color="auto" w:sz="12" w:space="0"/>
              <w:right w:val="single" w:color="auto" w:sz="4" w:space="0"/>
            </w:tcBorders>
            <w:vAlign w:val="center"/>
          </w:tcPr>
          <w:p w14:paraId="6FE58977">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53D79171">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0FF37598">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09F2FE05">
            <w:pPr>
              <w:pStyle w:val="44"/>
              <w:bidi w:val="0"/>
              <w:rPr>
                <w:rFonts w:hint="default" w:ascii="Times New Roman" w:hAnsi="Times New Roman" w:cs="Times New Roman"/>
                <w:color w:val="auto"/>
                <w:highlight w:val="none"/>
                <w:lang w:val="zh-CN"/>
              </w:rPr>
            </w:pPr>
          </w:p>
        </w:tc>
        <w:tc>
          <w:tcPr>
            <w:tcW w:w="1536" w:type="pct"/>
            <w:tcBorders>
              <w:top w:val="single" w:color="auto" w:sz="4" w:space="0"/>
              <w:left w:val="single" w:color="auto" w:sz="4" w:space="0"/>
              <w:bottom w:val="single" w:color="auto" w:sz="4" w:space="0"/>
              <w:right w:val="single" w:color="auto" w:sz="4" w:space="0"/>
            </w:tcBorders>
            <w:vAlign w:val="center"/>
          </w:tcPr>
          <w:p w14:paraId="4A07C954">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年平均</w:t>
            </w:r>
          </w:p>
        </w:tc>
        <w:tc>
          <w:tcPr>
            <w:tcW w:w="648" w:type="pct"/>
            <w:tcBorders>
              <w:top w:val="single" w:color="auto" w:sz="4" w:space="0"/>
              <w:left w:val="single" w:color="auto" w:sz="4" w:space="0"/>
              <w:bottom w:val="single" w:color="auto" w:sz="4" w:space="0"/>
              <w:right w:val="nil"/>
            </w:tcBorders>
            <w:vAlign w:val="center"/>
          </w:tcPr>
          <w:p w14:paraId="27C3683E">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60</w:t>
            </w:r>
          </w:p>
        </w:tc>
      </w:tr>
      <w:tr w14:paraId="051E44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nil"/>
              <w:bottom w:val="single" w:color="auto" w:sz="12" w:space="0"/>
              <w:right w:val="single" w:color="auto" w:sz="4" w:space="0"/>
            </w:tcBorders>
            <w:vAlign w:val="center"/>
          </w:tcPr>
          <w:p w14:paraId="4FB27D75">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0D83CAE6">
            <w:pPr>
              <w:pStyle w:val="44"/>
              <w:bidi w:val="0"/>
              <w:rPr>
                <w:rFonts w:hint="default" w:ascii="Times New Roman" w:hAnsi="Times New Roman" w:cs="Times New Roman"/>
                <w:color w:val="auto"/>
                <w:highlight w:val="none"/>
                <w:lang w:val="zh-CN"/>
              </w:rPr>
            </w:pPr>
          </w:p>
        </w:tc>
        <w:tc>
          <w:tcPr>
            <w:tcW w:w="755" w:type="pct"/>
            <w:vMerge w:val="restart"/>
            <w:tcBorders>
              <w:top w:val="single" w:color="auto" w:sz="4" w:space="0"/>
              <w:left w:val="single" w:color="auto" w:sz="4" w:space="0"/>
              <w:bottom w:val="single" w:color="auto" w:sz="4" w:space="0"/>
              <w:right w:val="single" w:color="auto" w:sz="4" w:space="0"/>
            </w:tcBorders>
            <w:vAlign w:val="center"/>
          </w:tcPr>
          <w:p w14:paraId="140B816B">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PM</w:t>
            </w:r>
            <w:r>
              <w:rPr>
                <w:rFonts w:hint="default" w:ascii="Times New Roman" w:hAnsi="Times New Roman" w:cs="Times New Roman"/>
                <w:color w:val="auto"/>
                <w:highlight w:val="none"/>
                <w:vertAlign w:val="subscript"/>
                <w:lang w:val="zh-CN"/>
              </w:rPr>
              <w:t>2.5</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1870B1A0">
            <w:pPr>
              <w:pStyle w:val="44"/>
              <w:bidi w:val="0"/>
              <w:rPr>
                <w:rFonts w:hint="default" w:ascii="Times New Roman" w:hAnsi="Times New Roman" w:cs="Times New Roman"/>
                <w:color w:val="auto"/>
                <w:highlight w:val="none"/>
                <w:lang w:val="zh-CN"/>
              </w:rPr>
            </w:pPr>
          </w:p>
        </w:tc>
        <w:tc>
          <w:tcPr>
            <w:tcW w:w="1536" w:type="pct"/>
            <w:tcBorders>
              <w:top w:val="single" w:color="auto" w:sz="4" w:space="0"/>
              <w:left w:val="single" w:color="auto" w:sz="4" w:space="0"/>
              <w:bottom w:val="single" w:color="auto" w:sz="4" w:space="0"/>
              <w:right w:val="single" w:color="auto" w:sz="4" w:space="0"/>
            </w:tcBorders>
            <w:vAlign w:val="center"/>
          </w:tcPr>
          <w:p w14:paraId="365B131A">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年平均</w:t>
            </w:r>
          </w:p>
        </w:tc>
        <w:tc>
          <w:tcPr>
            <w:tcW w:w="648" w:type="pct"/>
            <w:tcBorders>
              <w:top w:val="single" w:color="auto" w:sz="4" w:space="0"/>
              <w:left w:val="single" w:color="auto" w:sz="4" w:space="0"/>
              <w:bottom w:val="single" w:color="auto" w:sz="4" w:space="0"/>
              <w:right w:val="nil"/>
            </w:tcBorders>
            <w:vAlign w:val="center"/>
          </w:tcPr>
          <w:p w14:paraId="5EF8AD53">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35</w:t>
            </w:r>
          </w:p>
        </w:tc>
      </w:tr>
      <w:tr w14:paraId="1A7800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nil"/>
              <w:bottom w:val="single" w:color="auto" w:sz="12" w:space="0"/>
              <w:right w:val="single" w:color="auto" w:sz="4" w:space="0"/>
            </w:tcBorders>
            <w:vAlign w:val="center"/>
          </w:tcPr>
          <w:p w14:paraId="7524E2E9">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2321F617">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68EA8421">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07DBD38A">
            <w:pPr>
              <w:pStyle w:val="44"/>
              <w:bidi w:val="0"/>
              <w:rPr>
                <w:rFonts w:hint="default" w:ascii="Times New Roman" w:hAnsi="Times New Roman" w:cs="Times New Roman"/>
                <w:color w:val="auto"/>
                <w:highlight w:val="none"/>
                <w:lang w:val="zh-CN"/>
              </w:rPr>
            </w:pPr>
          </w:p>
        </w:tc>
        <w:tc>
          <w:tcPr>
            <w:tcW w:w="1536" w:type="pct"/>
            <w:tcBorders>
              <w:top w:val="single" w:color="auto" w:sz="4" w:space="0"/>
              <w:left w:val="single" w:color="auto" w:sz="4" w:space="0"/>
              <w:bottom w:val="single" w:color="auto" w:sz="4" w:space="0"/>
              <w:right w:val="single" w:color="auto" w:sz="4" w:space="0"/>
            </w:tcBorders>
            <w:vAlign w:val="center"/>
          </w:tcPr>
          <w:p w14:paraId="174EF7AD">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24小时平均</w:t>
            </w:r>
          </w:p>
        </w:tc>
        <w:tc>
          <w:tcPr>
            <w:tcW w:w="648" w:type="pct"/>
            <w:tcBorders>
              <w:top w:val="single" w:color="auto" w:sz="4" w:space="0"/>
              <w:left w:val="single" w:color="auto" w:sz="4" w:space="0"/>
              <w:bottom w:val="single" w:color="auto" w:sz="4" w:space="0"/>
              <w:right w:val="nil"/>
            </w:tcBorders>
            <w:vAlign w:val="center"/>
          </w:tcPr>
          <w:p w14:paraId="4B807792">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75</w:t>
            </w:r>
          </w:p>
        </w:tc>
      </w:tr>
      <w:tr w14:paraId="647BA5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nil"/>
              <w:bottom w:val="single" w:color="auto" w:sz="12" w:space="0"/>
              <w:right w:val="single" w:color="auto" w:sz="4" w:space="0"/>
            </w:tcBorders>
            <w:vAlign w:val="center"/>
          </w:tcPr>
          <w:p w14:paraId="08A778D3">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1BD2F8AB">
            <w:pPr>
              <w:pStyle w:val="44"/>
              <w:bidi w:val="0"/>
              <w:rPr>
                <w:rFonts w:hint="default" w:ascii="Times New Roman" w:hAnsi="Times New Roman" w:cs="Times New Roman"/>
                <w:color w:val="auto"/>
                <w:highlight w:val="none"/>
                <w:lang w:val="zh-CN"/>
              </w:rPr>
            </w:pPr>
          </w:p>
        </w:tc>
        <w:tc>
          <w:tcPr>
            <w:tcW w:w="755" w:type="pct"/>
            <w:vMerge w:val="restart"/>
            <w:tcBorders>
              <w:top w:val="single" w:color="auto" w:sz="4" w:space="0"/>
              <w:left w:val="single" w:color="auto" w:sz="4" w:space="0"/>
              <w:bottom w:val="single" w:color="auto" w:sz="4" w:space="0"/>
              <w:right w:val="single" w:color="auto" w:sz="4" w:space="0"/>
            </w:tcBorders>
            <w:vAlign w:val="center"/>
          </w:tcPr>
          <w:p w14:paraId="079A6C93">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O</w:t>
            </w:r>
            <w:r>
              <w:rPr>
                <w:rFonts w:hint="default" w:ascii="Times New Roman" w:hAnsi="Times New Roman" w:cs="Times New Roman"/>
                <w:color w:val="auto"/>
                <w:highlight w:val="none"/>
                <w:vertAlign w:val="subscript"/>
                <w:lang w:val="zh-CN"/>
              </w:rPr>
              <w:t>3</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4A43FC93">
            <w:pPr>
              <w:pStyle w:val="44"/>
              <w:bidi w:val="0"/>
              <w:rPr>
                <w:rFonts w:hint="default" w:ascii="Times New Roman" w:hAnsi="Times New Roman" w:cs="Times New Roman"/>
                <w:color w:val="auto"/>
                <w:highlight w:val="none"/>
                <w:lang w:val="zh-CN"/>
              </w:rPr>
            </w:pPr>
          </w:p>
        </w:tc>
        <w:tc>
          <w:tcPr>
            <w:tcW w:w="1536" w:type="pct"/>
            <w:tcBorders>
              <w:top w:val="single" w:color="auto" w:sz="4" w:space="0"/>
              <w:left w:val="single" w:color="auto" w:sz="4" w:space="0"/>
              <w:bottom w:val="single" w:color="auto" w:sz="4" w:space="0"/>
              <w:right w:val="single" w:color="auto" w:sz="4" w:space="0"/>
            </w:tcBorders>
            <w:vAlign w:val="center"/>
          </w:tcPr>
          <w:p w14:paraId="2D3D5D95">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日最大8小时平均</w:t>
            </w:r>
          </w:p>
        </w:tc>
        <w:tc>
          <w:tcPr>
            <w:tcW w:w="648" w:type="pct"/>
            <w:tcBorders>
              <w:top w:val="single" w:color="auto" w:sz="4" w:space="0"/>
              <w:left w:val="single" w:color="auto" w:sz="4" w:space="0"/>
              <w:bottom w:val="single" w:color="auto" w:sz="4" w:space="0"/>
              <w:right w:val="nil"/>
            </w:tcBorders>
            <w:vAlign w:val="center"/>
          </w:tcPr>
          <w:p w14:paraId="263BF03A">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160</w:t>
            </w:r>
          </w:p>
        </w:tc>
      </w:tr>
      <w:tr w14:paraId="763F8B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nil"/>
              <w:bottom w:val="single" w:color="auto" w:sz="12" w:space="0"/>
              <w:right w:val="single" w:color="auto" w:sz="4" w:space="0"/>
            </w:tcBorders>
            <w:vAlign w:val="center"/>
          </w:tcPr>
          <w:p w14:paraId="7685536E">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73DE9C31">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3E1B001B">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2CDFF2D6">
            <w:pPr>
              <w:pStyle w:val="44"/>
              <w:bidi w:val="0"/>
              <w:rPr>
                <w:rFonts w:hint="default" w:ascii="Times New Roman" w:hAnsi="Times New Roman" w:cs="Times New Roman"/>
                <w:color w:val="auto"/>
                <w:highlight w:val="none"/>
                <w:lang w:val="zh-CN"/>
              </w:rPr>
            </w:pPr>
          </w:p>
        </w:tc>
        <w:tc>
          <w:tcPr>
            <w:tcW w:w="1536" w:type="pct"/>
            <w:tcBorders>
              <w:top w:val="single" w:color="auto" w:sz="4" w:space="0"/>
              <w:left w:val="single" w:color="auto" w:sz="4" w:space="0"/>
              <w:bottom w:val="single" w:color="auto" w:sz="4" w:space="0"/>
              <w:right w:val="single" w:color="auto" w:sz="4" w:space="0"/>
            </w:tcBorders>
            <w:vAlign w:val="center"/>
          </w:tcPr>
          <w:p w14:paraId="2673CC38">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1小时平均</w:t>
            </w:r>
          </w:p>
        </w:tc>
        <w:tc>
          <w:tcPr>
            <w:tcW w:w="648" w:type="pct"/>
            <w:tcBorders>
              <w:top w:val="single" w:color="auto" w:sz="4" w:space="0"/>
              <w:left w:val="single" w:color="auto" w:sz="4" w:space="0"/>
              <w:bottom w:val="single" w:color="auto" w:sz="4" w:space="0"/>
              <w:right w:val="nil"/>
            </w:tcBorders>
            <w:vAlign w:val="center"/>
          </w:tcPr>
          <w:p w14:paraId="436E36F7">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200</w:t>
            </w:r>
          </w:p>
        </w:tc>
      </w:tr>
      <w:tr w14:paraId="125959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nil"/>
              <w:bottom w:val="single" w:color="auto" w:sz="12" w:space="0"/>
              <w:right w:val="single" w:color="auto" w:sz="4" w:space="0"/>
            </w:tcBorders>
            <w:vAlign w:val="center"/>
          </w:tcPr>
          <w:p w14:paraId="7ED8A629">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586B774B">
            <w:pPr>
              <w:pStyle w:val="44"/>
              <w:bidi w:val="0"/>
              <w:rPr>
                <w:rFonts w:hint="default" w:ascii="Times New Roman" w:hAnsi="Times New Roman" w:cs="Times New Roman"/>
                <w:color w:val="auto"/>
                <w:highlight w:val="none"/>
                <w:lang w:val="zh-CN"/>
              </w:rPr>
            </w:pPr>
          </w:p>
        </w:tc>
        <w:tc>
          <w:tcPr>
            <w:tcW w:w="755" w:type="pct"/>
            <w:vMerge w:val="restart"/>
            <w:tcBorders>
              <w:top w:val="single" w:color="auto" w:sz="4" w:space="0"/>
              <w:left w:val="single" w:color="auto" w:sz="4" w:space="0"/>
              <w:bottom w:val="single" w:color="auto" w:sz="4" w:space="0"/>
              <w:right w:val="single" w:color="auto" w:sz="4" w:space="0"/>
            </w:tcBorders>
            <w:vAlign w:val="center"/>
          </w:tcPr>
          <w:p w14:paraId="2DCC5097">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TSP</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123C6A41">
            <w:pPr>
              <w:pStyle w:val="44"/>
              <w:bidi w:val="0"/>
              <w:rPr>
                <w:rFonts w:hint="default" w:ascii="Times New Roman" w:hAnsi="Times New Roman" w:cs="Times New Roman"/>
                <w:color w:val="auto"/>
                <w:highlight w:val="none"/>
                <w:lang w:val="zh-CN"/>
              </w:rPr>
            </w:pPr>
          </w:p>
        </w:tc>
        <w:tc>
          <w:tcPr>
            <w:tcW w:w="1536" w:type="pct"/>
            <w:tcBorders>
              <w:top w:val="single" w:color="auto" w:sz="4" w:space="0"/>
              <w:left w:val="single" w:color="auto" w:sz="4" w:space="0"/>
              <w:bottom w:val="single" w:color="auto" w:sz="4" w:space="0"/>
              <w:right w:val="single" w:color="auto" w:sz="4" w:space="0"/>
            </w:tcBorders>
            <w:vAlign w:val="center"/>
          </w:tcPr>
          <w:p w14:paraId="32C4F856">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年平均</w:t>
            </w:r>
          </w:p>
        </w:tc>
        <w:tc>
          <w:tcPr>
            <w:tcW w:w="648" w:type="pct"/>
            <w:tcBorders>
              <w:top w:val="single" w:color="auto" w:sz="4" w:space="0"/>
              <w:left w:val="single" w:color="auto" w:sz="4" w:space="0"/>
              <w:bottom w:val="single" w:color="auto" w:sz="4" w:space="0"/>
              <w:right w:val="nil"/>
            </w:tcBorders>
            <w:vAlign w:val="center"/>
          </w:tcPr>
          <w:p w14:paraId="4977C1F9">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200</w:t>
            </w:r>
          </w:p>
        </w:tc>
      </w:tr>
      <w:tr w14:paraId="18FB57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nil"/>
              <w:bottom w:val="single" w:color="auto" w:sz="12" w:space="0"/>
              <w:right w:val="single" w:color="auto" w:sz="4" w:space="0"/>
            </w:tcBorders>
            <w:vAlign w:val="center"/>
          </w:tcPr>
          <w:p w14:paraId="08C2E13F">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3747E94E">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5CCE30BF">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6D31004D">
            <w:pPr>
              <w:pStyle w:val="44"/>
              <w:bidi w:val="0"/>
              <w:rPr>
                <w:rFonts w:hint="default" w:ascii="Times New Roman" w:hAnsi="Times New Roman" w:cs="Times New Roman"/>
                <w:color w:val="auto"/>
                <w:highlight w:val="none"/>
                <w:lang w:val="zh-CN"/>
              </w:rPr>
            </w:pPr>
          </w:p>
        </w:tc>
        <w:tc>
          <w:tcPr>
            <w:tcW w:w="1536" w:type="pct"/>
            <w:tcBorders>
              <w:top w:val="single" w:color="auto" w:sz="4" w:space="0"/>
              <w:left w:val="single" w:color="auto" w:sz="4" w:space="0"/>
              <w:bottom w:val="single" w:color="auto" w:sz="4" w:space="0"/>
              <w:right w:val="single" w:color="auto" w:sz="4" w:space="0"/>
            </w:tcBorders>
            <w:vAlign w:val="center"/>
          </w:tcPr>
          <w:p w14:paraId="0BE57FEA">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24小时平均</w:t>
            </w:r>
          </w:p>
        </w:tc>
        <w:tc>
          <w:tcPr>
            <w:tcW w:w="648" w:type="pct"/>
            <w:tcBorders>
              <w:top w:val="single" w:color="auto" w:sz="4" w:space="0"/>
              <w:left w:val="single" w:color="auto" w:sz="4" w:space="0"/>
              <w:bottom w:val="single" w:color="auto" w:sz="4" w:space="0"/>
              <w:right w:val="nil"/>
            </w:tcBorders>
            <w:vAlign w:val="center"/>
          </w:tcPr>
          <w:p w14:paraId="7E68E3E2">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300</w:t>
            </w:r>
          </w:p>
        </w:tc>
      </w:tr>
      <w:tr w14:paraId="3DFDE5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nil"/>
              <w:bottom w:val="single" w:color="auto" w:sz="12" w:space="0"/>
              <w:right w:val="single" w:color="auto" w:sz="4" w:space="0"/>
            </w:tcBorders>
            <w:vAlign w:val="center"/>
          </w:tcPr>
          <w:p w14:paraId="7D68FEA1">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3FFD5708">
            <w:pPr>
              <w:pStyle w:val="44"/>
              <w:bidi w:val="0"/>
              <w:rPr>
                <w:rFonts w:hint="default" w:ascii="Times New Roman" w:hAnsi="Times New Roman" w:cs="Times New Roman"/>
                <w:color w:val="auto"/>
                <w:highlight w:val="none"/>
                <w:lang w:val="zh-CN"/>
              </w:rPr>
            </w:pPr>
          </w:p>
        </w:tc>
        <w:tc>
          <w:tcPr>
            <w:tcW w:w="755" w:type="pct"/>
            <w:vMerge w:val="restart"/>
            <w:tcBorders>
              <w:top w:val="single" w:color="auto" w:sz="4" w:space="0"/>
              <w:left w:val="single" w:color="auto" w:sz="4" w:space="0"/>
              <w:bottom w:val="single" w:color="auto" w:sz="12" w:space="0"/>
              <w:right w:val="single" w:color="auto" w:sz="4" w:space="0"/>
            </w:tcBorders>
            <w:vAlign w:val="center"/>
          </w:tcPr>
          <w:p w14:paraId="7500A126">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CO</w:t>
            </w:r>
          </w:p>
        </w:tc>
        <w:tc>
          <w:tcPr>
            <w:tcW w:w="634" w:type="pct"/>
            <w:vMerge w:val="restart"/>
            <w:tcBorders>
              <w:top w:val="single" w:color="auto" w:sz="4" w:space="0"/>
              <w:left w:val="single" w:color="auto" w:sz="4" w:space="0"/>
              <w:bottom w:val="single" w:color="auto" w:sz="12" w:space="0"/>
              <w:right w:val="single" w:color="auto" w:sz="4" w:space="0"/>
            </w:tcBorders>
            <w:vAlign w:val="center"/>
          </w:tcPr>
          <w:p w14:paraId="34332771">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mg/m</w:t>
            </w:r>
            <w:r>
              <w:rPr>
                <w:rFonts w:hint="default" w:ascii="Times New Roman" w:hAnsi="Times New Roman" w:cs="Times New Roman"/>
                <w:color w:val="auto"/>
                <w:highlight w:val="none"/>
                <w:vertAlign w:val="superscript"/>
                <w:lang w:val="zh-CN"/>
              </w:rPr>
              <w:t>3</w:t>
            </w:r>
          </w:p>
        </w:tc>
        <w:tc>
          <w:tcPr>
            <w:tcW w:w="1536" w:type="pct"/>
            <w:tcBorders>
              <w:top w:val="single" w:color="auto" w:sz="4" w:space="0"/>
              <w:left w:val="single" w:color="auto" w:sz="4" w:space="0"/>
              <w:bottom w:val="single" w:color="auto" w:sz="4" w:space="0"/>
              <w:right w:val="single" w:color="auto" w:sz="4" w:space="0"/>
            </w:tcBorders>
            <w:vAlign w:val="center"/>
          </w:tcPr>
          <w:p w14:paraId="297CDE9D">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24小时平均</w:t>
            </w:r>
          </w:p>
        </w:tc>
        <w:tc>
          <w:tcPr>
            <w:tcW w:w="648" w:type="pct"/>
            <w:tcBorders>
              <w:top w:val="single" w:color="auto" w:sz="4" w:space="0"/>
              <w:left w:val="single" w:color="auto" w:sz="4" w:space="0"/>
              <w:bottom w:val="single" w:color="auto" w:sz="4" w:space="0"/>
              <w:right w:val="nil"/>
            </w:tcBorders>
            <w:vAlign w:val="center"/>
          </w:tcPr>
          <w:p w14:paraId="3674E83B">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4</w:t>
            </w:r>
          </w:p>
        </w:tc>
      </w:tr>
      <w:tr w14:paraId="02E5F3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nil"/>
              <w:bottom w:val="single" w:color="auto" w:sz="12" w:space="0"/>
              <w:right w:val="single" w:color="auto" w:sz="4" w:space="0"/>
            </w:tcBorders>
            <w:vAlign w:val="center"/>
          </w:tcPr>
          <w:p w14:paraId="506B2578">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39893B0B">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60AAF5A7">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199EEDA6">
            <w:pPr>
              <w:pStyle w:val="44"/>
              <w:bidi w:val="0"/>
              <w:rPr>
                <w:rFonts w:hint="default" w:ascii="Times New Roman" w:hAnsi="Times New Roman" w:cs="Times New Roman"/>
                <w:color w:val="auto"/>
                <w:highlight w:val="none"/>
                <w:lang w:val="zh-CN"/>
              </w:rPr>
            </w:pPr>
          </w:p>
        </w:tc>
        <w:tc>
          <w:tcPr>
            <w:tcW w:w="1536" w:type="pct"/>
            <w:tcBorders>
              <w:top w:val="single" w:color="auto" w:sz="4" w:space="0"/>
              <w:left w:val="single" w:color="auto" w:sz="4" w:space="0"/>
              <w:bottom w:val="single" w:color="auto" w:sz="12" w:space="0"/>
              <w:right w:val="single" w:color="auto" w:sz="4" w:space="0"/>
            </w:tcBorders>
            <w:vAlign w:val="center"/>
          </w:tcPr>
          <w:p w14:paraId="010FB4F4">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1小时平均</w:t>
            </w:r>
          </w:p>
        </w:tc>
        <w:tc>
          <w:tcPr>
            <w:tcW w:w="648" w:type="pct"/>
            <w:tcBorders>
              <w:top w:val="single" w:color="auto" w:sz="4" w:space="0"/>
              <w:left w:val="single" w:color="auto" w:sz="4" w:space="0"/>
              <w:bottom w:val="single" w:color="auto" w:sz="12" w:space="0"/>
              <w:right w:val="nil"/>
            </w:tcBorders>
            <w:vAlign w:val="center"/>
          </w:tcPr>
          <w:p w14:paraId="529D983B">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10</w:t>
            </w:r>
          </w:p>
        </w:tc>
      </w:tr>
    </w:tbl>
    <w:p w14:paraId="4ACE0D12">
      <w:pPr>
        <w:spacing w:line="500" w:lineRule="exact"/>
        <w:ind w:firstLine="480" w:firstLineChars="200"/>
        <w:rPr>
          <w:rFonts w:hint="default" w:ascii="Times New Roman" w:hAnsi="Times New Roman" w:cs="Times New Roman"/>
          <w:snapToGrid w:val="0"/>
          <w:color w:val="auto"/>
          <w:kern w:val="0"/>
          <w:sz w:val="24"/>
          <w:szCs w:val="22"/>
          <w:highlight w:val="none"/>
        </w:rPr>
      </w:pPr>
      <w:r>
        <w:rPr>
          <w:rFonts w:hint="default" w:ascii="Times New Roman" w:hAnsi="Times New Roman" w:cs="Times New Roman"/>
          <w:snapToGrid w:val="0"/>
          <w:color w:val="auto"/>
          <w:kern w:val="0"/>
          <w:sz w:val="24"/>
          <w:szCs w:val="22"/>
          <w:highlight w:val="none"/>
          <w:lang w:val="en-US" w:eastAsia="zh-CN"/>
        </w:rPr>
        <w:t>2、</w:t>
      </w:r>
      <w:r>
        <w:rPr>
          <w:rFonts w:hint="default" w:ascii="Times New Roman" w:hAnsi="Times New Roman" w:cs="Times New Roman"/>
          <w:snapToGrid w:val="0"/>
          <w:color w:val="auto"/>
          <w:kern w:val="0"/>
          <w:sz w:val="24"/>
          <w:szCs w:val="22"/>
          <w:highlight w:val="none"/>
        </w:rPr>
        <w:t>地下水</w:t>
      </w:r>
    </w:p>
    <w:p w14:paraId="5DD8556A">
      <w:pPr>
        <w:spacing w:line="500" w:lineRule="exact"/>
        <w:ind w:firstLine="480" w:firstLineChars="200"/>
        <w:rPr>
          <w:rFonts w:hint="default" w:ascii="Times New Roman" w:hAnsi="Times New Roman" w:cs="Times New Roman"/>
          <w:snapToGrid w:val="0"/>
          <w:color w:val="auto"/>
          <w:kern w:val="0"/>
          <w:sz w:val="24"/>
          <w:szCs w:val="22"/>
          <w:highlight w:val="none"/>
        </w:rPr>
      </w:pPr>
      <w:r>
        <w:rPr>
          <w:rFonts w:hint="default" w:ascii="Times New Roman" w:hAnsi="Times New Roman" w:cs="Times New Roman"/>
          <w:snapToGrid w:val="0"/>
          <w:color w:val="auto"/>
          <w:kern w:val="0"/>
          <w:sz w:val="24"/>
          <w:szCs w:val="22"/>
          <w:highlight w:val="none"/>
        </w:rPr>
        <w:t>项目所在区域地下水为</w:t>
      </w:r>
      <w:r>
        <w:rPr>
          <w:rFonts w:hint="default" w:ascii="Times New Roman" w:hAnsi="Times New Roman" w:cs="Times New Roman"/>
          <w:snapToGrid w:val="0"/>
          <w:color w:val="auto"/>
          <w:kern w:val="0"/>
          <w:sz w:val="24"/>
          <w:szCs w:val="22"/>
          <w:highlight w:val="none"/>
        </w:rPr>
        <w:fldChar w:fldCharType="begin"/>
      </w:r>
      <w:r>
        <w:rPr>
          <w:rFonts w:hint="default" w:ascii="Times New Roman" w:hAnsi="Times New Roman" w:cs="Times New Roman"/>
          <w:snapToGrid w:val="0"/>
          <w:color w:val="auto"/>
          <w:kern w:val="0"/>
          <w:sz w:val="24"/>
          <w:szCs w:val="22"/>
          <w:highlight w:val="none"/>
        </w:rPr>
        <w:instrText xml:space="preserve"> = 3 \* ROMAN </w:instrText>
      </w:r>
      <w:r>
        <w:rPr>
          <w:rFonts w:hint="default" w:ascii="Times New Roman" w:hAnsi="Times New Roman" w:cs="Times New Roman"/>
          <w:snapToGrid w:val="0"/>
          <w:color w:val="auto"/>
          <w:kern w:val="0"/>
          <w:sz w:val="24"/>
          <w:szCs w:val="22"/>
          <w:highlight w:val="none"/>
        </w:rPr>
        <w:fldChar w:fldCharType="separate"/>
      </w:r>
      <w:r>
        <w:rPr>
          <w:rFonts w:hint="default" w:ascii="Times New Roman" w:hAnsi="Times New Roman" w:cs="Times New Roman"/>
          <w:snapToGrid w:val="0"/>
          <w:color w:val="auto"/>
          <w:kern w:val="0"/>
          <w:sz w:val="24"/>
          <w:szCs w:val="22"/>
          <w:highlight w:val="none"/>
        </w:rPr>
        <w:t>III</w:t>
      </w:r>
      <w:r>
        <w:rPr>
          <w:rFonts w:hint="default" w:ascii="Times New Roman" w:hAnsi="Times New Roman" w:cs="Times New Roman"/>
          <w:snapToGrid w:val="0"/>
          <w:color w:val="auto"/>
          <w:kern w:val="0"/>
          <w:sz w:val="24"/>
          <w:szCs w:val="22"/>
          <w:highlight w:val="none"/>
        </w:rPr>
        <w:fldChar w:fldCharType="end"/>
      </w:r>
      <w:r>
        <w:rPr>
          <w:rFonts w:hint="default" w:ascii="Times New Roman" w:hAnsi="Times New Roman" w:cs="Times New Roman"/>
          <w:snapToGrid w:val="0"/>
          <w:color w:val="auto"/>
          <w:kern w:val="0"/>
          <w:sz w:val="24"/>
          <w:szCs w:val="22"/>
          <w:highlight w:val="none"/>
        </w:rPr>
        <w:t>类，执行《地下水质量标准》（GB/T14848-2017）中</w:t>
      </w:r>
      <w:r>
        <w:rPr>
          <w:rFonts w:hint="default" w:ascii="Times New Roman" w:hAnsi="Times New Roman" w:cs="Times New Roman"/>
          <w:snapToGrid w:val="0"/>
          <w:color w:val="auto"/>
          <w:kern w:val="0"/>
          <w:sz w:val="24"/>
          <w:szCs w:val="22"/>
          <w:highlight w:val="none"/>
        </w:rPr>
        <w:fldChar w:fldCharType="begin"/>
      </w:r>
      <w:r>
        <w:rPr>
          <w:rFonts w:hint="default" w:ascii="Times New Roman" w:hAnsi="Times New Roman" w:cs="Times New Roman"/>
          <w:snapToGrid w:val="0"/>
          <w:color w:val="auto"/>
          <w:kern w:val="0"/>
          <w:sz w:val="24"/>
          <w:szCs w:val="22"/>
          <w:highlight w:val="none"/>
        </w:rPr>
        <w:instrText xml:space="preserve"> = 3 \* ROMAN </w:instrText>
      </w:r>
      <w:r>
        <w:rPr>
          <w:rFonts w:hint="default" w:ascii="Times New Roman" w:hAnsi="Times New Roman" w:cs="Times New Roman"/>
          <w:snapToGrid w:val="0"/>
          <w:color w:val="auto"/>
          <w:kern w:val="0"/>
          <w:sz w:val="24"/>
          <w:szCs w:val="22"/>
          <w:highlight w:val="none"/>
        </w:rPr>
        <w:fldChar w:fldCharType="separate"/>
      </w:r>
      <w:r>
        <w:rPr>
          <w:rFonts w:hint="default" w:ascii="Times New Roman" w:hAnsi="Times New Roman" w:cs="Times New Roman"/>
          <w:snapToGrid w:val="0"/>
          <w:color w:val="auto"/>
          <w:kern w:val="0"/>
          <w:sz w:val="24"/>
          <w:szCs w:val="22"/>
          <w:highlight w:val="none"/>
        </w:rPr>
        <w:t>III</w:t>
      </w:r>
      <w:r>
        <w:rPr>
          <w:rFonts w:hint="default" w:ascii="Times New Roman" w:hAnsi="Times New Roman" w:cs="Times New Roman"/>
          <w:snapToGrid w:val="0"/>
          <w:color w:val="auto"/>
          <w:kern w:val="0"/>
          <w:sz w:val="24"/>
          <w:szCs w:val="22"/>
          <w:highlight w:val="none"/>
        </w:rPr>
        <w:fldChar w:fldCharType="end"/>
      </w:r>
      <w:r>
        <w:rPr>
          <w:rFonts w:hint="default" w:ascii="Times New Roman" w:hAnsi="Times New Roman" w:cs="Times New Roman"/>
          <w:snapToGrid w:val="0"/>
          <w:color w:val="auto"/>
          <w:kern w:val="0"/>
          <w:sz w:val="24"/>
          <w:szCs w:val="22"/>
          <w:highlight w:val="none"/>
        </w:rPr>
        <w:t>类标准。</w:t>
      </w:r>
    </w:p>
    <w:p w14:paraId="04F61D91">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表2-5-2地下水质量标准</w:t>
      </w:r>
    </w:p>
    <w:tbl>
      <w:tblPr>
        <w:tblStyle w:val="2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05"/>
        <w:gridCol w:w="1632"/>
        <w:gridCol w:w="2651"/>
        <w:gridCol w:w="1858"/>
        <w:gridCol w:w="1276"/>
      </w:tblGrid>
      <w:tr w14:paraId="0ACFB4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648" w:type="pct"/>
            <w:vMerge w:val="restart"/>
            <w:tcBorders>
              <w:tl2br w:val="nil"/>
              <w:tr2bl w:val="nil"/>
            </w:tcBorders>
            <w:vAlign w:val="center"/>
          </w:tcPr>
          <w:p w14:paraId="2E306E1E">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环境</w:t>
            </w:r>
          </w:p>
          <w:p w14:paraId="1D886516">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要素</w:t>
            </w:r>
          </w:p>
        </w:tc>
        <w:tc>
          <w:tcPr>
            <w:tcW w:w="957" w:type="pct"/>
            <w:vMerge w:val="restart"/>
            <w:tcBorders>
              <w:tl2br w:val="nil"/>
              <w:tr2bl w:val="nil"/>
            </w:tcBorders>
            <w:vAlign w:val="center"/>
          </w:tcPr>
          <w:p w14:paraId="76B8A54F">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标准名称及级别</w:t>
            </w:r>
          </w:p>
        </w:tc>
        <w:tc>
          <w:tcPr>
            <w:tcW w:w="1555" w:type="pct"/>
            <w:vMerge w:val="restart"/>
            <w:tcBorders>
              <w:tl2br w:val="nil"/>
              <w:tr2bl w:val="nil"/>
            </w:tcBorders>
            <w:vAlign w:val="center"/>
          </w:tcPr>
          <w:p w14:paraId="4EB2A15C">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项目</w:t>
            </w:r>
          </w:p>
        </w:tc>
        <w:tc>
          <w:tcPr>
            <w:tcW w:w="1838" w:type="pct"/>
            <w:gridSpan w:val="2"/>
            <w:tcBorders>
              <w:tl2br w:val="nil"/>
              <w:tr2bl w:val="nil"/>
            </w:tcBorders>
            <w:vAlign w:val="center"/>
          </w:tcPr>
          <w:p w14:paraId="11602719">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标准值</w:t>
            </w:r>
          </w:p>
        </w:tc>
      </w:tr>
      <w:tr w14:paraId="4DA8BD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14:paraId="78B67F84">
            <w:pPr>
              <w:pStyle w:val="44"/>
              <w:bidi w:val="0"/>
              <w:rPr>
                <w:rFonts w:hint="default" w:ascii="Times New Roman" w:hAnsi="Times New Roman" w:cs="Times New Roman"/>
                <w:color w:val="auto"/>
                <w:highlight w:val="none"/>
                <w:lang w:val="zh-CN"/>
              </w:rPr>
            </w:pPr>
          </w:p>
        </w:tc>
        <w:tc>
          <w:tcPr>
            <w:tcW w:w="957" w:type="pct"/>
            <w:vMerge w:val="continue"/>
            <w:tcBorders>
              <w:tl2br w:val="nil"/>
              <w:tr2bl w:val="nil"/>
            </w:tcBorders>
            <w:vAlign w:val="center"/>
          </w:tcPr>
          <w:p w14:paraId="1F73F5C3">
            <w:pPr>
              <w:pStyle w:val="44"/>
              <w:bidi w:val="0"/>
              <w:rPr>
                <w:rFonts w:hint="default" w:ascii="Times New Roman" w:hAnsi="Times New Roman" w:cs="Times New Roman"/>
                <w:color w:val="auto"/>
                <w:highlight w:val="none"/>
                <w:lang w:val="zh-CN"/>
              </w:rPr>
            </w:pPr>
          </w:p>
        </w:tc>
        <w:tc>
          <w:tcPr>
            <w:tcW w:w="1555" w:type="pct"/>
            <w:vMerge w:val="continue"/>
            <w:tcBorders>
              <w:tl2br w:val="nil"/>
              <w:tr2bl w:val="nil"/>
            </w:tcBorders>
            <w:vAlign w:val="center"/>
          </w:tcPr>
          <w:p w14:paraId="38D490CE">
            <w:pPr>
              <w:pStyle w:val="44"/>
              <w:bidi w:val="0"/>
              <w:rPr>
                <w:rFonts w:hint="default" w:ascii="Times New Roman" w:hAnsi="Times New Roman" w:cs="Times New Roman"/>
                <w:color w:val="auto"/>
                <w:highlight w:val="none"/>
                <w:lang w:val="zh-CN"/>
              </w:rPr>
            </w:pPr>
          </w:p>
        </w:tc>
        <w:tc>
          <w:tcPr>
            <w:tcW w:w="1090" w:type="pct"/>
            <w:tcBorders>
              <w:tl2br w:val="nil"/>
              <w:tr2bl w:val="nil"/>
            </w:tcBorders>
            <w:vAlign w:val="center"/>
          </w:tcPr>
          <w:p w14:paraId="57E73B63">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单位</w:t>
            </w:r>
          </w:p>
        </w:tc>
        <w:tc>
          <w:tcPr>
            <w:tcW w:w="748" w:type="pct"/>
            <w:tcBorders>
              <w:tl2br w:val="nil"/>
              <w:tr2bl w:val="nil"/>
            </w:tcBorders>
            <w:vAlign w:val="center"/>
          </w:tcPr>
          <w:p w14:paraId="6BD50685">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数值</w:t>
            </w:r>
          </w:p>
        </w:tc>
      </w:tr>
      <w:tr w14:paraId="0E8B61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restart"/>
            <w:tcBorders>
              <w:tl2br w:val="nil"/>
              <w:tr2bl w:val="nil"/>
            </w:tcBorders>
            <w:vAlign w:val="center"/>
          </w:tcPr>
          <w:p w14:paraId="745D8651">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地</w:t>
            </w:r>
          </w:p>
          <w:p w14:paraId="2823DC5B">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下</w:t>
            </w:r>
          </w:p>
          <w:p w14:paraId="354524B8">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水</w:t>
            </w:r>
          </w:p>
          <w:p w14:paraId="5A9A3414">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环</w:t>
            </w:r>
          </w:p>
          <w:p w14:paraId="67BFDC42">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境</w:t>
            </w:r>
          </w:p>
        </w:tc>
        <w:tc>
          <w:tcPr>
            <w:tcW w:w="957" w:type="pct"/>
            <w:vMerge w:val="restart"/>
            <w:tcBorders>
              <w:tl2br w:val="nil"/>
              <w:tr2bl w:val="nil"/>
            </w:tcBorders>
            <w:vAlign w:val="center"/>
          </w:tcPr>
          <w:p w14:paraId="3942607D">
            <w:pPr>
              <w:pStyle w:val="44"/>
              <w:bidi w:val="0"/>
              <w:rPr>
                <w:rFonts w:hint="default" w:ascii="Times New Roman" w:hAnsi="Times New Roman" w:cs="Times New Roman"/>
                <w:color w:val="auto"/>
                <w:highlight w:val="none"/>
                <w:lang w:val="zh-CN"/>
              </w:rPr>
            </w:pPr>
            <w:bookmarkStart w:id="100" w:name="_Hlk73542284"/>
            <w:r>
              <w:rPr>
                <w:rFonts w:hint="default" w:ascii="Times New Roman" w:hAnsi="Times New Roman" w:cs="Times New Roman"/>
                <w:color w:val="auto"/>
                <w:highlight w:val="none"/>
                <w:lang w:val="zh-CN"/>
              </w:rPr>
              <w:t>《地下水质量标准》（GB/T14848-2017）中</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lang w:val="zh-CN"/>
              </w:rPr>
              <w:instrText xml:space="preserve"> = 3 \* ROMAN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lang w:val="zh-CN"/>
              </w:rPr>
              <w:t>III</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lang w:val="zh-CN"/>
              </w:rPr>
              <w:t>类标准</w:t>
            </w:r>
            <w:bookmarkEnd w:id="100"/>
          </w:p>
        </w:tc>
        <w:tc>
          <w:tcPr>
            <w:tcW w:w="1555" w:type="pct"/>
            <w:tcBorders>
              <w:tl2br w:val="nil"/>
              <w:tr2bl w:val="nil"/>
            </w:tcBorders>
            <w:vAlign w:val="center"/>
          </w:tcPr>
          <w:p w14:paraId="709C1967">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pH值</w:t>
            </w:r>
          </w:p>
        </w:tc>
        <w:tc>
          <w:tcPr>
            <w:tcW w:w="1090" w:type="pct"/>
            <w:tcBorders>
              <w:tl2br w:val="nil"/>
              <w:tr2bl w:val="nil"/>
            </w:tcBorders>
            <w:vAlign w:val="center"/>
          </w:tcPr>
          <w:p w14:paraId="66734F91">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无量纲</w:t>
            </w:r>
          </w:p>
        </w:tc>
        <w:tc>
          <w:tcPr>
            <w:tcW w:w="748" w:type="pct"/>
            <w:tcBorders>
              <w:tl2br w:val="nil"/>
              <w:tr2bl w:val="nil"/>
            </w:tcBorders>
            <w:vAlign w:val="center"/>
          </w:tcPr>
          <w:p w14:paraId="423B2D57">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6.5～8.5</w:t>
            </w:r>
          </w:p>
        </w:tc>
      </w:tr>
      <w:tr w14:paraId="7AB77C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14:paraId="253BC70D">
            <w:pPr>
              <w:pStyle w:val="44"/>
              <w:bidi w:val="0"/>
              <w:rPr>
                <w:rFonts w:hint="default" w:ascii="Times New Roman" w:hAnsi="Times New Roman" w:cs="Times New Roman"/>
                <w:color w:val="auto"/>
                <w:highlight w:val="none"/>
                <w:lang w:val="zh-CN"/>
              </w:rPr>
            </w:pPr>
          </w:p>
        </w:tc>
        <w:tc>
          <w:tcPr>
            <w:tcW w:w="957" w:type="pct"/>
            <w:vMerge w:val="continue"/>
            <w:tcBorders>
              <w:tl2br w:val="nil"/>
              <w:tr2bl w:val="nil"/>
            </w:tcBorders>
            <w:vAlign w:val="center"/>
          </w:tcPr>
          <w:p w14:paraId="2C82D6D9">
            <w:pPr>
              <w:pStyle w:val="44"/>
              <w:bidi w:val="0"/>
              <w:rPr>
                <w:rFonts w:hint="default" w:ascii="Times New Roman" w:hAnsi="Times New Roman" w:cs="Times New Roman"/>
                <w:color w:val="auto"/>
                <w:highlight w:val="none"/>
                <w:lang w:val="zh-CN"/>
              </w:rPr>
            </w:pPr>
          </w:p>
        </w:tc>
        <w:tc>
          <w:tcPr>
            <w:tcW w:w="1555" w:type="pct"/>
            <w:tcBorders>
              <w:tl2br w:val="nil"/>
              <w:tr2bl w:val="nil"/>
            </w:tcBorders>
            <w:vAlign w:val="center"/>
          </w:tcPr>
          <w:p w14:paraId="307D74B0">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总硬度</w:t>
            </w:r>
          </w:p>
        </w:tc>
        <w:tc>
          <w:tcPr>
            <w:tcW w:w="1090" w:type="pct"/>
            <w:vMerge w:val="restart"/>
            <w:tcBorders>
              <w:tl2br w:val="nil"/>
              <w:tr2bl w:val="nil"/>
            </w:tcBorders>
            <w:vAlign w:val="center"/>
          </w:tcPr>
          <w:p w14:paraId="4069A419">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mg/L</w:t>
            </w:r>
          </w:p>
        </w:tc>
        <w:tc>
          <w:tcPr>
            <w:tcW w:w="748" w:type="pct"/>
            <w:tcBorders>
              <w:tl2br w:val="nil"/>
              <w:tr2bl w:val="nil"/>
            </w:tcBorders>
            <w:vAlign w:val="center"/>
          </w:tcPr>
          <w:p w14:paraId="482EF506">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≤450</w:t>
            </w:r>
          </w:p>
        </w:tc>
      </w:tr>
      <w:tr w14:paraId="40BC0A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14:paraId="6E806D1B">
            <w:pPr>
              <w:pStyle w:val="44"/>
              <w:bidi w:val="0"/>
              <w:rPr>
                <w:rFonts w:hint="default" w:ascii="Times New Roman" w:hAnsi="Times New Roman" w:cs="Times New Roman"/>
                <w:color w:val="auto"/>
                <w:highlight w:val="none"/>
                <w:lang w:val="zh-CN"/>
              </w:rPr>
            </w:pPr>
          </w:p>
        </w:tc>
        <w:tc>
          <w:tcPr>
            <w:tcW w:w="957" w:type="pct"/>
            <w:vMerge w:val="continue"/>
            <w:tcBorders>
              <w:tl2br w:val="nil"/>
              <w:tr2bl w:val="nil"/>
            </w:tcBorders>
            <w:vAlign w:val="center"/>
          </w:tcPr>
          <w:p w14:paraId="7694BD15">
            <w:pPr>
              <w:pStyle w:val="44"/>
              <w:bidi w:val="0"/>
              <w:rPr>
                <w:rFonts w:hint="default" w:ascii="Times New Roman" w:hAnsi="Times New Roman" w:cs="Times New Roman"/>
                <w:color w:val="auto"/>
                <w:highlight w:val="none"/>
                <w:lang w:val="zh-CN"/>
              </w:rPr>
            </w:pPr>
          </w:p>
        </w:tc>
        <w:tc>
          <w:tcPr>
            <w:tcW w:w="1555" w:type="pct"/>
            <w:tcBorders>
              <w:tl2br w:val="nil"/>
              <w:tr2bl w:val="nil"/>
            </w:tcBorders>
            <w:vAlign w:val="center"/>
          </w:tcPr>
          <w:p w14:paraId="1BF7AB22">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铁</w:t>
            </w:r>
          </w:p>
        </w:tc>
        <w:tc>
          <w:tcPr>
            <w:tcW w:w="1090" w:type="pct"/>
            <w:vMerge w:val="continue"/>
            <w:tcBorders>
              <w:tl2br w:val="nil"/>
              <w:tr2bl w:val="nil"/>
            </w:tcBorders>
            <w:vAlign w:val="center"/>
          </w:tcPr>
          <w:p w14:paraId="7B5017FE">
            <w:pPr>
              <w:pStyle w:val="44"/>
              <w:bidi w:val="0"/>
              <w:rPr>
                <w:rFonts w:hint="default" w:ascii="Times New Roman" w:hAnsi="Times New Roman" w:cs="Times New Roman"/>
                <w:color w:val="auto"/>
                <w:highlight w:val="none"/>
                <w:lang w:val="zh-CN"/>
              </w:rPr>
            </w:pPr>
          </w:p>
        </w:tc>
        <w:tc>
          <w:tcPr>
            <w:tcW w:w="748" w:type="pct"/>
            <w:tcBorders>
              <w:tl2br w:val="nil"/>
              <w:tr2bl w:val="nil"/>
            </w:tcBorders>
            <w:vAlign w:val="center"/>
          </w:tcPr>
          <w:p w14:paraId="1E55642E">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≤0.3</w:t>
            </w:r>
          </w:p>
        </w:tc>
      </w:tr>
      <w:tr w14:paraId="4AD86C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14:paraId="200C7465">
            <w:pPr>
              <w:pStyle w:val="44"/>
              <w:bidi w:val="0"/>
              <w:rPr>
                <w:rFonts w:hint="default" w:ascii="Times New Roman" w:hAnsi="Times New Roman" w:cs="Times New Roman"/>
                <w:color w:val="auto"/>
                <w:highlight w:val="none"/>
                <w:lang w:val="zh-CN"/>
              </w:rPr>
            </w:pPr>
          </w:p>
        </w:tc>
        <w:tc>
          <w:tcPr>
            <w:tcW w:w="957" w:type="pct"/>
            <w:vMerge w:val="continue"/>
            <w:tcBorders>
              <w:tl2br w:val="nil"/>
              <w:tr2bl w:val="nil"/>
            </w:tcBorders>
            <w:vAlign w:val="center"/>
          </w:tcPr>
          <w:p w14:paraId="718E615E">
            <w:pPr>
              <w:pStyle w:val="44"/>
              <w:bidi w:val="0"/>
              <w:rPr>
                <w:rFonts w:hint="default" w:ascii="Times New Roman" w:hAnsi="Times New Roman" w:cs="Times New Roman"/>
                <w:color w:val="auto"/>
                <w:highlight w:val="none"/>
                <w:lang w:val="zh-CN"/>
              </w:rPr>
            </w:pPr>
          </w:p>
        </w:tc>
        <w:tc>
          <w:tcPr>
            <w:tcW w:w="1555" w:type="pct"/>
            <w:tcBorders>
              <w:tl2br w:val="nil"/>
              <w:tr2bl w:val="nil"/>
            </w:tcBorders>
            <w:vAlign w:val="center"/>
          </w:tcPr>
          <w:p w14:paraId="44F3FE99">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锰</w:t>
            </w:r>
          </w:p>
        </w:tc>
        <w:tc>
          <w:tcPr>
            <w:tcW w:w="1090" w:type="pct"/>
            <w:vMerge w:val="continue"/>
            <w:tcBorders>
              <w:tl2br w:val="nil"/>
              <w:tr2bl w:val="nil"/>
            </w:tcBorders>
            <w:vAlign w:val="center"/>
          </w:tcPr>
          <w:p w14:paraId="583C489C">
            <w:pPr>
              <w:pStyle w:val="44"/>
              <w:bidi w:val="0"/>
              <w:rPr>
                <w:rFonts w:hint="default" w:ascii="Times New Roman" w:hAnsi="Times New Roman" w:cs="Times New Roman"/>
                <w:color w:val="auto"/>
                <w:highlight w:val="none"/>
                <w:lang w:val="zh-CN"/>
              </w:rPr>
            </w:pPr>
          </w:p>
        </w:tc>
        <w:tc>
          <w:tcPr>
            <w:tcW w:w="748" w:type="pct"/>
            <w:tcBorders>
              <w:tl2br w:val="nil"/>
              <w:tr2bl w:val="nil"/>
            </w:tcBorders>
            <w:vAlign w:val="center"/>
          </w:tcPr>
          <w:p w14:paraId="49849F58">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≤0.1</w:t>
            </w:r>
          </w:p>
        </w:tc>
      </w:tr>
      <w:tr w14:paraId="4F6F67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14:paraId="60286DBF">
            <w:pPr>
              <w:pStyle w:val="44"/>
              <w:bidi w:val="0"/>
              <w:rPr>
                <w:rFonts w:hint="default" w:ascii="Times New Roman" w:hAnsi="Times New Roman" w:cs="Times New Roman"/>
                <w:color w:val="auto"/>
                <w:highlight w:val="none"/>
                <w:lang w:val="zh-CN"/>
              </w:rPr>
            </w:pPr>
          </w:p>
        </w:tc>
        <w:tc>
          <w:tcPr>
            <w:tcW w:w="957" w:type="pct"/>
            <w:vMerge w:val="continue"/>
            <w:tcBorders>
              <w:tl2br w:val="nil"/>
              <w:tr2bl w:val="nil"/>
            </w:tcBorders>
            <w:vAlign w:val="center"/>
          </w:tcPr>
          <w:p w14:paraId="7675BAE5">
            <w:pPr>
              <w:pStyle w:val="44"/>
              <w:bidi w:val="0"/>
              <w:rPr>
                <w:rFonts w:hint="default" w:ascii="Times New Roman" w:hAnsi="Times New Roman" w:cs="Times New Roman"/>
                <w:color w:val="auto"/>
                <w:highlight w:val="none"/>
                <w:lang w:val="zh-CN"/>
              </w:rPr>
            </w:pPr>
          </w:p>
        </w:tc>
        <w:tc>
          <w:tcPr>
            <w:tcW w:w="1555" w:type="pct"/>
            <w:tcBorders>
              <w:tl2br w:val="nil"/>
              <w:tr2bl w:val="nil"/>
            </w:tcBorders>
            <w:vAlign w:val="center"/>
          </w:tcPr>
          <w:p w14:paraId="7E569BA4">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溶解性总固体</w:t>
            </w:r>
          </w:p>
        </w:tc>
        <w:tc>
          <w:tcPr>
            <w:tcW w:w="1090" w:type="pct"/>
            <w:vMerge w:val="continue"/>
            <w:tcBorders>
              <w:tl2br w:val="nil"/>
              <w:tr2bl w:val="nil"/>
            </w:tcBorders>
            <w:vAlign w:val="center"/>
          </w:tcPr>
          <w:p w14:paraId="19232057">
            <w:pPr>
              <w:pStyle w:val="44"/>
              <w:bidi w:val="0"/>
              <w:rPr>
                <w:rFonts w:hint="default" w:ascii="Times New Roman" w:hAnsi="Times New Roman" w:cs="Times New Roman"/>
                <w:color w:val="auto"/>
                <w:highlight w:val="none"/>
                <w:lang w:val="zh-CN"/>
              </w:rPr>
            </w:pPr>
          </w:p>
        </w:tc>
        <w:tc>
          <w:tcPr>
            <w:tcW w:w="748" w:type="pct"/>
            <w:tcBorders>
              <w:tl2br w:val="nil"/>
              <w:tr2bl w:val="nil"/>
            </w:tcBorders>
            <w:vAlign w:val="center"/>
          </w:tcPr>
          <w:p w14:paraId="6B490930">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≤1000</w:t>
            </w:r>
          </w:p>
        </w:tc>
      </w:tr>
      <w:tr w14:paraId="641542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14:paraId="3248522E">
            <w:pPr>
              <w:pStyle w:val="44"/>
              <w:bidi w:val="0"/>
              <w:rPr>
                <w:rFonts w:hint="default" w:ascii="Times New Roman" w:hAnsi="Times New Roman" w:cs="Times New Roman"/>
                <w:color w:val="auto"/>
                <w:highlight w:val="none"/>
                <w:lang w:val="zh-CN"/>
              </w:rPr>
            </w:pPr>
          </w:p>
        </w:tc>
        <w:tc>
          <w:tcPr>
            <w:tcW w:w="957" w:type="pct"/>
            <w:vMerge w:val="continue"/>
            <w:tcBorders>
              <w:tl2br w:val="nil"/>
              <w:tr2bl w:val="nil"/>
            </w:tcBorders>
            <w:vAlign w:val="center"/>
          </w:tcPr>
          <w:p w14:paraId="76B4D859">
            <w:pPr>
              <w:pStyle w:val="44"/>
              <w:bidi w:val="0"/>
              <w:rPr>
                <w:rFonts w:hint="default" w:ascii="Times New Roman" w:hAnsi="Times New Roman" w:cs="Times New Roman"/>
                <w:color w:val="auto"/>
                <w:highlight w:val="none"/>
                <w:lang w:val="zh-CN"/>
              </w:rPr>
            </w:pPr>
          </w:p>
        </w:tc>
        <w:tc>
          <w:tcPr>
            <w:tcW w:w="1555" w:type="pct"/>
            <w:tcBorders>
              <w:tl2br w:val="nil"/>
              <w:tr2bl w:val="nil"/>
            </w:tcBorders>
            <w:vAlign w:val="center"/>
          </w:tcPr>
          <w:p w14:paraId="4A23A9B0">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挥发酚类</w:t>
            </w:r>
          </w:p>
        </w:tc>
        <w:tc>
          <w:tcPr>
            <w:tcW w:w="1090" w:type="pct"/>
            <w:vMerge w:val="continue"/>
            <w:tcBorders>
              <w:tl2br w:val="nil"/>
              <w:tr2bl w:val="nil"/>
            </w:tcBorders>
            <w:vAlign w:val="center"/>
          </w:tcPr>
          <w:p w14:paraId="1C9C7F74">
            <w:pPr>
              <w:pStyle w:val="44"/>
              <w:bidi w:val="0"/>
              <w:rPr>
                <w:rFonts w:hint="default" w:ascii="Times New Roman" w:hAnsi="Times New Roman" w:cs="Times New Roman"/>
                <w:color w:val="auto"/>
                <w:highlight w:val="none"/>
                <w:lang w:val="zh-CN"/>
              </w:rPr>
            </w:pPr>
          </w:p>
        </w:tc>
        <w:tc>
          <w:tcPr>
            <w:tcW w:w="748" w:type="pct"/>
            <w:tcBorders>
              <w:tl2br w:val="nil"/>
              <w:tr2bl w:val="nil"/>
            </w:tcBorders>
            <w:vAlign w:val="center"/>
          </w:tcPr>
          <w:p w14:paraId="3F4280D3">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≤0.002</w:t>
            </w:r>
          </w:p>
        </w:tc>
      </w:tr>
      <w:tr w14:paraId="23E538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14:paraId="482B1D86">
            <w:pPr>
              <w:pStyle w:val="44"/>
              <w:bidi w:val="0"/>
              <w:rPr>
                <w:rFonts w:hint="default" w:ascii="Times New Roman" w:hAnsi="Times New Roman" w:cs="Times New Roman"/>
                <w:color w:val="auto"/>
                <w:highlight w:val="none"/>
                <w:lang w:val="zh-CN"/>
              </w:rPr>
            </w:pPr>
          </w:p>
        </w:tc>
        <w:tc>
          <w:tcPr>
            <w:tcW w:w="957" w:type="pct"/>
            <w:vMerge w:val="continue"/>
            <w:tcBorders>
              <w:tl2br w:val="nil"/>
              <w:tr2bl w:val="nil"/>
            </w:tcBorders>
            <w:vAlign w:val="center"/>
          </w:tcPr>
          <w:p w14:paraId="1F341275">
            <w:pPr>
              <w:pStyle w:val="44"/>
              <w:bidi w:val="0"/>
              <w:rPr>
                <w:rFonts w:hint="default" w:ascii="Times New Roman" w:hAnsi="Times New Roman" w:cs="Times New Roman"/>
                <w:color w:val="auto"/>
                <w:highlight w:val="none"/>
                <w:lang w:val="zh-CN"/>
              </w:rPr>
            </w:pPr>
          </w:p>
        </w:tc>
        <w:tc>
          <w:tcPr>
            <w:tcW w:w="1555" w:type="pct"/>
            <w:tcBorders>
              <w:tl2br w:val="nil"/>
              <w:tr2bl w:val="nil"/>
            </w:tcBorders>
            <w:vAlign w:val="center"/>
          </w:tcPr>
          <w:p w14:paraId="134CF537">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耗氧量</w:t>
            </w:r>
          </w:p>
        </w:tc>
        <w:tc>
          <w:tcPr>
            <w:tcW w:w="1090" w:type="pct"/>
            <w:vMerge w:val="continue"/>
            <w:tcBorders>
              <w:tl2br w:val="nil"/>
              <w:tr2bl w:val="nil"/>
            </w:tcBorders>
            <w:vAlign w:val="center"/>
          </w:tcPr>
          <w:p w14:paraId="4A1F3B4A">
            <w:pPr>
              <w:pStyle w:val="44"/>
              <w:bidi w:val="0"/>
              <w:rPr>
                <w:rFonts w:hint="default" w:ascii="Times New Roman" w:hAnsi="Times New Roman" w:cs="Times New Roman"/>
                <w:color w:val="auto"/>
                <w:highlight w:val="none"/>
                <w:lang w:val="zh-CN"/>
              </w:rPr>
            </w:pPr>
          </w:p>
        </w:tc>
        <w:tc>
          <w:tcPr>
            <w:tcW w:w="748" w:type="pct"/>
            <w:tcBorders>
              <w:tl2br w:val="nil"/>
              <w:tr2bl w:val="nil"/>
            </w:tcBorders>
            <w:vAlign w:val="center"/>
          </w:tcPr>
          <w:p w14:paraId="7E067C2C">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≤3.0</w:t>
            </w:r>
          </w:p>
        </w:tc>
      </w:tr>
      <w:tr w14:paraId="5BA5AB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14:paraId="3EA819F7">
            <w:pPr>
              <w:pStyle w:val="44"/>
              <w:bidi w:val="0"/>
              <w:rPr>
                <w:rFonts w:hint="default" w:ascii="Times New Roman" w:hAnsi="Times New Roman" w:cs="Times New Roman"/>
                <w:color w:val="auto"/>
                <w:highlight w:val="none"/>
                <w:lang w:val="zh-CN"/>
              </w:rPr>
            </w:pPr>
          </w:p>
        </w:tc>
        <w:tc>
          <w:tcPr>
            <w:tcW w:w="957" w:type="pct"/>
            <w:vMerge w:val="continue"/>
            <w:tcBorders>
              <w:tl2br w:val="nil"/>
              <w:tr2bl w:val="nil"/>
            </w:tcBorders>
            <w:vAlign w:val="center"/>
          </w:tcPr>
          <w:p w14:paraId="7808C447">
            <w:pPr>
              <w:pStyle w:val="44"/>
              <w:bidi w:val="0"/>
              <w:rPr>
                <w:rFonts w:hint="default" w:ascii="Times New Roman" w:hAnsi="Times New Roman" w:cs="Times New Roman"/>
                <w:color w:val="auto"/>
                <w:highlight w:val="none"/>
                <w:lang w:val="zh-CN"/>
              </w:rPr>
            </w:pPr>
          </w:p>
        </w:tc>
        <w:tc>
          <w:tcPr>
            <w:tcW w:w="1555" w:type="pct"/>
            <w:tcBorders>
              <w:tl2br w:val="nil"/>
              <w:tr2bl w:val="nil"/>
            </w:tcBorders>
            <w:vAlign w:val="center"/>
          </w:tcPr>
          <w:p w14:paraId="33F2686C">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铅</w:t>
            </w:r>
          </w:p>
        </w:tc>
        <w:tc>
          <w:tcPr>
            <w:tcW w:w="1090" w:type="pct"/>
            <w:vMerge w:val="continue"/>
            <w:tcBorders>
              <w:tl2br w:val="nil"/>
              <w:tr2bl w:val="nil"/>
            </w:tcBorders>
            <w:vAlign w:val="center"/>
          </w:tcPr>
          <w:p w14:paraId="693FAF2B">
            <w:pPr>
              <w:pStyle w:val="44"/>
              <w:bidi w:val="0"/>
              <w:rPr>
                <w:rFonts w:hint="default" w:ascii="Times New Roman" w:hAnsi="Times New Roman" w:cs="Times New Roman"/>
                <w:color w:val="auto"/>
                <w:highlight w:val="none"/>
                <w:lang w:val="zh-CN"/>
              </w:rPr>
            </w:pPr>
          </w:p>
        </w:tc>
        <w:tc>
          <w:tcPr>
            <w:tcW w:w="748" w:type="pct"/>
            <w:tcBorders>
              <w:tl2br w:val="nil"/>
              <w:tr2bl w:val="nil"/>
            </w:tcBorders>
            <w:vAlign w:val="center"/>
          </w:tcPr>
          <w:p w14:paraId="4909DDF7">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≤0.05</w:t>
            </w:r>
          </w:p>
        </w:tc>
      </w:tr>
      <w:tr w14:paraId="5B5999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14:paraId="4A02C71C">
            <w:pPr>
              <w:pStyle w:val="44"/>
              <w:bidi w:val="0"/>
              <w:rPr>
                <w:rFonts w:hint="default" w:ascii="Times New Roman" w:hAnsi="Times New Roman" w:cs="Times New Roman"/>
                <w:color w:val="auto"/>
                <w:highlight w:val="none"/>
                <w:lang w:val="zh-CN"/>
              </w:rPr>
            </w:pPr>
          </w:p>
        </w:tc>
        <w:tc>
          <w:tcPr>
            <w:tcW w:w="957" w:type="pct"/>
            <w:vMerge w:val="continue"/>
            <w:tcBorders>
              <w:tl2br w:val="nil"/>
              <w:tr2bl w:val="nil"/>
            </w:tcBorders>
            <w:vAlign w:val="center"/>
          </w:tcPr>
          <w:p w14:paraId="27B0360E">
            <w:pPr>
              <w:pStyle w:val="44"/>
              <w:bidi w:val="0"/>
              <w:rPr>
                <w:rFonts w:hint="default" w:ascii="Times New Roman" w:hAnsi="Times New Roman" w:cs="Times New Roman"/>
                <w:color w:val="auto"/>
                <w:highlight w:val="none"/>
                <w:lang w:val="zh-CN"/>
              </w:rPr>
            </w:pPr>
          </w:p>
        </w:tc>
        <w:tc>
          <w:tcPr>
            <w:tcW w:w="1555" w:type="pct"/>
            <w:tcBorders>
              <w:tl2br w:val="nil"/>
              <w:tr2bl w:val="nil"/>
            </w:tcBorders>
            <w:vAlign w:val="center"/>
          </w:tcPr>
          <w:p w14:paraId="68C81512">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六价铬</w:t>
            </w:r>
          </w:p>
        </w:tc>
        <w:tc>
          <w:tcPr>
            <w:tcW w:w="1090" w:type="pct"/>
            <w:vMerge w:val="continue"/>
            <w:tcBorders>
              <w:tl2br w:val="nil"/>
              <w:tr2bl w:val="nil"/>
            </w:tcBorders>
            <w:vAlign w:val="center"/>
          </w:tcPr>
          <w:p w14:paraId="02F97A8A">
            <w:pPr>
              <w:pStyle w:val="44"/>
              <w:bidi w:val="0"/>
              <w:rPr>
                <w:rFonts w:hint="default" w:ascii="Times New Roman" w:hAnsi="Times New Roman" w:cs="Times New Roman"/>
                <w:color w:val="auto"/>
                <w:highlight w:val="none"/>
                <w:lang w:val="zh-CN"/>
              </w:rPr>
            </w:pPr>
          </w:p>
        </w:tc>
        <w:tc>
          <w:tcPr>
            <w:tcW w:w="748" w:type="pct"/>
            <w:tcBorders>
              <w:tl2br w:val="nil"/>
              <w:tr2bl w:val="nil"/>
            </w:tcBorders>
            <w:vAlign w:val="center"/>
          </w:tcPr>
          <w:p w14:paraId="6B7D70C9">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≤0.05</w:t>
            </w:r>
          </w:p>
        </w:tc>
      </w:tr>
      <w:tr w14:paraId="3D3BDF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14:paraId="05EEE96E">
            <w:pPr>
              <w:pStyle w:val="44"/>
              <w:bidi w:val="0"/>
              <w:rPr>
                <w:rFonts w:hint="default" w:ascii="Times New Roman" w:hAnsi="Times New Roman" w:cs="Times New Roman"/>
                <w:color w:val="auto"/>
                <w:highlight w:val="none"/>
                <w:lang w:val="zh-CN"/>
              </w:rPr>
            </w:pPr>
          </w:p>
        </w:tc>
        <w:tc>
          <w:tcPr>
            <w:tcW w:w="957" w:type="pct"/>
            <w:vMerge w:val="continue"/>
            <w:tcBorders>
              <w:tl2br w:val="nil"/>
              <w:tr2bl w:val="nil"/>
            </w:tcBorders>
            <w:vAlign w:val="center"/>
          </w:tcPr>
          <w:p w14:paraId="37308DD5">
            <w:pPr>
              <w:pStyle w:val="44"/>
              <w:bidi w:val="0"/>
              <w:rPr>
                <w:rFonts w:hint="default" w:ascii="Times New Roman" w:hAnsi="Times New Roman" w:cs="Times New Roman"/>
                <w:color w:val="auto"/>
                <w:highlight w:val="none"/>
                <w:lang w:val="zh-CN"/>
              </w:rPr>
            </w:pPr>
          </w:p>
        </w:tc>
        <w:tc>
          <w:tcPr>
            <w:tcW w:w="1555" w:type="pct"/>
            <w:tcBorders>
              <w:tl2br w:val="nil"/>
              <w:tr2bl w:val="nil"/>
            </w:tcBorders>
            <w:vAlign w:val="center"/>
          </w:tcPr>
          <w:p w14:paraId="13877F84">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镉</w:t>
            </w:r>
          </w:p>
        </w:tc>
        <w:tc>
          <w:tcPr>
            <w:tcW w:w="1090" w:type="pct"/>
            <w:vMerge w:val="continue"/>
            <w:tcBorders>
              <w:tl2br w:val="nil"/>
              <w:tr2bl w:val="nil"/>
            </w:tcBorders>
            <w:vAlign w:val="center"/>
          </w:tcPr>
          <w:p w14:paraId="42A0502B">
            <w:pPr>
              <w:pStyle w:val="44"/>
              <w:bidi w:val="0"/>
              <w:rPr>
                <w:rFonts w:hint="default" w:ascii="Times New Roman" w:hAnsi="Times New Roman" w:cs="Times New Roman"/>
                <w:color w:val="auto"/>
                <w:highlight w:val="none"/>
                <w:lang w:val="zh-CN"/>
              </w:rPr>
            </w:pPr>
          </w:p>
        </w:tc>
        <w:tc>
          <w:tcPr>
            <w:tcW w:w="748" w:type="pct"/>
            <w:tcBorders>
              <w:tl2br w:val="nil"/>
              <w:tr2bl w:val="nil"/>
            </w:tcBorders>
            <w:vAlign w:val="center"/>
          </w:tcPr>
          <w:p w14:paraId="76123633">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≤0.01</w:t>
            </w:r>
          </w:p>
        </w:tc>
      </w:tr>
      <w:tr w14:paraId="699469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14:paraId="2EAFE157">
            <w:pPr>
              <w:pStyle w:val="44"/>
              <w:bidi w:val="0"/>
              <w:rPr>
                <w:rFonts w:hint="default" w:ascii="Times New Roman" w:hAnsi="Times New Roman" w:cs="Times New Roman"/>
                <w:color w:val="auto"/>
                <w:highlight w:val="none"/>
                <w:lang w:val="zh-CN"/>
              </w:rPr>
            </w:pPr>
          </w:p>
        </w:tc>
        <w:tc>
          <w:tcPr>
            <w:tcW w:w="957" w:type="pct"/>
            <w:vMerge w:val="continue"/>
            <w:tcBorders>
              <w:tl2br w:val="nil"/>
              <w:tr2bl w:val="nil"/>
            </w:tcBorders>
            <w:vAlign w:val="center"/>
          </w:tcPr>
          <w:p w14:paraId="2E137223">
            <w:pPr>
              <w:pStyle w:val="44"/>
              <w:bidi w:val="0"/>
              <w:rPr>
                <w:rFonts w:hint="default" w:ascii="Times New Roman" w:hAnsi="Times New Roman" w:cs="Times New Roman"/>
                <w:color w:val="auto"/>
                <w:highlight w:val="none"/>
                <w:lang w:val="zh-CN"/>
              </w:rPr>
            </w:pPr>
          </w:p>
        </w:tc>
        <w:tc>
          <w:tcPr>
            <w:tcW w:w="1555" w:type="pct"/>
            <w:tcBorders>
              <w:tl2br w:val="nil"/>
              <w:tr2bl w:val="nil"/>
            </w:tcBorders>
            <w:vAlign w:val="center"/>
          </w:tcPr>
          <w:p w14:paraId="6AEA8C26">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砷</w:t>
            </w:r>
          </w:p>
        </w:tc>
        <w:tc>
          <w:tcPr>
            <w:tcW w:w="1090" w:type="pct"/>
            <w:vMerge w:val="continue"/>
            <w:tcBorders>
              <w:tl2br w:val="nil"/>
              <w:tr2bl w:val="nil"/>
            </w:tcBorders>
            <w:vAlign w:val="center"/>
          </w:tcPr>
          <w:p w14:paraId="6867D854">
            <w:pPr>
              <w:pStyle w:val="44"/>
              <w:bidi w:val="0"/>
              <w:rPr>
                <w:rFonts w:hint="default" w:ascii="Times New Roman" w:hAnsi="Times New Roman" w:cs="Times New Roman"/>
                <w:color w:val="auto"/>
                <w:highlight w:val="none"/>
                <w:lang w:val="zh-CN"/>
              </w:rPr>
            </w:pPr>
          </w:p>
        </w:tc>
        <w:tc>
          <w:tcPr>
            <w:tcW w:w="748" w:type="pct"/>
            <w:tcBorders>
              <w:tl2br w:val="nil"/>
              <w:tr2bl w:val="nil"/>
            </w:tcBorders>
            <w:vAlign w:val="center"/>
          </w:tcPr>
          <w:p w14:paraId="51979F4C">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≤0.05</w:t>
            </w:r>
          </w:p>
        </w:tc>
      </w:tr>
      <w:tr w14:paraId="1BC1D3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14:paraId="0611E519">
            <w:pPr>
              <w:pStyle w:val="44"/>
              <w:bidi w:val="0"/>
              <w:rPr>
                <w:rFonts w:hint="default" w:ascii="Times New Roman" w:hAnsi="Times New Roman" w:cs="Times New Roman"/>
                <w:color w:val="auto"/>
                <w:highlight w:val="none"/>
                <w:lang w:val="zh-CN"/>
              </w:rPr>
            </w:pPr>
          </w:p>
        </w:tc>
        <w:tc>
          <w:tcPr>
            <w:tcW w:w="957" w:type="pct"/>
            <w:vMerge w:val="continue"/>
            <w:tcBorders>
              <w:tl2br w:val="nil"/>
              <w:tr2bl w:val="nil"/>
            </w:tcBorders>
            <w:vAlign w:val="center"/>
          </w:tcPr>
          <w:p w14:paraId="6B3DE0BC">
            <w:pPr>
              <w:pStyle w:val="44"/>
              <w:bidi w:val="0"/>
              <w:rPr>
                <w:rFonts w:hint="default" w:ascii="Times New Roman" w:hAnsi="Times New Roman" w:cs="Times New Roman"/>
                <w:color w:val="auto"/>
                <w:highlight w:val="none"/>
                <w:lang w:val="zh-CN"/>
              </w:rPr>
            </w:pPr>
          </w:p>
        </w:tc>
        <w:tc>
          <w:tcPr>
            <w:tcW w:w="1555" w:type="pct"/>
            <w:tcBorders>
              <w:tl2br w:val="nil"/>
              <w:tr2bl w:val="nil"/>
            </w:tcBorders>
            <w:vAlign w:val="center"/>
          </w:tcPr>
          <w:p w14:paraId="4505FE82">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汞</w:t>
            </w:r>
          </w:p>
        </w:tc>
        <w:tc>
          <w:tcPr>
            <w:tcW w:w="1090" w:type="pct"/>
            <w:vMerge w:val="continue"/>
            <w:tcBorders>
              <w:tl2br w:val="nil"/>
              <w:tr2bl w:val="nil"/>
            </w:tcBorders>
            <w:vAlign w:val="center"/>
          </w:tcPr>
          <w:p w14:paraId="3117DECC">
            <w:pPr>
              <w:pStyle w:val="44"/>
              <w:bidi w:val="0"/>
              <w:rPr>
                <w:rFonts w:hint="default" w:ascii="Times New Roman" w:hAnsi="Times New Roman" w:cs="Times New Roman"/>
                <w:color w:val="auto"/>
                <w:highlight w:val="none"/>
                <w:lang w:val="zh-CN"/>
              </w:rPr>
            </w:pPr>
          </w:p>
        </w:tc>
        <w:tc>
          <w:tcPr>
            <w:tcW w:w="748" w:type="pct"/>
            <w:tcBorders>
              <w:tl2br w:val="nil"/>
              <w:tr2bl w:val="nil"/>
            </w:tcBorders>
            <w:vAlign w:val="center"/>
          </w:tcPr>
          <w:p w14:paraId="7273587F">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≤0.001</w:t>
            </w:r>
          </w:p>
        </w:tc>
      </w:tr>
      <w:tr w14:paraId="4C5BE6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14:paraId="2E43A541">
            <w:pPr>
              <w:pStyle w:val="44"/>
              <w:bidi w:val="0"/>
              <w:rPr>
                <w:rFonts w:hint="default" w:ascii="Times New Roman" w:hAnsi="Times New Roman" w:cs="Times New Roman"/>
                <w:color w:val="auto"/>
                <w:highlight w:val="none"/>
                <w:lang w:val="zh-CN"/>
              </w:rPr>
            </w:pPr>
          </w:p>
        </w:tc>
        <w:tc>
          <w:tcPr>
            <w:tcW w:w="957" w:type="pct"/>
            <w:vMerge w:val="continue"/>
            <w:tcBorders>
              <w:tl2br w:val="nil"/>
              <w:tr2bl w:val="nil"/>
            </w:tcBorders>
            <w:vAlign w:val="center"/>
          </w:tcPr>
          <w:p w14:paraId="60998CF9">
            <w:pPr>
              <w:pStyle w:val="44"/>
              <w:bidi w:val="0"/>
              <w:rPr>
                <w:rFonts w:hint="default" w:ascii="Times New Roman" w:hAnsi="Times New Roman" w:cs="Times New Roman"/>
                <w:color w:val="auto"/>
                <w:highlight w:val="none"/>
                <w:lang w:val="zh-CN"/>
              </w:rPr>
            </w:pPr>
          </w:p>
        </w:tc>
        <w:tc>
          <w:tcPr>
            <w:tcW w:w="1555" w:type="pct"/>
            <w:tcBorders>
              <w:tl2br w:val="nil"/>
              <w:tr2bl w:val="nil"/>
            </w:tcBorders>
            <w:vAlign w:val="center"/>
          </w:tcPr>
          <w:p w14:paraId="5FDA5176">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硝酸盐</w:t>
            </w:r>
          </w:p>
        </w:tc>
        <w:tc>
          <w:tcPr>
            <w:tcW w:w="1090" w:type="pct"/>
            <w:vMerge w:val="continue"/>
            <w:tcBorders>
              <w:tl2br w:val="nil"/>
              <w:tr2bl w:val="nil"/>
            </w:tcBorders>
            <w:vAlign w:val="center"/>
          </w:tcPr>
          <w:p w14:paraId="2F840FD7">
            <w:pPr>
              <w:pStyle w:val="44"/>
              <w:bidi w:val="0"/>
              <w:rPr>
                <w:rFonts w:hint="default" w:ascii="Times New Roman" w:hAnsi="Times New Roman" w:cs="Times New Roman"/>
                <w:color w:val="auto"/>
                <w:highlight w:val="none"/>
                <w:lang w:val="zh-CN"/>
              </w:rPr>
            </w:pPr>
          </w:p>
        </w:tc>
        <w:tc>
          <w:tcPr>
            <w:tcW w:w="748" w:type="pct"/>
            <w:tcBorders>
              <w:tl2br w:val="nil"/>
              <w:tr2bl w:val="nil"/>
            </w:tcBorders>
            <w:vAlign w:val="center"/>
          </w:tcPr>
          <w:p w14:paraId="2EEE0BF4">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≤20</w:t>
            </w:r>
          </w:p>
        </w:tc>
      </w:tr>
      <w:tr w14:paraId="6696FC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14:paraId="7AB6CC00">
            <w:pPr>
              <w:pStyle w:val="44"/>
              <w:bidi w:val="0"/>
              <w:rPr>
                <w:rFonts w:hint="default" w:ascii="Times New Roman" w:hAnsi="Times New Roman" w:cs="Times New Roman"/>
                <w:color w:val="auto"/>
                <w:highlight w:val="none"/>
                <w:lang w:val="zh-CN"/>
              </w:rPr>
            </w:pPr>
          </w:p>
        </w:tc>
        <w:tc>
          <w:tcPr>
            <w:tcW w:w="957" w:type="pct"/>
            <w:vMerge w:val="continue"/>
            <w:tcBorders>
              <w:tl2br w:val="nil"/>
              <w:tr2bl w:val="nil"/>
            </w:tcBorders>
            <w:vAlign w:val="center"/>
          </w:tcPr>
          <w:p w14:paraId="06CFDB1F">
            <w:pPr>
              <w:pStyle w:val="44"/>
              <w:bidi w:val="0"/>
              <w:rPr>
                <w:rFonts w:hint="default" w:ascii="Times New Roman" w:hAnsi="Times New Roman" w:cs="Times New Roman"/>
                <w:color w:val="auto"/>
                <w:highlight w:val="none"/>
                <w:lang w:val="zh-CN"/>
              </w:rPr>
            </w:pPr>
          </w:p>
        </w:tc>
        <w:tc>
          <w:tcPr>
            <w:tcW w:w="1555" w:type="pct"/>
            <w:tcBorders>
              <w:tl2br w:val="nil"/>
              <w:tr2bl w:val="nil"/>
            </w:tcBorders>
            <w:vAlign w:val="center"/>
          </w:tcPr>
          <w:p w14:paraId="786050EB">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亚硝酸盐</w:t>
            </w:r>
          </w:p>
        </w:tc>
        <w:tc>
          <w:tcPr>
            <w:tcW w:w="1090" w:type="pct"/>
            <w:vMerge w:val="continue"/>
            <w:tcBorders>
              <w:tl2br w:val="nil"/>
              <w:tr2bl w:val="nil"/>
            </w:tcBorders>
            <w:vAlign w:val="center"/>
          </w:tcPr>
          <w:p w14:paraId="57E62BAA">
            <w:pPr>
              <w:pStyle w:val="44"/>
              <w:bidi w:val="0"/>
              <w:rPr>
                <w:rFonts w:hint="default" w:ascii="Times New Roman" w:hAnsi="Times New Roman" w:cs="Times New Roman"/>
                <w:color w:val="auto"/>
                <w:highlight w:val="none"/>
                <w:lang w:val="zh-CN"/>
              </w:rPr>
            </w:pPr>
          </w:p>
        </w:tc>
        <w:tc>
          <w:tcPr>
            <w:tcW w:w="748" w:type="pct"/>
            <w:tcBorders>
              <w:tl2br w:val="nil"/>
              <w:tr2bl w:val="nil"/>
            </w:tcBorders>
            <w:vAlign w:val="center"/>
          </w:tcPr>
          <w:p w14:paraId="3DC323A8">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≤0.02</w:t>
            </w:r>
          </w:p>
        </w:tc>
      </w:tr>
      <w:tr w14:paraId="2B6FFB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14:paraId="597A58C8">
            <w:pPr>
              <w:pStyle w:val="44"/>
              <w:bidi w:val="0"/>
              <w:rPr>
                <w:rFonts w:hint="default" w:ascii="Times New Roman" w:hAnsi="Times New Roman" w:cs="Times New Roman"/>
                <w:color w:val="auto"/>
                <w:highlight w:val="none"/>
                <w:lang w:val="zh-CN"/>
              </w:rPr>
            </w:pPr>
          </w:p>
        </w:tc>
        <w:tc>
          <w:tcPr>
            <w:tcW w:w="957" w:type="pct"/>
            <w:vMerge w:val="continue"/>
            <w:tcBorders>
              <w:tl2br w:val="nil"/>
              <w:tr2bl w:val="nil"/>
            </w:tcBorders>
            <w:vAlign w:val="center"/>
          </w:tcPr>
          <w:p w14:paraId="520EB9A2">
            <w:pPr>
              <w:pStyle w:val="44"/>
              <w:bidi w:val="0"/>
              <w:rPr>
                <w:rFonts w:hint="default" w:ascii="Times New Roman" w:hAnsi="Times New Roman" w:cs="Times New Roman"/>
                <w:color w:val="auto"/>
                <w:highlight w:val="none"/>
                <w:lang w:val="zh-CN"/>
              </w:rPr>
            </w:pPr>
          </w:p>
        </w:tc>
        <w:tc>
          <w:tcPr>
            <w:tcW w:w="1555" w:type="pct"/>
            <w:tcBorders>
              <w:tl2br w:val="nil"/>
              <w:tr2bl w:val="nil"/>
            </w:tcBorders>
            <w:vAlign w:val="center"/>
          </w:tcPr>
          <w:p w14:paraId="5CF6244D">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氨氮</w:t>
            </w:r>
          </w:p>
        </w:tc>
        <w:tc>
          <w:tcPr>
            <w:tcW w:w="1090" w:type="pct"/>
            <w:vMerge w:val="continue"/>
            <w:tcBorders>
              <w:tl2br w:val="nil"/>
              <w:tr2bl w:val="nil"/>
            </w:tcBorders>
            <w:vAlign w:val="center"/>
          </w:tcPr>
          <w:p w14:paraId="6909A43C">
            <w:pPr>
              <w:pStyle w:val="44"/>
              <w:bidi w:val="0"/>
              <w:rPr>
                <w:rFonts w:hint="default" w:ascii="Times New Roman" w:hAnsi="Times New Roman" w:cs="Times New Roman"/>
                <w:color w:val="auto"/>
                <w:highlight w:val="none"/>
                <w:lang w:val="zh-CN"/>
              </w:rPr>
            </w:pPr>
          </w:p>
        </w:tc>
        <w:tc>
          <w:tcPr>
            <w:tcW w:w="748" w:type="pct"/>
            <w:tcBorders>
              <w:tl2br w:val="nil"/>
              <w:tr2bl w:val="nil"/>
            </w:tcBorders>
            <w:vAlign w:val="center"/>
          </w:tcPr>
          <w:p w14:paraId="3D96A56D">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≤0.5</w:t>
            </w:r>
          </w:p>
        </w:tc>
      </w:tr>
      <w:tr w14:paraId="361D2D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14:paraId="6339906A">
            <w:pPr>
              <w:pStyle w:val="44"/>
              <w:bidi w:val="0"/>
              <w:rPr>
                <w:rFonts w:hint="default" w:ascii="Times New Roman" w:hAnsi="Times New Roman" w:cs="Times New Roman"/>
                <w:color w:val="auto"/>
                <w:highlight w:val="none"/>
                <w:lang w:val="zh-CN"/>
              </w:rPr>
            </w:pPr>
          </w:p>
        </w:tc>
        <w:tc>
          <w:tcPr>
            <w:tcW w:w="957" w:type="pct"/>
            <w:vMerge w:val="continue"/>
            <w:tcBorders>
              <w:tl2br w:val="nil"/>
              <w:tr2bl w:val="nil"/>
            </w:tcBorders>
            <w:vAlign w:val="center"/>
          </w:tcPr>
          <w:p w14:paraId="628B7184">
            <w:pPr>
              <w:pStyle w:val="44"/>
              <w:bidi w:val="0"/>
              <w:rPr>
                <w:rFonts w:hint="default" w:ascii="Times New Roman" w:hAnsi="Times New Roman" w:cs="Times New Roman"/>
                <w:color w:val="auto"/>
                <w:highlight w:val="none"/>
                <w:lang w:val="zh-CN"/>
              </w:rPr>
            </w:pPr>
          </w:p>
        </w:tc>
        <w:tc>
          <w:tcPr>
            <w:tcW w:w="1555" w:type="pct"/>
            <w:tcBorders>
              <w:tl2br w:val="nil"/>
              <w:tr2bl w:val="nil"/>
            </w:tcBorders>
            <w:vAlign w:val="center"/>
          </w:tcPr>
          <w:p w14:paraId="7943B571">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氟化物</w:t>
            </w:r>
          </w:p>
        </w:tc>
        <w:tc>
          <w:tcPr>
            <w:tcW w:w="1090" w:type="pct"/>
            <w:vMerge w:val="continue"/>
            <w:tcBorders>
              <w:tl2br w:val="nil"/>
              <w:tr2bl w:val="nil"/>
            </w:tcBorders>
            <w:vAlign w:val="center"/>
          </w:tcPr>
          <w:p w14:paraId="222DC9EB">
            <w:pPr>
              <w:pStyle w:val="44"/>
              <w:bidi w:val="0"/>
              <w:rPr>
                <w:rFonts w:hint="default" w:ascii="Times New Roman" w:hAnsi="Times New Roman" w:cs="Times New Roman"/>
                <w:color w:val="auto"/>
                <w:highlight w:val="none"/>
                <w:lang w:val="zh-CN"/>
              </w:rPr>
            </w:pPr>
          </w:p>
        </w:tc>
        <w:tc>
          <w:tcPr>
            <w:tcW w:w="748" w:type="pct"/>
            <w:tcBorders>
              <w:tl2br w:val="nil"/>
              <w:tr2bl w:val="nil"/>
            </w:tcBorders>
            <w:vAlign w:val="center"/>
          </w:tcPr>
          <w:p w14:paraId="2386CAAB">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≤1.0</w:t>
            </w:r>
          </w:p>
        </w:tc>
      </w:tr>
      <w:tr w14:paraId="603F9D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14:paraId="60AED508">
            <w:pPr>
              <w:pStyle w:val="44"/>
              <w:bidi w:val="0"/>
              <w:rPr>
                <w:rFonts w:hint="default" w:ascii="Times New Roman" w:hAnsi="Times New Roman" w:cs="Times New Roman"/>
                <w:color w:val="auto"/>
                <w:highlight w:val="none"/>
                <w:lang w:val="zh-CN"/>
              </w:rPr>
            </w:pPr>
          </w:p>
        </w:tc>
        <w:tc>
          <w:tcPr>
            <w:tcW w:w="957" w:type="pct"/>
            <w:vMerge w:val="continue"/>
            <w:tcBorders>
              <w:tl2br w:val="nil"/>
              <w:tr2bl w:val="nil"/>
            </w:tcBorders>
            <w:vAlign w:val="center"/>
          </w:tcPr>
          <w:p w14:paraId="28953CD5">
            <w:pPr>
              <w:pStyle w:val="44"/>
              <w:bidi w:val="0"/>
              <w:rPr>
                <w:rFonts w:hint="default" w:ascii="Times New Roman" w:hAnsi="Times New Roman" w:cs="Times New Roman"/>
                <w:color w:val="auto"/>
                <w:highlight w:val="none"/>
                <w:lang w:val="zh-CN"/>
              </w:rPr>
            </w:pPr>
          </w:p>
        </w:tc>
        <w:tc>
          <w:tcPr>
            <w:tcW w:w="1555" w:type="pct"/>
            <w:tcBorders>
              <w:tl2br w:val="nil"/>
              <w:tr2bl w:val="nil"/>
            </w:tcBorders>
            <w:vAlign w:val="center"/>
          </w:tcPr>
          <w:p w14:paraId="2AC10598">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氰化物</w:t>
            </w:r>
          </w:p>
        </w:tc>
        <w:tc>
          <w:tcPr>
            <w:tcW w:w="1090" w:type="pct"/>
            <w:vMerge w:val="continue"/>
            <w:tcBorders>
              <w:tl2br w:val="nil"/>
              <w:tr2bl w:val="nil"/>
            </w:tcBorders>
            <w:vAlign w:val="center"/>
          </w:tcPr>
          <w:p w14:paraId="703DEEE7">
            <w:pPr>
              <w:pStyle w:val="44"/>
              <w:bidi w:val="0"/>
              <w:rPr>
                <w:rFonts w:hint="default" w:ascii="Times New Roman" w:hAnsi="Times New Roman" w:cs="Times New Roman"/>
                <w:color w:val="auto"/>
                <w:highlight w:val="none"/>
                <w:lang w:val="zh-CN"/>
              </w:rPr>
            </w:pPr>
          </w:p>
        </w:tc>
        <w:tc>
          <w:tcPr>
            <w:tcW w:w="748" w:type="pct"/>
            <w:tcBorders>
              <w:tl2br w:val="nil"/>
              <w:tr2bl w:val="nil"/>
            </w:tcBorders>
            <w:vAlign w:val="center"/>
          </w:tcPr>
          <w:p w14:paraId="1A97C346">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≤0.05</w:t>
            </w:r>
          </w:p>
        </w:tc>
      </w:tr>
      <w:tr w14:paraId="392C8A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14:paraId="3225145A">
            <w:pPr>
              <w:pStyle w:val="44"/>
              <w:bidi w:val="0"/>
              <w:rPr>
                <w:rFonts w:hint="default" w:ascii="Times New Roman" w:hAnsi="Times New Roman" w:cs="Times New Roman"/>
                <w:color w:val="auto"/>
                <w:highlight w:val="none"/>
                <w:lang w:val="zh-CN"/>
              </w:rPr>
            </w:pPr>
          </w:p>
        </w:tc>
        <w:tc>
          <w:tcPr>
            <w:tcW w:w="957" w:type="pct"/>
            <w:vMerge w:val="continue"/>
            <w:tcBorders>
              <w:tl2br w:val="nil"/>
              <w:tr2bl w:val="nil"/>
            </w:tcBorders>
            <w:vAlign w:val="center"/>
          </w:tcPr>
          <w:p w14:paraId="43811945">
            <w:pPr>
              <w:pStyle w:val="44"/>
              <w:bidi w:val="0"/>
              <w:rPr>
                <w:rFonts w:hint="default" w:ascii="Times New Roman" w:hAnsi="Times New Roman" w:cs="Times New Roman"/>
                <w:color w:val="auto"/>
                <w:highlight w:val="none"/>
                <w:lang w:val="zh-CN"/>
              </w:rPr>
            </w:pPr>
          </w:p>
        </w:tc>
        <w:tc>
          <w:tcPr>
            <w:tcW w:w="1555" w:type="pct"/>
            <w:tcBorders>
              <w:tl2br w:val="nil"/>
              <w:tr2bl w:val="nil"/>
            </w:tcBorders>
            <w:vAlign w:val="center"/>
          </w:tcPr>
          <w:p w14:paraId="663B0313">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氯化物</w:t>
            </w:r>
          </w:p>
        </w:tc>
        <w:tc>
          <w:tcPr>
            <w:tcW w:w="1090" w:type="pct"/>
            <w:vMerge w:val="continue"/>
            <w:tcBorders>
              <w:tl2br w:val="nil"/>
              <w:tr2bl w:val="nil"/>
            </w:tcBorders>
            <w:vAlign w:val="center"/>
          </w:tcPr>
          <w:p w14:paraId="6E88B1C5">
            <w:pPr>
              <w:pStyle w:val="44"/>
              <w:bidi w:val="0"/>
              <w:rPr>
                <w:rFonts w:hint="default" w:ascii="Times New Roman" w:hAnsi="Times New Roman" w:cs="Times New Roman"/>
                <w:color w:val="auto"/>
                <w:highlight w:val="none"/>
                <w:lang w:val="zh-CN"/>
              </w:rPr>
            </w:pPr>
          </w:p>
        </w:tc>
        <w:tc>
          <w:tcPr>
            <w:tcW w:w="748" w:type="pct"/>
            <w:tcBorders>
              <w:tl2br w:val="nil"/>
              <w:tr2bl w:val="nil"/>
            </w:tcBorders>
            <w:vAlign w:val="center"/>
          </w:tcPr>
          <w:p w14:paraId="551BA051">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≤250</w:t>
            </w:r>
          </w:p>
        </w:tc>
      </w:tr>
      <w:tr w14:paraId="45B9B1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14:paraId="7B28D7AE">
            <w:pPr>
              <w:pStyle w:val="44"/>
              <w:bidi w:val="0"/>
              <w:rPr>
                <w:rFonts w:hint="default" w:ascii="Times New Roman" w:hAnsi="Times New Roman" w:cs="Times New Roman"/>
                <w:color w:val="auto"/>
                <w:highlight w:val="none"/>
                <w:lang w:val="zh-CN"/>
              </w:rPr>
            </w:pPr>
          </w:p>
        </w:tc>
        <w:tc>
          <w:tcPr>
            <w:tcW w:w="957" w:type="pct"/>
            <w:vMerge w:val="continue"/>
            <w:tcBorders>
              <w:tl2br w:val="nil"/>
              <w:tr2bl w:val="nil"/>
            </w:tcBorders>
            <w:vAlign w:val="center"/>
          </w:tcPr>
          <w:p w14:paraId="038E5C6F">
            <w:pPr>
              <w:pStyle w:val="44"/>
              <w:bidi w:val="0"/>
              <w:rPr>
                <w:rFonts w:hint="default" w:ascii="Times New Roman" w:hAnsi="Times New Roman" w:cs="Times New Roman"/>
                <w:color w:val="auto"/>
                <w:highlight w:val="none"/>
                <w:lang w:val="zh-CN"/>
              </w:rPr>
            </w:pPr>
          </w:p>
        </w:tc>
        <w:tc>
          <w:tcPr>
            <w:tcW w:w="1555" w:type="pct"/>
            <w:tcBorders>
              <w:tl2br w:val="nil"/>
              <w:tr2bl w:val="nil"/>
            </w:tcBorders>
            <w:vAlign w:val="center"/>
          </w:tcPr>
          <w:p w14:paraId="54392A0A">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硫酸盐</w:t>
            </w:r>
          </w:p>
        </w:tc>
        <w:tc>
          <w:tcPr>
            <w:tcW w:w="1090" w:type="pct"/>
            <w:vMerge w:val="continue"/>
            <w:tcBorders>
              <w:tl2br w:val="nil"/>
              <w:tr2bl w:val="nil"/>
            </w:tcBorders>
            <w:vAlign w:val="center"/>
          </w:tcPr>
          <w:p w14:paraId="2EBF8B80">
            <w:pPr>
              <w:pStyle w:val="44"/>
              <w:bidi w:val="0"/>
              <w:rPr>
                <w:rFonts w:hint="default" w:ascii="Times New Roman" w:hAnsi="Times New Roman" w:cs="Times New Roman"/>
                <w:color w:val="auto"/>
                <w:highlight w:val="none"/>
                <w:lang w:val="zh-CN"/>
              </w:rPr>
            </w:pPr>
          </w:p>
        </w:tc>
        <w:tc>
          <w:tcPr>
            <w:tcW w:w="748" w:type="pct"/>
            <w:tcBorders>
              <w:tl2br w:val="nil"/>
              <w:tr2bl w:val="nil"/>
            </w:tcBorders>
            <w:vAlign w:val="center"/>
          </w:tcPr>
          <w:p w14:paraId="08590364">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≤250</w:t>
            </w:r>
          </w:p>
        </w:tc>
      </w:tr>
      <w:tr w14:paraId="050076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14:paraId="797AAE6A">
            <w:pPr>
              <w:pStyle w:val="44"/>
              <w:bidi w:val="0"/>
              <w:rPr>
                <w:rFonts w:hint="default" w:ascii="Times New Roman" w:hAnsi="Times New Roman" w:cs="Times New Roman"/>
                <w:color w:val="auto"/>
                <w:highlight w:val="none"/>
                <w:lang w:val="zh-CN"/>
              </w:rPr>
            </w:pPr>
          </w:p>
        </w:tc>
        <w:tc>
          <w:tcPr>
            <w:tcW w:w="957" w:type="pct"/>
            <w:vMerge w:val="continue"/>
            <w:tcBorders>
              <w:tl2br w:val="nil"/>
              <w:tr2bl w:val="nil"/>
            </w:tcBorders>
            <w:vAlign w:val="center"/>
          </w:tcPr>
          <w:p w14:paraId="520B3947">
            <w:pPr>
              <w:pStyle w:val="44"/>
              <w:bidi w:val="0"/>
              <w:rPr>
                <w:rFonts w:hint="default" w:ascii="Times New Roman" w:hAnsi="Times New Roman" w:cs="Times New Roman"/>
                <w:color w:val="auto"/>
                <w:highlight w:val="none"/>
                <w:lang w:val="zh-CN"/>
              </w:rPr>
            </w:pPr>
          </w:p>
        </w:tc>
        <w:tc>
          <w:tcPr>
            <w:tcW w:w="1555" w:type="pct"/>
            <w:tcBorders>
              <w:tl2br w:val="nil"/>
              <w:tr2bl w:val="nil"/>
            </w:tcBorders>
            <w:vAlign w:val="center"/>
          </w:tcPr>
          <w:p w14:paraId="5FEA0AAB">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菌落总数</w:t>
            </w:r>
          </w:p>
        </w:tc>
        <w:tc>
          <w:tcPr>
            <w:tcW w:w="1090" w:type="pct"/>
            <w:tcBorders>
              <w:tl2br w:val="nil"/>
              <w:tr2bl w:val="nil"/>
            </w:tcBorders>
            <w:vAlign w:val="center"/>
          </w:tcPr>
          <w:p w14:paraId="1C9EF712">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CFU/mL</w:t>
            </w:r>
          </w:p>
        </w:tc>
        <w:tc>
          <w:tcPr>
            <w:tcW w:w="748" w:type="pct"/>
            <w:tcBorders>
              <w:tl2br w:val="nil"/>
              <w:tr2bl w:val="nil"/>
            </w:tcBorders>
            <w:vAlign w:val="center"/>
          </w:tcPr>
          <w:p w14:paraId="1EA04385">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≤100</w:t>
            </w:r>
          </w:p>
        </w:tc>
      </w:tr>
      <w:tr w14:paraId="3BA4E3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14:paraId="71CE030D">
            <w:pPr>
              <w:pStyle w:val="44"/>
              <w:bidi w:val="0"/>
              <w:rPr>
                <w:rFonts w:hint="default" w:ascii="Times New Roman" w:hAnsi="Times New Roman" w:cs="Times New Roman"/>
                <w:color w:val="auto"/>
                <w:highlight w:val="none"/>
                <w:lang w:val="zh-CN"/>
              </w:rPr>
            </w:pPr>
          </w:p>
        </w:tc>
        <w:tc>
          <w:tcPr>
            <w:tcW w:w="957" w:type="pct"/>
            <w:vMerge w:val="continue"/>
            <w:tcBorders>
              <w:tl2br w:val="nil"/>
              <w:tr2bl w:val="nil"/>
            </w:tcBorders>
            <w:vAlign w:val="center"/>
          </w:tcPr>
          <w:p w14:paraId="67BBEEC4">
            <w:pPr>
              <w:pStyle w:val="44"/>
              <w:bidi w:val="0"/>
              <w:rPr>
                <w:rFonts w:hint="default" w:ascii="Times New Roman" w:hAnsi="Times New Roman" w:cs="Times New Roman"/>
                <w:color w:val="auto"/>
                <w:highlight w:val="none"/>
                <w:lang w:val="zh-CN"/>
              </w:rPr>
            </w:pPr>
          </w:p>
        </w:tc>
        <w:tc>
          <w:tcPr>
            <w:tcW w:w="1555" w:type="pct"/>
            <w:tcBorders>
              <w:tl2br w:val="nil"/>
              <w:tr2bl w:val="nil"/>
            </w:tcBorders>
            <w:vAlign w:val="center"/>
          </w:tcPr>
          <w:p w14:paraId="63D5F0A9">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总大肠菌群</w:t>
            </w:r>
          </w:p>
        </w:tc>
        <w:tc>
          <w:tcPr>
            <w:tcW w:w="1090" w:type="pct"/>
            <w:tcBorders>
              <w:tl2br w:val="nil"/>
              <w:tr2bl w:val="nil"/>
            </w:tcBorders>
            <w:vAlign w:val="center"/>
          </w:tcPr>
          <w:p w14:paraId="7D98EBC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MPN/100mL</w:t>
            </w:r>
            <w:r>
              <w:rPr>
                <w:rFonts w:hint="default" w:ascii="Times New Roman" w:hAnsi="Times New Roman" w:cs="Times New Roman"/>
                <w:color w:val="auto"/>
                <w:highlight w:val="none"/>
                <w:lang w:val="zh-CN"/>
              </w:rPr>
              <w:t>或</w:t>
            </w:r>
            <w:r>
              <w:rPr>
                <w:rFonts w:hint="default" w:ascii="Times New Roman" w:hAnsi="Times New Roman" w:cs="Times New Roman"/>
                <w:color w:val="auto"/>
                <w:highlight w:val="none"/>
              </w:rPr>
              <w:t>CFU/100mL</w:t>
            </w:r>
          </w:p>
        </w:tc>
        <w:tc>
          <w:tcPr>
            <w:tcW w:w="748" w:type="pct"/>
            <w:tcBorders>
              <w:tl2br w:val="nil"/>
              <w:tr2bl w:val="nil"/>
            </w:tcBorders>
            <w:vAlign w:val="center"/>
          </w:tcPr>
          <w:p w14:paraId="5E8245DC">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≤3.0</w:t>
            </w:r>
          </w:p>
        </w:tc>
      </w:tr>
      <w:tr w14:paraId="683DAF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8" w:type="pct"/>
            <w:vMerge w:val="continue"/>
            <w:tcBorders>
              <w:tl2br w:val="nil"/>
              <w:tr2bl w:val="nil"/>
            </w:tcBorders>
            <w:vAlign w:val="center"/>
          </w:tcPr>
          <w:p w14:paraId="74C02990">
            <w:pPr>
              <w:pStyle w:val="44"/>
              <w:bidi w:val="0"/>
              <w:rPr>
                <w:rFonts w:hint="default" w:ascii="Times New Roman" w:hAnsi="Times New Roman" w:cs="Times New Roman"/>
                <w:color w:val="auto"/>
                <w:highlight w:val="none"/>
                <w:lang w:val="zh-CN"/>
              </w:rPr>
            </w:pPr>
          </w:p>
        </w:tc>
        <w:tc>
          <w:tcPr>
            <w:tcW w:w="957" w:type="pct"/>
            <w:tcBorders>
              <w:tl2br w:val="nil"/>
              <w:tr2bl w:val="nil"/>
            </w:tcBorders>
            <w:vAlign w:val="center"/>
          </w:tcPr>
          <w:p w14:paraId="6A7E93FE">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rPr>
              <w:t>《地表水环境质量标准》（GB3838-2002）</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lang w:val="zh-CN"/>
              </w:rPr>
              <w:instrText xml:space="preserve"> = 3 \* ROMAN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lang w:val="zh-CN"/>
              </w:rPr>
              <w:t>III</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lang w:val="zh-CN"/>
              </w:rPr>
              <w:t>类标准</w:t>
            </w:r>
          </w:p>
        </w:tc>
        <w:tc>
          <w:tcPr>
            <w:tcW w:w="1555" w:type="pct"/>
            <w:tcBorders>
              <w:tl2br w:val="nil"/>
              <w:tr2bl w:val="nil"/>
            </w:tcBorders>
            <w:vAlign w:val="center"/>
          </w:tcPr>
          <w:p w14:paraId="1DE30077">
            <w:pPr>
              <w:pStyle w:val="44"/>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COD</w:t>
            </w:r>
          </w:p>
        </w:tc>
        <w:tc>
          <w:tcPr>
            <w:tcW w:w="1090" w:type="pct"/>
            <w:tcBorders>
              <w:tl2br w:val="nil"/>
              <w:tr2bl w:val="nil"/>
            </w:tcBorders>
            <w:vAlign w:val="center"/>
          </w:tcPr>
          <w:p w14:paraId="35DF5D6F">
            <w:pPr>
              <w:pStyle w:val="44"/>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zh-CN"/>
              </w:rPr>
              <w:t>mg/L</w:t>
            </w:r>
          </w:p>
        </w:tc>
        <w:tc>
          <w:tcPr>
            <w:tcW w:w="748" w:type="pct"/>
            <w:tcBorders>
              <w:tl2br w:val="nil"/>
              <w:tr2bl w:val="nil"/>
            </w:tcBorders>
            <w:vAlign w:val="center"/>
          </w:tcPr>
          <w:p w14:paraId="7B54F2B9">
            <w:pPr>
              <w:pStyle w:val="44"/>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≤20</w:t>
            </w:r>
          </w:p>
        </w:tc>
      </w:tr>
    </w:tbl>
    <w:p w14:paraId="0F4912AE">
      <w:pPr>
        <w:spacing w:line="500" w:lineRule="exact"/>
        <w:ind w:firstLine="480" w:firstLineChars="200"/>
        <w:rPr>
          <w:rFonts w:hint="default" w:ascii="Times New Roman" w:hAnsi="Times New Roman" w:cs="Times New Roman"/>
          <w:snapToGrid w:val="0"/>
          <w:color w:val="auto"/>
          <w:kern w:val="0"/>
          <w:sz w:val="24"/>
          <w:szCs w:val="22"/>
          <w:highlight w:val="none"/>
        </w:rPr>
      </w:pPr>
      <w:r>
        <w:rPr>
          <w:rFonts w:hint="default" w:ascii="Times New Roman" w:hAnsi="Times New Roman" w:cs="Times New Roman"/>
          <w:snapToGrid w:val="0"/>
          <w:color w:val="auto"/>
          <w:kern w:val="0"/>
          <w:sz w:val="24"/>
          <w:szCs w:val="22"/>
          <w:highlight w:val="none"/>
          <w:lang w:val="en-US" w:eastAsia="zh-CN"/>
        </w:rPr>
        <w:t>3、</w:t>
      </w:r>
      <w:r>
        <w:rPr>
          <w:rFonts w:hint="default" w:ascii="Times New Roman" w:hAnsi="Times New Roman" w:cs="Times New Roman"/>
          <w:snapToGrid w:val="0"/>
          <w:color w:val="auto"/>
          <w:kern w:val="0"/>
          <w:sz w:val="24"/>
          <w:szCs w:val="22"/>
          <w:highlight w:val="none"/>
        </w:rPr>
        <w:t>地表水</w:t>
      </w:r>
    </w:p>
    <w:p w14:paraId="015E4DFE">
      <w:pPr>
        <w:adjustRightInd w:val="0"/>
        <w:snapToGrid w:val="0"/>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本项目所处区域主要地表水为城子河，城子河无规划水体类别。城子河汇入穆棱河，根据《全国重要江河湖泊水功能区划》(2011—2030年），项目区穆棱河所在一级水功能区名称为穆棱河鸡西市开发利用区，二级水功能区名称为穆棱河鸡西市排污控制区，起始断面为206省道公路桥，终止断面为东胜村，无规划水质目标，本次评价按III类执行。因此</w:t>
      </w:r>
      <w:r>
        <w:rPr>
          <w:rFonts w:hint="default" w:ascii="Times New Roman" w:hAnsi="Times New Roman" w:cs="Times New Roman"/>
          <w:color w:val="auto"/>
          <w:kern w:val="0"/>
          <w:sz w:val="24"/>
          <w:highlight w:val="none"/>
          <w:lang w:val="en-US" w:eastAsia="zh-CN"/>
        </w:rPr>
        <w:t>城子河</w:t>
      </w:r>
      <w:r>
        <w:rPr>
          <w:rFonts w:hint="default" w:ascii="Times New Roman" w:hAnsi="Times New Roman" w:cs="Times New Roman"/>
          <w:color w:val="auto"/>
          <w:kern w:val="0"/>
          <w:sz w:val="24"/>
          <w:highlight w:val="none"/>
        </w:rPr>
        <w:t>执行《地表水环境质量标准》（GB3838-2002）中</w:t>
      </w:r>
      <w:r>
        <w:rPr>
          <w:rFonts w:hint="default" w:ascii="Times New Roman" w:hAnsi="Times New Roman" w:cs="Times New Roman"/>
          <w:color w:val="auto"/>
          <w:kern w:val="0"/>
          <w:sz w:val="24"/>
          <w:highlight w:val="none"/>
        </w:rPr>
        <w:fldChar w:fldCharType="begin"/>
      </w:r>
      <w:r>
        <w:rPr>
          <w:rFonts w:hint="default" w:ascii="Times New Roman" w:hAnsi="Times New Roman" w:cs="Times New Roman"/>
          <w:color w:val="auto"/>
          <w:kern w:val="0"/>
          <w:sz w:val="24"/>
          <w:highlight w:val="none"/>
        </w:rPr>
        <w:instrText xml:space="preserve"> = 3 \* ROMAN </w:instrText>
      </w:r>
      <w:r>
        <w:rPr>
          <w:rFonts w:hint="default" w:ascii="Times New Roman" w:hAnsi="Times New Roman" w:cs="Times New Roman"/>
          <w:color w:val="auto"/>
          <w:kern w:val="0"/>
          <w:sz w:val="24"/>
          <w:highlight w:val="none"/>
        </w:rPr>
        <w:fldChar w:fldCharType="separate"/>
      </w:r>
      <w:r>
        <w:rPr>
          <w:rFonts w:hint="default" w:ascii="Times New Roman" w:hAnsi="Times New Roman" w:cs="Times New Roman"/>
          <w:color w:val="auto"/>
          <w:kern w:val="0"/>
          <w:sz w:val="24"/>
          <w:highlight w:val="none"/>
        </w:rPr>
        <w:t>III</w:t>
      </w:r>
      <w:r>
        <w:rPr>
          <w:rFonts w:hint="default" w:ascii="Times New Roman" w:hAnsi="Times New Roman" w:cs="Times New Roman"/>
          <w:color w:val="auto"/>
          <w:kern w:val="0"/>
          <w:sz w:val="24"/>
          <w:highlight w:val="none"/>
        </w:rPr>
        <w:fldChar w:fldCharType="end"/>
      </w:r>
      <w:r>
        <w:rPr>
          <w:rFonts w:hint="default" w:ascii="Times New Roman" w:hAnsi="Times New Roman" w:cs="Times New Roman"/>
          <w:color w:val="auto"/>
          <w:kern w:val="0"/>
          <w:sz w:val="24"/>
          <w:highlight w:val="none"/>
        </w:rPr>
        <w:t>类标准。</w:t>
      </w:r>
    </w:p>
    <w:p w14:paraId="19E2C645">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表2-5-3地表水质量标准</w:t>
      </w:r>
    </w:p>
    <w:tbl>
      <w:tblPr>
        <w:tblStyle w:val="2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50"/>
        <w:gridCol w:w="1171"/>
        <w:gridCol w:w="1185"/>
        <w:gridCol w:w="774"/>
        <w:gridCol w:w="4842"/>
      </w:tblGrid>
      <w:tr w14:paraId="3BF322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restart"/>
            <w:tcBorders>
              <w:top w:val="single" w:color="auto" w:sz="12" w:space="0"/>
              <w:left w:val="nil"/>
              <w:bottom w:val="single" w:color="auto" w:sz="12" w:space="0"/>
              <w:right w:val="single" w:color="auto" w:sz="4" w:space="0"/>
            </w:tcBorders>
            <w:vAlign w:val="center"/>
          </w:tcPr>
          <w:p w14:paraId="2BDCF300">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环境</w:t>
            </w:r>
          </w:p>
          <w:p w14:paraId="5663133D">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要素</w:t>
            </w:r>
          </w:p>
        </w:tc>
        <w:tc>
          <w:tcPr>
            <w:tcW w:w="0" w:type="auto"/>
            <w:vMerge w:val="restart"/>
            <w:tcBorders>
              <w:top w:val="single" w:color="auto" w:sz="12" w:space="0"/>
              <w:left w:val="single" w:color="auto" w:sz="4" w:space="0"/>
              <w:bottom w:val="single" w:color="auto" w:sz="12" w:space="0"/>
              <w:right w:val="single" w:color="auto" w:sz="4" w:space="0"/>
            </w:tcBorders>
            <w:vAlign w:val="center"/>
          </w:tcPr>
          <w:p w14:paraId="31E5F140">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标准名称及级别</w:t>
            </w:r>
          </w:p>
        </w:tc>
        <w:tc>
          <w:tcPr>
            <w:tcW w:w="0" w:type="auto"/>
            <w:vMerge w:val="restart"/>
            <w:tcBorders>
              <w:top w:val="single" w:color="auto" w:sz="12" w:space="0"/>
              <w:left w:val="single" w:color="auto" w:sz="4" w:space="0"/>
              <w:bottom w:val="single" w:color="auto" w:sz="4" w:space="0"/>
              <w:right w:val="single" w:color="auto" w:sz="4" w:space="0"/>
            </w:tcBorders>
            <w:vAlign w:val="center"/>
          </w:tcPr>
          <w:p w14:paraId="5D64FD90">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项目</w:t>
            </w:r>
          </w:p>
        </w:tc>
        <w:tc>
          <w:tcPr>
            <w:tcW w:w="0" w:type="auto"/>
            <w:gridSpan w:val="2"/>
            <w:tcBorders>
              <w:top w:val="single" w:color="auto" w:sz="12" w:space="0"/>
              <w:left w:val="single" w:color="auto" w:sz="4" w:space="0"/>
              <w:bottom w:val="single" w:color="auto" w:sz="4" w:space="0"/>
              <w:right w:val="nil"/>
            </w:tcBorders>
            <w:vAlign w:val="center"/>
          </w:tcPr>
          <w:p w14:paraId="06606AF0">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标准值</w:t>
            </w:r>
          </w:p>
        </w:tc>
      </w:tr>
      <w:tr w14:paraId="5566B0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12" w:space="0"/>
              <w:left w:val="nil"/>
              <w:bottom w:val="single" w:color="auto" w:sz="12" w:space="0"/>
              <w:right w:val="single" w:color="auto" w:sz="4" w:space="0"/>
            </w:tcBorders>
            <w:vAlign w:val="center"/>
          </w:tcPr>
          <w:p w14:paraId="7986F8A0">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12" w:space="0"/>
              <w:left w:val="single" w:color="auto" w:sz="4" w:space="0"/>
              <w:bottom w:val="single" w:color="auto" w:sz="12" w:space="0"/>
              <w:right w:val="single" w:color="auto" w:sz="4" w:space="0"/>
            </w:tcBorders>
            <w:vAlign w:val="center"/>
          </w:tcPr>
          <w:p w14:paraId="49FD1CE4">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12" w:space="0"/>
              <w:left w:val="single" w:color="auto" w:sz="4" w:space="0"/>
              <w:bottom w:val="single" w:color="auto" w:sz="4" w:space="0"/>
              <w:right w:val="single" w:color="auto" w:sz="4" w:space="0"/>
            </w:tcBorders>
            <w:vAlign w:val="center"/>
          </w:tcPr>
          <w:p w14:paraId="0E4A3FF5">
            <w:pPr>
              <w:pStyle w:val="44"/>
              <w:bidi w:val="0"/>
              <w:rPr>
                <w:rFonts w:hint="default" w:ascii="Times New Roman" w:hAnsi="Times New Roman" w:cs="Times New Roman"/>
                <w:color w:val="auto"/>
                <w:highlight w:val="none"/>
                <w:lang w:val="zh-CN"/>
              </w:rPr>
            </w:pPr>
          </w:p>
        </w:tc>
        <w:tc>
          <w:tcPr>
            <w:tcW w:w="0" w:type="auto"/>
            <w:tcBorders>
              <w:top w:val="single" w:color="auto" w:sz="4" w:space="0"/>
              <w:left w:val="single" w:color="auto" w:sz="4" w:space="0"/>
              <w:bottom w:val="single" w:color="auto" w:sz="4" w:space="0"/>
              <w:right w:val="single" w:color="auto" w:sz="4" w:space="0"/>
            </w:tcBorders>
            <w:vAlign w:val="center"/>
          </w:tcPr>
          <w:p w14:paraId="51844769">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单位</w:t>
            </w:r>
          </w:p>
        </w:tc>
        <w:tc>
          <w:tcPr>
            <w:tcW w:w="0" w:type="auto"/>
            <w:tcBorders>
              <w:top w:val="single" w:color="auto" w:sz="4" w:space="0"/>
              <w:left w:val="single" w:color="auto" w:sz="4" w:space="0"/>
              <w:bottom w:val="single" w:color="auto" w:sz="4" w:space="0"/>
              <w:right w:val="nil"/>
            </w:tcBorders>
            <w:vAlign w:val="center"/>
          </w:tcPr>
          <w:p w14:paraId="5AB463D4">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数值</w:t>
            </w:r>
          </w:p>
        </w:tc>
      </w:tr>
      <w:tr w14:paraId="72FD91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12" w:space="0"/>
              <w:left w:val="nil"/>
              <w:bottom w:val="single" w:color="auto" w:sz="12" w:space="0"/>
              <w:right w:val="single" w:color="auto" w:sz="4" w:space="0"/>
            </w:tcBorders>
            <w:vAlign w:val="center"/>
          </w:tcPr>
          <w:p w14:paraId="5F867694">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12" w:space="0"/>
              <w:left w:val="single" w:color="auto" w:sz="4" w:space="0"/>
              <w:bottom w:val="single" w:color="auto" w:sz="12" w:space="0"/>
              <w:right w:val="single" w:color="auto" w:sz="4" w:space="0"/>
            </w:tcBorders>
            <w:vAlign w:val="center"/>
          </w:tcPr>
          <w:p w14:paraId="447FE83A">
            <w:pPr>
              <w:pStyle w:val="44"/>
              <w:bidi w:val="0"/>
              <w:rPr>
                <w:rFonts w:hint="default" w:ascii="Times New Roman" w:hAnsi="Times New Roman" w:cs="Times New Roman"/>
                <w:color w:val="auto"/>
                <w:highlight w:val="none"/>
                <w:lang w:val="zh-CN"/>
              </w:rPr>
            </w:pPr>
          </w:p>
        </w:tc>
        <w:tc>
          <w:tcPr>
            <w:tcW w:w="0" w:type="auto"/>
            <w:tcBorders>
              <w:top w:val="single" w:color="auto" w:sz="4" w:space="0"/>
              <w:left w:val="single" w:color="auto" w:sz="4" w:space="0"/>
              <w:bottom w:val="single" w:color="auto" w:sz="4" w:space="0"/>
              <w:right w:val="single" w:color="auto" w:sz="4" w:space="0"/>
            </w:tcBorders>
            <w:vAlign w:val="center"/>
          </w:tcPr>
          <w:p w14:paraId="79FCD87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水温</w:t>
            </w:r>
          </w:p>
        </w:tc>
        <w:tc>
          <w:tcPr>
            <w:tcW w:w="0" w:type="auto"/>
            <w:tcBorders>
              <w:top w:val="single" w:color="auto" w:sz="4" w:space="0"/>
              <w:left w:val="single" w:color="auto" w:sz="4" w:space="0"/>
              <w:bottom w:val="single" w:color="auto" w:sz="4" w:space="0"/>
              <w:right w:val="single" w:color="auto" w:sz="4" w:space="0"/>
            </w:tcBorders>
            <w:vAlign w:val="center"/>
          </w:tcPr>
          <w:p w14:paraId="7408BCBE">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0" w:type="auto"/>
            <w:tcBorders>
              <w:top w:val="single" w:color="auto" w:sz="4" w:space="0"/>
              <w:left w:val="single" w:color="auto" w:sz="4" w:space="0"/>
              <w:bottom w:val="single" w:color="auto" w:sz="4" w:space="0"/>
              <w:right w:val="nil"/>
            </w:tcBorders>
            <w:vAlign w:val="center"/>
          </w:tcPr>
          <w:p w14:paraId="0E3DC6BA">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人为造成的环境水温变化应限制在：周平均最大温升≤1℃，周平均最大温降≤2℃</w:t>
            </w:r>
          </w:p>
        </w:tc>
      </w:tr>
      <w:tr w14:paraId="616E32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12" w:space="0"/>
              <w:left w:val="nil"/>
              <w:bottom w:val="single" w:color="auto" w:sz="12" w:space="0"/>
              <w:right w:val="single" w:color="auto" w:sz="4" w:space="0"/>
            </w:tcBorders>
            <w:vAlign w:val="center"/>
          </w:tcPr>
          <w:p w14:paraId="04B95F1A">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12" w:space="0"/>
              <w:left w:val="single" w:color="auto" w:sz="4" w:space="0"/>
              <w:bottom w:val="single" w:color="auto" w:sz="12" w:space="0"/>
              <w:right w:val="single" w:color="auto" w:sz="4" w:space="0"/>
            </w:tcBorders>
            <w:vAlign w:val="center"/>
          </w:tcPr>
          <w:p w14:paraId="568213D4">
            <w:pPr>
              <w:pStyle w:val="44"/>
              <w:bidi w:val="0"/>
              <w:rPr>
                <w:rFonts w:hint="default" w:ascii="Times New Roman" w:hAnsi="Times New Roman" w:cs="Times New Roman"/>
                <w:color w:val="auto"/>
                <w:highlight w:val="none"/>
                <w:lang w:val="zh-CN"/>
              </w:rPr>
            </w:pPr>
          </w:p>
        </w:tc>
        <w:tc>
          <w:tcPr>
            <w:tcW w:w="0" w:type="auto"/>
            <w:tcBorders>
              <w:top w:val="single" w:color="auto" w:sz="4" w:space="0"/>
              <w:left w:val="single" w:color="auto" w:sz="4" w:space="0"/>
              <w:bottom w:val="single" w:color="auto" w:sz="4" w:space="0"/>
              <w:right w:val="single" w:color="auto" w:sz="4" w:space="0"/>
            </w:tcBorders>
            <w:vAlign w:val="center"/>
          </w:tcPr>
          <w:p w14:paraId="573F8C5F">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pH</w:t>
            </w:r>
          </w:p>
        </w:tc>
        <w:tc>
          <w:tcPr>
            <w:tcW w:w="0" w:type="auto"/>
            <w:tcBorders>
              <w:top w:val="single" w:color="auto" w:sz="4" w:space="0"/>
              <w:left w:val="single" w:color="auto" w:sz="4" w:space="0"/>
              <w:bottom w:val="single" w:color="auto" w:sz="4" w:space="0"/>
              <w:right w:val="single" w:color="auto" w:sz="4" w:space="0"/>
            </w:tcBorders>
            <w:vAlign w:val="center"/>
          </w:tcPr>
          <w:p w14:paraId="3BF908FB">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无量纲</w:t>
            </w:r>
          </w:p>
        </w:tc>
        <w:tc>
          <w:tcPr>
            <w:tcW w:w="0" w:type="auto"/>
            <w:tcBorders>
              <w:top w:val="single" w:color="auto" w:sz="4" w:space="0"/>
              <w:left w:val="single" w:color="auto" w:sz="4" w:space="0"/>
              <w:bottom w:val="single" w:color="auto" w:sz="4" w:space="0"/>
              <w:right w:val="nil"/>
            </w:tcBorders>
            <w:vAlign w:val="center"/>
          </w:tcPr>
          <w:p w14:paraId="5BDA514F">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6~9</w:t>
            </w:r>
          </w:p>
        </w:tc>
      </w:tr>
      <w:tr w14:paraId="16F835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12" w:space="0"/>
              <w:left w:val="nil"/>
              <w:bottom w:val="single" w:color="auto" w:sz="12" w:space="0"/>
              <w:right w:val="single" w:color="auto" w:sz="4" w:space="0"/>
            </w:tcBorders>
            <w:vAlign w:val="center"/>
          </w:tcPr>
          <w:p w14:paraId="5B94E498">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12" w:space="0"/>
              <w:left w:val="single" w:color="auto" w:sz="4" w:space="0"/>
              <w:bottom w:val="single" w:color="auto" w:sz="12" w:space="0"/>
              <w:right w:val="single" w:color="auto" w:sz="4" w:space="0"/>
            </w:tcBorders>
            <w:vAlign w:val="center"/>
          </w:tcPr>
          <w:p w14:paraId="7A12719C">
            <w:pPr>
              <w:pStyle w:val="44"/>
              <w:bidi w:val="0"/>
              <w:rPr>
                <w:rFonts w:hint="default" w:ascii="Times New Roman" w:hAnsi="Times New Roman" w:cs="Times New Roman"/>
                <w:color w:val="auto"/>
                <w:highlight w:val="none"/>
                <w:lang w:val="zh-CN"/>
              </w:rPr>
            </w:pPr>
          </w:p>
        </w:tc>
        <w:tc>
          <w:tcPr>
            <w:tcW w:w="0" w:type="auto"/>
            <w:tcBorders>
              <w:top w:val="single" w:color="auto" w:sz="4" w:space="0"/>
              <w:left w:val="single" w:color="auto" w:sz="4" w:space="0"/>
              <w:bottom w:val="single" w:color="auto" w:sz="4" w:space="0"/>
              <w:right w:val="single" w:color="auto" w:sz="4" w:space="0"/>
            </w:tcBorders>
            <w:vAlign w:val="center"/>
          </w:tcPr>
          <w:p w14:paraId="309D5812">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溶解氧</w:t>
            </w:r>
          </w:p>
        </w:tc>
        <w:tc>
          <w:tcPr>
            <w:tcW w:w="0" w:type="auto"/>
            <w:vMerge w:val="restart"/>
            <w:tcBorders>
              <w:top w:val="single" w:color="auto" w:sz="4" w:space="0"/>
              <w:left w:val="single" w:color="auto" w:sz="4" w:space="0"/>
              <w:bottom w:val="single" w:color="auto" w:sz="12" w:space="0"/>
              <w:right w:val="single" w:color="auto" w:sz="4" w:space="0"/>
            </w:tcBorders>
            <w:vAlign w:val="center"/>
          </w:tcPr>
          <w:p w14:paraId="1F4881AF">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mg/L</w:t>
            </w:r>
          </w:p>
        </w:tc>
        <w:tc>
          <w:tcPr>
            <w:tcW w:w="0" w:type="auto"/>
            <w:tcBorders>
              <w:top w:val="single" w:color="auto" w:sz="4" w:space="0"/>
              <w:left w:val="single" w:color="auto" w:sz="4" w:space="0"/>
              <w:bottom w:val="single" w:color="auto" w:sz="4" w:space="0"/>
              <w:right w:val="nil"/>
            </w:tcBorders>
            <w:vAlign w:val="center"/>
          </w:tcPr>
          <w:p w14:paraId="3BA3D391">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≥5</w:t>
            </w:r>
          </w:p>
        </w:tc>
      </w:tr>
      <w:tr w14:paraId="220098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12" w:space="0"/>
              <w:left w:val="nil"/>
              <w:bottom w:val="single" w:color="auto" w:sz="12" w:space="0"/>
              <w:right w:val="single" w:color="auto" w:sz="4" w:space="0"/>
            </w:tcBorders>
            <w:vAlign w:val="center"/>
          </w:tcPr>
          <w:p w14:paraId="4B3B5232">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12" w:space="0"/>
              <w:left w:val="single" w:color="auto" w:sz="4" w:space="0"/>
              <w:bottom w:val="single" w:color="auto" w:sz="12" w:space="0"/>
              <w:right w:val="single" w:color="auto" w:sz="4" w:space="0"/>
            </w:tcBorders>
            <w:vAlign w:val="center"/>
          </w:tcPr>
          <w:p w14:paraId="3DCD1F9B">
            <w:pPr>
              <w:pStyle w:val="44"/>
              <w:bidi w:val="0"/>
              <w:rPr>
                <w:rFonts w:hint="default" w:ascii="Times New Roman" w:hAnsi="Times New Roman" w:cs="Times New Roman"/>
                <w:color w:val="auto"/>
                <w:highlight w:val="none"/>
                <w:lang w:val="zh-CN"/>
              </w:rPr>
            </w:pPr>
          </w:p>
        </w:tc>
        <w:tc>
          <w:tcPr>
            <w:tcW w:w="0" w:type="auto"/>
            <w:tcBorders>
              <w:top w:val="single" w:color="auto" w:sz="4" w:space="0"/>
              <w:left w:val="single" w:color="auto" w:sz="4" w:space="0"/>
              <w:bottom w:val="single" w:color="auto" w:sz="4" w:space="0"/>
              <w:right w:val="single" w:color="auto" w:sz="4" w:space="0"/>
            </w:tcBorders>
            <w:vAlign w:val="center"/>
          </w:tcPr>
          <w:p w14:paraId="0142562D">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高锰酸盐指数</w:t>
            </w: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68F0C028">
            <w:pPr>
              <w:pStyle w:val="44"/>
              <w:bidi w:val="0"/>
              <w:rPr>
                <w:rFonts w:hint="default" w:ascii="Times New Roman" w:hAnsi="Times New Roman" w:cs="Times New Roman"/>
                <w:color w:val="auto"/>
                <w:highlight w:val="none"/>
                <w:lang w:val="zh-CN"/>
              </w:rPr>
            </w:pPr>
          </w:p>
        </w:tc>
        <w:tc>
          <w:tcPr>
            <w:tcW w:w="0" w:type="auto"/>
            <w:tcBorders>
              <w:top w:val="single" w:color="auto" w:sz="4" w:space="0"/>
              <w:left w:val="single" w:color="auto" w:sz="4" w:space="0"/>
              <w:bottom w:val="single" w:color="auto" w:sz="4" w:space="0"/>
              <w:right w:val="nil"/>
            </w:tcBorders>
            <w:vAlign w:val="center"/>
          </w:tcPr>
          <w:p w14:paraId="7708A721">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≤6</w:t>
            </w:r>
          </w:p>
        </w:tc>
      </w:tr>
      <w:tr w14:paraId="7DA0E7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12" w:space="0"/>
              <w:left w:val="nil"/>
              <w:bottom w:val="single" w:color="auto" w:sz="12" w:space="0"/>
              <w:right w:val="single" w:color="auto" w:sz="4" w:space="0"/>
            </w:tcBorders>
            <w:vAlign w:val="center"/>
          </w:tcPr>
          <w:p w14:paraId="0BDA9B24">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12" w:space="0"/>
              <w:left w:val="single" w:color="auto" w:sz="4" w:space="0"/>
              <w:bottom w:val="single" w:color="auto" w:sz="12" w:space="0"/>
              <w:right w:val="single" w:color="auto" w:sz="4" w:space="0"/>
            </w:tcBorders>
            <w:vAlign w:val="center"/>
          </w:tcPr>
          <w:p w14:paraId="5C7E6EAC">
            <w:pPr>
              <w:pStyle w:val="44"/>
              <w:bidi w:val="0"/>
              <w:rPr>
                <w:rFonts w:hint="default" w:ascii="Times New Roman" w:hAnsi="Times New Roman" w:cs="Times New Roman"/>
                <w:color w:val="auto"/>
                <w:highlight w:val="none"/>
                <w:lang w:val="zh-CN"/>
              </w:rPr>
            </w:pPr>
          </w:p>
        </w:tc>
        <w:tc>
          <w:tcPr>
            <w:tcW w:w="0" w:type="auto"/>
            <w:tcBorders>
              <w:top w:val="single" w:color="auto" w:sz="4" w:space="0"/>
              <w:left w:val="single" w:color="auto" w:sz="4" w:space="0"/>
              <w:bottom w:val="single" w:color="auto" w:sz="4" w:space="0"/>
              <w:right w:val="single" w:color="auto" w:sz="4" w:space="0"/>
            </w:tcBorders>
            <w:vAlign w:val="center"/>
          </w:tcPr>
          <w:p w14:paraId="796897F8">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COD</w:t>
            </w: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3C9AFCFB">
            <w:pPr>
              <w:pStyle w:val="44"/>
              <w:bidi w:val="0"/>
              <w:rPr>
                <w:rFonts w:hint="default" w:ascii="Times New Roman" w:hAnsi="Times New Roman" w:cs="Times New Roman"/>
                <w:color w:val="auto"/>
                <w:highlight w:val="none"/>
                <w:lang w:val="zh-CN"/>
              </w:rPr>
            </w:pPr>
          </w:p>
        </w:tc>
        <w:tc>
          <w:tcPr>
            <w:tcW w:w="0" w:type="auto"/>
            <w:tcBorders>
              <w:top w:val="single" w:color="auto" w:sz="4" w:space="0"/>
              <w:left w:val="single" w:color="auto" w:sz="4" w:space="0"/>
              <w:bottom w:val="single" w:color="auto" w:sz="4" w:space="0"/>
              <w:right w:val="nil"/>
            </w:tcBorders>
            <w:vAlign w:val="center"/>
          </w:tcPr>
          <w:p w14:paraId="20E7F4A3">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≤20</w:t>
            </w:r>
          </w:p>
        </w:tc>
      </w:tr>
      <w:tr w14:paraId="59C66D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12" w:space="0"/>
              <w:left w:val="nil"/>
              <w:bottom w:val="single" w:color="auto" w:sz="12" w:space="0"/>
              <w:right w:val="single" w:color="auto" w:sz="4" w:space="0"/>
            </w:tcBorders>
            <w:vAlign w:val="center"/>
          </w:tcPr>
          <w:p w14:paraId="20E4EF94">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12" w:space="0"/>
              <w:left w:val="single" w:color="auto" w:sz="4" w:space="0"/>
              <w:bottom w:val="single" w:color="auto" w:sz="12" w:space="0"/>
              <w:right w:val="single" w:color="auto" w:sz="4" w:space="0"/>
            </w:tcBorders>
            <w:vAlign w:val="center"/>
          </w:tcPr>
          <w:p w14:paraId="09C7D3DD">
            <w:pPr>
              <w:pStyle w:val="44"/>
              <w:bidi w:val="0"/>
              <w:rPr>
                <w:rFonts w:hint="default" w:ascii="Times New Roman" w:hAnsi="Times New Roman" w:cs="Times New Roman"/>
                <w:color w:val="auto"/>
                <w:highlight w:val="none"/>
                <w:lang w:val="zh-CN"/>
              </w:rPr>
            </w:pPr>
          </w:p>
        </w:tc>
        <w:tc>
          <w:tcPr>
            <w:tcW w:w="0" w:type="auto"/>
            <w:tcBorders>
              <w:top w:val="single" w:color="auto" w:sz="4" w:space="0"/>
              <w:left w:val="single" w:color="auto" w:sz="4" w:space="0"/>
              <w:bottom w:val="single" w:color="auto" w:sz="4" w:space="0"/>
              <w:right w:val="single" w:color="auto" w:sz="4" w:space="0"/>
            </w:tcBorders>
            <w:vAlign w:val="center"/>
          </w:tcPr>
          <w:p w14:paraId="5217899E">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BOD5</w:t>
            </w: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6C076569">
            <w:pPr>
              <w:pStyle w:val="44"/>
              <w:bidi w:val="0"/>
              <w:rPr>
                <w:rFonts w:hint="default" w:ascii="Times New Roman" w:hAnsi="Times New Roman" w:cs="Times New Roman"/>
                <w:color w:val="auto"/>
                <w:highlight w:val="none"/>
                <w:lang w:val="zh-CN"/>
              </w:rPr>
            </w:pPr>
          </w:p>
        </w:tc>
        <w:tc>
          <w:tcPr>
            <w:tcW w:w="0" w:type="auto"/>
            <w:tcBorders>
              <w:top w:val="single" w:color="auto" w:sz="4" w:space="0"/>
              <w:left w:val="single" w:color="auto" w:sz="4" w:space="0"/>
              <w:bottom w:val="single" w:color="auto" w:sz="4" w:space="0"/>
              <w:right w:val="nil"/>
            </w:tcBorders>
            <w:vAlign w:val="center"/>
          </w:tcPr>
          <w:p w14:paraId="72CA6660">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≤4</w:t>
            </w:r>
          </w:p>
        </w:tc>
      </w:tr>
      <w:tr w14:paraId="23A78E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12" w:space="0"/>
              <w:left w:val="nil"/>
              <w:bottom w:val="single" w:color="auto" w:sz="12" w:space="0"/>
              <w:right w:val="single" w:color="auto" w:sz="4" w:space="0"/>
            </w:tcBorders>
            <w:vAlign w:val="center"/>
          </w:tcPr>
          <w:p w14:paraId="2C5764BD">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12" w:space="0"/>
              <w:left w:val="single" w:color="auto" w:sz="4" w:space="0"/>
              <w:bottom w:val="single" w:color="auto" w:sz="12" w:space="0"/>
              <w:right w:val="single" w:color="auto" w:sz="4" w:space="0"/>
            </w:tcBorders>
            <w:vAlign w:val="center"/>
          </w:tcPr>
          <w:p w14:paraId="2FC07722">
            <w:pPr>
              <w:pStyle w:val="44"/>
              <w:bidi w:val="0"/>
              <w:rPr>
                <w:rFonts w:hint="default" w:ascii="Times New Roman" w:hAnsi="Times New Roman" w:cs="Times New Roman"/>
                <w:color w:val="auto"/>
                <w:highlight w:val="none"/>
                <w:lang w:val="zh-CN"/>
              </w:rPr>
            </w:pPr>
          </w:p>
        </w:tc>
        <w:tc>
          <w:tcPr>
            <w:tcW w:w="0" w:type="auto"/>
            <w:tcBorders>
              <w:top w:val="single" w:color="auto" w:sz="4" w:space="0"/>
              <w:left w:val="single" w:color="auto" w:sz="4" w:space="0"/>
              <w:bottom w:val="single" w:color="auto" w:sz="4" w:space="0"/>
              <w:right w:val="single" w:color="auto" w:sz="4" w:space="0"/>
            </w:tcBorders>
            <w:vAlign w:val="center"/>
          </w:tcPr>
          <w:p w14:paraId="05A73057">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氨氮</w:t>
            </w: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79F63D0A">
            <w:pPr>
              <w:pStyle w:val="44"/>
              <w:bidi w:val="0"/>
              <w:rPr>
                <w:rFonts w:hint="default" w:ascii="Times New Roman" w:hAnsi="Times New Roman" w:cs="Times New Roman"/>
                <w:color w:val="auto"/>
                <w:highlight w:val="none"/>
                <w:lang w:val="zh-CN"/>
              </w:rPr>
            </w:pPr>
          </w:p>
        </w:tc>
        <w:tc>
          <w:tcPr>
            <w:tcW w:w="0" w:type="auto"/>
            <w:tcBorders>
              <w:top w:val="single" w:color="auto" w:sz="4" w:space="0"/>
              <w:left w:val="single" w:color="auto" w:sz="4" w:space="0"/>
              <w:bottom w:val="single" w:color="auto" w:sz="4" w:space="0"/>
              <w:right w:val="nil"/>
            </w:tcBorders>
            <w:vAlign w:val="center"/>
          </w:tcPr>
          <w:p w14:paraId="769094C0">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≤1.0</w:t>
            </w:r>
          </w:p>
        </w:tc>
      </w:tr>
      <w:tr w14:paraId="1E92AD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12" w:space="0"/>
              <w:left w:val="nil"/>
              <w:bottom w:val="single" w:color="auto" w:sz="12" w:space="0"/>
              <w:right w:val="single" w:color="auto" w:sz="4" w:space="0"/>
            </w:tcBorders>
            <w:vAlign w:val="center"/>
          </w:tcPr>
          <w:p w14:paraId="6E052025">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12" w:space="0"/>
              <w:left w:val="single" w:color="auto" w:sz="4" w:space="0"/>
              <w:bottom w:val="single" w:color="auto" w:sz="12" w:space="0"/>
              <w:right w:val="single" w:color="auto" w:sz="4" w:space="0"/>
            </w:tcBorders>
            <w:vAlign w:val="center"/>
          </w:tcPr>
          <w:p w14:paraId="55AF0B33">
            <w:pPr>
              <w:pStyle w:val="44"/>
              <w:bidi w:val="0"/>
              <w:rPr>
                <w:rFonts w:hint="default" w:ascii="Times New Roman" w:hAnsi="Times New Roman" w:cs="Times New Roman"/>
                <w:color w:val="auto"/>
                <w:highlight w:val="none"/>
                <w:lang w:val="zh-CN"/>
              </w:rPr>
            </w:pPr>
          </w:p>
        </w:tc>
        <w:tc>
          <w:tcPr>
            <w:tcW w:w="0" w:type="auto"/>
            <w:tcBorders>
              <w:top w:val="single" w:color="auto" w:sz="4" w:space="0"/>
              <w:left w:val="single" w:color="auto" w:sz="4" w:space="0"/>
              <w:bottom w:val="single" w:color="auto" w:sz="4" w:space="0"/>
              <w:right w:val="single" w:color="auto" w:sz="4" w:space="0"/>
            </w:tcBorders>
            <w:vAlign w:val="center"/>
          </w:tcPr>
          <w:p w14:paraId="374D82C3">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总磷</w:t>
            </w: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339E4783">
            <w:pPr>
              <w:pStyle w:val="44"/>
              <w:bidi w:val="0"/>
              <w:rPr>
                <w:rFonts w:hint="default" w:ascii="Times New Roman" w:hAnsi="Times New Roman" w:cs="Times New Roman"/>
                <w:color w:val="auto"/>
                <w:highlight w:val="none"/>
                <w:lang w:val="zh-CN"/>
              </w:rPr>
            </w:pPr>
          </w:p>
        </w:tc>
        <w:tc>
          <w:tcPr>
            <w:tcW w:w="0" w:type="auto"/>
            <w:tcBorders>
              <w:top w:val="single" w:color="auto" w:sz="4" w:space="0"/>
              <w:left w:val="single" w:color="auto" w:sz="4" w:space="0"/>
              <w:bottom w:val="single" w:color="auto" w:sz="4" w:space="0"/>
              <w:right w:val="nil"/>
            </w:tcBorders>
            <w:vAlign w:val="center"/>
          </w:tcPr>
          <w:p w14:paraId="5A2A29CE">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≤0.2</w:t>
            </w:r>
          </w:p>
        </w:tc>
      </w:tr>
      <w:tr w14:paraId="25587E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12" w:space="0"/>
              <w:left w:val="nil"/>
              <w:bottom w:val="single" w:color="auto" w:sz="12" w:space="0"/>
              <w:right w:val="single" w:color="auto" w:sz="4" w:space="0"/>
            </w:tcBorders>
            <w:vAlign w:val="center"/>
          </w:tcPr>
          <w:p w14:paraId="7C050D01">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12" w:space="0"/>
              <w:left w:val="single" w:color="auto" w:sz="4" w:space="0"/>
              <w:bottom w:val="single" w:color="auto" w:sz="12" w:space="0"/>
              <w:right w:val="single" w:color="auto" w:sz="4" w:space="0"/>
            </w:tcBorders>
            <w:vAlign w:val="center"/>
          </w:tcPr>
          <w:p w14:paraId="68D0DE4A">
            <w:pPr>
              <w:pStyle w:val="44"/>
              <w:bidi w:val="0"/>
              <w:rPr>
                <w:rFonts w:hint="default" w:ascii="Times New Roman" w:hAnsi="Times New Roman" w:cs="Times New Roman"/>
                <w:color w:val="auto"/>
                <w:highlight w:val="none"/>
                <w:lang w:val="zh-CN"/>
              </w:rPr>
            </w:pPr>
          </w:p>
        </w:tc>
        <w:tc>
          <w:tcPr>
            <w:tcW w:w="0" w:type="auto"/>
            <w:tcBorders>
              <w:top w:val="single" w:color="auto" w:sz="4" w:space="0"/>
              <w:left w:val="single" w:color="auto" w:sz="4" w:space="0"/>
              <w:bottom w:val="single" w:color="auto" w:sz="12" w:space="0"/>
              <w:right w:val="single" w:color="auto" w:sz="4" w:space="0"/>
            </w:tcBorders>
            <w:vAlign w:val="center"/>
          </w:tcPr>
          <w:p w14:paraId="2FECB1B3">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氟化物</w:t>
            </w: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2669DA53">
            <w:pPr>
              <w:pStyle w:val="44"/>
              <w:bidi w:val="0"/>
              <w:rPr>
                <w:rFonts w:hint="default" w:ascii="Times New Roman" w:hAnsi="Times New Roman" w:cs="Times New Roman"/>
                <w:color w:val="auto"/>
                <w:highlight w:val="none"/>
                <w:lang w:val="zh-CN"/>
              </w:rPr>
            </w:pPr>
          </w:p>
        </w:tc>
        <w:tc>
          <w:tcPr>
            <w:tcW w:w="0" w:type="auto"/>
            <w:tcBorders>
              <w:top w:val="single" w:color="auto" w:sz="4" w:space="0"/>
              <w:left w:val="single" w:color="auto" w:sz="4" w:space="0"/>
              <w:bottom w:val="single" w:color="auto" w:sz="12" w:space="0"/>
              <w:right w:val="nil"/>
            </w:tcBorders>
            <w:vAlign w:val="center"/>
          </w:tcPr>
          <w:p w14:paraId="45E961C4">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≤1.0</w:t>
            </w:r>
          </w:p>
        </w:tc>
      </w:tr>
    </w:tbl>
    <w:p w14:paraId="4EEEA792">
      <w:pPr>
        <w:spacing w:line="500" w:lineRule="exact"/>
        <w:ind w:firstLine="480" w:firstLineChars="200"/>
        <w:rPr>
          <w:rFonts w:hint="default" w:ascii="Times New Roman" w:hAnsi="Times New Roman" w:cs="Times New Roman"/>
          <w:snapToGrid w:val="0"/>
          <w:color w:val="auto"/>
          <w:kern w:val="0"/>
          <w:sz w:val="24"/>
          <w:szCs w:val="22"/>
          <w:highlight w:val="none"/>
        </w:rPr>
      </w:pPr>
      <w:r>
        <w:rPr>
          <w:rFonts w:hint="default" w:ascii="Times New Roman" w:hAnsi="Times New Roman" w:cs="Times New Roman"/>
          <w:snapToGrid w:val="0"/>
          <w:color w:val="auto"/>
          <w:kern w:val="0"/>
          <w:sz w:val="24"/>
          <w:szCs w:val="22"/>
          <w:highlight w:val="none"/>
          <w:lang w:val="en-US" w:eastAsia="zh-CN"/>
        </w:rPr>
        <w:t>4、</w:t>
      </w:r>
      <w:r>
        <w:rPr>
          <w:rFonts w:hint="default" w:ascii="Times New Roman" w:hAnsi="Times New Roman" w:cs="Times New Roman"/>
          <w:snapToGrid w:val="0"/>
          <w:color w:val="auto"/>
          <w:kern w:val="0"/>
          <w:sz w:val="24"/>
          <w:szCs w:val="22"/>
          <w:highlight w:val="none"/>
        </w:rPr>
        <w:t>声环境</w:t>
      </w:r>
    </w:p>
    <w:p w14:paraId="349F7098">
      <w:pPr>
        <w:spacing w:line="500" w:lineRule="exact"/>
        <w:ind w:firstLine="480" w:firstLineChars="200"/>
        <w:rPr>
          <w:rFonts w:hint="default" w:ascii="Times New Roman" w:hAnsi="Times New Roman" w:eastAsia="宋体" w:cs="Times New Roman"/>
          <w:snapToGrid w:val="0"/>
          <w:color w:val="auto"/>
          <w:kern w:val="0"/>
          <w:sz w:val="24"/>
          <w:szCs w:val="22"/>
          <w:highlight w:val="none"/>
          <w:lang w:eastAsia="zh-CN"/>
        </w:rPr>
      </w:pPr>
      <w:r>
        <w:rPr>
          <w:rFonts w:hint="default" w:ascii="Times New Roman" w:hAnsi="Times New Roman" w:cs="Times New Roman"/>
          <w:snapToGrid w:val="0"/>
          <w:color w:val="auto"/>
          <w:kern w:val="0"/>
          <w:sz w:val="24"/>
          <w:szCs w:val="22"/>
          <w:highlight w:val="none"/>
        </w:rPr>
        <w:t>根据《鸡西市中心城市声环境功能区划分细化调整方案》，本项目12个修复矿山位置均不在声环境功能区划范围内，按照声环境功能区划分技术规范》(GB/T15190-2014)，项目区声环境功能区按照1类功能区执行，运输道路两侧敏感点农村执行《声环境质量标准》（GB3096-2008）中的1类</w:t>
      </w:r>
      <w:r>
        <w:rPr>
          <w:rFonts w:hint="default" w:ascii="Times New Roman" w:hAnsi="Times New Roman" w:cs="Times New Roman"/>
          <w:snapToGrid w:val="0"/>
          <w:color w:val="auto"/>
          <w:kern w:val="0"/>
          <w:sz w:val="24"/>
          <w:szCs w:val="22"/>
          <w:highlight w:val="none"/>
          <w:lang w:eastAsia="zh-CN"/>
        </w:rPr>
        <w:t>，</w:t>
      </w:r>
      <w:r>
        <w:rPr>
          <w:rFonts w:hint="default" w:ascii="Times New Roman" w:hAnsi="Times New Roman" w:cs="Times New Roman"/>
          <w:snapToGrid w:val="0"/>
          <w:color w:val="auto"/>
          <w:kern w:val="0"/>
          <w:sz w:val="24"/>
          <w:szCs w:val="22"/>
          <w:highlight w:val="none"/>
          <w:lang w:val="en-US" w:eastAsia="zh-CN"/>
        </w:rPr>
        <w:t>城镇执行2类标准</w:t>
      </w:r>
      <w:r>
        <w:rPr>
          <w:rFonts w:hint="default" w:ascii="Times New Roman" w:hAnsi="Times New Roman" w:cs="Times New Roman"/>
          <w:snapToGrid w:val="0"/>
          <w:color w:val="auto"/>
          <w:kern w:val="0"/>
          <w:sz w:val="24"/>
          <w:szCs w:val="22"/>
          <w:highlight w:val="none"/>
          <w:lang w:eastAsia="zh-CN"/>
        </w:rPr>
        <w:t>。</w:t>
      </w:r>
    </w:p>
    <w:p w14:paraId="63AF47EA">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表2-5-4声环境质量标准</w:t>
      </w:r>
    </w:p>
    <w:tbl>
      <w:tblPr>
        <w:tblStyle w:val="20"/>
        <w:tblW w:w="520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19"/>
        <w:gridCol w:w="2898"/>
        <w:gridCol w:w="4053"/>
      </w:tblGrid>
      <w:tr w14:paraId="30EC50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vMerge w:val="restart"/>
            <w:tcBorders>
              <w:tl2br w:val="nil"/>
              <w:tr2bl w:val="nil"/>
            </w:tcBorders>
            <w:vAlign w:val="center"/>
          </w:tcPr>
          <w:p w14:paraId="5666CDE6">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类别</w:t>
            </w:r>
          </w:p>
        </w:tc>
        <w:tc>
          <w:tcPr>
            <w:tcW w:w="3917" w:type="pct"/>
            <w:gridSpan w:val="2"/>
            <w:tcBorders>
              <w:tl2br w:val="nil"/>
              <w:tr2bl w:val="nil"/>
            </w:tcBorders>
            <w:vAlign w:val="center"/>
          </w:tcPr>
          <w:p w14:paraId="40F5CDFE">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标准限值dB（A）</w:t>
            </w:r>
          </w:p>
        </w:tc>
      </w:tr>
      <w:tr w14:paraId="4A5D0C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0" w:type="auto"/>
            <w:vMerge w:val="continue"/>
            <w:tcBorders>
              <w:tl2br w:val="nil"/>
              <w:tr2bl w:val="nil"/>
            </w:tcBorders>
            <w:vAlign w:val="center"/>
          </w:tcPr>
          <w:p w14:paraId="74CBE1EC">
            <w:pPr>
              <w:pStyle w:val="44"/>
              <w:bidi w:val="0"/>
              <w:rPr>
                <w:rFonts w:hint="default" w:ascii="Times New Roman" w:hAnsi="Times New Roman" w:cs="Times New Roman"/>
                <w:color w:val="auto"/>
                <w:highlight w:val="none"/>
                <w:lang w:val="zh-CN"/>
              </w:rPr>
            </w:pPr>
          </w:p>
        </w:tc>
        <w:tc>
          <w:tcPr>
            <w:tcW w:w="1633" w:type="pct"/>
            <w:tcBorders>
              <w:tl2br w:val="nil"/>
              <w:tr2bl w:val="nil"/>
            </w:tcBorders>
            <w:vAlign w:val="center"/>
          </w:tcPr>
          <w:p w14:paraId="4CA7214E">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昼间</w:t>
            </w:r>
          </w:p>
        </w:tc>
        <w:tc>
          <w:tcPr>
            <w:tcW w:w="2283" w:type="pct"/>
            <w:tcBorders>
              <w:tl2br w:val="nil"/>
              <w:tr2bl w:val="nil"/>
            </w:tcBorders>
            <w:vAlign w:val="center"/>
          </w:tcPr>
          <w:p w14:paraId="42B58FDE">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夜间</w:t>
            </w:r>
          </w:p>
        </w:tc>
      </w:tr>
      <w:tr w14:paraId="0A9B76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tcBorders>
              <w:tl2br w:val="nil"/>
              <w:tr2bl w:val="nil"/>
            </w:tcBorders>
            <w:vAlign w:val="center"/>
          </w:tcPr>
          <w:p w14:paraId="6EA2E385">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1类</w:t>
            </w:r>
          </w:p>
        </w:tc>
        <w:tc>
          <w:tcPr>
            <w:tcW w:w="1633" w:type="pct"/>
            <w:tcBorders>
              <w:tl2br w:val="nil"/>
              <w:tr2bl w:val="nil"/>
            </w:tcBorders>
            <w:vAlign w:val="center"/>
          </w:tcPr>
          <w:p w14:paraId="79FF5EFF">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55</w:t>
            </w:r>
          </w:p>
        </w:tc>
        <w:tc>
          <w:tcPr>
            <w:tcW w:w="2283" w:type="pct"/>
            <w:tcBorders>
              <w:tl2br w:val="nil"/>
              <w:tr2bl w:val="nil"/>
            </w:tcBorders>
            <w:vAlign w:val="center"/>
          </w:tcPr>
          <w:p w14:paraId="54EC5C3D">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45</w:t>
            </w:r>
          </w:p>
        </w:tc>
      </w:tr>
      <w:tr w14:paraId="240C08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tcBorders>
              <w:tl2br w:val="nil"/>
              <w:tr2bl w:val="nil"/>
            </w:tcBorders>
            <w:vAlign w:val="center"/>
          </w:tcPr>
          <w:p w14:paraId="6B99FAC8">
            <w:pPr>
              <w:pStyle w:val="44"/>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2类</w:t>
            </w:r>
          </w:p>
        </w:tc>
        <w:tc>
          <w:tcPr>
            <w:tcW w:w="1633" w:type="pct"/>
            <w:tcBorders>
              <w:tl2br w:val="nil"/>
              <w:tr2bl w:val="nil"/>
            </w:tcBorders>
            <w:vAlign w:val="center"/>
          </w:tcPr>
          <w:p w14:paraId="5268E143">
            <w:pPr>
              <w:pStyle w:val="44"/>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60</w:t>
            </w:r>
          </w:p>
        </w:tc>
        <w:tc>
          <w:tcPr>
            <w:tcW w:w="2283" w:type="pct"/>
            <w:tcBorders>
              <w:tl2br w:val="nil"/>
              <w:tr2bl w:val="nil"/>
            </w:tcBorders>
            <w:vAlign w:val="center"/>
          </w:tcPr>
          <w:p w14:paraId="32B5D3FB">
            <w:pPr>
              <w:pStyle w:val="44"/>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50</w:t>
            </w:r>
          </w:p>
        </w:tc>
      </w:tr>
    </w:tbl>
    <w:p w14:paraId="01CA0AEB">
      <w:pPr>
        <w:spacing w:line="500" w:lineRule="exact"/>
        <w:ind w:firstLine="480" w:firstLineChars="200"/>
        <w:rPr>
          <w:rFonts w:hint="default" w:ascii="Times New Roman" w:hAnsi="Times New Roman" w:cs="Times New Roman"/>
          <w:snapToGrid w:val="0"/>
          <w:color w:val="auto"/>
          <w:kern w:val="0"/>
          <w:sz w:val="24"/>
          <w:szCs w:val="22"/>
          <w:highlight w:val="none"/>
        </w:rPr>
      </w:pPr>
      <w:r>
        <w:rPr>
          <w:rFonts w:hint="default" w:ascii="Times New Roman" w:hAnsi="Times New Roman" w:cs="Times New Roman"/>
          <w:snapToGrid w:val="0"/>
          <w:color w:val="auto"/>
          <w:kern w:val="0"/>
          <w:sz w:val="24"/>
          <w:szCs w:val="22"/>
          <w:highlight w:val="none"/>
          <w:lang w:val="en-US" w:eastAsia="zh-CN"/>
        </w:rPr>
        <w:t>5、</w:t>
      </w:r>
      <w:r>
        <w:rPr>
          <w:rFonts w:hint="default" w:ascii="Times New Roman" w:hAnsi="Times New Roman" w:cs="Times New Roman"/>
          <w:snapToGrid w:val="0"/>
          <w:color w:val="auto"/>
          <w:kern w:val="0"/>
          <w:sz w:val="24"/>
          <w:szCs w:val="22"/>
          <w:highlight w:val="none"/>
        </w:rPr>
        <w:t>土壤环境</w:t>
      </w:r>
    </w:p>
    <w:p w14:paraId="3F117CD0">
      <w:pPr>
        <w:spacing w:line="500" w:lineRule="exact"/>
        <w:ind w:firstLine="480" w:firstLineChars="200"/>
        <w:rPr>
          <w:rFonts w:hint="default" w:ascii="Times New Roman" w:hAnsi="Times New Roman" w:cs="Times New Roman"/>
          <w:snapToGrid w:val="0"/>
          <w:color w:val="auto"/>
          <w:kern w:val="0"/>
          <w:sz w:val="24"/>
          <w:szCs w:val="22"/>
          <w:highlight w:val="none"/>
        </w:rPr>
      </w:pPr>
      <w:r>
        <w:rPr>
          <w:rFonts w:hint="default" w:ascii="Times New Roman" w:hAnsi="Times New Roman" w:cs="Times New Roman"/>
          <w:snapToGrid w:val="0"/>
          <w:color w:val="auto"/>
          <w:kern w:val="0"/>
          <w:sz w:val="24"/>
          <w:szCs w:val="22"/>
          <w:highlight w:val="none"/>
        </w:rPr>
        <w:t>本项目</w:t>
      </w:r>
      <w:r>
        <w:rPr>
          <w:rFonts w:hint="default" w:ascii="Times New Roman" w:hAnsi="Times New Roman" w:cs="Times New Roman"/>
          <w:snapToGrid w:val="0"/>
          <w:color w:val="auto"/>
          <w:kern w:val="0"/>
          <w:sz w:val="24"/>
          <w:szCs w:val="22"/>
          <w:highlight w:val="none"/>
          <w:lang w:val="en-US" w:eastAsia="zh-CN"/>
        </w:rPr>
        <w:t>复垦后恢复为林地，</w:t>
      </w:r>
      <w:r>
        <w:rPr>
          <w:rFonts w:hint="default" w:ascii="Times New Roman" w:hAnsi="Times New Roman" w:cs="Times New Roman"/>
          <w:snapToGrid w:val="0"/>
          <w:color w:val="auto"/>
          <w:kern w:val="0"/>
          <w:sz w:val="24"/>
          <w:szCs w:val="22"/>
          <w:highlight w:val="none"/>
        </w:rPr>
        <w:t>土壤评价范围内用地执行《土壤环境质量 建设用地土壤污染风险管控标准（试行）》（GB36600-2018）表1建设用地土壤污染风险筛选值和管制值（基本项目）中的第二类用地标准，评价范围外的农用地土壤环境执行《土壤环境质量 农用地土壤污染风险管控标准（试行）》（GB15618-2018）表1农用地土壤污染风险筛选值（基本项目），本项目土壤环境质量标准执行情况见表2-5-5~表2-5-6。</w:t>
      </w:r>
    </w:p>
    <w:p w14:paraId="1CEE0E2F">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表2-5-5  建设用地土壤环境质量标准</w:t>
      </w:r>
    </w:p>
    <w:tbl>
      <w:tblPr>
        <w:tblStyle w:val="2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09"/>
        <w:gridCol w:w="2038"/>
        <w:gridCol w:w="1567"/>
        <w:gridCol w:w="2132"/>
        <w:gridCol w:w="1973"/>
      </w:tblGrid>
      <w:tr w14:paraId="352BB1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blHeader/>
          <w:jc w:val="center"/>
        </w:trPr>
        <w:tc>
          <w:tcPr>
            <w:tcW w:w="475" w:type="pct"/>
            <w:vMerge w:val="restart"/>
            <w:vAlign w:val="center"/>
          </w:tcPr>
          <w:p w14:paraId="73A2EAA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1195" w:type="pct"/>
            <w:vMerge w:val="restart"/>
            <w:vAlign w:val="center"/>
          </w:tcPr>
          <w:p w14:paraId="4C10F0B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w:t>
            </w:r>
          </w:p>
        </w:tc>
        <w:tc>
          <w:tcPr>
            <w:tcW w:w="919" w:type="pct"/>
            <w:vMerge w:val="restart"/>
            <w:vAlign w:val="center"/>
          </w:tcPr>
          <w:p w14:paraId="40F08E6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单位</w:t>
            </w:r>
          </w:p>
        </w:tc>
        <w:tc>
          <w:tcPr>
            <w:tcW w:w="1250" w:type="pct"/>
            <w:vAlign w:val="center"/>
          </w:tcPr>
          <w:p w14:paraId="6793D60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筛选值</w:t>
            </w:r>
          </w:p>
        </w:tc>
        <w:tc>
          <w:tcPr>
            <w:tcW w:w="1157" w:type="pct"/>
            <w:vMerge w:val="restart"/>
            <w:vAlign w:val="center"/>
          </w:tcPr>
          <w:p w14:paraId="2D87288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标准来源</w:t>
            </w:r>
          </w:p>
        </w:tc>
      </w:tr>
      <w:tr w14:paraId="3DB973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blHeader/>
          <w:jc w:val="center"/>
        </w:trPr>
        <w:tc>
          <w:tcPr>
            <w:tcW w:w="475" w:type="pct"/>
            <w:vMerge w:val="continue"/>
            <w:vAlign w:val="center"/>
          </w:tcPr>
          <w:p w14:paraId="68379EF2">
            <w:pPr>
              <w:pStyle w:val="44"/>
              <w:bidi w:val="0"/>
              <w:rPr>
                <w:rFonts w:hint="default" w:ascii="Times New Roman" w:hAnsi="Times New Roman" w:cs="Times New Roman"/>
                <w:color w:val="auto"/>
                <w:highlight w:val="none"/>
              </w:rPr>
            </w:pPr>
          </w:p>
        </w:tc>
        <w:tc>
          <w:tcPr>
            <w:tcW w:w="1195" w:type="pct"/>
            <w:vMerge w:val="continue"/>
            <w:vAlign w:val="center"/>
          </w:tcPr>
          <w:p w14:paraId="38D9A732">
            <w:pPr>
              <w:pStyle w:val="44"/>
              <w:bidi w:val="0"/>
              <w:rPr>
                <w:rFonts w:hint="default" w:ascii="Times New Roman" w:hAnsi="Times New Roman" w:cs="Times New Roman"/>
                <w:color w:val="auto"/>
                <w:highlight w:val="none"/>
              </w:rPr>
            </w:pPr>
          </w:p>
        </w:tc>
        <w:tc>
          <w:tcPr>
            <w:tcW w:w="919" w:type="pct"/>
            <w:vMerge w:val="continue"/>
            <w:vAlign w:val="center"/>
          </w:tcPr>
          <w:p w14:paraId="10EFF79E">
            <w:pPr>
              <w:pStyle w:val="44"/>
              <w:bidi w:val="0"/>
              <w:rPr>
                <w:rFonts w:hint="default" w:ascii="Times New Roman" w:hAnsi="Times New Roman" w:cs="Times New Roman"/>
                <w:color w:val="auto"/>
                <w:highlight w:val="none"/>
              </w:rPr>
            </w:pPr>
          </w:p>
        </w:tc>
        <w:tc>
          <w:tcPr>
            <w:tcW w:w="1250" w:type="pct"/>
            <w:vAlign w:val="center"/>
          </w:tcPr>
          <w:p w14:paraId="60FB22B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第二类用地</w:t>
            </w:r>
          </w:p>
        </w:tc>
        <w:tc>
          <w:tcPr>
            <w:tcW w:w="1157" w:type="pct"/>
            <w:vMerge w:val="continue"/>
            <w:vAlign w:val="center"/>
          </w:tcPr>
          <w:p w14:paraId="1D6EC648">
            <w:pPr>
              <w:pStyle w:val="44"/>
              <w:bidi w:val="0"/>
              <w:rPr>
                <w:rFonts w:hint="default" w:ascii="Times New Roman" w:hAnsi="Times New Roman" w:cs="Times New Roman"/>
                <w:color w:val="auto"/>
                <w:highlight w:val="none"/>
              </w:rPr>
            </w:pPr>
          </w:p>
        </w:tc>
      </w:tr>
      <w:tr w14:paraId="4561FB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0E9C496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1195" w:type="pct"/>
            <w:vAlign w:val="center"/>
          </w:tcPr>
          <w:p w14:paraId="1CB9BF2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砷</w:t>
            </w:r>
          </w:p>
        </w:tc>
        <w:tc>
          <w:tcPr>
            <w:tcW w:w="919" w:type="pct"/>
            <w:vAlign w:val="center"/>
          </w:tcPr>
          <w:p w14:paraId="1CE70BD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66BF0F2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60</w:t>
            </w:r>
          </w:p>
        </w:tc>
        <w:tc>
          <w:tcPr>
            <w:tcW w:w="1157" w:type="pct"/>
            <w:vMerge w:val="restart"/>
            <w:vAlign w:val="center"/>
          </w:tcPr>
          <w:p w14:paraId="4AB60EC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《土壤环境质量 建设用地土壤污染风险管控标准（试行）》（GB36600-2018）第二类用地筛选值标准限值</w:t>
            </w:r>
          </w:p>
        </w:tc>
      </w:tr>
      <w:tr w14:paraId="034354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5B09A05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1195" w:type="pct"/>
            <w:vAlign w:val="center"/>
          </w:tcPr>
          <w:p w14:paraId="1B57FD4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镉</w:t>
            </w:r>
          </w:p>
        </w:tc>
        <w:tc>
          <w:tcPr>
            <w:tcW w:w="919" w:type="pct"/>
            <w:vAlign w:val="center"/>
          </w:tcPr>
          <w:p w14:paraId="199C229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15E81BF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65</w:t>
            </w:r>
          </w:p>
        </w:tc>
        <w:tc>
          <w:tcPr>
            <w:tcW w:w="1157" w:type="pct"/>
            <w:vMerge w:val="continue"/>
            <w:vAlign w:val="center"/>
          </w:tcPr>
          <w:p w14:paraId="0485275A">
            <w:pPr>
              <w:pStyle w:val="44"/>
              <w:bidi w:val="0"/>
              <w:rPr>
                <w:rFonts w:hint="default" w:ascii="Times New Roman" w:hAnsi="Times New Roman" w:cs="Times New Roman"/>
                <w:color w:val="auto"/>
                <w:highlight w:val="none"/>
              </w:rPr>
            </w:pPr>
          </w:p>
        </w:tc>
      </w:tr>
      <w:tr w14:paraId="45CD90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491363E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1195" w:type="pct"/>
            <w:vAlign w:val="center"/>
          </w:tcPr>
          <w:p w14:paraId="07ECA1F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六价铬</w:t>
            </w:r>
          </w:p>
        </w:tc>
        <w:tc>
          <w:tcPr>
            <w:tcW w:w="919" w:type="pct"/>
            <w:vAlign w:val="center"/>
          </w:tcPr>
          <w:p w14:paraId="1C0D38D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4249B8D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5.7</w:t>
            </w:r>
          </w:p>
        </w:tc>
        <w:tc>
          <w:tcPr>
            <w:tcW w:w="1157" w:type="pct"/>
            <w:vMerge w:val="continue"/>
            <w:vAlign w:val="center"/>
          </w:tcPr>
          <w:p w14:paraId="2143EC50">
            <w:pPr>
              <w:pStyle w:val="44"/>
              <w:bidi w:val="0"/>
              <w:rPr>
                <w:rFonts w:hint="default" w:ascii="Times New Roman" w:hAnsi="Times New Roman" w:cs="Times New Roman"/>
                <w:color w:val="auto"/>
                <w:highlight w:val="none"/>
              </w:rPr>
            </w:pPr>
          </w:p>
        </w:tc>
      </w:tr>
      <w:tr w14:paraId="14CFDB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7A27BDF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1195" w:type="pct"/>
            <w:vAlign w:val="center"/>
          </w:tcPr>
          <w:p w14:paraId="61B05EF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铜</w:t>
            </w:r>
          </w:p>
        </w:tc>
        <w:tc>
          <w:tcPr>
            <w:tcW w:w="919" w:type="pct"/>
            <w:vAlign w:val="center"/>
          </w:tcPr>
          <w:p w14:paraId="4637EB4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6A4A739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18000</w:t>
            </w:r>
          </w:p>
        </w:tc>
        <w:tc>
          <w:tcPr>
            <w:tcW w:w="1157" w:type="pct"/>
            <w:vMerge w:val="continue"/>
            <w:vAlign w:val="center"/>
          </w:tcPr>
          <w:p w14:paraId="45421FEF">
            <w:pPr>
              <w:pStyle w:val="44"/>
              <w:bidi w:val="0"/>
              <w:rPr>
                <w:rFonts w:hint="default" w:ascii="Times New Roman" w:hAnsi="Times New Roman" w:cs="Times New Roman"/>
                <w:color w:val="auto"/>
                <w:highlight w:val="none"/>
              </w:rPr>
            </w:pPr>
          </w:p>
        </w:tc>
      </w:tr>
      <w:tr w14:paraId="2E2DF8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052E635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1195" w:type="pct"/>
            <w:vAlign w:val="center"/>
          </w:tcPr>
          <w:p w14:paraId="5FA5CD7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铅</w:t>
            </w:r>
          </w:p>
        </w:tc>
        <w:tc>
          <w:tcPr>
            <w:tcW w:w="919" w:type="pct"/>
            <w:vAlign w:val="center"/>
          </w:tcPr>
          <w:p w14:paraId="76C8CF7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10CBAB4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800</w:t>
            </w:r>
          </w:p>
        </w:tc>
        <w:tc>
          <w:tcPr>
            <w:tcW w:w="1157" w:type="pct"/>
            <w:vMerge w:val="continue"/>
            <w:vAlign w:val="center"/>
          </w:tcPr>
          <w:p w14:paraId="70775CBF">
            <w:pPr>
              <w:pStyle w:val="44"/>
              <w:bidi w:val="0"/>
              <w:rPr>
                <w:rFonts w:hint="default" w:ascii="Times New Roman" w:hAnsi="Times New Roman" w:cs="Times New Roman"/>
                <w:color w:val="auto"/>
                <w:highlight w:val="none"/>
              </w:rPr>
            </w:pPr>
          </w:p>
        </w:tc>
      </w:tr>
      <w:tr w14:paraId="3916C3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34B3B1E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w:t>
            </w:r>
          </w:p>
        </w:tc>
        <w:tc>
          <w:tcPr>
            <w:tcW w:w="1195" w:type="pct"/>
            <w:vAlign w:val="center"/>
          </w:tcPr>
          <w:p w14:paraId="6CBBE26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汞</w:t>
            </w:r>
          </w:p>
        </w:tc>
        <w:tc>
          <w:tcPr>
            <w:tcW w:w="919" w:type="pct"/>
            <w:vAlign w:val="center"/>
          </w:tcPr>
          <w:p w14:paraId="7EE93ED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551CAB9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38</w:t>
            </w:r>
          </w:p>
        </w:tc>
        <w:tc>
          <w:tcPr>
            <w:tcW w:w="1157" w:type="pct"/>
            <w:vMerge w:val="continue"/>
            <w:vAlign w:val="center"/>
          </w:tcPr>
          <w:p w14:paraId="47EF0EC7">
            <w:pPr>
              <w:pStyle w:val="44"/>
              <w:bidi w:val="0"/>
              <w:rPr>
                <w:rFonts w:hint="default" w:ascii="Times New Roman" w:hAnsi="Times New Roman" w:cs="Times New Roman"/>
                <w:color w:val="auto"/>
                <w:highlight w:val="none"/>
              </w:rPr>
            </w:pPr>
          </w:p>
        </w:tc>
      </w:tr>
      <w:tr w14:paraId="707F6D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3947C25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w:t>
            </w:r>
          </w:p>
        </w:tc>
        <w:tc>
          <w:tcPr>
            <w:tcW w:w="1195" w:type="pct"/>
            <w:vAlign w:val="center"/>
          </w:tcPr>
          <w:p w14:paraId="10F7742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镍</w:t>
            </w:r>
          </w:p>
        </w:tc>
        <w:tc>
          <w:tcPr>
            <w:tcW w:w="919" w:type="pct"/>
            <w:vAlign w:val="center"/>
          </w:tcPr>
          <w:p w14:paraId="002FA8E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3F6F6A4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900</w:t>
            </w:r>
          </w:p>
        </w:tc>
        <w:tc>
          <w:tcPr>
            <w:tcW w:w="1157" w:type="pct"/>
            <w:vMerge w:val="continue"/>
            <w:vAlign w:val="center"/>
          </w:tcPr>
          <w:p w14:paraId="304C0C45">
            <w:pPr>
              <w:pStyle w:val="44"/>
              <w:bidi w:val="0"/>
              <w:rPr>
                <w:rFonts w:hint="default" w:ascii="Times New Roman" w:hAnsi="Times New Roman" w:cs="Times New Roman"/>
                <w:color w:val="auto"/>
                <w:highlight w:val="none"/>
              </w:rPr>
            </w:pPr>
          </w:p>
        </w:tc>
      </w:tr>
      <w:tr w14:paraId="557322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63AA475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8</w:t>
            </w:r>
          </w:p>
        </w:tc>
        <w:tc>
          <w:tcPr>
            <w:tcW w:w="1195" w:type="pct"/>
            <w:vAlign w:val="center"/>
          </w:tcPr>
          <w:p w14:paraId="1680A24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四氯化碳</w:t>
            </w:r>
          </w:p>
        </w:tc>
        <w:tc>
          <w:tcPr>
            <w:tcW w:w="919" w:type="pct"/>
            <w:vAlign w:val="center"/>
          </w:tcPr>
          <w:p w14:paraId="5FDDB84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57F2A69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2.8</w:t>
            </w:r>
          </w:p>
        </w:tc>
        <w:tc>
          <w:tcPr>
            <w:tcW w:w="1157" w:type="pct"/>
            <w:vMerge w:val="continue"/>
            <w:vAlign w:val="center"/>
          </w:tcPr>
          <w:p w14:paraId="12EE27A2">
            <w:pPr>
              <w:pStyle w:val="44"/>
              <w:bidi w:val="0"/>
              <w:rPr>
                <w:rFonts w:hint="default" w:ascii="Times New Roman" w:hAnsi="Times New Roman" w:cs="Times New Roman"/>
                <w:color w:val="auto"/>
                <w:highlight w:val="none"/>
              </w:rPr>
            </w:pPr>
          </w:p>
        </w:tc>
      </w:tr>
      <w:tr w14:paraId="21F567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3CFE9E1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9</w:t>
            </w:r>
          </w:p>
        </w:tc>
        <w:tc>
          <w:tcPr>
            <w:tcW w:w="1195" w:type="pct"/>
            <w:vAlign w:val="center"/>
          </w:tcPr>
          <w:p w14:paraId="0F0427F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氯仿</w:t>
            </w:r>
          </w:p>
        </w:tc>
        <w:tc>
          <w:tcPr>
            <w:tcW w:w="919" w:type="pct"/>
            <w:vAlign w:val="center"/>
          </w:tcPr>
          <w:p w14:paraId="2D7EAE8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6FFA9C4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0.9</w:t>
            </w:r>
          </w:p>
        </w:tc>
        <w:tc>
          <w:tcPr>
            <w:tcW w:w="1157" w:type="pct"/>
            <w:vMerge w:val="continue"/>
            <w:vAlign w:val="center"/>
          </w:tcPr>
          <w:p w14:paraId="7C494552">
            <w:pPr>
              <w:pStyle w:val="44"/>
              <w:bidi w:val="0"/>
              <w:rPr>
                <w:rFonts w:hint="default" w:ascii="Times New Roman" w:hAnsi="Times New Roman" w:cs="Times New Roman"/>
                <w:color w:val="auto"/>
                <w:highlight w:val="none"/>
              </w:rPr>
            </w:pPr>
          </w:p>
        </w:tc>
      </w:tr>
      <w:tr w14:paraId="12B1A7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5E937E4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1195" w:type="pct"/>
            <w:vAlign w:val="center"/>
          </w:tcPr>
          <w:p w14:paraId="5B60E1C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氯甲烷</w:t>
            </w:r>
          </w:p>
        </w:tc>
        <w:tc>
          <w:tcPr>
            <w:tcW w:w="919" w:type="pct"/>
            <w:vAlign w:val="center"/>
          </w:tcPr>
          <w:p w14:paraId="2EC37E8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1CD9704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37</w:t>
            </w:r>
          </w:p>
        </w:tc>
        <w:tc>
          <w:tcPr>
            <w:tcW w:w="1157" w:type="pct"/>
            <w:vMerge w:val="continue"/>
            <w:vAlign w:val="center"/>
          </w:tcPr>
          <w:p w14:paraId="5CB479CD">
            <w:pPr>
              <w:pStyle w:val="44"/>
              <w:bidi w:val="0"/>
              <w:rPr>
                <w:rFonts w:hint="default" w:ascii="Times New Roman" w:hAnsi="Times New Roman" w:cs="Times New Roman"/>
                <w:color w:val="auto"/>
                <w:highlight w:val="none"/>
              </w:rPr>
            </w:pPr>
          </w:p>
        </w:tc>
      </w:tr>
      <w:tr w14:paraId="5C332C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4483417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11</w:t>
            </w:r>
          </w:p>
        </w:tc>
        <w:tc>
          <w:tcPr>
            <w:tcW w:w="1195" w:type="pct"/>
            <w:vAlign w:val="center"/>
          </w:tcPr>
          <w:p w14:paraId="7A73C91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1,1-二氯乙烷</w:t>
            </w:r>
          </w:p>
        </w:tc>
        <w:tc>
          <w:tcPr>
            <w:tcW w:w="919" w:type="pct"/>
            <w:vAlign w:val="center"/>
          </w:tcPr>
          <w:p w14:paraId="46F7A85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2602EC9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9</w:t>
            </w:r>
          </w:p>
        </w:tc>
        <w:tc>
          <w:tcPr>
            <w:tcW w:w="1157" w:type="pct"/>
            <w:vMerge w:val="continue"/>
            <w:vAlign w:val="center"/>
          </w:tcPr>
          <w:p w14:paraId="593B8A3D">
            <w:pPr>
              <w:pStyle w:val="44"/>
              <w:bidi w:val="0"/>
              <w:rPr>
                <w:rFonts w:hint="default" w:ascii="Times New Roman" w:hAnsi="Times New Roman" w:cs="Times New Roman"/>
                <w:color w:val="auto"/>
                <w:highlight w:val="none"/>
              </w:rPr>
            </w:pPr>
          </w:p>
        </w:tc>
      </w:tr>
      <w:tr w14:paraId="39F2C1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32311CB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12</w:t>
            </w:r>
          </w:p>
        </w:tc>
        <w:tc>
          <w:tcPr>
            <w:tcW w:w="1195" w:type="pct"/>
            <w:vAlign w:val="center"/>
          </w:tcPr>
          <w:p w14:paraId="2127AF2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1,2-二氯乙烷</w:t>
            </w:r>
          </w:p>
        </w:tc>
        <w:tc>
          <w:tcPr>
            <w:tcW w:w="919" w:type="pct"/>
            <w:vAlign w:val="center"/>
          </w:tcPr>
          <w:p w14:paraId="0A779C7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29B9B87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1157" w:type="pct"/>
            <w:vMerge w:val="continue"/>
            <w:vAlign w:val="center"/>
          </w:tcPr>
          <w:p w14:paraId="54E6EBD9">
            <w:pPr>
              <w:pStyle w:val="44"/>
              <w:bidi w:val="0"/>
              <w:rPr>
                <w:rFonts w:hint="default" w:ascii="Times New Roman" w:hAnsi="Times New Roman" w:cs="Times New Roman"/>
                <w:color w:val="auto"/>
                <w:highlight w:val="none"/>
              </w:rPr>
            </w:pPr>
          </w:p>
        </w:tc>
      </w:tr>
      <w:tr w14:paraId="3CE355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30ED3AF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13</w:t>
            </w:r>
          </w:p>
        </w:tc>
        <w:tc>
          <w:tcPr>
            <w:tcW w:w="1195" w:type="pct"/>
            <w:vAlign w:val="center"/>
          </w:tcPr>
          <w:p w14:paraId="17FB4FA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1,1-二氯乙烯</w:t>
            </w:r>
          </w:p>
        </w:tc>
        <w:tc>
          <w:tcPr>
            <w:tcW w:w="919" w:type="pct"/>
            <w:vAlign w:val="center"/>
          </w:tcPr>
          <w:p w14:paraId="1F2C59B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0379BDD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66</w:t>
            </w:r>
          </w:p>
        </w:tc>
        <w:tc>
          <w:tcPr>
            <w:tcW w:w="1157" w:type="pct"/>
            <w:vMerge w:val="continue"/>
            <w:vAlign w:val="center"/>
          </w:tcPr>
          <w:p w14:paraId="707468BF">
            <w:pPr>
              <w:pStyle w:val="44"/>
              <w:bidi w:val="0"/>
              <w:rPr>
                <w:rFonts w:hint="default" w:ascii="Times New Roman" w:hAnsi="Times New Roman" w:cs="Times New Roman"/>
                <w:color w:val="auto"/>
                <w:highlight w:val="none"/>
              </w:rPr>
            </w:pPr>
          </w:p>
        </w:tc>
      </w:tr>
      <w:tr w14:paraId="767433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78523CE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14</w:t>
            </w:r>
          </w:p>
        </w:tc>
        <w:tc>
          <w:tcPr>
            <w:tcW w:w="1195" w:type="pct"/>
            <w:vAlign w:val="center"/>
          </w:tcPr>
          <w:p w14:paraId="05F723C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顺-1,2-二氯乙烯</w:t>
            </w:r>
          </w:p>
        </w:tc>
        <w:tc>
          <w:tcPr>
            <w:tcW w:w="919" w:type="pct"/>
            <w:vAlign w:val="center"/>
          </w:tcPr>
          <w:p w14:paraId="7523D25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7A4A5AE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596</w:t>
            </w:r>
          </w:p>
        </w:tc>
        <w:tc>
          <w:tcPr>
            <w:tcW w:w="1157" w:type="pct"/>
            <w:vMerge w:val="continue"/>
            <w:vAlign w:val="center"/>
          </w:tcPr>
          <w:p w14:paraId="118D57F6">
            <w:pPr>
              <w:pStyle w:val="44"/>
              <w:bidi w:val="0"/>
              <w:rPr>
                <w:rFonts w:hint="default" w:ascii="Times New Roman" w:hAnsi="Times New Roman" w:cs="Times New Roman"/>
                <w:color w:val="auto"/>
                <w:highlight w:val="none"/>
              </w:rPr>
            </w:pPr>
          </w:p>
        </w:tc>
      </w:tr>
      <w:tr w14:paraId="29626E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62E2423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15</w:t>
            </w:r>
          </w:p>
        </w:tc>
        <w:tc>
          <w:tcPr>
            <w:tcW w:w="1195" w:type="pct"/>
            <w:vAlign w:val="center"/>
          </w:tcPr>
          <w:p w14:paraId="1D12CEB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反-1,2-二氯乙烯</w:t>
            </w:r>
          </w:p>
        </w:tc>
        <w:tc>
          <w:tcPr>
            <w:tcW w:w="919" w:type="pct"/>
            <w:vAlign w:val="center"/>
          </w:tcPr>
          <w:p w14:paraId="758FEAD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2D30F6B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54</w:t>
            </w:r>
          </w:p>
        </w:tc>
        <w:tc>
          <w:tcPr>
            <w:tcW w:w="1157" w:type="pct"/>
            <w:vMerge w:val="continue"/>
            <w:vAlign w:val="center"/>
          </w:tcPr>
          <w:p w14:paraId="4A75EF19">
            <w:pPr>
              <w:pStyle w:val="44"/>
              <w:bidi w:val="0"/>
              <w:rPr>
                <w:rFonts w:hint="default" w:ascii="Times New Roman" w:hAnsi="Times New Roman" w:cs="Times New Roman"/>
                <w:color w:val="auto"/>
                <w:highlight w:val="none"/>
              </w:rPr>
            </w:pPr>
          </w:p>
        </w:tc>
      </w:tr>
      <w:tr w14:paraId="2D6817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4031EA2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16</w:t>
            </w:r>
          </w:p>
        </w:tc>
        <w:tc>
          <w:tcPr>
            <w:tcW w:w="1195" w:type="pct"/>
            <w:vAlign w:val="center"/>
          </w:tcPr>
          <w:p w14:paraId="55F02B9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二氯甲烷</w:t>
            </w:r>
          </w:p>
        </w:tc>
        <w:tc>
          <w:tcPr>
            <w:tcW w:w="919" w:type="pct"/>
            <w:vAlign w:val="center"/>
          </w:tcPr>
          <w:p w14:paraId="79C40DE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7156218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616</w:t>
            </w:r>
          </w:p>
        </w:tc>
        <w:tc>
          <w:tcPr>
            <w:tcW w:w="1157" w:type="pct"/>
            <w:vMerge w:val="continue"/>
            <w:vAlign w:val="center"/>
          </w:tcPr>
          <w:p w14:paraId="1051CE68">
            <w:pPr>
              <w:pStyle w:val="44"/>
              <w:bidi w:val="0"/>
              <w:rPr>
                <w:rFonts w:hint="default" w:ascii="Times New Roman" w:hAnsi="Times New Roman" w:cs="Times New Roman"/>
                <w:color w:val="auto"/>
                <w:highlight w:val="none"/>
              </w:rPr>
            </w:pPr>
          </w:p>
        </w:tc>
      </w:tr>
      <w:tr w14:paraId="093FA5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0D59061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17</w:t>
            </w:r>
          </w:p>
        </w:tc>
        <w:tc>
          <w:tcPr>
            <w:tcW w:w="1195" w:type="pct"/>
            <w:vAlign w:val="center"/>
          </w:tcPr>
          <w:p w14:paraId="2B4BCD1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1,1-二氯丙烷</w:t>
            </w:r>
          </w:p>
        </w:tc>
        <w:tc>
          <w:tcPr>
            <w:tcW w:w="919" w:type="pct"/>
            <w:vAlign w:val="center"/>
          </w:tcPr>
          <w:p w14:paraId="1606D2C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1ED1E33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1157" w:type="pct"/>
            <w:vMerge w:val="continue"/>
            <w:vAlign w:val="center"/>
          </w:tcPr>
          <w:p w14:paraId="75062ED5">
            <w:pPr>
              <w:pStyle w:val="44"/>
              <w:bidi w:val="0"/>
              <w:rPr>
                <w:rFonts w:hint="default" w:ascii="Times New Roman" w:hAnsi="Times New Roman" w:cs="Times New Roman"/>
                <w:color w:val="auto"/>
                <w:highlight w:val="none"/>
              </w:rPr>
            </w:pPr>
          </w:p>
        </w:tc>
      </w:tr>
      <w:tr w14:paraId="3382AB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69C1DBE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18</w:t>
            </w:r>
          </w:p>
        </w:tc>
        <w:tc>
          <w:tcPr>
            <w:tcW w:w="1195" w:type="pct"/>
            <w:vAlign w:val="center"/>
          </w:tcPr>
          <w:p w14:paraId="4D1DA1D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1,1,1,2-四氯乙烷</w:t>
            </w:r>
          </w:p>
        </w:tc>
        <w:tc>
          <w:tcPr>
            <w:tcW w:w="919" w:type="pct"/>
            <w:vAlign w:val="center"/>
          </w:tcPr>
          <w:p w14:paraId="04D6205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25A3EA7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1157" w:type="pct"/>
            <w:vMerge w:val="continue"/>
            <w:vAlign w:val="center"/>
          </w:tcPr>
          <w:p w14:paraId="1C66EC44">
            <w:pPr>
              <w:pStyle w:val="44"/>
              <w:bidi w:val="0"/>
              <w:rPr>
                <w:rFonts w:hint="default" w:ascii="Times New Roman" w:hAnsi="Times New Roman" w:cs="Times New Roman"/>
                <w:color w:val="auto"/>
                <w:highlight w:val="none"/>
              </w:rPr>
            </w:pPr>
          </w:p>
        </w:tc>
      </w:tr>
      <w:tr w14:paraId="6C60E3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36E8A3A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19</w:t>
            </w:r>
          </w:p>
        </w:tc>
        <w:tc>
          <w:tcPr>
            <w:tcW w:w="1195" w:type="pct"/>
            <w:vAlign w:val="center"/>
          </w:tcPr>
          <w:p w14:paraId="15DA412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1,1,2,2-四氯乙烷</w:t>
            </w:r>
          </w:p>
        </w:tc>
        <w:tc>
          <w:tcPr>
            <w:tcW w:w="919" w:type="pct"/>
            <w:vAlign w:val="center"/>
          </w:tcPr>
          <w:p w14:paraId="7101B9E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6A4592C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6.8</w:t>
            </w:r>
          </w:p>
        </w:tc>
        <w:tc>
          <w:tcPr>
            <w:tcW w:w="1157" w:type="pct"/>
            <w:vMerge w:val="continue"/>
            <w:vAlign w:val="center"/>
          </w:tcPr>
          <w:p w14:paraId="0A1BED07">
            <w:pPr>
              <w:pStyle w:val="44"/>
              <w:bidi w:val="0"/>
              <w:rPr>
                <w:rFonts w:hint="default" w:ascii="Times New Roman" w:hAnsi="Times New Roman" w:cs="Times New Roman"/>
                <w:color w:val="auto"/>
                <w:highlight w:val="none"/>
              </w:rPr>
            </w:pPr>
          </w:p>
        </w:tc>
      </w:tr>
      <w:tr w14:paraId="1BCA55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5BF6750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20</w:t>
            </w:r>
          </w:p>
        </w:tc>
        <w:tc>
          <w:tcPr>
            <w:tcW w:w="1195" w:type="pct"/>
            <w:vAlign w:val="center"/>
          </w:tcPr>
          <w:p w14:paraId="18F47A1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四氯乙烯</w:t>
            </w:r>
          </w:p>
        </w:tc>
        <w:tc>
          <w:tcPr>
            <w:tcW w:w="919" w:type="pct"/>
            <w:vAlign w:val="center"/>
          </w:tcPr>
          <w:p w14:paraId="75FD8BF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1AEE7B7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53</w:t>
            </w:r>
          </w:p>
        </w:tc>
        <w:tc>
          <w:tcPr>
            <w:tcW w:w="1157" w:type="pct"/>
            <w:vMerge w:val="continue"/>
            <w:vAlign w:val="center"/>
          </w:tcPr>
          <w:p w14:paraId="4A042348">
            <w:pPr>
              <w:pStyle w:val="44"/>
              <w:bidi w:val="0"/>
              <w:rPr>
                <w:rFonts w:hint="default" w:ascii="Times New Roman" w:hAnsi="Times New Roman" w:cs="Times New Roman"/>
                <w:color w:val="auto"/>
                <w:highlight w:val="none"/>
              </w:rPr>
            </w:pPr>
          </w:p>
        </w:tc>
      </w:tr>
      <w:tr w14:paraId="1A6850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3C4B633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21</w:t>
            </w:r>
          </w:p>
        </w:tc>
        <w:tc>
          <w:tcPr>
            <w:tcW w:w="1195" w:type="pct"/>
            <w:vAlign w:val="center"/>
          </w:tcPr>
          <w:p w14:paraId="332AB7A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1,1,1-三氯乙烷</w:t>
            </w:r>
          </w:p>
        </w:tc>
        <w:tc>
          <w:tcPr>
            <w:tcW w:w="919" w:type="pct"/>
            <w:vAlign w:val="center"/>
          </w:tcPr>
          <w:p w14:paraId="08D39C9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392B256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840</w:t>
            </w:r>
          </w:p>
        </w:tc>
        <w:tc>
          <w:tcPr>
            <w:tcW w:w="1157" w:type="pct"/>
            <w:vMerge w:val="continue"/>
            <w:vAlign w:val="center"/>
          </w:tcPr>
          <w:p w14:paraId="47476E89">
            <w:pPr>
              <w:pStyle w:val="44"/>
              <w:bidi w:val="0"/>
              <w:rPr>
                <w:rFonts w:hint="default" w:ascii="Times New Roman" w:hAnsi="Times New Roman" w:cs="Times New Roman"/>
                <w:color w:val="auto"/>
                <w:highlight w:val="none"/>
              </w:rPr>
            </w:pPr>
          </w:p>
        </w:tc>
      </w:tr>
      <w:tr w14:paraId="2E8B07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2EE4B9A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22</w:t>
            </w:r>
          </w:p>
        </w:tc>
        <w:tc>
          <w:tcPr>
            <w:tcW w:w="1195" w:type="pct"/>
            <w:vAlign w:val="center"/>
          </w:tcPr>
          <w:p w14:paraId="17B236B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1,1,2-三氯乙烷</w:t>
            </w:r>
          </w:p>
        </w:tc>
        <w:tc>
          <w:tcPr>
            <w:tcW w:w="919" w:type="pct"/>
            <w:vAlign w:val="center"/>
          </w:tcPr>
          <w:p w14:paraId="2AEB0E6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1693AD0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2.8</w:t>
            </w:r>
          </w:p>
        </w:tc>
        <w:tc>
          <w:tcPr>
            <w:tcW w:w="1157" w:type="pct"/>
            <w:vMerge w:val="continue"/>
            <w:vAlign w:val="center"/>
          </w:tcPr>
          <w:p w14:paraId="3A60CC51">
            <w:pPr>
              <w:pStyle w:val="44"/>
              <w:bidi w:val="0"/>
              <w:rPr>
                <w:rFonts w:hint="default" w:ascii="Times New Roman" w:hAnsi="Times New Roman" w:cs="Times New Roman"/>
                <w:color w:val="auto"/>
                <w:highlight w:val="none"/>
              </w:rPr>
            </w:pPr>
          </w:p>
        </w:tc>
      </w:tr>
      <w:tr w14:paraId="06669B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26B7558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23</w:t>
            </w:r>
          </w:p>
        </w:tc>
        <w:tc>
          <w:tcPr>
            <w:tcW w:w="1195" w:type="pct"/>
            <w:vAlign w:val="center"/>
          </w:tcPr>
          <w:p w14:paraId="625836B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三氯乙烯</w:t>
            </w:r>
          </w:p>
        </w:tc>
        <w:tc>
          <w:tcPr>
            <w:tcW w:w="919" w:type="pct"/>
            <w:vAlign w:val="center"/>
          </w:tcPr>
          <w:p w14:paraId="6D38DAA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392A463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2.8</w:t>
            </w:r>
          </w:p>
        </w:tc>
        <w:tc>
          <w:tcPr>
            <w:tcW w:w="1157" w:type="pct"/>
            <w:vMerge w:val="continue"/>
            <w:vAlign w:val="center"/>
          </w:tcPr>
          <w:p w14:paraId="25D563E9">
            <w:pPr>
              <w:pStyle w:val="44"/>
              <w:bidi w:val="0"/>
              <w:rPr>
                <w:rFonts w:hint="default" w:ascii="Times New Roman" w:hAnsi="Times New Roman" w:cs="Times New Roman"/>
                <w:color w:val="auto"/>
                <w:highlight w:val="none"/>
              </w:rPr>
            </w:pPr>
          </w:p>
        </w:tc>
      </w:tr>
      <w:tr w14:paraId="146F7F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296DACA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24</w:t>
            </w:r>
          </w:p>
        </w:tc>
        <w:tc>
          <w:tcPr>
            <w:tcW w:w="1195" w:type="pct"/>
            <w:vAlign w:val="center"/>
          </w:tcPr>
          <w:p w14:paraId="6F8681B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1,2,3-三氯丙烷</w:t>
            </w:r>
          </w:p>
        </w:tc>
        <w:tc>
          <w:tcPr>
            <w:tcW w:w="919" w:type="pct"/>
            <w:vAlign w:val="center"/>
          </w:tcPr>
          <w:p w14:paraId="162A9ED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7C1CB72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0.5</w:t>
            </w:r>
          </w:p>
        </w:tc>
        <w:tc>
          <w:tcPr>
            <w:tcW w:w="1157" w:type="pct"/>
            <w:vMerge w:val="continue"/>
            <w:vAlign w:val="center"/>
          </w:tcPr>
          <w:p w14:paraId="74AC636F">
            <w:pPr>
              <w:pStyle w:val="44"/>
              <w:bidi w:val="0"/>
              <w:rPr>
                <w:rFonts w:hint="default" w:ascii="Times New Roman" w:hAnsi="Times New Roman" w:cs="Times New Roman"/>
                <w:color w:val="auto"/>
                <w:highlight w:val="none"/>
              </w:rPr>
            </w:pPr>
          </w:p>
        </w:tc>
      </w:tr>
      <w:tr w14:paraId="131DC4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1484CE4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25</w:t>
            </w:r>
          </w:p>
        </w:tc>
        <w:tc>
          <w:tcPr>
            <w:tcW w:w="1195" w:type="pct"/>
            <w:vAlign w:val="center"/>
          </w:tcPr>
          <w:p w14:paraId="45EA585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氯乙烯</w:t>
            </w:r>
          </w:p>
        </w:tc>
        <w:tc>
          <w:tcPr>
            <w:tcW w:w="919" w:type="pct"/>
            <w:vAlign w:val="center"/>
          </w:tcPr>
          <w:p w14:paraId="4A4C576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6DC0E02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0.43</w:t>
            </w:r>
          </w:p>
        </w:tc>
        <w:tc>
          <w:tcPr>
            <w:tcW w:w="1157" w:type="pct"/>
            <w:vMerge w:val="continue"/>
            <w:vAlign w:val="center"/>
          </w:tcPr>
          <w:p w14:paraId="1B652A8B">
            <w:pPr>
              <w:pStyle w:val="44"/>
              <w:bidi w:val="0"/>
              <w:rPr>
                <w:rFonts w:hint="default" w:ascii="Times New Roman" w:hAnsi="Times New Roman" w:cs="Times New Roman"/>
                <w:color w:val="auto"/>
                <w:highlight w:val="none"/>
              </w:rPr>
            </w:pPr>
          </w:p>
        </w:tc>
      </w:tr>
      <w:tr w14:paraId="115656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77FFB0F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26</w:t>
            </w:r>
          </w:p>
        </w:tc>
        <w:tc>
          <w:tcPr>
            <w:tcW w:w="1195" w:type="pct"/>
            <w:vAlign w:val="center"/>
          </w:tcPr>
          <w:p w14:paraId="273486B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苯</w:t>
            </w:r>
          </w:p>
        </w:tc>
        <w:tc>
          <w:tcPr>
            <w:tcW w:w="919" w:type="pct"/>
            <w:vAlign w:val="center"/>
          </w:tcPr>
          <w:p w14:paraId="251FE62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53CC51C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1157" w:type="pct"/>
            <w:vMerge w:val="continue"/>
            <w:vAlign w:val="center"/>
          </w:tcPr>
          <w:p w14:paraId="606B5986">
            <w:pPr>
              <w:pStyle w:val="44"/>
              <w:bidi w:val="0"/>
              <w:rPr>
                <w:rFonts w:hint="default" w:ascii="Times New Roman" w:hAnsi="Times New Roman" w:cs="Times New Roman"/>
                <w:color w:val="auto"/>
                <w:highlight w:val="none"/>
              </w:rPr>
            </w:pPr>
          </w:p>
        </w:tc>
      </w:tr>
      <w:tr w14:paraId="46F352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382F170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27</w:t>
            </w:r>
          </w:p>
        </w:tc>
        <w:tc>
          <w:tcPr>
            <w:tcW w:w="1195" w:type="pct"/>
            <w:vAlign w:val="center"/>
          </w:tcPr>
          <w:p w14:paraId="0193EC4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氯苯</w:t>
            </w:r>
          </w:p>
        </w:tc>
        <w:tc>
          <w:tcPr>
            <w:tcW w:w="919" w:type="pct"/>
            <w:vAlign w:val="center"/>
          </w:tcPr>
          <w:p w14:paraId="22DCD74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0D3BBD6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270</w:t>
            </w:r>
          </w:p>
        </w:tc>
        <w:tc>
          <w:tcPr>
            <w:tcW w:w="1157" w:type="pct"/>
            <w:vMerge w:val="continue"/>
            <w:vAlign w:val="center"/>
          </w:tcPr>
          <w:p w14:paraId="47DEBC87">
            <w:pPr>
              <w:pStyle w:val="44"/>
              <w:bidi w:val="0"/>
              <w:rPr>
                <w:rFonts w:hint="default" w:ascii="Times New Roman" w:hAnsi="Times New Roman" w:cs="Times New Roman"/>
                <w:color w:val="auto"/>
                <w:highlight w:val="none"/>
              </w:rPr>
            </w:pPr>
          </w:p>
        </w:tc>
      </w:tr>
      <w:tr w14:paraId="0112F9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7FB2188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28</w:t>
            </w:r>
          </w:p>
        </w:tc>
        <w:tc>
          <w:tcPr>
            <w:tcW w:w="1195" w:type="pct"/>
            <w:vAlign w:val="center"/>
          </w:tcPr>
          <w:p w14:paraId="6E62D25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1,2-二氯苯</w:t>
            </w:r>
          </w:p>
        </w:tc>
        <w:tc>
          <w:tcPr>
            <w:tcW w:w="919" w:type="pct"/>
            <w:vAlign w:val="center"/>
          </w:tcPr>
          <w:p w14:paraId="602B7C5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7F4CF1E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560</w:t>
            </w:r>
          </w:p>
        </w:tc>
        <w:tc>
          <w:tcPr>
            <w:tcW w:w="1157" w:type="pct"/>
            <w:vMerge w:val="continue"/>
            <w:vAlign w:val="center"/>
          </w:tcPr>
          <w:p w14:paraId="45E86FBA">
            <w:pPr>
              <w:pStyle w:val="44"/>
              <w:bidi w:val="0"/>
              <w:rPr>
                <w:rFonts w:hint="default" w:ascii="Times New Roman" w:hAnsi="Times New Roman" w:cs="Times New Roman"/>
                <w:color w:val="auto"/>
                <w:highlight w:val="none"/>
              </w:rPr>
            </w:pPr>
          </w:p>
        </w:tc>
      </w:tr>
      <w:tr w14:paraId="1DC6C0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4FFB8A6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29</w:t>
            </w:r>
          </w:p>
        </w:tc>
        <w:tc>
          <w:tcPr>
            <w:tcW w:w="1195" w:type="pct"/>
            <w:vAlign w:val="center"/>
          </w:tcPr>
          <w:p w14:paraId="7FF993D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1,4-二氯苯</w:t>
            </w:r>
          </w:p>
        </w:tc>
        <w:tc>
          <w:tcPr>
            <w:tcW w:w="919" w:type="pct"/>
            <w:vAlign w:val="center"/>
          </w:tcPr>
          <w:p w14:paraId="24AA9A0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3FE37AB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20</w:t>
            </w:r>
          </w:p>
        </w:tc>
        <w:tc>
          <w:tcPr>
            <w:tcW w:w="1157" w:type="pct"/>
            <w:vMerge w:val="continue"/>
            <w:vAlign w:val="center"/>
          </w:tcPr>
          <w:p w14:paraId="14E7DAEF">
            <w:pPr>
              <w:pStyle w:val="44"/>
              <w:bidi w:val="0"/>
              <w:rPr>
                <w:rFonts w:hint="default" w:ascii="Times New Roman" w:hAnsi="Times New Roman" w:cs="Times New Roman"/>
                <w:color w:val="auto"/>
                <w:highlight w:val="none"/>
              </w:rPr>
            </w:pPr>
          </w:p>
        </w:tc>
      </w:tr>
      <w:tr w14:paraId="00ACCA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6CD3680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30</w:t>
            </w:r>
          </w:p>
        </w:tc>
        <w:tc>
          <w:tcPr>
            <w:tcW w:w="1195" w:type="pct"/>
            <w:vAlign w:val="center"/>
          </w:tcPr>
          <w:p w14:paraId="054BC97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乙苯</w:t>
            </w:r>
          </w:p>
        </w:tc>
        <w:tc>
          <w:tcPr>
            <w:tcW w:w="919" w:type="pct"/>
            <w:vAlign w:val="center"/>
          </w:tcPr>
          <w:p w14:paraId="477C8EC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107D689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28</w:t>
            </w:r>
          </w:p>
        </w:tc>
        <w:tc>
          <w:tcPr>
            <w:tcW w:w="1157" w:type="pct"/>
            <w:vMerge w:val="continue"/>
            <w:vAlign w:val="center"/>
          </w:tcPr>
          <w:p w14:paraId="36233B75">
            <w:pPr>
              <w:pStyle w:val="44"/>
              <w:bidi w:val="0"/>
              <w:rPr>
                <w:rFonts w:hint="default" w:ascii="Times New Roman" w:hAnsi="Times New Roman" w:cs="Times New Roman"/>
                <w:color w:val="auto"/>
                <w:highlight w:val="none"/>
              </w:rPr>
            </w:pPr>
          </w:p>
        </w:tc>
      </w:tr>
      <w:tr w14:paraId="27876B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7FF399A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31</w:t>
            </w:r>
          </w:p>
        </w:tc>
        <w:tc>
          <w:tcPr>
            <w:tcW w:w="1195" w:type="pct"/>
            <w:vAlign w:val="center"/>
          </w:tcPr>
          <w:p w14:paraId="3F59BA4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苯乙烯</w:t>
            </w:r>
          </w:p>
        </w:tc>
        <w:tc>
          <w:tcPr>
            <w:tcW w:w="919" w:type="pct"/>
            <w:vAlign w:val="center"/>
          </w:tcPr>
          <w:p w14:paraId="704B7C9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1AF8C94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1290</w:t>
            </w:r>
          </w:p>
        </w:tc>
        <w:tc>
          <w:tcPr>
            <w:tcW w:w="1157" w:type="pct"/>
            <w:vMerge w:val="continue"/>
            <w:vAlign w:val="center"/>
          </w:tcPr>
          <w:p w14:paraId="554DDF96">
            <w:pPr>
              <w:pStyle w:val="44"/>
              <w:bidi w:val="0"/>
              <w:rPr>
                <w:rFonts w:hint="default" w:ascii="Times New Roman" w:hAnsi="Times New Roman" w:cs="Times New Roman"/>
                <w:color w:val="auto"/>
                <w:highlight w:val="none"/>
              </w:rPr>
            </w:pPr>
          </w:p>
        </w:tc>
      </w:tr>
      <w:tr w14:paraId="51730A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1144A5F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32</w:t>
            </w:r>
          </w:p>
        </w:tc>
        <w:tc>
          <w:tcPr>
            <w:tcW w:w="1195" w:type="pct"/>
            <w:vAlign w:val="center"/>
          </w:tcPr>
          <w:p w14:paraId="11A09F8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甲苯</w:t>
            </w:r>
          </w:p>
        </w:tc>
        <w:tc>
          <w:tcPr>
            <w:tcW w:w="919" w:type="pct"/>
            <w:vAlign w:val="center"/>
          </w:tcPr>
          <w:p w14:paraId="5A15800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05DD289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1200</w:t>
            </w:r>
          </w:p>
        </w:tc>
        <w:tc>
          <w:tcPr>
            <w:tcW w:w="1157" w:type="pct"/>
            <w:vMerge w:val="continue"/>
            <w:vAlign w:val="center"/>
          </w:tcPr>
          <w:p w14:paraId="106A19F8">
            <w:pPr>
              <w:pStyle w:val="44"/>
              <w:bidi w:val="0"/>
              <w:rPr>
                <w:rFonts w:hint="default" w:ascii="Times New Roman" w:hAnsi="Times New Roman" w:cs="Times New Roman"/>
                <w:color w:val="auto"/>
                <w:highlight w:val="none"/>
              </w:rPr>
            </w:pPr>
          </w:p>
        </w:tc>
      </w:tr>
      <w:tr w14:paraId="5F5C48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4554543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33</w:t>
            </w:r>
          </w:p>
        </w:tc>
        <w:tc>
          <w:tcPr>
            <w:tcW w:w="1195" w:type="pct"/>
            <w:vAlign w:val="center"/>
          </w:tcPr>
          <w:p w14:paraId="4F30434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间二甲苯+对二甲苯</w:t>
            </w:r>
          </w:p>
        </w:tc>
        <w:tc>
          <w:tcPr>
            <w:tcW w:w="919" w:type="pct"/>
            <w:vAlign w:val="center"/>
          </w:tcPr>
          <w:p w14:paraId="099217E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44AC686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570</w:t>
            </w:r>
          </w:p>
        </w:tc>
        <w:tc>
          <w:tcPr>
            <w:tcW w:w="1157" w:type="pct"/>
            <w:vMerge w:val="continue"/>
            <w:vAlign w:val="center"/>
          </w:tcPr>
          <w:p w14:paraId="252D8BE3">
            <w:pPr>
              <w:pStyle w:val="44"/>
              <w:bidi w:val="0"/>
              <w:rPr>
                <w:rFonts w:hint="default" w:ascii="Times New Roman" w:hAnsi="Times New Roman" w:cs="Times New Roman"/>
                <w:color w:val="auto"/>
                <w:highlight w:val="none"/>
              </w:rPr>
            </w:pPr>
          </w:p>
        </w:tc>
      </w:tr>
      <w:tr w14:paraId="565304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72638E5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34</w:t>
            </w:r>
          </w:p>
        </w:tc>
        <w:tc>
          <w:tcPr>
            <w:tcW w:w="1195" w:type="pct"/>
            <w:vAlign w:val="center"/>
          </w:tcPr>
          <w:p w14:paraId="705778F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邻二甲苯</w:t>
            </w:r>
          </w:p>
        </w:tc>
        <w:tc>
          <w:tcPr>
            <w:tcW w:w="919" w:type="pct"/>
            <w:vAlign w:val="center"/>
          </w:tcPr>
          <w:p w14:paraId="66C876C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338131B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640</w:t>
            </w:r>
          </w:p>
        </w:tc>
        <w:tc>
          <w:tcPr>
            <w:tcW w:w="1157" w:type="pct"/>
            <w:vMerge w:val="continue"/>
            <w:vAlign w:val="center"/>
          </w:tcPr>
          <w:p w14:paraId="7E5D24A0">
            <w:pPr>
              <w:pStyle w:val="44"/>
              <w:bidi w:val="0"/>
              <w:rPr>
                <w:rFonts w:hint="default" w:ascii="Times New Roman" w:hAnsi="Times New Roman" w:cs="Times New Roman"/>
                <w:color w:val="auto"/>
                <w:highlight w:val="none"/>
              </w:rPr>
            </w:pPr>
          </w:p>
        </w:tc>
      </w:tr>
      <w:tr w14:paraId="3F145D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49E3CF1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35</w:t>
            </w:r>
          </w:p>
        </w:tc>
        <w:tc>
          <w:tcPr>
            <w:tcW w:w="1195" w:type="pct"/>
            <w:vAlign w:val="center"/>
          </w:tcPr>
          <w:p w14:paraId="438BEAE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硝基苯</w:t>
            </w:r>
          </w:p>
        </w:tc>
        <w:tc>
          <w:tcPr>
            <w:tcW w:w="919" w:type="pct"/>
            <w:vAlign w:val="center"/>
          </w:tcPr>
          <w:p w14:paraId="69BFD2C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7F05BF8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76</w:t>
            </w:r>
          </w:p>
        </w:tc>
        <w:tc>
          <w:tcPr>
            <w:tcW w:w="1157" w:type="pct"/>
            <w:vMerge w:val="continue"/>
            <w:vAlign w:val="center"/>
          </w:tcPr>
          <w:p w14:paraId="1A90C64E">
            <w:pPr>
              <w:pStyle w:val="44"/>
              <w:bidi w:val="0"/>
              <w:rPr>
                <w:rFonts w:hint="default" w:ascii="Times New Roman" w:hAnsi="Times New Roman" w:cs="Times New Roman"/>
                <w:color w:val="auto"/>
                <w:highlight w:val="none"/>
              </w:rPr>
            </w:pPr>
          </w:p>
        </w:tc>
      </w:tr>
      <w:tr w14:paraId="22D39D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0B4E165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36</w:t>
            </w:r>
          </w:p>
        </w:tc>
        <w:tc>
          <w:tcPr>
            <w:tcW w:w="1195" w:type="pct"/>
            <w:vAlign w:val="center"/>
          </w:tcPr>
          <w:p w14:paraId="4DBB0C5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苯胺</w:t>
            </w:r>
          </w:p>
        </w:tc>
        <w:tc>
          <w:tcPr>
            <w:tcW w:w="919" w:type="pct"/>
            <w:vAlign w:val="center"/>
          </w:tcPr>
          <w:p w14:paraId="1BD593E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6B97585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260</w:t>
            </w:r>
          </w:p>
        </w:tc>
        <w:tc>
          <w:tcPr>
            <w:tcW w:w="1157" w:type="pct"/>
            <w:vMerge w:val="continue"/>
            <w:vAlign w:val="center"/>
          </w:tcPr>
          <w:p w14:paraId="2824B229">
            <w:pPr>
              <w:pStyle w:val="44"/>
              <w:bidi w:val="0"/>
              <w:rPr>
                <w:rFonts w:hint="default" w:ascii="Times New Roman" w:hAnsi="Times New Roman" w:cs="Times New Roman"/>
                <w:color w:val="auto"/>
                <w:highlight w:val="none"/>
              </w:rPr>
            </w:pPr>
          </w:p>
        </w:tc>
      </w:tr>
      <w:tr w14:paraId="70F12B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2B4819A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37</w:t>
            </w:r>
          </w:p>
        </w:tc>
        <w:tc>
          <w:tcPr>
            <w:tcW w:w="1195" w:type="pct"/>
            <w:vAlign w:val="center"/>
          </w:tcPr>
          <w:p w14:paraId="080BF51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2-氯酚</w:t>
            </w:r>
          </w:p>
        </w:tc>
        <w:tc>
          <w:tcPr>
            <w:tcW w:w="919" w:type="pct"/>
            <w:vAlign w:val="center"/>
          </w:tcPr>
          <w:p w14:paraId="4DC6C87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5E04D41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2256</w:t>
            </w:r>
          </w:p>
        </w:tc>
        <w:tc>
          <w:tcPr>
            <w:tcW w:w="1157" w:type="pct"/>
            <w:vMerge w:val="continue"/>
            <w:vAlign w:val="center"/>
          </w:tcPr>
          <w:p w14:paraId="7A498145">
            <w:pPr>
              <w:pStyle w:val="44"/>
              <w:bidi w:val="0"/>
              <w:rPr>
                <w:rFonts w:hint="default" w:ascii="Times New Roman" w:hAnsi="Times New Roman" w:cs="Times New Roman"/>
                <w:color w:val="auto"/>
                <w:highlight w:val="none"/>
              </w:rPr>
            </w:pPr>
          </w:p>
        </w:tc>
      </w:tr>
      <w:tr w14:paraId="7C220A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6F105C9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38</w:t>
            </w:r>
          </w:p>
        </w:tc>
        <w:tc>
          <w:tcPr>
            <w:tcW w:w="1195" w:type="pct"/>
            <w:vAlign w:val="center"/>
          </w:tcPr>
          <w:p w14:paraId="61BCF15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苯并[a]蒽</w:t>
            </w:r>
          </w:p>
        </w:tc>
        <w:tc>
          <w:tcPr>
            <w:tcW w:w="919" w:type="pct"/>
            <w:vAlign w:val="center"/>
          </w:tcPr>
          <w:p w14:paraId="28833A0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4D56B4F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15</w:t>
            </w:r>
          </w:p>
        </w:tc>
        <w:tc>
          <w:tcPr>
            <w:tcW w:w="1157" w:type="pct"/>
            <w:vMerge w:val="continue"/>
            <w:vAlign w:val="center"/>
          </w:tcPr>
          <w:p w14:paraId="1269B3C3">
            <w:pPr>
              <w:pStyle w:val="44"/>
              <w:bidi w:val="0"/>
              <w:rPr>
                <w:rFonts w:hint="default" w:ascii="Times New Roman" w:hAnsi="Times New Roman" w:cs="Times New Roman"/>
                <w:color w:val="auto"/>
                <w:highlight w:val="none"/>
              </w:rPr>
            </w:pPr>
          </w:p>
        </w:tc>
      </w:tr>
      <w:tr w14:paraId="62C0E2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40FE33E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39</w:t>
            </w:r>
          </w:p>
        </w:tc>
        <w:tc>
          <w:tcPr>
            <w:tcW w:w="1195" w:type="pct"/>
            <w:vAlign w:val="center"/>
          </w:tcPr>
          <w:p w14:paraId="7319088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苯并[a]芘</w:t>
            </w:r>
          </w:p>
        </w:tc>
        <w:tc>
          <w:tcPr>
            <w:tcW w:w="919" w:type="pct"/>
            <w:vAlign w:val="center"/>
          </w:tcPr>
          <w:p w14:paraId="2269931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473D987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1.5</w:t>
            </w:r>
          </w:p>
        </w:tc>
        <w:tc>
          <w:tcPr>
            <w:tcW w:w="1157" w:type="pct"/>
            <w:vMerge w:val="continue"/>
            <w:vAlign w:val="center"/>
          </w:tcPr>
          <w:p w14:paraId="210F4B1A">
            <w:pPr>
              <w:pStyle w:val="44"/>
              <w:bidi w:val="0"/>
              <w:rPr>
                <w:rFonts w:hint="default" w:ascii="Times New Roman" w:hAnsi="Times New Roman" w:cs="Times New Roman"/>
                <w:color w:val="auto"/>
                <w:highlight w:val="none"/>
              </w:rPr>
            </w:pPr>
          </w:p>
        </w:tc>
      </w:tr>
      <w:tr w14:paraId="033674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1CC0780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40</w:t>
            </w:r>
          </w:p>
        </w:tc>
        <w:tc>
          <w:tcPr>
            <w:tcW w:w="1195" w:type="pct"/>
            <w:vAlign w:val="center"/>
          </w:tcPr>
          <w:p w14:paraId="1ECA0DA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苯并[b]荧蒽</w:t>
            </w:r>
          </w:p>
        </w:tc>
        <w:tc>
          <w:tcPr>
            <w:tcW w:w="919" w:type="pct"/>
            <w:vAlign w:val="center"/>
          </w:tcPr>
          <w:p w14:paraId="487A500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175C00C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15</w:t>
            </w:r>
          </w:p>
        </w:tc>
        <w:tc>
          <w:tcPr>
            <w:tcW w:w="1157" w:type="pct"/>
            <w:vMerge w:val="continue"/>
            <w:vAlign w:val="center"/>
          </w:tcPr>
          <w:p w14:paraId="3F964734">
            <w:pPr>
              <w:pStyle w:val="44"/>
              <w:bidi w:val="0"/>
              <w:rPr>
                <w:rFonts w:hint="default" w:ascii="Times New Roman" w:hAnsi="Times New Roman" w:cs="Times New Roman"/>
                <w:color w:val="auto"/>
                <w:highlight w:val="none"/>
              </w:rPr>
            </w:pPr>
          </w:p>
        </w:tc>
      </w:tr>
      <w:tr w14:paraId="147419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5B15A2D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41</w:t>
            </w:r>
          </w:p>
        </w:tc>
        <w:tc>
          <w:tcPr>
            <w:tcW w:w="1195" w:type="pct"/>
            <w:vAlign w:val="center"/>
          </w:tcPr>
          <w:p w14:paraId="6815272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苯并[k]荧蒽</w:t>
            </w:r>
          </w:p>
        </w:tc>
        <w:tc>
          <w:tcPr>
            <w:tcW w:w="919" w:type="pct"/>
            <w:vAlign w:val="center"/>
          </w:tcPr>
          <w:p w14:paraId="0E8B656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14BEB5C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151</w:t>
            </w:r>
          </w:p>
        </w:tc>
        <w:tc>
          <w:tcPr>
            <w:tcW w:w="1157" w:type="pct"/>
            <w:vMerge w:val="continue"/>
            <w:vAlign w:val="center"/>
          </w:tcPr>
          <w:p w14:paraId="735163F1">
            <w:pPr>
              <w:pStyle w:val="44"/>
              <w:bidi w:val="0"/>
              <w:rPr>
                <w:rFonts w:hint="default" w:ascii="Times New Roman" w:hAnsi="Times New Roman" w:cs="Times New Roman"/>
                <w:color w:val="auto"/>
                <w:highlight w:val="none"/>
              </w:rPr>
            </w:pPr>
          </w:p>
        </w:tc>
      </w:tr>
      <w:tr w14:paraId="77E9A7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44F0DA6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42</w:t>
            </w:r>
          </w:p>
        </w:tc>
        <w:tc>
          <w:tcPr>
            <w:tcW w:w="1195" w:type="pct"/>
            <w:vAlign w:val="center"/>
          </w:tcPr>
          <w:p w14:paraId="66F7E92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䓛</w:t>
            </w:r>
          </w:p>
        </w:tc>
        <w:tc>
          <w:tcPr>
            <w:tcW w:w="919" w:type="pct"/>
            <w:vAlign w:val="center"/>
          </w:tcPr>
          <w:p w14:paraId="4FB946E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11E2DB4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1293</w:t>
            </w:r>
          </w:p>
        </w:tc>
        <w:tc>
          <w:tcPr>
            <w:tcW w:w="1157" w:type="pct"/>
            <w:vMerge w:val="continue"/>
            <w:vAlign w:val="center"/>
          </w:tcPr>
          <w:p w14:paraId="4703CD59">
            <w:pPr>
              <w:pStyle w:val="44"/>
              <w:bidi w:val="0"/>
              <w:rPr>
                <w:rFonts w:hint="default" w:ascii="Times New Roman" w:hAnsi="Times New Roman" w:cs="Times New Roman"/>
                <w:color w:val="auto"/>
                <w:highlight w:val="none"/>
              </w:rPr>
            </w:pPr>
          </w:p>
        </w:tc>
      </w:tr>
      <w:tr w14:paraId="09346D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59DAF0D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43</w:t>
            </w:r>
          </w:p>
        </w:tc>
        <w:tc>
          <w:tcPr>
            <w:tcW w:w="1195" w:type="pct"/>
            <w:vAlign w:val="center"/>
          </w:tcPr>
          <w:p w14:paraId="3F56D45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二苯并[a,h]蒽</w:t>
            </w:r>
          </w:p>
        </w:tc>
        <w:tc>
          <w:tcPr>
            <w:tcW w:w="919" w:type="pct"/>
            <w:vAlign w:val="center"/>
          </w:tcPr>
          <w:p w14:paraId="011D75E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62403C3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1.5</w:t>
            </w:r>
          </w:p>
        </w:tc>
        <w:tc>
          <w:tcPr>
            <w:tcW w:w="1157" w:type="pct"/>
            <w:vMerge w:val="continue"/>
            <w:vAlign w:val="center"/>
          </w:tcPr>
          <w:p w14:paraId="5553C188">
            <w:pPr>
              <w:pStyle w:val="44"/>
              <w:bidi w:val="0"/>
              <w:rPr>
                <w:rFonts w:hint="default" w:ascii="Times New Roman" w:hAnsi="Times New Roman" w:cs="Times New Roman"/>
                <w:color w:val="auto"/>
                <w:highlight w:val="none"/>
              </w:rPr>
            </w:pPr>
          </w:p>
        </w:tc>
      </w:tr>
      <w:tr w14:paraId="22A142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3B63357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44</w:t>
            </w:r>
          </w:p>
        </w:tc>
        <w:tc>
          <w:tcPr>
            <w:tcW w:w="1195" w:type="pct"/>
            <w:vAlign w:val="center"/>
          </w:tcPr>
          <w:p w14:paraId="68060FF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茚并[1,2,3-cd]芘</w:t>
            </w:r>
          </w:p>
        </w:tc>
        <w:tc>
          <w:tcPr>
            <w:tcW w:w="919" w:type="pct"/>
            <w:vAlign w:val="center"/>
          </w:tcPr>
          <w:p w14:paraId="4B9F170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3143260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15</w:t>
            </w:r>
          </w:p>
        </w:tc>
        <w:tc>
          <w:tcPr>
            <w:tcW w:w="1157" w:type="pct"/>
            <w:vMerge w:val="continue"/>
            <w:vAlign w:val="center"/>
          </w:tcPr>
          <w:p w14:paraId="7816ED79">
            <w:pPr>
              <w:pStyle w:val="44"/>
              <w:bidi w:val="0"/>
              <w:rPr>
                <w:rFonts w:hint="default" w:ascii="Times New Roman" w:hAnsi="Times New Roman" w:cs="Times New Roman"/>
                <w:color w:val="auto"/>
                <w:highlight w:val="none"/>
              </w:rPr>
            </w:pPr>
          </w:p>
        </w:tc>
      </w:tr>
      <w:tr w14:paraId="06DA9A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5" w:type="pct"/>
            <w:vAlign w:val="center"/>
          </w:tcPr>
          <w:p w14:paraId="1F89B88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45</w:t>
            </w:r>
          </w:p>
        </w:tc>
        <w:tc>
          <w:tcPr>
            <w:tcW w:w="1195" w:type="pct"/>
            <w:vAlign w:val="center"/>
          </w:tcPr>
          <w:p w14:paraId="01780C0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萘</w:t>
            </w:r>
          </w:p>
        </w:tc>
        <w:tc>
          <w:tcPr>
            <w:tcW w:w="919" w:type="pct"/>
            <w:vAlign w:val="center"/>
          </w:tcPr>
          <w:p w14:paraId="75720FE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c>
          <w:tcPr>
            <w:tcW w:w="1250" w:type="pct"/>
            <w:vAlign w:val="center"/>
          </w:tcPr>
          <w:p w14:paraId="33D8127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70</w:t>
            </w:r>
          </w:p>
        </w:tc>
        <w:tc>
          <w:tcPr>
            <w:tcW w:w="1157" w:type="pct"/>
            <w:vMerge w:val="continue"/>
            <w:vAlign w:val="center"/>
          </w:tcPr>
          <w:p w14:paraId="0348470E">
            <w:pPr>
              <w:pStyle w:val="44"/>
              <w:bidi w:val="0"/>
              <w:rPr>
                <w:rFonts w:hint="default" w:ascii="Times New Roman" w:hAnsi="Times New Roman" w:cs="Times New Roman"/>
                <w:color w:val="auto"/>
                <w:highlight w:val="none"/>
              </w:rPr>
            </w:pPr>
          </w:p>
        </w:tc>
      </w:tr>
    </w:tbl>
    <w:p w14:paraId="0B769B2C">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表2-5-6  农用地土壤污染风险筛选值（基本项目），单位：mg/kg</w:t>
      </w:r>
    </w:p>
    <w:tbl>
      <w:tblPr>
        <w:tblStyle w:val="20"/>
        <w:tblW w:w="5000" w:type="pct"/>
        <w:tblInd w:w="0" w:type="dxa"/>
        <w:tblLayout w:type="autofit"/>
        <w:tblCellMar>
          <w:top w:w="0" w:type="dxa"/>
          <w:left w:w="108" w:type="dxa"/>
          <w:bottom w:w="0" w:type="dxa"/>
          <w:right w:w="108" w:type="dxa"/>
        </w:tblCellMar>
      </w:tblPr>
      <w:tblGrid>
        <w:gridCol w:w="841"/>
        <w:gridCol w:w="789"/>
        <w:gridCol w:w="1180"/>
        <w:gridCol w:w="1127"/>
        <w:gridCol w:w="1753"/>
        <w:gridCol w:w="1700"/>
        <w:gridCol w:w="1132"/>
      </w:tblGrid>
      <w:tr w14:paraId="2EFCC852">
        <w:tblPrEx>
          <w:tblCellMar>
            <w:top w:w="0" w:type="dxa"/>
            <w:left w:w="108" w:type="dxa"/>
            <w:bottom w:w="0" w:type="dxa"/>
            <w:right w:w="108" w:type="dxa"/>
          </w:tblCellMar>
        </w:tblPrEx>
        <w:tc>
          <w:tcPr>
            <w:tcW w:w="494" w:type="pct"/>
            <w:vMerge w:val="restart"/>
            <w:tcBorders>
              <w:top w:val="single" w:color="auto" w:sz="12" w:space="0"/>
              <w:left w:val="nil"/>
              <w:bottom w:val="single" w:color="auto" w:sz="4" w:space="0"/>
              <w:right w:val="single" w:color="auto" w:sz="4" w:space="0"/>
            </w:tcBorders>
          </w:tcPr>
          <w:p w14:paraId="602B9102">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序号</w:t>
            </w:r>
          </w:p>
        </w:tc>
        <w:tc>
          <w:tcPr>
            <w:tcW w:w="1155" w:type="pct"/>
            <w:gridSpan w:val="2"/>
            <w:vMerge w:val="restart"/>
            <w:tcBorders>
              <w:top w:val="single" w:color="auto" w:sz="12" w:space="0"/>
              <w:left w:val="single" w:color="auto" w:sz="4" w:space="0"/>
              <w:bottom w:val="single" w:color="auto" w:sz="4" w:space="0"/>
              <w:right w:val="single" w:color="auto" w:sz="4" w:space="0"/>
            </w:tcBorders>
          </w:tcPr>
          <w:p w14:paraId="0266E6DB">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污染物项目①②</w:t>
            </w:r>
          </w:p>
        </w:tc>
        <w:tc>
          <w:tcPr>
            <w:tcW w:w="3350" w:type="pct"/>
            <w:gridSpan w:val="4"/>
            <w:tcBorders>
              <w:top w:val="single" w:color="auto" w:sz="12" w:space="0"/>
              <w:left w:val="single" w:color="auto" w:sz="4" w:space="0"/>
              <w:bottom w:val="single" w:color="auto" w:sz="4" w:space="0"/>
              <w:right w:val="nil"/>
            </w:tcBorders>
          </w:tcPr>
          <w:p w14:paraId="40B30612">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风险筛选值</w:t>
            </w:r>
          </w:p>
        </w:tc>
      </w:tr>
      <w:tr w14:paraId="10AE87A9">
        <w:tblPrEx>
          <w:tblCellMar>
            <w:top w:w="0" w:type="dxa"/>
            <w:left w:w="108" w:type="dxa"/>
            <w:bottom w:w="0" w:type="dxa"/>
            <w:right w:w="108" w:type="dxa"/>
          </w:tblCellMar>
        </w:tblPrEx>
        <w:tc>
          <w:tcPr>
            <w:tcW w:w="494" w:type="pct"/>
            <w:vMerge w:val="continue"/>
            <w:tcBorders>
              <w:top w:val="single" w:color="auto" w:sz="12" w:space="0"/>
              <w:left w:val="nil"/>
              <w:bottom w:val="single" w:color="auto" w:sz="4" w:space="0"/>
              <w:right w:val="single" w:color="auto" w:sz="4" w:space="0"/>
            </w:tcBorders>
          </w:tcPr>
          <w:p w14:paraId="329DABDC">
            <w:pPr>
              <w:pStyle w:val="44"/>
              <w:bidi w:val="0"/>
              <w:rPr>
                <w:rFonts w:hint="default" w:ascii="Times New Roman" w:hAnsi="Times New Roman" w:cs="Times New Roman"/>
                <w:color w:val="auto"/>
                <w:highlight w:val="none"/>
                <w:lang w:eastAsia="en-US"/>
              </w:rPr>
            </w:pPr>
          </w:p>
        </w:tc>
        <w:tc>
          <w:tcPr>
            <w:tcW w:w="1155" w:type="pct"/>
            <w:gridSpan w:val="2"/>
            <w:vMerge w:val="continue"/>
            <w:tcBorders>
              <w:top w:val="single" w:color="auto" w:sz="12" w:space="0"/>
              <w:left w:val="single" w:color="auto" w:sz="4" w:space="0"/>
              <w:bottom w:val="single" w:color="auto" w:sz="4" w:space="0"/>
              <w:right w:val="single" w:color="auto" w:sz="4" w:space="0"/>
            </w:tcBorders>
          </w:tcPr>
          <w:p w14:paraId="65D6E7FE">
            <w:pPr>
              <w:pStyle w:val="44"/>
              <w:bidi w:val="0"/>
              <w:rPr>
                <w:rFonts w:hint="default" w:ascii="Times New Roman" w:hAnsi="Times New Roman" w:cs="Times New Roman"/>
                <w:color w:val="auto"/>
                <w:highlight w:val="none"/>
                <w:lang w:eastAsia="en-US"/>
              </w:rPr>
            </w:pPr>
          </w:p>
        </w:tc>
        <w:tc>
          <w:tcPr>
            <w:tcW w:w="661" w:type="pct"/>
            <w:tcBorders>
              <w:top w:val="single" w:color="auto" w:sz="4" w:space="0"/>
              <w:left w:val="single" w:color="auto" w:sz="4" w:space="0"/>
              <w:bottom w:val="single" w:color="auto" w:sz="4" w:space="0"/>
              <w:right w:val="single" w:color="auto" w:sz="4" w:space="0"/>
            </w:tcBorders>
          </w:tcPr>
          <w:p w14:paraId="008EE9A6">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pH≤5.5</w:t>
            </w:r>
          </w:p>
        </w:tc>
        <w:tc>
          <w:tcPr>
            <w:tcW w:w="1028" w:type="pct"/>
            <w:tcBorders>
              <w:top w:val="single" w:color="auto" w:sz="4" w:space="0"/>
              <w:left w:val="single" w:color="auto" w:sz="4" w:space="0"/>
              <w:bottom w:val="single" w:color="auto" w:sz="4" w:space="0"/>
              <w:right w:val="single" w:color="auto" w:sz="4" w:space="0"/>
            </w:tcBorders>
          </w:tcPr>
          <w:p w14:paraId="05A627C7">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5.5＜pH≤6.5</w:t>
            </w:r>
          </w:p>
        </w:tc>
        <w:tc>
          <w:tcPr>
            <w:tcW w:w="997" w:type="pct"/>
            <w:tcBorders>
              <w:top w:val="single" w:color="auto" w:sz="4" w:space="0"/>
              <w:left w:val="single" w:color="auto" w:sz="4" w:space="0"/>
              <w:bottom w:val="single" w:color="auto" w:sz="4" w:space="0"/>
              <w:right w:val="single" w:color="auto" w:sz="4" w:space="0"/>
            </w:tcBorders>
          </w:tcPr>
          <w:p w14:paraId="52509FAF">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6.5&lt; pH≤7.5</w:t>
            </w:r>
          </w:p>
        </w:tc>
        <w:tc>
          <w:tcPr>
            <w:tcW w:w="663" w:type="pct"/>
            <w:tcBorders>
              <w:top w:val="single" w:color="auto" w:sz="4" w:space="0"/>
              <w:left w:val="single" w:color="auto" w:sz="4" w:space="0"/>
              <w:bottom w:val="single" w:color="auto" w:sz="4" w:space="0"/>
              <w:right w:val="nil"/>
            </w:tcBorders>
          </w:tcPr>
          <w:p w14:paraId="7A0AF038">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pH&gt;7.5</w:t>
            </w:r>
          </w:p>
        </w:tc>
      </w:tr>
      <w:tr w14:paraId="3E7D983E">
        <w:tblPrEx>
          <w:tblCellMar>
            <w:top w:w="0" w:type="dxa"/>
            <w:left w:w="108" w:type="dxa"/>
            <w:bottom w:w="0" w:type="dxa"/>
            <w:right w:w="108" w:type="dxa"/>
          </w:tblCellMar>
        </w:tblPrEx>
        <w:tc>
          <w:tcPr>
            <w:tcW w:w="494" w:type="pct"/>
            <w:vMerge w:val="restart"/>
            <w:tcBorders>
              <w:top w:val="single" w:color="auto" w:sz="4" w:space="0"/>
              <w:left w:val="nil"/>
              <w:bottom w:val="single" w:color="auto" w:sz="4" w:space="0"/>
              <w:right w:val="single" w:color="auto" w:sz="4" w:space="0"/>
            </w:tcBorders>
          </w:tcPr>
          <w:p w14:paraId="129726DA">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1</w:t>
            </w:r>
          </w:p>
        </w:tc>
        <w:tc>
          <w:tcPr>
            <w:tcW w:w="463" w:type="pct"/>
            <w:vMerge w:val="restart"/>
            <w:tcBorders>
              <w:top w:val="single" w:color="auto" w:sz="4" w:space="0"/>
              <w:left w:val="single" w:color="auto" w:sz="4" w:space="0"/>
              <w:bottom w:val="single" w:color="auto" w:sz="4" w:space="0"/>
              <w:right w:val="single" w:color="auto" w:sz="4" w:space="0"/>
            </w:tcBorders>
          </w:tcPr>
          <w:p w14:paraId="4BBA4579">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镉</w:t>
            </w:r>
          </w:p>
        </w:tc>
        <w:tc>
          <w:tcPr>
            <w:tcW w:w="691" w:type="pct"/>
            <w:tcBorders>
              <w:top w:val="single" w:color="auto" w:sz="4" w:space="0"/>
              <w:left w:val="single" w:color="auto" w:sz="4" w:space="0"/>
              <w:bottom w:val="single" w:color="auto" w:sz="4" w:space="0"/>
              <w:right w:val="single" w:color="auto" w:sz="4" w:space="0"/>
            </w:tcBorders>
          </w:tcPr>
          <w:p w14:paraId="44080959">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水田</w:t>
            </w:r>
          </w:p>
        </w:tc>
        <w:tc>
          <w:tcPr>
            <w:tcW w:w="661" w:type="pct"/>
            <w:tcBorders>
              <w:top w:val="single" w:color="auto" w:sz="4" w:space="0"/>
              <w:left w:val="single" w:color="auto" w:sz="4" w:space="0"/>
              <w:bottom w:val="single" w:color="auto" w:sz="4" w:space="0"/>
              <w:right w:val="single" w:color="auto" w:sz="4" w:space="0"/>
            </w:tcBorders>
          </w:tcPr>
          <w:p w14:paraId="035B85BC">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0.3</w:t>
            </w:r>
          </w:p>
        </w:tc>
        <w:tc>
          <w:tcPr>
            <w:tcW w:w="1028" w:type="pct"/>
            <w:tcBorders>
              <w:top w:val="single" w:color="auto" w:sz="4" w:space="0"/>
              <w:left w:val="single" w:color="auto" w:sz="4" w:space="0"/>
              <w:bottom w:val="single" w:color="auto" w:sz="4" w:space="0"/>
              <w:right w:val="single" w:color="auto" w:sz="4" w:space="0"/>
            </w:tcBorders>
          </w:tcPr>
          <w:p w14:paraId="69262E13">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0.4</w:t>
            </w:r>
          </w:p>
        </w:tc>
        <w:tc>
          <w:tcPr>
            <w:tcW w:w="997" w:type="pct"/>
            <w:tcBorders>
              <w:top w:val="single" w:color="auto" w:sz="4" w:space="0"/>
              <w:left w:val="single" w:color="auto" w:sz="4" w:space="0"/>
              <w:bottom w:val="single" w:color="auto" w:sz="4" w:space="0"/>
              <w:right w:val="single" w:color="auto" w:sz="4" w:space="0"/>
            </w:tcBorders>
          </w:tcPr>
          <w:p w14:paraId="78C27241">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0.6</w:t>
            </w:r>
          </w:p>
        </w:tc>
        <w:tc>
          <w:tcPr>
            <w:tcW w:w="663" w:type="pct"/>
            <w:tcBorders>
              <w:top w:val="single" w:color="auto" w:sz="4" w:space="0"/>
              <w:left w:val="single" w:color="auto" w:sz="4" w:space="0"/>
              <w:bottom w:val="single" w:color="auto" w:sz="4" w:space="0"/>
              <w:right w:val="nil"/>
            </w:tcBorders>
          </w:tcPr>
          <w:p w14:paraId="56A62245">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0.8</w:t>
            </w:r>
          </w:p>
        </w:tc>
      </w:tr>
      <w:tr w14:paraId="4A79CE15">
        <w:tblPrEx>
          <w:tblCellMar>
            <w:top w:w="0" w:type="dxa"/>
            <w:left w:w="108" w:type="dxa"/>
            <w:bottom w:w="0" w:type="dxa"/>
            <w:right w:w="108" w:type="dxa"/>
          </w:tblCellMar>
        </w:tblPrEx>
        <w:tc>
          <w:tcPr>
            <w:tcW w:w="494" w:type="pct"/>
            <w:vMerge w:val="continue"/>
            <w:tcBorders>
              <w:top w:val="single" w:color="auto" w:sz="4" w:space="0"/>
              <w:left w:val="nil"/>
              <w:bottom w:val="single" w:color="auto" w:sz="4" w:space="0"/>
              <w:right w:val="single" w:color="auto" w:sz="4" w:space="0"/>
            </w:tcBorders>
          </w:tcPr>
          <w:p w14:paraId="734660EE">
            <w:pPr>
              <w:pStyle w:val="44"/>
              <w:bidi w:val="0"/>
              <w:rPr>
                <w:rFonts w:hint="default" w:ascii="Times New Roman" w:hAnsi="Times New Roman" w:cs="Times New Roman"/>
                <w:color w:val="auto"/>
                <w:highlight w:val="none"/>
                <w:lang w:eastAsia="en-US"/>
              </w:rPr>
            </w:pPr>
          </w:p>
        </w:tc>
        <w:tc>
          <w:tcPr>
            <w:tcW w:w="463" w:type="pct"/>
            <w:vMerge w:val="continue"/>
            <w:tcBorders>
              <w:top w:val="single" w:color="auto" w:sz="4" w:space="0"/>
              <w:left w:val="single" w:color="auto" w:sz="4" w:space="0"/>
              <w:bottom w:val="single" w:color="auto" w:sz="4" w:space="0"/>
              <w:right w:val="single" w:color="auto" w:sz="4" w:space="0"/>
            </w:tcBorders>
          </w:tcPr>
          <w:p w14:paraId="6E018591">
            <w:pPr>
              <w:pStyle w:val="44"/>
              <w:bidi w:val="0"/>
              <w:rPr>
                <w:rFonts w:hint="default" w:ascii="Times New Roman" w:hAnsi="Times New Roman" w:cs="Times New Roman"/>
                <w:color w:val="auto"/>
                <w:highlight w:val="none"/>
                <w:lang w:eastAsia="en-US"/>
              </w:rPr>
            </w:pPr>
          </w:p>
        </w:tc>
        <w:tc>
          <w:tcPr>
            <w:tcW w:w="691" w:type="pct"/>
            <w:tcBorders>
              <w:top w:val="single" w:color="auto" w:sz="4" w:space="0"/>
              <w:left w:val="single" w:color="auto" w:sz="4" w:space="0"/>
              <w:bottom w:val="single" w:color="auto" w:sz="4" w:space="0"/>
              <w:right w:val="single" w:color="auto" w:sz="4" w:space="0"/>
            </w:tcBorders>
          </w:tcPr>
          <w:p w14:paraId="4B6DF64C">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其他</w:t>
            </w:r>
          </w:p>
        </w:tc>
        <w:tc>
          <w:tcPr>
            <w:tcW w:w="661" w:type="pct"/>
            <w:tcBorders>
              <w:top w:val="single" w:color="auto" w:sz="4" w:space="0"/>
              <w:left w:val="single" w:color="auto" w:sz="4" w:space="0"/>
              <w:bottom w:val="single" w:color="auto" w:sz="4" w:space="0"/>
              <w:right w:val="single" w:color="auto" w:sz="4" w:space="0"/>
            </w:tcBorders>
          </w:tcPr>
          <w:p w14:paraId="548EADBB">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0.3</w:t>
            </w:r>
          </w:p>
        </w:tc>
        <w:tc>
          <w:tcPr>
            <w:tcW w:w="1028" w:type="pct"/>
            <w:tcBorders>
              <w:top w:val="single" w:color="auto" w:sz="4" w:space="0"/>
              <w:left w:val="single" w:color="auto" w:sz="4" w:space="0"/>
              <w:bottom w:val="single" w:color="auto" w:sz="4" w:space="0"/>
              <w:right w:val="single" w:color="auto" w:sz="4" w:space="0"/>
            </w:tcBorders>
          </w:tcPr>
          <w:p w14:paraId="00ABBCE6">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0.3</w:t>
            </w:r>
          </w:p>
        </w:tc>
        <w:tc>
          <w:tcPr>
            <w:tcW w:w="997" w:type="pct"/>
            <w:tcBorders>
              <w:top w:val="single" w:color="auto" w:sz="4" w:space="0"/>
              <w:left w:val="single" w:color="auto" w:sz="4" w:space="0"/>
              <w:bottom w:val="single" w:color="auto" w:sz="4" w:space="0"/>
              <w:right w:val="single" w:color="auto" w:sz="4" w:space="0"/>
            </w:tcBorders>
          </w:tcPr>
          <w:p w14:paraId="577A6E7D">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0.3</w:t>
            </w:r>
          </w:p>
        </w:tc>
        <w:tc>
          <w:tcPr>
            <w:tcW w:w="663" w:type="pct"/>
            <w:tcBorders>
              <w:top w:val="single" w:color="auto" w:sz="4" w:space="0"/>
              <w:left w:val="single" w:color="auto" w:sz="4" w:space="0"/>
              <w:bottom w:val="single" w:color="auto" w:sz="4" w:space="0"/>
              <w:right w:val="nil"/>
            </w:tcBorders>
          </w:tcPr>
          <w:p w14:paraId="0EED8E53">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0.6</w:t>
            </w:r>
          </w:p>
        </w:tc>
      </w:tr>
      <w:tr w14:paraId="7C482939">
        <w:tblPrEx>
          <w:tblCellMar>
            <w:top w:w="0" w:type="dxa"/>
            <w:left w:w="108" w:type="dxa"/>
            <w:bottom w:w="0" w:type="dxa"/>
            <w:right w:w="108" w:type="dxa"/>
          </w:tblCellMar>
        </w:tblPrEx>
        <w:tc>
          <w:tcPr>
            <w:tcW w:w="494" w:type="pct"/>
            <w:vMerge w:val="restart"/>
            <w:tcBorders>
              <w:top w:val="single" w:color="auto" w:sz="4" w:space="0"/>
              <w:left w:val="nil"/>
              <w:bottom w:val="single" w:color="auto" w:sz="4" w:space="0"/>
              <w:right w:val="single" w:color="auto" w:sz="4" w:space="0"/>
            </w:tcBorders>
          </w:tcPr>
          <w:p w14:paraId="3DE3E3DB">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2</w:t>
            </w:r>
          </w:p>
        </w:tc>
        <w:tc>
          <w:tcPr>
            <w:tcW w:w="463" w:type="pct"/>
            <w:vMerge w:val="restart"/>
            <w:tcBorders>
              <w:top w:val="single" w:color="auto" w:sz="4" w:space="0"/>
              <w:left w:val="single" w:color="auto" w:sz="4" w:space="0"/>
              <w:bottom w:val="single" w:color="auto" w:sz="4" w:space="0"/>
              <w:right w:val="single" w:color="auto" w:sz="4" w:space="0"/>
            </w:tcBorders>
          </w:tcPr>
          <w:p w14:paraId="6AA9156F">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汞</w:t>
            </w:r>
          </w:p>
        </w:tc>
        <w:tc>
          <w:tcPr>
            <w:tcW w:w="691" w:type="pct"/>
            <w:tcBorders>
              <w:top w:val="single" w:color="auto" w:sz="4" w:space="0"/>
              <w:left w:val="single" w:color="auto" w:sz="4" w:space="0"/>
              <w:bottom w:val="single" w:color="auto" w:sz="4" w:space="0"/>
              <w:right w:val="single" w:color="auto" w:sz="4" w:space="0"/>
            </w:tcBorders>
          </w:tcPr>
          <w:p w14:paraId="73A82B19">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水田</w:t>
            </w:r>
          </w:p>
        </w:tc>
        <w:tc>
          <w:tcPr>
            <w:tcW w:w="661" w:type="pct"/>
            <w:tcBorders>
              <w:top w:val="single" w:color="auto" w:sz="4" w:space="0"/>
              <w:left w:val="single" w:color="auto" w:sz="4" w:space="0"/>
              <w:bottom w:val="single" w:color="auto" w:sz="4" w:space="0"/>
              <w:right w:val="single" w:color="auto" w:sz="4" w:space="0"/>
            </w:tcBorders>
          </w:tcPr>
          <w:p w14:paraId="158A4DE1">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0.5</w:t>
            </w:r>
          </w:p>
        </w:tc>
        <w:tc>
          <w:tcPr>
            <w:tcW w:w="1028" w:type="pct"/>
            <w:tcBorders>
              <w:top w:val="single" w:color="auto" w:sz="4" w:space="0"/>
              <w:left w:val="single" w:color="auto" w:sz="4" w:space="0"/>
              <w:bottom w:val="single" w:color="auto" w:sz="4" w:space="0"/>
              <w:right w:val="single" w:color="auto" w:sz="4" w:space="0"/>
            </w:tcBorders>
          </w:tcPr>
          <w:p w14:paraId="75DA6483">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0.5</w:t>
            </w:r>
          </w:p>
        </w:tc>
        <w:tc>
          <w:tcPr>
            <w:tcW w:w="997" w:type="pct"/>
            <w:tcBorders>
              <w:top w:val="single" w:color="auto" w:sz="4" w:space="0"/>
              <w:left w:val="single" w:color="auto" w:sz="4" w:space="0"/>
              <w:bottom w:val="single" w:color="auto" w:sz="4" w:space="0"/>
              <w:right w:val="single" w:color="auto" w:sz="4" w:space="0"/>
            </w:tcBorders>
          </w:tcPr>
          <w:p w14:paraId="564EE322">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0.6</w:t>
            </w:r>
          </w:p>
        </w:tc>
        <w:tc>
          <w:tcPr>
            <w:tcW w:w="663" w:type="pct"/>
            <w:tcBorders>
              <w:top w:val="single" w:color="auto" w:sz="4" w:space="0"/>
              <w:left w:val="single" w:color="auto" w:sz="4" w:space="0"/>
              <w:bottom w:val="single" w:color="auto" w:sz="4" w:space="0"/>
              <w:right w:val="nil"/>
            </w:tcBorders>
          </w:tcPr>
          <w:p w14:paraId="2B6C7EC6">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1.0</w:t>
            </w:r>
          </w:p>
        </w:tc>
      </w:tr>
      <w:tr w14:paraId="1C653F79">
        <w:tblPrEx>
          <w:tblCellMar>
            <w:top w:w="0" w:type="dxa"/>
            <w:left w:w="108" w:type="dxa"/>
            <w:bottom w:w="0" w:type="dxa"/>
            <w:right w:w="108" w:type="dxa"/>
          </w:tblCellMar>
        </w:tblPrEx>
        <w:tc>
          <w:tcPr>
            <w:tcW w:w="494" w:type="pct"/>
            <w:vMerge w:val="continue"/>
            <w:tcBorders>
              <w:top w:val="single" w:color="auto" w:sz="4" w:space="0"/>
              <w:left w:val="nil"/>
              <w:bottom w:val="single" w:color="auto" w:sz="4" w:space="0"/>
              <w:right w:val="single" w:color="auto" w:sz="4" w:space="0"/>
            </w:tcBorders>
          </w:tcPr>
          <w:p w14:paraId="776271DB">
            <w:pPr>
              <w:pStyle w:val="44"/>
              <w:bidi w:val="0"/>
              <w:rPr>
                <w:rFonts w:hint="default" w:ascii="Times New Roman" w:hAnsi="Times New Roman" w:cs="Times New Roman"/>
                <w:color w:val="auto"/>
                <w:highlight w:val="none"/>
                <w:lang w:eastAsia="en-US"/>
              </w:rPr>
            </w:pPr>
          </w:p>
        </w:tc>
        <w:tc>
          <w:tcPr>
            <w:tcW w:w="463" w:type="pct"/>
            <w:vMerge w:val="continue"/>
            <w:tcBorders>
              <w:top w:val="single" w:color="auto" w:sz="4" w:space="0"/>
              <w:left w:val="single" w:color="auto" w:sz="4" w:space="0"/>
              <w:bottom w:val="single" w:color="auto" w:sz="4" w:space="0"/>
              <w:right w:val="single" w:color="auto" w:sz="4" w:space="0"/>
            </w:tcBorders>
          </w:tcPr>
          <w:p w14:paraId="16B6CC08">
            <w:pPr>
              <w:pStyle w:val="44"/>
              <w:bidi w:val="0"/>
              <w:rPr>
                <w:rFonts w:hint="default" w:ascii="Times New Roman" w:hAnsi="Times New Roman" w:cs="Times New Roman"/>
                <w:color w:val="auto"/>
                <w:highlight w:val="none"/>
                <w:lang w:eastAsia="en-US"/>
              </w:rPr>
            </w:pPr>
          </w:p>
        </w:tc>
        <w:tc>
          <w:tcPr>
            <w:tcW w:w="691" w:type="pct"/>
            <w:tcBorders>
              <w:top w:val="single" w:color="auto" w:sz="4" w:space="0"/>
              <w:left w:val="single" w:color="auto" w:sz="4" w:space="0"/>
              <w:bottom w:val="single" w:color="auto" w:sz="4" w:space="0"/>
              <w:right w:val="single" w:color="auto" w:sz="4" w:space="0"/>
            </w:tcBorders>
          </w:tcPr>
          <w:p w14:paraId="7DBE10EA">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其他</w:t>
            </w:r>
          </w:p>
        </w:tc>
        <w:tc>
          <w:tcPr>
            <w:tcW w:w="661" w:type="pct"/>
            <w:tcBorders>
              <w:top w:val="single" w:color="auto" w:sz="4" w:space="0"/>
              <w:left w:val="single" w:color="auto" w:sz="4" w:space="0"/>
              <w:bottom w:val="single" w:color="auto" w:sz="4" w:space="0"/>
              <w:right w:val="single" w:color="auto" w:sz="4" w:space="0"/>
            </w:tcBorders>
          </w:tcPr>
          <w:p w14:paraId="7F9BE22E">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1.3</w:t>
            </w:r>
          </w:p>
        </w:tc>
        <w:tc>
          <w:tcPr>
            <w:tcW w:w="1028" w:type="pct"/>
            <w:tcBorders>
              <w:top w:val="single" w:color="auto" w:sz="4" w:space="0"/>
              <w:left w:val="single" w:color="auto" w:sz="4" w:space="0"/>
              <w:bottom w:val="single" w:color="auto" w:sz="4" w:space="0"/>
              <w:right w:val="single" w:color="auto" w:sz="4" w:space="0"/>
            </w:tcBorders>
          </w:tcPr>
          <w:p w14:paraId="1A41049C">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1.8</w:t>
            </w:r>
          </w:p>
        </w:tc>
        <w:tc>
          <w:tcPr>
            <w:tcW w:w="997" w:type="pct"/>
            <w:tcBorders>
              <w:top w:val="single" w:color="auto" w:sz="4" w:space="0"/>
              <w:left w:val="single" w:color="auto" w:sz="4" w:space="0"/>
              <w:bottom w:val="single" w:color="auto" w:sz="4" w:space="0"/>
              <w:right w:val="single" w:color="auto" w:sz="4" w:space="0"/>
            </w:tcBorders>
          </w:tcPr>
          <w:p w14:paraId="4B5A9EED">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2.4</w:t>
            </w:r>
          </w:p>
        </w:tc>
        <w:tc>
          <w:tcPr>
            <w:tcW w:w="663" w:type="pct"/>
            <w:tcBorders>
              <w:top w:val="single" w:color="auto" w:sz="4" w:space="0"/>
              <w:left w:val="single" w:color="auto" w:sz="4" w:space="0"/>
              <w:bottom w:val="single" w:color="auto" w:sz="4" w:space="0"/>
              <w:right w:val="nil"/>
            </w:tcBorders>
          </w:tcPr>
          <w:p w14:paraId="6E8FC429">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3.4</w:t>
            </w:r>
          </w:p>
        </w:tc>
      </w:tr>
      <w:tr w14:paraId="0C9A9337">
        <w:tblPrEx>
          <w:tblCellMar>
            <w:top w:w="0" w:type="dxa"/>
            <w:left w:w="108" w:type="dxa"/>
            <w:bottom w:w="0" w:type="dxa"/>
            <w:right w:w="108" w:type="dxa"/>
          </w:tblCellMar>
        </w:tblPrEx>
        <w:tc>
          <w:tcPr>
            <w:tcW w:w="494" w:type="pct"/>
            <w:vMerge w:val="restart"/>
            <w:tcBorders>
              <w:top w:val="single" w:color="auto" w:sz="4" w:space="0"/>
              <w:left w:val="nil"/>
              <w:bottom w:val="single" w:color="auto" w:sz="4" w:space="0"/>
              <w:right w:val="single" w:color="auto" w:sz="4" w:space="0"/>
            </w:tcBorders>
          </w:tcPr>
          <w:p w14:paraId="7340D20E">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3</w:t>
            </w:r>
          </w:p>
        </w:tc>
        <w:tc>
          <w:tcPr>
            <w:tcW w:w="463" w:type="pct"/>
            <w:vMerge w:val="restart"/>
            <w:tcBorders>
              <w:top w:val="single" w:color="auto" w:sz="4" w:space="0"/>
              <w:left w:val="single" w:color="auto" w:sz="4" w:space="0"/>
              <w:bottom w:val="single" w:color="auto" w:sz="4" w:space="0"/>
              <w:right w:val="single" w:color="auto" w:sz="4" w:space="0"/>
            </w:tcBorders>
          </w:tcPr>
          <w:p w14:paraId="18C75FC5">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砷</w:t>
            </w:r>
          </w:p>
        </w:tc>
        <w:tc>
          <w:tcPr>
            <w:tcW w:w="691" w:type="pct"/>
            <w:tcBorders>
              <w:top w:val="single" w:color="auto" w:sz="4" w:space="0"/>
              <w:left w:val="single" w:color="auto" w:sz="4" w:space="0"/>
              <w:bottom w:val="single" w:color="auto" w:sz="4" w:space="0"/>
              <w:right w:val="single" w:color="auto" w:sz="4" w:space="0"/>
            </w:tcBorders>
          </w:tcPr>
          <w:p w14:paraId="33B1C5A2">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水田</w:t>
            </w:r>
          </w:p>
        </w:tc>
        <w:tc>
          <w:tcPr>
            <w:tcW w:w="661" w:type="pct"/>
            <w:tcBorders>
              <w:top w:val="single" w:color="auto" w:sz="4" w:space="0"/>
              <w:left w:val="single" w:color="auto" w:sz="4" w:space="0"/>
              <w:bottom w:val="single" w:color="auto" w:sz="4" w:space="0"/>
              <w:right w:val="single" w:color="auto" w:sz="4" w:space="0"/>
            </w:tcBorders>
          </w:tcPr>
          <w:p w14:paraId="45F7B31D">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30</w:t>
            </w:r>
          </w:p>
        </w:tc>
        <w:tc>
          <w:tcPr>
            <w:tcW w:w="1028" w:type="pct"/>
            <w:tcBorders>
              <w:top w:val="single" w:color="auto" w:sz="4" w:space="0"/>
              <w:left w:val="single" w:color="auto" w:sz="4" w:space="0"/>
              <w:bottom w:val="single" w:color="auto" w:sz="4" w:space="0"/>
              <w:right w:val="single" w:color="auto" w:sz="4" w:space="0"/>
            </w:tcBorders>
          </w:tcPr>
          <w:p w14:paraId="4A9F4284">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30</w:t>
            </w:r>
          </w:p>
        </w:tc>
        <w:tc>
          <w:tcPr>
            <w:tcW w:w="997" w:type="pct"/>
            <w:tcBorders>
              <w:top w:val="single" w:color="auto" w:sz="4" w:space="0"/>
              <w:left w:val="single" w:color="auto" w:sz="4" w:space="0"/>
              <w:bottom w:val="single" w:color="auto" w:sz="4" w:space="0"/>
              <w:right w:val="single" w:color="auto" w:sz="4" w:space="0"/>
            </w:tcBorders>
          </w:tcPr>
          <w:p w14:paraId="5AC799C5">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25</w:t>
            </w:r>
          </w:p>
        </w:tc>
        <w:tc>
          <w:tcPr>
            <w:tcW w:w="663" w:type="pct"/>
            <w:tcBorders>
              <w:top w:val="single" w:color="auto" w:sz="4" w:space="0"/>
              <w:left w:val="single" w:color="auto" w:sz="4" w:space="0"/>
              <w:bottom w:val="single" w:color="auto" w:sz="4" w:space="0"/>
              <w:right w:val="nil"/>
            </w:tcBorders>
          </w:tcPr>
          <w:p w14:paraId="3662EFE9">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20</w:t>
            </w:r>
          </w:p>
        </w:tc>
      </w:tr>
      <w:tr w14:paraId="7AC7E8D2">
        <w:tblPrEx>
          <w:tblCellMar>
            <w:top w:w="0" w:type="dxa"/>
            <w:left w:w="108" w:type="dxa"/>
            <w:bottom w:w="0" w:type="dxa"/>
            <w:right w:w="108" w:type="dxa"/>
          </w:tblCellMar>
        </w:tblPrEx>
        <w:tc>
          <w:tcPr>
            <w:tcW w:w="494" w:type="pct"/>
            <w:vMerge w:val="continue"/>
            <w:tcBorders>
              <w:top w:val="single" w:color="auto" w:sz="4" w:space="0"/>
              <w:left w:val="nil"/>
              <w:bottom w:val="single" w:color="auto" w:sz="4" w:space="0"/>
              <w:right w:val="single" w:color="auto" w:sz="4" w:space="0"/>
            </w:tcBorders>
          </w:tcPr>
          <w:p w14:paraId="210E6918">
            <w:pPr>
              <w:pStyle w:val="44"/>
              <w:bidi w:val="0"/>
              <w:rPr>
                <w:rFonts w:hint="default" w:ascii="Times New Roman" w:hAnsi="Times New Roman" w:cs="Times New Roman"/>
                <w:color w:val="auto"/>
                <w:highlight w:val="none"/>
                <w:lang w:eastAsia="en-US"/>
              </w:rPr>
            </w:pPr>
          </w:p>
        </w:tc>
        <w:tc>
          <w:tcPr>
            <w:tcW w:w="463" w:type="pct"/>
            <w:vMerge w:val="continue"/>
            <w:tcBorders>
              <w:top w:val="single" w:color="auto" w:sz="4" w:space="0"/>
              <w:left w:val="single" w:color="auto" w:sz="4" w:space="0"/>
              <w:bottom w:val="single" w:color="auto" w:sz="4" w:space="0"/>
              <w:right w:val="single" w:color="auto" w:sz="4" w:space="0"/>
            </w:tcBorders>
          </w:tcPr>
          <w:p w14:paraId="40E27577">
            <w:pPr>
              <w:pStyle w:val="44"/>
              <w:bidi w:val="0"/>
              <w:rPr>
                <w:rFonts w:hint="default" w:ascii="Times New Roman" w:hAnsi="Times New Roman" w:cs="Times New Roman"/>
                <w:color w:val="auto"/>
                <w:highlight w:val="none"/>
                <w:lang w:eastAsia="en-US"/>
              </w:rPr>
            </w:pPr>
          </w:p>
        </w:tc>
        <w:tc>
          <w:tcPr>
            <w:tcW w:w="691" w:type="pct"/>
            <w:tcBorders>
              <w:top w:val="single" w:color="auto" w:sz="4" w:space="0"/>
              <w:left w:val="single" w:color="auto" w:sz="4" w:space="0"/>
              <w:bottom w:val="single" w:color="auto" w:sz="4" w:space="0"/>
              <w:right w:val="single" w:color="auto" w:sz="4" w:space="0"/>
            </w:tcBorders>
          </w:tcPr>
          <w:p w14:paraId="4AC13577">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其他</w:t>
            </w:r>
          </w:p>
        </w:tc>
        <w:tc>
          <w:tcPr>
            <w:tcW w:w="661" w:type="pct"/>
            <w:tcBorders>
              <w:top w:val="single" w:color="auto" w:sz="4" w:space="0"/>
              <w:left w:val="single" w:color="auto" w:sz="4" w:space="0"/>
              <w:bottom w:val="single" w:color="auto" w:sz="4" w:space="0"/>
              <w:right w:val="single" w:color="auto" w:sz="4" w:space="0"/>
            </w:tcBorders>
          </w:tcPr>
          <w:p w14:paraId="712CEAE6">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40</w:t>
            </w:r>
          </w:p>
        </w:tc>
        <w:tc>
          <w:tcPr>
            <w:tcW w:w="1028" w:type="pct"/>
            <w:tcBorders>
              <w:top w:val="single" w:color="auto" w:sz="4" w:space="0"/>
              <w:left w:val="single" w:color="auto" w:sz="4" w:space="0"/>
              <w:bottom w:val="single" w:color="auto" w:sz="4" w:space="0"/>
              <w:right w:val="single" w:color="auto" w:sz="4" w:space="0"/>
            </w:tcBorders>
          </w:tcPr>
          <w:p w14:paraId="633C5D22">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40</w:t>
            </w:r>
          </w:p>
        </w:tc>
        <w:tc>
          <w:tcPr>
            <w:tcW w:w="997" w:type="pct"/>
            <w:tcBorders>
              <w:top w:val="single" w:color="auto" w:sz="4" w:space="0"/>
              <w:left w:val="single" w:color="auto" w:sz="4" w:space="0"/>
              <w:bottom w:val="single" w:color="auto" w:sz="4" w:space="0"/>
              <w:right w:val="single" w:color="auto" w:sz="4" w:space="0"/>
            </w:tcBorders>
          </w:tcPr>
          <w:p w14:paraId="1DCDCAA1">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30</w:t>
            </w:r>
          </w:p>
        </w:tc>
        <w:tc>
          <w:tcPr>
            <w:tcW w:w="663" w:type="pct"/>
            <w:tcBorders>
              <w:top w:val="single" w:color="auto" w:sz="4" w:space="0"/>
              <w:left w:val="single" w:color="auto" w:sz="4" w:space="0"/>
              <w:bottom w:val="single" w:color="auto" w:sz="4" w:space="0"/>
              <w:right w:val="nil"/>
            </w:tcBorders>
          </w:tcPr>
          <w:p w14:paraId="7AE33DD4">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25</w:t>
            </w:r>
          </w:p>
        </w:tc>
      </w:tr>
      <w:tr w14:paraId="5C42A147">
        <w:tblPrEx>
          <w:tblCellMar>
            <w:top w:w="0" w:type="dxa"/>
            <w:left w:w="108" w:type="dxa"/>
            <w:bottom w:w="0" w:type="dxa"/>
            <w:right w:w="108" w:type="dxa"/>
          </w:tblCellMar>
        </w:tblPrEx>
        <w:tc>
          <w:tcPr>
            <w:tcW w:w="494" w:type="pct"/>
            <w:vMerge w:val="restart"/>
            <w:tcBorders>
              <w:top w:val="single" w:color="auto" w:sz="4" w:space="0"/>
              <w:left w:val="nil"/>
              <w:bottom w:val="single" w:color="auto" w:sz="4" w:space="0"/>
              <w:right w:val="single" w:color="auto" w:sz="4" w:space="0"/>
            </w:tcBorders>
          </w:tcPr>
          <w:p w14:paraId="623BB566">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4</w:t>
            </w:r>
          </w:p>
        </w:tc>
        <w:tc>
          <w:tcPr>
            <w:tcW w:w="463" w:type="pct"/>
            <w:vMerge w:val="restart"/>
            <w:tcBorders>
              <w:top w:val="single" w:color="auto" w:sz="4" w:space="0"/>
              <w:left w:val="single" w:color="auto" w:sz="4" w:space="0"/>
              <w:bottom w:val="single" w:color="auto" w:sz="4" w:space="0"/>
              <w:right w:val="single" w:color="auto" w:sz="4" w:space="0"/>
            </w:tcBorders>
          </w:tcPr>
          <w:p w14:paraId="27AB06AA">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铅</w:t>
            </w:r>
          </w:p>
        </w:tc>
        <w:tc>
          <w:tcPr>
            <w:tcW w:w="691" w:type="pct"/>
            <w:tcBorders>
              <w:top w:val="single" w:color="auto" w:sz="4" w:space="0"/>
              <w:left w:val="single" w:color="auto" w:sz="4" w:space="0"/>
              <w:bottom w:val="single" w:color="auto" w:sz="4" w:space="0"/>
              <w:right w:val="single" w:color="auto" w:sz="4" w:space="0"/>
            </w:tcBorders>
          </w:tcPr>
          <w:p w14:paraId="672B5DDB">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水田</w:t>
            </w:r>
          </w:p>
        </w:tc>
        <w:tc>
          <w:tcPr>
            <w:tcW w:w="661" w:type="pct"/>
            <w:tcBorders>
              <w:top w:val="single" w:color="auto" w:sz="4" w:space="0"/>
              <w:left w:val="single" w:color="auto" w:sz="4" w:space="0"/>
              <w:bottom w:val="single" w:color="auto" w:sz="4" w:space="0"/>
              <w:right w:val="single" w:color="auto" w:sz="4" w:space="0"/>
            </w:tcBorders>
          </w:tcPr>
          <w:p w14:paraId="05BC79F2">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80</w:t>
            </w:r>
          </w:p>
        </w:tc>
        <w:tc>
          <w:tcPr>
            <w:tcW w:w="1028" w:type="pct"/>
            <w:tcBorders>
              <w:top w:val="single" w:color="auto" w:sz="4" w:space="0"/>
              <w:left w:val="single" w:color="auto" w:sz="4" w:space="0"/>
              <w:bottom w:val="single" w:color="auto" w:sz="4" w:space="0"/>
              <w:right w:val="single" w:color="auto" w:sz="4" w:space="0"/>
            </w:tcBorders>
          </w:tcPr>
          <w:p w14:paraId="2A9EF528">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100</w:t>
            </w:r>
          </w:p>
        </w:tc>
        <w:tc>
          <w:tcPr>
            <w:tcW w:w="997" w:type="pct"/>
            <w:tcBorders>
              <w:top w:val="single" w:color="auto" w:sz="4" w:space="0"/>
              <w:left w:val="single" w:color="auto" w:sz="4" w:space="0"/>
              <w:bottom w:val="single" w:color="auto" w:sz="4" w:space="0"/>
              <w:right w:val="single" w:color="auto" w:sz="4" w:space="0"/>
            </w:tcBorders>
          </w:tcPr>
          <w:p w14:paraId="2F2FDADF">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140</w:t>
            </w:r>
          </w:p>
        </w:tc>
        <w:tc>
          <w:tcPr>
            <w:tcW w:w="663" w:type="pct"/>
            <w:tcBorders>
              <w:top w:val="single" w:color="auto" w:sz="4" w:space="0"/>
              <w:left w:val="single" w:color="auto" w:sz="4" w:space="0"/>
              <w:bottom w:val="single" w:color="auto" w:sz="4" w:space="0"/>
              <w:right w:val="nil"/>
            </w:tcBorders>
          </w:tcPr>
          <w:p w14:paraId="59EC6099">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240</w:t>
            </w:r>
          </w:p>
        </w:tc>
      </w:tr>
      <w:tr w14:paraId="1EE5DA35">
        <w:tblPrEx>
          <w:tblCellMar>
            <w:top w:w="0" w:type="dxa"/>
            <w:left w:w="108" w:type="dxa"/>
            <w:bottom w:w="0" w:type="dxa"/>
            <w:right w:w="108" w:type="dxa"/>
          </w:tblCellMar>
        </w:tblPrEx>
        <w:tc>
          <w:tcPr>
            <w:tcW w:w="494" w:type="pct"/>
            <w:vMerge w:val="continue"/>
            <w:tcBorders>
              <w:top w:val="single" w:color="auto" w:sz="4" w:space="0"/>
              <w:left w:val="nil"/>
              <w:bottom w:val="single" w:color="auto" w:sz="4" w:space="0"/>
              <w:right w:val="single" w:color="auto" w:sz="4" w:space="0"/>
            </w:tcBorders>
          </w:tcPr>
          <w:p w14:paraId="0331F684">
            <w:pPr>
              <w:pStyle w:val="44"/>
              <w:bidi w:val="0"/>
              <w:rPr>
                <w:rFonts w:hint="default" w:ascii="Times New Roman" w:hAnsi="Times New Roman" w:cs="Times New Roman"/>
                <w:color w:val="auto"/>
                <w:highlight w:val="none"/>
                <w:lang w:eastAsia="en-US"/>
              </w:rPr>
            </w:pPr>
          </w:p>
        </w:tc>
        <w:tc>
          <w:tcPr>
            <w:tcW w:w="463" w:type="pct"/>
            <w:vMerge w:val="continue"/>
            <w:tcBorders>
              <w:top w:val="single" w:color="auto" w:sz="4" w:space="0"/>
              <w:left w:val="single" w:color="auto" w:sz="4" w:space="0"/>
              <w:bottom w:val="single" w:color="auto" w:sz="4" w:space="0"/>
              <w:right w:val="single" w:color="auto" w:sz="4" w:space="0"/>
            </w:tcBorders>
          </w:tcPr>
          <w:p w14:paraId="2ECAD1A3">
            <w:pPr>
              <w:pStyle w:val="44"/>
              <w:bidi w:val="0"/>
              <w:rPr>
                <w:rFonts w:hint="default" w:ascii="Times New Roman" w:hAnsi="Times New Roman" w:cs="Times New Roman"/>
                <w:color w:val="auto"/>
                <w:highlight w:val="none"/>
                <w:lang w:eastAsia="en-US"/>
              </w:rPr>
            </w:pPr>
          </w:p>
        </w:tc>
        <w:tc>
          <w:tcPr>
            <w:tcW w:w="691" w:type="pct"/>
            <w:tcBorders>
              <w:top w:val="single" w:color="auto" w:sz="4" w:space="0"/>
              <w:left w:val="single" w:color="auto" w:sz="4" w:space="0"/>
              <w:bottom w:val="single" w:color="auto" w:sz="4" w:space="0"/>
              <w:right w:val="single" w:color="auto" w:sz="4" w:space="0"/>
            </w:tcBorders>
          </w:tcPr>
          <w:p w14:paraId="35D93016">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其他</w:t>
            </w:r>
          </w:p>
        </w:tc>
        <w:tc>
          <w:tcPr>
            <w:tcW w:w="661" w:type="pct"/>
            <w:tcBorders>
              <w:top w:val="single" w:color="auto" w:sz="4" w:space="0"/>
              <w:left w:val="single" w:color="auto" w:sz="4" w:space="0"/>
              <w:bottom w:val="single" w:color="auto" w:sz="4" w:space="0"/>
              <w:right w:val="single" w:color="auto" w:sz="4" w:space="0"/>
            </w:tcBorders>
          </w:tcPr>
          <w:p w14:paraId="68168C9D">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70</w:t>
            </w:r>
          </w:p>
        </w:tc>
        <w:tc>
          <w:tcPr>
            <w:tcW w:w="1028" w:type="pct"/>
            <w:tcBorders>
              <w:top w:val="single" w:color="auto" w:sz="4" w:space="0"/>
              <w:left w:val="single" w:color="auto" w:sz="4" w:space="0"/>
              <w:bottom w:val="single" w:color="auto" w:sz="4" w:space="0"/>
              <w:right w:val="single" w:color="auto" w:sz="4" w:space="0"/>
            </w:tcBorders>
          </w:tcPr>
          <w:p w14:paraId="441D4DF5">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90</w:t>
            </w:r>
          </w:p>
        </w:tc>
        <w:tc>
          <w:tcPr>
            <w:tcW w:w="997" w:type="pct"/>
            <w:tcBorders>
              <w:top w:val="single" w:color="auto" w:sz="4" w:space="0"/>
              <w:left w:val="single" w:color="auto" w:sz="4" w:space="0"/>
              <w:bottom w:val="single" w:color="auto" w:sz="4" w:space="0"/>
              <w:right w:val="single" w:color="auto" w:sz="4" w:space="0"/>
            </w:tcBorders>
          </w:tcPr>
          <w:p w14:paraId="33449190">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120</w:t>
            </w:r>
          </w:p>
        </w:tc>
        <w:tc>
          <w:tcPr>
            <w:tcW w:w="663" w:type="pct"/>
            <w:tcBorders>
              <w:top w:val="single" w:color="auto" w:sz="4" w:space="0"/>
              <w:left w:val="single" w:color="auto" w:sz="4" w:space="0"/>
              <w:bottom w:val="single" w:color="auto" w:sz="4" w:space="0"/>
              <w:right w:val="nil"/>
            </w:tcBorders>
          </w:tcPr>
          <w:p w14:paraId="689107D1">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170</w:t>
            </w:r>
          </w:p>
        </w:tc>
      </w:tr>
      <w:tr w14:paraId="094D31E1">
        <w:tblPrEx>
          <w:tblCellMar>
            <w:top w:w="0" w:type="dxa"/>
            <w:left w:w="108" w:type="dxa"/>
            <w:bottom w:w="0" w:type="dxa"/>
            <w:right w:w="108" w:type="dxa"/>
          </w:tblCellMar>
        </w:tblPrEx>
        <w:tc>
          <w:tcPr>
            <w:tcW w:w="494" w:type="pct"/>
            <w:vMerge w:val="restart"/>
            <w:tcBorders>
              <w:top w:val="single" w:color="auto" w:sz="4" w:space="0"/>
              <w:left w:val="nil"/>
              <w:bottom w:val="single" w:color="auto" w:sz="4" w:space="0"/>
              <w:right w:val="single" w:color="auto" w:sz="4" w:space="0"/>
            </w:tcBorders>
          </w:tcPr>
          <w:p w14:paraId="72F0F1B3">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5</w:t>
            </w:r>
          </w:p>
        </w:tc>
        <w:tc>
          <w:tcPr>
            <w:tcW w:w="463" w:type="pct"/>
            <w:vMerge w:val="restart"/>
            <w:tcBorders>
              <w:top w:val="single" w:color="auto" w:sz="4" w:space="0"/>
              <w:left w:val="single" w:color="auto" w:sz="4" w:space="0"/>
              <w:bottom w:val="single" w:color="auto" w:sz="4" w:space="0"/>
              <w:right w:val="single" w:color="auto" w:sz="4" w:space="0"/>
            </w:tcBorders>
          </w:tcPr>
          <w:p w14:paraId="2075670D">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铬</w:t>
            </w:r>
          </w:p>
        </w:tc>
        <w:tc>
          <w:tcPr>
            <w:tcW w:w="691" w:type="pct"/>
            <w:tcBorders>
              <w:top w:val="single" w:color="auto" w:sz="4" w:space="0"/>
              <w:left w:val="single" w:color="auto" w:sz="4" w:space="0"/>
              <w:bottom w:val="single" w:color="auto" w:sz="4" w:space="0"/>
              <w:right w:val="single" w:color="auto" w:sz="4" w:space="0"/>
            </w:tcBorders>
          </w:tcPr>
          <w:p w14:paraId="52FF1D7C">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水田</w:t>
            </w:r>
          </w:p>
        </w:tc>
        <w:tc>
          <w:tcPr>
            <w:tcW w:w="661" w:type="pct"/>
            <w:tcBorders>
              <w:top w:val="single" w:color="auto" w:sz="4" w:space="0"/>
              <w:left w:val="single" w:color="auto" w:sz="4" w:space="0"/>
              <w:bottom w:val="single" w:color="auto" w:sz="4" w:space="0"/>
              <w:right w:val="single" w:color="auto" w:sz="4" w:space="0"/>
            </w:tcBorders>
          </w:tcPr>
          <w:p w14:paraId="201B0DFE">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250</w:t>
            </w:r>
          </w:p>
        </w:tc>
        <w:tc>
          <w:tcPr>
            <w:tcW w:w="1028" w:type="pct"/>
            <w:tcBorders>
              <w:top w:val="single" w:color="auto" w:sz="4" w:space="0"/>
              <w:left w:val="single" w:color="auto" w:sz="4" w:space="0"/>
              <w:bottom w:val="single" w:color="auto" w:sz="4" w:space="0"/>
              <w:right w:val="single" w:color="auto" w:sz="4" w:space="0"/>
            </w:tcBorders>
          </w:tcPr>
          <w:p w14:paraId="48F48AFC">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250</w:t>
            </w:r>
          </w:p>
        </w:tc>
        <w:tc>
          <w:tcPr>
            <w:tcW w:w="997" w:type="pct"/>
            <w:tcBorders>
              <w:top w:val="single" w:color="auto" w:sz="4" w:space="0"/>
              <w:left w:val="single" w:color="auto" w:sz="4" w:space="0"/>
              <w:bottom w:val="single" w:color="auto" w:sz="4" w:space="0"/>
              <w:right w:val="single" w:color="auto" w:sz="4" w:space="0"/>
            </w:tcBorders>
          </w:tcPr>
          <w:p w14:paraId="6884CAD9">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300</w:t>
            </w:r>
          </w:p>
        </w:tc>
        <w:tc>
          <w:tcPr>
            <w:tcW w:w="663" w:type="pct"/>
            <w:tcBorders>
              <w:top w:val="single" w:color="auto" w:sz="4" w:space="0"/>
              <w:left w:val="single" w:color="auto" w:sz="4" w:space="0"/>
              <w:bottom w:val="single" w:color="auto" w:sz="4" w:space="0"/>
              <w:right w:val="nil"/>
            </w:tcBorders>
          </w:tcPr>
          <w:p w14:paraId="4966D6D9">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350</w:t>
            </w:r>
          </w:p>
        </w:tc>
      </w:tr>
      <w:tr w14:paraId="1238F563">
        <w:tblPrEx>
          <w:tblCellMar>
            <w:top w:w="0" w:type="dxa"/>
            <w:left w:w="108" w:type="dxa"/>
            <w:bottom w:w="0" w:type="dxa"/>
            <w:right w:w="108" w:type="dxa"/>
          </w:tblCellMar>
        </w:tblPrEx>
        <w:tc>
          <w:tcPr>
            <w:tcW w:w="494" w:type="pct"/>
            <w:vMerge w:val="continue"/>
            <w:tcBorders>
              <w:top w:val="single" w:color="auto" w:sz="4" w:space="0"/>
              <w:left w:val="nil"/>
              <w:bottom w:val="single" w:color="auto" w:sz="4" w:space="0"/>
              <w:right w:val="single" w:color="auto" w:sz="4" w:space="0"/>
            </w:tcBorders>
          </w:tcPr>
          <w:p w14:paraId="717F3F8E">
            <w:pPr>
              <w:pStyle w:val="44"/>
              <w:bidi w:val="0"/>
              <w:rPr>
                <w:rFonts w:hint="default" w:ascii="Times New Roman" w:hAnsi="Times New Roman" w:cs="Times New Roman"/>
                <w:color w:val="auto"/>
                <w:highlight w:val="none"/>
                <w:lang w:eastAsia="en-US"/>
              </w:rPr>
            </w:pPr>
          </w:p>
        </w:tc>
        <w:tc>
          <w:tcPr>
            <w:tcW w:w="463" w:type="pct"/>
            <w:vMerge w:val="continue"/>
            <w:tcBorders>
              <w:top w:val="single" w:color="auto" w:sz="4" w:space="0"/>
              <w:left w:val="single" w:color="auto" w:sz="4" w:space="0"/>
              <w:bottom w:val="single" w:color="auto" w:sz="4" w:space="0"/>
              <w:right w:val="single" w:color="auto" w:sz="4" w:space="0"/>
            </w:tcBorders>
          </w:tcPr>
          <w:p w14:paraId="39B61AFB">
            <w:pPr>
              <w:pStyle w:val="44"/>
              <w:bidi w:val="0"/>
              <w:rPr>
                <w:rFonts w:hint="default" w:ascii="Times New Roman" w:hAnsi="Times New Roman" w:cs="Times New Roman"/>
                <w:color w:val="auto"/>
                <w:highlight w:val="none"/>
                <w:lang w:eastAsia="en-US"/>
              </w:rPr>
            </w:pPr>
          </w:p>
        </w:tc>
        <w:tc>
          <w:tcPr>
            <w:tcW w:w="691" w:type="pct"/>
            <w:tcBorders>
              <w:top w:val="single" w:color="auto" w:sz="4" w:space="0"/>
              <w:left w:val="single" w:color="auto" w:sz="4" w:space="0"/>
              <w:bottom w:val="single" w:color="auto" w:sz="4" w:space="0"/>
              <w:right w:val="single" w:color="auto" w:sz="4" w:space="0"/>
            </w:tcBorders>
          </w:tcPr>
          <w:p w14:paraId="1A35D458">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其他</w:t>
            </w:r>
          </w:p>
        </w:tc>
        <w:tc>
          <w:tcPr>
            <w:tcW w:w="661" w:type="pct"/>
            <w:tcBorders>
              <w:top w:val="single" w:color="auto" w:sz="4" w:space="0"/>
              <w:left w:val="single" w:color="auto" w:sz="4" w:space="0"/>
              <w:bottom w:val="single" w:color="auto" w:sz="4" w:space="0"/>
              <w:right w:val="single" w:color="auto" w:sz="4" w:space="0"/>
            </w:tcBorders>
          </w:tcPr>
          <w:p w14:paraId="1E20008C">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150</w:t>
            </w:r>
          </w:p>
        </w:tc>
        <w:tc>
          <w:tcPr>
            <w:tcW w:w="1028" w:type="pct"/>
            <w:tcBorders>
              <w:top w:val="single" w:color="auto" w:sz="4" w:space="0"/>
              <w:left w:val="single" w:color="auto" w:sz="4" w:space="0"/>
              <w:bottom w:val="single" w:color="auto" w:sz="4" w:space="0"/>
              <w:right w:val="single" w:color="auto" w:sz="4" w:space="0"/>
            </w:tcBorders>
          </w:tcPr>
          <w:p w14:paraId="4CC1C6C3">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150</w:t>
            </w:r>
          </w:p>
        </w:tc>
        <w:tc>
          <w:tcPr>
            <w:tcW w:w="997" w:type="pct"/>
            <w:tcBorders>
              <w:top w:val="single" w:color="auto" w:sz="4" w:space="0"/>
              <w:left w:val="single" w:color="auto" w:sz="4" w:space="0"/>
              <w:bottom w:val="single" w:color="auto" w:sz="4" w:space="0"/>
              <w:right w:val="single" w:color="auto" w:sz="4" w:space="0"/>
            </w:tcBorders>
          </w:tcPr>
          <w:p w14:paraId="40F300C1">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200</w:t>
            </w:r>
          </w:p>
        </w:tc>
        <w:tc>
          <w:tcPr>
            <w:tcW w:w="663" w:type="pct"/>
            <w:tcBorders>
              <w:top w:val="single" w:color="auto" w:sz="4" w:space="0"/>
              <w:left w:val="single" w:color="auto" w:sz="4" w:space="0"/>
              <w:bottom w:val="single" w:color="auto" w:sz="4" w:space="0"/>
              <w:right w:val="nil"/>
            </w:tcBorders>
          </w:tcPr>
          <w:p w14:paraId="4570C4C1">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250</w:t>
            </w:r>
          </w:p>
        </w:tc>
      </w:tr>
      <w:tr w14:paraId="08BD7F1B">
        <w:tblPrEx>
          <w:tblCellMar>
            <w:top w:w="0" w:type="dxa"/>
            <w:left w:w="108" w:type="dxa"/>
            <w:bottom w:w="0" w:type="dxa"/>
            <w:right w:w="108" w:type="dxa"/>
          </w:tblCellMar>
        </w:tblPrEx>
        <w:tc>
          <w:tcPr>
            <w:tcW w:w="494" w:type="pct"/>
            <w:vMerge w:val="restart"/>
            <w:tcBorders>
              <w:top w:val="single" w:color="auto" w:sz="4" w:space="0"/>
              <w:left w:val="nil"/>
              <w:bottom w:val="single" w:color="auto" w:sz="4" w:space="0"/>
              <w:right w:val="single" w:color="auto" w:sz="4" w:space="0"/>
            </w:tcBorders>
          </w:tcPr>
          <w:p w14:paraId="2E2A7F34">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6</w:t>
            </w:r>
          </w:p>
        </w:tc>
        <w:tc>
          <w:tcPr>
            <w:tcW w:w="463" w:type="pct"/>
            <w:vMerge w:val="restart"/>
            <w:tcBorders>
              <w:top w:val="single" w:color="auto" w:sz="4" w:space="0"/>
              <w:left w:val="single" w:color="auto" w:sz="4" w:space="0"/>
              <w:bottom w:val="single" w:color="auto" w:sz="4" w:space="0"/>
              <w:right w:val="single" w:color="auto" w:sz="4" w:space="0"/>
            </w:tcBorders>
          </w:tcPr>
          <w:p w14:paraId="2F5EB61F">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铜</w:t>
            </w:r>
          </w:p>
        </w:tc>
        <w:tc>
          <w:tcPr>
            <w:tcW w:w="691" w:type="pct"/>
            <w:tcBorders>
              <w:top w:val="single" w:color="auto" w:sz="4" w:space="0"/>
              <w:left w:val="single" w:color="auto" w:sz="4" w:space="0"/>
              <w:bottom w:val="single" w:color="auto" w:sz="4" w:space="0"/>
              <w:right w:val="single" w:color="auto" w:sz="4" w:space="0"/>
            </w:tcBorders>
          </w:tcPr>
          <w:p w14:paraId="5F7DA0FF">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果园</w:t>
            </w:r>
          </w:p>
        </w:tc>
        <w:tc>
          <w:tcPr>
            <w:tcW w:w="661" w:type="pct"/>
            <w:tcBorders>
              <w:top w:val="single" w:color="auto" w:sz="4" w:space="0"/>
              <w:left w:val="single" w:color="auto" w:sz="4" w:space="0"/>
              <w:bottom w:val="single" w:color="auto" w:sz="4" w:space="0"/>
              <w:right w:val="single" w:color="auto" w:sz="4" w:space="0"/>
            </w:tcBorders>
          </w:tcPr>
          <w:p w14:paraId="71963964">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150</w:t>
            </w:r>
          </w:p>
        </w:tc>
        <w:tc>
          <w:tcPr>
            <w:tcW w:w="1028" w:type="pct"/>
            <w:tcBorders>
              <w:top w:val="single" w:color="auto" w:sz="4" w:space="0"/>
              <w:left w:val="single" w:color="auto" w:sz="4" w:space="0"/>
              <w:bottom w:val="single" w:color="auto" w:sz="4" w:space="0"/>
              <w:right w:val="single" w:color="auto" w:sz="4" w:space="0"/>
            </w:tcBorders>
          </w:tcPr>
          <w:p w14:paraId="2B249A9B">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150</w:t>
            </w:r>
          </w:p>
        </w:tc>
        <w:tc>
          <w:tcPr>
            <w:tcW w:w="997" w:type="pct"/>
            <w:tcBorders>
              <w:top w:val="single" w:color="auto" w:sz="4" w:space="0"/>
              <w:left w:val="single" w:color="auto" w:sz="4" w:space="0"/>
              <w:bottom w:val="single" w:color="auto" w:sz="4" w:space="0"/>
              <w:right w:val="single" w:color="auto" w:sz="4" w:space="0"/>
            </w:tcBorders>
          </w:tcPr>
          <w:p w14:paraId="364BE7BA">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200</w:t>
            </w:r>
          </w:p>
        </w:tc>
        <w:tc>
          <w:tcPr>
            <w:tcW w:w="663" w:type="pct"/>
            <w:tcBorders>
              <w:top w:val="single" w:color="auto" w:sz="4" w:space="0"/>
              <w:left w:val="single" w:color="auto" w:sz="4" w:space="0"/>
              <w:bottom w:val="single" w:color="auto" w:sz="4" w:space="0"/>
              <w:right w:val="nil"/>
            </w:tcBorders>
          </w:tcPr>
          <w:p w14:paraId="1905A5FC">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200</w:t>
            </w:r>
          </w:p>
        </w:tc>
      </w:tr>
      <w:tr w14:paraId="74150A21">
        <w:tblPrEx>
          <w:tblCellMar>
            <w:top w:w="0" w:type="dxa"/>
            <w:left w:w="108" w:type="dxa"/>
            <w:bottom w:w="0" w:type="dxa"/>
            <w:right w:w="108" w:type="dxa"/>
          </w:tblCellMar>
        </w:tblPrEx>
        <w:tc>
          <w:tcPr>
            <w:tcW w:w="494" w:type="pct"/>
            <w:vMerge w:val="continue"/>
            <w:tcBorders>
              <w:top w:val="single" w:color="auto" w:sz="4" w:space="0"/>
              <w:left w:val="nil"/>
              <w:bottom w:val="single" w:color="auto" w:sz="4" w:space="0"/>
              <w:right w:val="single" w:color="auto" w:sz="4" w:space="0"/>
            </w:tcBorders>
          </w:tcPr>
          <w:p w14:paraId="68C1D804">
            <w:pPr>
              <w:pStyle w:val="44"/>
              <w:bidi w:val="0"/>
              <w:rPr>
                <w:rFonts w:hint="default" w:ascii="Times New Roman" w:hAnsi="Times New Roman" w:cs="Times New Roman"/>
                <w:color w:val="auto"/>
                <w:highlight w:val="none"/>
                <w:lang w:eastAsia="en-US"/>
              </w:rPr>
            </w:pPr>
          </w:p>
        </w:tc>
        <w:tc>
          <w:tcPr>
            <w:tcW w:w="463" w:type="pct"/>
            <w:vMerge w:val="continue"/>
            <w:tcBorders>
              <w:top w:val="single" w:color="auto" w:sz="4" w:space="0"/>
              <w:left w:val="single" w:color="auto" w:sz="4" w:space="0"/>
              <w:bottom w:val="single" w:color="auto" w:sz="4" w:space="0"/>
              <w:right w:val="single" w:color="auto" w:sz="4" w:space="0"/>
            </w:tcBorders>
          </w:tcPr>
          <w:p w14:paraId="6F890DE8">
            <w:pPr>
              <w:pStyle w:val="44"/>
              <w:bidi w:val="0"/>
              <w:rPr>
                <w:rFonts w:hint="default" w:ascii="Times New Roman" w:hAnsi="Times New Roman" w:cs="Times New Roman"/>
                <w:color w:val="auto"/>
                <w:highlight w:val="none"/>
                <w:lang w:eastAsia="en-US"/>
              </w:rPr>
            </w:pPr>
          </w:p>
        </w:tc>
        <w:tc>
          <w:tcPr>
            <w:tcW w:w="691" w:type="pct"/>
            <w:tcBorders>
              <w:top w:val="single" w:color="auto" w:sz="4" w:space="0"/>
              <w:left w:val="single" w:color="auto" w:sz="4" w:space="0"/>
              <w:bottom w:val="single" w:color="auto" w:sz="4" w:space="0"/>
              <w:right w:val="single" w:color="auto" w:sz="4" w:space="0"/>
            </w:tcBorders>
          </w:tcPr>
          <w:p w14:paraId="77E7722B">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其他</w:t>
            </w:r>
          </w:p>
        </w:tc>
        <w:tc>
          <w:tcPr>
            <w:tcW w:w="661" w:type="pct"/>
            <w:tcBorders>
              <w:top w:val="single" w:color="auto" w:sz="4" w:space="0"/>
              <w:left w:val="single" w:color="auto" w:sz="4" w:space="0"/>
              <w:bottom w:val="single" w:color="auto" w:sz="4" w:space="0"/>
              <w:right w:val="single" w:color="auto" w:sz="4" w:space="0"/>
            </w:tcBorders>
          </w:tcPr>
          <w:p w14:paraId="0513C340">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50</w:t>
            </w:r>
          </w:p>
        </w:tc>
        <w:tc>
          <w:tcPr>
            <w:tcW w:w="1028" w:type="pct"/>
            <w:tcBorders>
              <w:top w:val="single" w:color="auto" w:sz="4" w:space="0"/>
              <w:left w:val="single" w:color="auto" w:sz="4" w:space="0"/>
              <w:bottom w:val="single" w:color="auto" w:sz="4" w:space="0"/>
              <w:right w:val="single" w:color="auto" w:sz="4" w:space="0"/>
            </w:tcBorders>
          </w:tcPr>
          <w:p w14:paraId="623629D1">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50</w:t>
            </w:r>
          </w:p>
        </w:tc>
        <w:tc>
          <w:tcPr>
            <w:tcW w:w="997" w:type="pct"/>
            <w:tcBorders>
              <w:top w:val="single" w:color="auto" w:sz="4" w:space="0"/>
              <w:left w:val="single" w:color="auto" w:sz="4" w:space="0"/>
              <w:bottom w:val="single" w:color="auto" w:sz="4" w:space="0"/>
              <w:right w:val="single" w:color="auto" w:sz="4" w:space="0"/>
            </w:tcBorders>
          </w:tcPr>
          <w:p w14:paraId="52EF2046">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100</w:t>
            </w:r>
          </w:p>
        </w:tc>
        <w:tc>
          <w:tcPr>
            <w:tcW w:w="663" w:type="pct"/>
            <w:tcBorders>
              <w:top w:val="single" w:color="auto" w:sz="4" w:space="0"/>
              <w:left w:val="single" w:color="auto" w:sz="4" w:space="0"/>
              <w:bottom w:val="single" w:color="auto" w:sz="4" w:space="0"/>
              <w:right w:val="nil"/>
            </w:tcBorders>
          </w:tcPr>
          <w:p w14:paraId="3AB6061B">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100</w:t>
            </w:r>
          </w:p>
        </w:tc>
      </w:tr>
      <w:tr w14:paraId="555A7DB2">
        <w:tblPrEx>
          <w:tblCellMar>
            <w:top w:w="0" w:type="dxa"/>
            <w:left w:w="108" w:type="dxa"/>
            <w:bottom w:w="0" w:type="dxa"/>
            <w:right w:w="108" w:type="dxa"/>
          </w:tblCellMar>
        </w:tblPrEx>
        <w:tc>
          <w:tcPr>
            <w:tcW w:w="494" w:type="pct"/>
            <w:tcBorders>
              <w:top w:val="single" w:color="auto" w:sz="4" w:space="0"/>
              <w:left w:val="nil"/>
              <w:bottom w:val="single" w:color="auto" w:sz="4" w:space="0"/>
              <w:right w:val="single" w:color="auto" w:sz="4" w:space="0"/>
            </w:tcBorders>
          </w:tcPr>
          <w:p w14:paraId="66328966">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7</w:t>
            </w:r>
          </w:p>
        </w:tc>
        <w:tc>
          <w:tcPr>
            <w:tcW w:w="1155" w:type="pct"/>
            <w:gridSpan w:val="2"/>
            <w:tcBorders>
              <w:top w:val="single" w:color="auto" w:sz="4" w:space="0"/>
              <w:left w:val="single" w:color="auto" w:sz="4" w:space="0"/>
              <w:bottom w:val="single" w:color="auto" w:sz="4" w:space="0"/>
              <w:right w:val="single" w:color="auto" w:sz="4" w:space="0"/>
            </w:tcBorders>
          </w:tcPr>
          <w:p w14:paraId="3BCE002C">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镍</w:t>
            </w:r>
          </w:p>
        </w:tc>
        <w:tc>
          <w:tcPr>
            <w:tcW w:w="661" w:type="pct"/>
            <w:tcBorders>
              <w:top w:val="single" w:color="auto" w:sz="4" w:space="0"/>
              <w:left w:val="single" w:color="auto" w:sz="4" w:space="0"/>
              <w:bottom w:val="single" w:color="auto" w:sz="4" w:space="0"/>
              <w:right w:val="single" w:color="auto" w:sz="4" w:space="0"/>
            </w:tcBorders>
          </w:tcPr>
          <w:p w14:paraId="68E963F6">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60</w:t>
            </w:r>
          </w:p>
        </w:tc>
        <w:tc>
          <w:tcPr>
            <w:tcW w:w="1028" w:type="pct"/>
            <w:tcBorders>
              <w:top w:val="single" w:color="auto" w:sz="4" w:space="0"/>
              <w:left w:val="single" w:color="auto" w:sz="4" w:space="0"/>
              <w:bottom w:val="single" w:color="auto" w:sz="4" w:space="0"/>
              <w:right w:val="single" w:color="auto" w:sz="4" w:space="0"/>
            </w:tcBorders>
          </w:tcPr>
          <w:p w14:paraId="5CACB53F">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70</w:t>
            </w:r>
          </w:p>
        </w:tc>
        <w:tc>
          <w:tcPr>
            <w:tcW w:w="997" w:type="pct"/>
            <w:tcBorders>
              <w:top w:val="single" w:color="auto" w:sz="4" w:space="0"/>
              <w:left w:val="single" w:color="auto" w:sz="4" w:space="0"/>
              <w:bottom w:val="single" w:color="auto" w:sz="4" w:space="0"/>
              <w:right w:val="single" w:color="auto" w:sz="4" w:space="0"/>
            </w:tcBorders>
          </w:tcPr>
          <w:p w14:paraId="68B22CC4">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100</w:t>
            </w:r>
          </w:p>
        </w:tc>
        <w:tc>
          <w:tcPr>
            <w:tcW w:w="663" w:type="pct"/>
            <w:tcBorders>
              <w:top w:val="single" w:color="auto" w:sz="4" w:space="0"/>
              <w:left w:val="single" w:color="auto" w:sz="4" w:space="0"/>
              <w:bottom w:val="single" w:color="auto" w:sz="4" w:space="0"/>
              <w:right w:val="nil"/>
            </w:tcBorders>
          </w:tcPr>
          <w:p w14:paraId="166C5736">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190</w:t>
            </w:r>
          </w:p>
        </w:tc>
      </w:tr>
      <w:tr w14:paraId="71B8763E">
        <w:tblPrEx>
          <w:tblCellMar>
            <w:top w:w="0" w:type="dxa"/>
            <w:left w:w="108" w:type="dxa"/>
            <w:bottom w:w="0" w:type="dxa"/>
            <w:right w:w="108" w:type="dxa"/>
          </w:tblCellMar>
        </w:tblPrEx>
        <w:tc>
          <w:tcPr>
            <w:tcW w:w="494" w:type="pct"/>
            <w:tcBorders>
              <w:top w:val="single" w:color="auto" w:sz="4" w:space="0"/>
              <w:left w:val="nil"/>
              <w:bottom w:val="single" w:color="auto" w:sz="12" w:space="0"/>
              <w:right w:val="single" w:color="auto" w:sz="4" w:space="0"/>
            </w:tcBorders>
          </w:tcPr>
          <w:p w14:paraId="0B94EFA8">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8</w:t>
            </w:r>
          </w:p>
        </w:tc>
        <w:tc>
          <w:tcPr>
            <w:tcW w:w="1155" w:type="pct"/>
            <w:gridSpan w:val="2"/>
            <w:tcBorders>
              <w:top w:val="single" w:color="auto" w:sz="4" w:space="0"/>
              <w:left w:val="single" w:color="auto" w:sz="4" w:space="0"/>
              <w:bottom w:val="single" w:color="auto" w:sz="12" w:space="0"/>
              <w:right w:val="single" w:color="auto" w:sz="4" w:space="0"/>
            </w:tcBorders>
          </w:tcPr>
          <w:p w14:paraId="6BBAB946">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锌</w:t>
            </w:r>
          </w:p>
        </w:tc>
        <w:tc>
          <w:tcPr>
            <w:tcW w:w="661" w:type="pct"/>
            <w:tcBorders>
              <w:top w:val="single" w:color="auto" w:sz="4" w:space="0"/>
              <w:left w:val="single" w:color="auto" w:sz="4" w:space="0"/>
              <w:bottom w:val="single" w:color="auto" w:sz="12" w:space="0"/>
              <w:right w:val="single" w:color="auto" w:sz="4" w:space="0"/>
            </w:tcBorders>
          </w:tcPr>
          <w:p w14:paraId="7562A9F0">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200</w:t>
            </w:r>
          </w:p>
        </w:tc>
        <w:tc>
          <w:tcPr>
            <w:tcW w:w="1028" w:type="pct"/>
            <w:tcBorders>
              <w:top w:val="single" w:color="auto" w:sz="4" w:space="0"/>
              <w:left w:val="single" w:color="auto" w:sz="4" w:space="0"/>
              <w:bottom w:val="single" w:color="auto" w:sz="12" w:space="0"/>
              <w:right w:val="single" w:color="auto" w:sz="4" w:space="0"/>
            </w:tcBorders>
          </w:tcPr>
          <w:p w14:paraId="651E5199">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200</w:t>
            </w:r>
          </w:p>
        </w:tc>
        <w:tc>
          <w:tcPr>
            <w:tcW w:w="997" w:type="pct"/>
            <w:tcBorders>
              <w:top w:val="single" w:color="auto" w:sz="4" w:space="0"/>
              <w:left w:val="single" w:color="auto" w:sz="4" w:space="0"/>
              <w:bottom w:val="single" w:color="auto" w:sz="12" w:space="0"/>
              <w:right w:val="single" w:color="auto" w:sz="4" w:space="0"/>
            </w:tcBorders>
          </w:tcPr>
          <w:p w14:paraId="572D4CB2">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250</w:t>
            </w:r>
          </w:p>
        </w:tc>
        <w:tc>
          <w:tcPr>
            <w:tcW w:w="663" w:type="pct"/>
            <w:tcBorders>
              <w:top w:val="single" w:color="auto" w:sz="4" w:space="0"/>
              <w:left w:val="single" w:color="auto" w:sz="4" w:space="0"/>
              <w:bottom w:val="single" w:color="auto" w:sz="12" w:space="0"/>
              <w:right w:val="nil"/>
            </w:tcBorders>
          </w:tcPr>
          <w:p w14:paraId="7FE43B00">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300</w:t>
            </w:r>
          </w:p>
        </w:tc>
      </w:tr>
    </w:tbl>
    <w:p w14:paraId="4C9D237B">
      <w:pPr>
        <w:spacing w:before="4"/>
        <w:rPr>
          <w:rFonts w:hint="default" w:ascii="Times New Roman" w:hAnsi="Times New Roman" w:eastAsia="Times New Roman" w:cs="Times New Roman"/>
          <w:color w:val="auto"/>
          <w:sz w:val="20"/>
          <w:szCs w:val="20"/>
          <w:highlight w:val="none"/>
        </w:rPr>
      </w:pPr>
      <w:r>
        <w:rPr>
          <w:rFonts w:hint="default" w:ascii="Times New Roman" w:hAnsi="Times New Roman" w:cs="Times New Roman"/>
          <w:color w:val="auto"/>
          <w:sz w:val="20"/>
          <w:szCs w:val="20"/>
          <w:highlight w:val="none"/>
        </w:rPr>
        <w:t>注：①重金属和类金属砷均按元素总量计。</w:t>
      </w:r>
    </w:p>
    <w:p w14:paraId="4367025F">
      <w:pPr>
        <w:spacing w:before="4"/>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②对于水旱轮作地，采用其中较严格的风险筛选值。</w:t>
      </w:r>
    </w:p>
    <w:p w14:paraId="6DC6D2ED">
      <w:pPr>
        <w:pStyle w:val="39"/>
        <w:rPr>
          <w:rFonts w:hint="default" w:ascii="Times New Roman" w:hAnsi="Times New Roman" w:cs="Times New Roman"/>
          <w:color w:val="auto"/>
          <w:highlight w:val="none"/>
        </w:rPr>
      </w:pPr>
      <w:bookmarkStart w:id="101" w:name="_Toc20641"/>
      <w:r>
        <w:rPr>
          <w:rFonts w:hint="default" w:ascii="Times New Roman" w:hAnsi="Times New Roman" w:cs="Times New Roman"/>
          <w:color w:val="auto"/>
          <w:highlight w:val="none"/>
        </w:rPr>
        <w:t>2.5.2.污染物排放标准</w:t>
      </w:r>
      <w:bookmarkEnd w:id="101"/>
    </w:p>
    <w:p w14:paraId="7F96D0EB">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1、废气</w:t>
      </w:r>
    </w:p>
    <w:p w14:paraId="57D9CD44">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施工期施工场地扬尘及施工过程项目无组织排放颗粒物排放执行《大气污染物综合排放标准》（GB16297-1996）表2无组织排放监控浓度限值要求。</w:t>
      </w:r>
    </w:p>
    <w:p w14:paraId="59A49A52">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表2-5-7《大气污染物综合排放标准》（GB16297-1996）表2要求</w:t>
      </w:r>
    </w:p>
    <w:tbl>
      <w:tblPr>
        <w:tblStyle w:val="20"/>
        <w:tblW w:w="839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88"/>
        <w:gridCol w:w="3978"/>
        <w:gridCol w:w="2324"/>
      </w:tblGrid>
      <w:tr w14:paraId="7758A2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397" w:hRule="atLeast"/>
          <w:jc w:val="center"/>
        </w:trPr>
        <w:tc>
          <w:tcPr>
            <w:tcW w:w="2088" w:type="dxa"/>
            <w:vMerge w:val="restart"/>
            <w:vAlign w:val="center"/>
          </w:tcPr>
          <w:p w14:paraId="1AC115D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w:t>
            </w:r>
          </w:p>
        </w:tc>
        <w:tc>
          <w:tcPr>
            <w:tcW w:w="6302" w:type="dxa"/>
            <w:gridSpan w:val="2"/>
            <w:vAlign w:val="center"/>
          </w:tcPr>
          <w:p w14:paraId="7C7032C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无组织排放监控浓度限值（mg/m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tc>
      </w:tr>
      <w:tr w14:paraId="126A9F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88" w:type="dxa"/>
            <w:vMerge w:val="continue"/>
            <w:vAlign w:val="center"/>
          </w:tcPr>
          <w:p w14:paraId="1E70605B">
            <w:pPr>
              <w:pStyle w:val="44"/>
              <w:bidi w:val="0"/>
              <w:rPr>
                <w:rFonts w:hint="default" w:ascii="Times New Roman" w:hAnsi="Times New Roman" w:cs="Times New Roman"/>
                <w:color w:val="auto"/>
                <w:highlight w:val="none"/>
              </w:rPr>
            </w:pPr>
          </w:p>
        </w:tc>
        <w:tc>
          <w:tcPr>
            <w:tcW w:w="3978" w:type="dxa"/>
            <w:vAlign w:val="center"/>
          </w:tcPr>
          <w:p w14:paraId="582D445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监控点</w:t>
            </w:r>
          </w:p>
        </w:tc>
        <w:tc>
          <w:tcPr>
            <w:tcW w:w="2324" w:type="dxa"/>
            <w:vAlign w:val="center"/>
          </w:tcPr>
          <w:p w14:paraId="5BA2DFA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浓度</w:t>
            </w:r>
          </w:p>
        </w:tc>
      </w:tr>
      <w:tr w14:paraId="7CA3C8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88" w:type="dxa"/>
            <w:vAlign w:val="center"/>
          </w:tcPr>
          <w:p w14:paraId="1F6EF99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颗粒物</w:t>
            </w:r>
          </w:p>
        </w:tc>
        <w:tc>
          <w:tcPr>
            <w:tcW w:w="3978" w:type="dxa"/>
            <w:vAlign w:val="center"/>
          </w:tcPr>
          <w:p w14:paraId="7F69BF7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周围外浓度最高点</w:t>
            </w:r>
          </w:p>
        </w:tc>
        <w:tc>
          <w:tcPr>
            <w:tcW w:w="2324" w:type="dxa"/>
            <w:vAlign w:val="center"/>
          </w:tcPr>
          <w:p w14:paraId="16E224A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r>
    </w:tbl>
    <w:p w14:paraId="3243F73D">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2、水污染物排放标准</w:t>
      </w:r>
    </w:p>
    <w:p w14:paraId="7470A750">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w:t>
      </w:r>
    </w:p>
    <w:p w14:paraId="20CFA532">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本项目无生活区，无生活污水产生。</w:t>
      </w:r>
      <w:r>
        <w:rPr>
          <w:rFonts w:hint="default" w:ascii="Times New Roman" w:hAnsi="Times New Roman" w:cs="Times New Roman"/>
          <w:color w:val="auto"/>
          <w:highlight w:val="none"/>
        </w:rPr>
        <w:t>本项目不设预制场和拌合场，施工废水用于厂区内洒水降尘，不外排。</w:t>
      </w:r>
    </w:p>
    <w:p w14:paraId="59012FD3">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3、噪声排放标准</w:t>
      </w:r>
    </w:p>
    <w:p w14:paraId="1D94A87E">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本项目施工期噪声执行《建筑施工场界环境噪声排放标准》（GB12523-2011）。</w:t>
      </w:r>
    </w:p>
    <w:p w14:paraId="6B10A065">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表2-5-8《建筑施工场界环境噪声排放标准》（GB12523-2011）单位：dB(A)</w:t>
      </w:r>
    </w:p>
    <w:tbl>
      <w:tblPr>
        <w:tblStyle w:val="2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14:paraId="0E9F76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2500" w:type="pct"/>
            <w:vAlign w:val="center"/>
          </w:tcPr>
          <w:p w14:paraId="77E62C7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昼间</w:t>
            </w:r>
          </w:p>
        </w:tc>
        <w:tc>
          <w:tcPr>
            <w:tcW w:w="2500" w:type="pct"/>
            <w:vAlign w:val="center"/>
          </w:tcPr>
          <w:p w14:paraId="5445A38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夜间</w:t>
            </w:r>
          </w:p>
        </w:tc>
      </w:tr>
      <w:tr w14:paraId="072A3A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2500" w:type="pct"/>
            <w:vAlign w:val="center"/>
          </w:tcPr>
          <w:p w14:paraId="168FA55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70</w:t>
            </w:r>
          </w:p>
        </w:tc>
        <w:tc>
          <w:tcPr>
            <w:tcW w:w="2500" w:type="pct"/>
            <w:vAlign w:val="center"/>
          </w:tcPr>
          <w:p w14:paraId="1FC5ED3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55</w:t>
            </w:r>
          </w:p>
        </w:tc>
      </w:tr>
    </w:tbl>
    <w:p w14:paraId="7A0709CB">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4、固体废物</w:t>
      </w:r>
    </w:p>
    <w:p w14:paraId="7B0FA016">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bCs/>
          <w:color w:val="auto"/>
          <w:sz w:val="24"/>
          <w:highlight w:val="none"/>
        </w:rPr>
        <w:t>本项目一般固体废物执行《一般工业固体废物贮存和填埋污染控制标准》（GB18599-2020）</w:t>
      </w:r>
      <w:r>
        <w:rPr>
          <w:rFonts w:hint="default" w:ascii="Times New Roman" w:hAnsi="Times New Roman" w:cs="Times New Roman"/>
          <w:color w:val="auto"/>
          <w:sz w:val="24"/>
          <w:highlight w:val="none"/>
        </w:rPr>
        <w:t>。</w:t>
      </w:r>
    </w:p>
    <w:p w14:paraId="217D6933">
      <w:pPr>
        <w:pStyle w:val="41"/>
        <w:rPr>
          <w:rFonts w:hint="default" w:ascii="Times New Roman" w:hAnsi="Times New Roman" w:cs="Times New Roman"/>
          <w:color w:val="auto"/>
          <w:highlight w:val="none"/>
        </w:rPr>
      </w:pPr>
      <w:bookmarkStart w:id="102" w:name="_Toc152926811"/>
      <w:bookmarkStart w:id="103" w:name="_Toc119316792"/>
      <w:bookmarkStart w:id="104" w:name="_Toc31201"/>
      <w:bookmarkStart w:id="105" w:name="_Toc13693"/>
      <w:r>
        <w:rPr>
          <w:rFonts w:hint="default" w:ascii="Times New Roman" w:hAnsi="Times New Roman" w:cs="Times New Roman"/>
          <w:color w:val="auto"/>
          <w:highlight w:val="none"/>
        </w:rPr>
        <w:t>2.6评价工作等级</w:t>
      </w:r>
      <w:bookmarkEnd w:id="102"/>
      <w:bookmarkEnd w:id="103"/>
      <w:bookmarkEnd w:id="104"/>
      <w:bookmarkEnd w:id="105"/>
    </w:p>
    <w:p w14:paraId="2C180ED6">
      <w:pPr>
        <w:pStyle w:val="25"/>
        <w:bidi w:val="0"/>
        <w:rPr>
          <w:rFonts w:hint="default" w:ascii="Times New Roman" w:hAnsi="Times New Roman" w:cs="Times New Roman"/>
          <w:color w:val="auto"/>
        </w:rPr>
      </w:pPr>
      <w:r>
        <w:rPr>
          <w:rFonts w:hint="default" w:ascii="Times New Roman" w:hAnsi="Times New Roman" w:cs="Times New Roman"/>
          <w:color w:val="auto"/>
        </w:rPr>
        <w:t>本项目中</w:t>
      </w:r>
      <w:r>
        <w:rPr>
          <w:rFonts w:hint="default" w:ascii="Times New Roman" w:hAnsi="Times New Roman" w:cs="Times New Roman"/>
          <w:color w:val="auto"/>
          <w:lang w:val="en-US" w:eastAsia="zh-CN"/>
        </w:rPr>
        <w:t>共涉及12个遗留矿山修复，主要影响主要在施工期，其中</w:t>
      </w:r>
      <w:r>
        <w:rPr>
          <w:rFonts w:hint="default" w:ascii="Times New Roman" w:hAnsi="Times New Roman" w:cs="Times New Roman"/>
          <w:color w:val="auto"/>
        </w:rPr>
        <w:t>兴顺采石场(2#)涉及煤矸石回填工程</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其他工程均不涉及回填，</w:t>
      </w:r>
      <w:r>
        <w:rPr>
          <w:rFonts w:hint="default" w:ascii="Times New Roman" w:hAnsi="Times New Roman" w:cs="Times New Roman"/>
          <w:color w:val="auto"/>
        </w:rPr>
        <w:t>根据环境影响识别，</w:t>
      </w:r>
      <w:r>
        <w:rPr>
          <w:rFonts w:hint="default" w:ascii="Times New Roman" w:hAnsi="Times New Roman" w:cs="Times New Roman"/>
          <w:color w:val="auto"/>
          <w:lang w:val="en-US" w:eastAsia="zh-CN"/>
        </w:rPr>
        <w:t>本项目主要为2#场地对环境较大</w:t>
      </w:r>
      <w:r>
        <w:rPr>
          <w:rFonts w:hint="default" w:ascii="Times New Roman" w:hAnsi="Times New Roman" w:cs="Times New Roman"/>
          <w:color w:val="auto"/>
        </w:rPr>
        <w:t>，因此以此项目作为本项目重点工程，以此工程确定本项目环境影响评价工作等级。</w:t>
      </w:r>
    </w:p>
    <w:p w14:paraId="327FBE60">
      <w:pPr>
        <w:pStyle w:val="39"/>
        <w:rPr>
          <w:rFonts w:hint="default" w:ascii="Times New Roman" w:hAnsi="Times New Roman" w:cs="Times New Roman"/>
          <w:color w:val="auto"/>
          <w:highlight w:val="none"/>
        </w:rPr>
      </w:pPr>
      <w:bookmarkStart w:id="106" w:name="_Toc27484"/>
      <w:bookmarkStart w:id="107" w:name="_Toc88900493"/>
      <w:bookmarkStart w:id="108" w:name="_Toc88969053"/>
      <w:bookmarkStart w:id="109" w:name="_Toc88968910"/>
      <w:bookmarkStart w:id="110" w:name="_Toc89231863"/>
      <w:r>
        <w:rPr>
          <w:rFonts w:hint="default" w:ascii="Times New Roman" w:hAnsi="Times New Roman" w:cs="Times New Roman"/>
          <w:color w:val="auto"/>
          <w:highlight w:val="none"/>
        </w:rPr>
        <w:t>2.6.1环境空气</w:t>
      </w:r>
      <w:bookmarkEnd w:id="106"/>
    </w:p>
    <w:bookmarkEnd w:id="107"/>
    <w:bookmarkEnd w:id="108"/>
    <w:bookmarkEnd w:id="109"/>
    <w:bookmarkEnd w:id="110"/>
    <w:p w14:paraId="69B74A5B">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依据《环境影响评价技术导则-大气环境》(HJ2.2-2018）中5.3节工作等级的确定方法，结合项目工程分析结果，选择正常排放的主要污染物及排放参数，采用附录A推荐模型中的AERSCREEN模式计算项目污染源的最大环境影响，然后按评价工作分级判据进行分级。</w:t>
      </w:r>
    </w:p>
    <w:p w14:paraId="37AC6AF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表2-6-1大气评价等级确定表</w:t>
      </w:r>
    </w:p>
    <w:tbl>
      <w:tblPr>
        <w:tblStyle w:val="20"/>
        <w:tblW w:w="8306"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4962"/>
        <w:gridCol w:w="3344"/>
      </w:tblGrid>
      <w:tr w14:paraId="293F36E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4962" w:type="dxa"/>
            <w:vAlign w:val="center"/>
          </w:tcPr>
          <w:p w14:paraId="6C903A67">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评价工作等级判据</w:t>
            </w:r>
          </w:p>
        </w:tc>
        <w:tc>
          <w:tcPr>
            <w:tcW w:w="3344" w:type="dxa"/>
            <w:vAlign w:val="center"/>
          </w:tcPr>
          <w:p w14:paraId="741D75DB">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评价工作等级</w:t>
            </w:r>
          </w:p>
        </w:tc>
      </w:tr>
      <w:tr w14:paraId="1B2D100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4962" w:type="dxa"/>
            <w:vAlign w:val="center"/>
          </w:tcPr>
          <w:p w14:paraId="792984B1">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Pmax≥10%</w:t>
            </w:r>
          </w:p>
        </w:tc>
        <w:tc>
          <w:tcPr>
            <w:tcW w:w="3344" w:type="dxa"/>
            <w:vAlign w:val="center"/>
          </w:tcPr>
          <w:p w14:paraId="48D47F86">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一级</w:t>
            </w:r>
          </w:p>
        </w:tc>
      </w:tr>
      <w:tr w14:paraId="7E67372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4962" w:type="dxa"/>
            <w:vAlign w:val="center"/>
          </w:tcPr>
          <w:p w14:paraId="2ACC6F94">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1%≤Pmax＜10%</w:t>
            </w:r>
          </w:p>
        </w:tc>
        <w:tc>
          <w:tcPr>
            <w:tcW w:w="3344" w:type="dxa"/>
            <w:vAlign w:val="center"/>
          </w:tcPr>
          <w:p w14:paraId="7FE1397C">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二级</w:t>
            </w:r>
          </w:p>
        </w:tc>
      </w:tr>
      <w:tr w14:paraId="69F2AB0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4962" w:type="dxa"/>
            <w:vAlign w:val="center"/>
          </w:tcPr>
          <w:p w14:paraId="58BB4BE6">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Pmax＜1%</w:t>
            </w:r>
          </w:p>
        </w:tc>
        <w:tc>
          <w:tcPr>
            <w:tcW w:w="3344" w:type="dxa"/>
            <w:vAlign w:val="center"/>
          </w:tcPr>
          <w:p w14:paraId="245B9F15">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三级</w:t>
            </w:r>
          </w:p>
        </w:tc>
      </w:tr>
    </w:tbl>
    <w:p w14:paraId="1D978FBF">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依据《环境影响评价技术导则 大气环境》(HJ2.2-2018）中最大地面浓度占标率P</w:t>
      </w:r>
      <w:r>
        <w:rPr>
          <w:rFonts w:hint="default" w:ascii="Times New Roman" w:hAnsi="Times New Roman" w:cs="Times New Roman"/>
          <w:i/>
          <w:color w:val="auto"/>
          <w:highlight w:val="none"/>
        </w:rPr>
        <w:t>i</w:t>
      </w:r>
      <w:r>
        <w:rPr>
          <w:rFonts w:hint="default" w:ascii="Times New Roman" w:hAnsi="Times New Roman" w:cs="Times New Roman"/>
          <w:color w:val="auto"/>
          <w:highlight w:val="none"/>
        </w:rPr>
        <w:t>定义如下：</w:t>
      </w:r>
    </w:p>
    <w:p w14:paraId="5A725D50">
      <w:pPr>
        <w:spacing w:line="500" w:lineRule="exact"/>
        <w:ind w:firstLine="480" w:firstLineChars="200"/>
        <w:jc w:val="center"/>
        <w:rPr>
          <w:rFonts w:hint="default" w:ascii="Times New Roman" w:hAnsi="Times New Roman" w:cs="Times New Roman"/>
          <w:snapToGrid w:val="0"/>
          <w:color w:val="auto"/>
          <w:kern w:val="0"/>
          <w:sz w:val="24"/>
          <w:szCs w:val="22"/>
          <w:highlight w:val="none"/>
        </w:rPr>
      </w:pPr>
      <w:r>
        <w:rPr>
          <w:rFonts w:hint="default" w:ascii="Times New Roman" w:hAnsi="Times New Roman" w:cs="Times New Roman"/>
          <w:snapToGrid w:val="0"/>
          <w:color w:val="auto"/>
          <w:kern w:val="0"/>
          <w:sz w:val="24"/>
          <w:highlight w:val="none"/>
        </w:rPr>
        <w:t>P</w:t>
      </w:r>
      <w:r>
        <w:rPr>
          <w:rFonts w:hint="default" w:ascii="Times New Roman" w:hAnsi="Times New Roman" w:cs="Times New Roman"/>
          <w:snapToGrid w:val="0"/>
          <w:color w:val="auto"/>
          <w:kern w:val="0"/>
          <w:sz w:val="24"/>
          <w:highlight w:val="none"/>
          <w:vertAlign w:val="subscript"/>
        </w:rPr>
        <w:t>i</w:t>
      </w:r>
      <w:r>
        <w:rPr>
          <w:rFonts w:hint="default" w:ascii="Times New Roman" w:hAnsi="Times New Roman" w:cs="Times New Roman"/>
          <w:snapToGrid w:val="0"/>
          <w:color w:val="auto"/>
          <w:kern w:val="0"/>
          <w:sz w:val="24"/>
          <w:highlight w:val="none"/>
        </w:rPr>
        <w:t xml:space="preserve"> =C</w:t>
      </w:r>
      <w:r>
        <w:rPr>
          <w:rFonts w:hint="default" w:ascii="Times New Roman" w:hAnsi="Times New Roman" w:cs="Times New Roman"/>
          <w:snapToGrid w:val="0"/>
          <w:color w:val="auto"/>
          <w:kern w:val="0"/>
          <w:sz w:val="24"/>
          <w:highlight w:val="none"/>
          <w:vertAlign w:val="subscript"/>
        </w:rPr>
        <w:t>i</w:t>
      </w:r>
      <w:r>
        <w:rPr>
          <w:rFonts w:hint="default" w:ascii="Times New Roman" w:hAnsi="Times New Roman" w:cs="Times New Roman"/>
          <w:snapToGrid w:val="0"/>
          <w:color w:val="auto"/>
          <w:kern w:val="0"/>
          <w:sz w:val="24"/>
          <w:highlight w:val="none"/>
        </w:rPr>
        <w:t>/C</w:t>
      </w:r>
      <w:r>
        <w:rPr>
          <w:rFonts w:hint="default" w:ascii="Times New Roman" w:hAnsi="Times New Roman" w:cs="Times New Roman"/>
          <w:snapToGrid w:val="0"/>
          <w:color w:val="auto"/>
          <w:kern w:val="0"/>
          <w:sz w:val="24"/>
          <w:highlight w:val="none"/>
          <w:vertAlign w:val="subscript"/>
        </w:rPr>
        <w:t>0i</w:t>
      </w:r>
      <w:r>
        <w:rPr>
          <w:rFonts w:hint="default" w:ascii="Times New Roman" w:hAnsi="Times New Roman" w:cs="Times New Roman"/>
          <w:snapToGrid w:val="0"/>
          <w:color w:val="auto"/>
          <w:kern w:val="0"/>
          <w:sz w:val="24"/>
          <w:highlight w:val="none"/>
        </w:rPr>
        <w:t>×100%</w:t>
      </w:r>
    </w:p>
    <w:p w14:paraId="7072B87A">
      <w:pPr>
        <w:pStyle w:val="25"/>
        <w:ind w:firstLine="480"/>
        <w:rPr>
          <w:rFonts w:hint="default" w:ascii="Times New Roman" w:hAnsi="Times New Roman" w:cs="Times New Roman"/>
          <w:color w:val="auto"/>
          <w:highlight w:val="none"/>
        </w:rPr>
      </w:pPr>
      <m:oMath>
        <m:sSub>
          <m:sSubPr>
            <m:ctrlPr>
              <w:rPr>
                <w:rFonts w:hint="default" w:ascii="Cambria Math" w:hAnsi="Cambria Math" w:cs="Times New Roman"/>
                <w:color w:val="auto"/>
                <w:highlight w:val="none"/>
              </w:rPr>
            </m:ctrlPr>
          </m:sSubPr>
          <m:e>
            <m:r>
              <m:rPr/>
              <w:rPr>
                <w:rFonts w:hint="default" w:ascii="Cambria Math" w:hAnsi="Cambria Math" w:cs="Times New Roman"/>
                <w:color w:val="auto"/>
                <w:highlight w:val="none"/>
              </w:rPr>
              <m:t>P</m:t>
            </m:r>
            <m:ctrlPr>
              <w:rPr>
                <w:rFonts w:hint="default" w:ascii="Cambria Math" w:hAnsi="Cambria Math" w:cs="Times New Roman"/>
                <w:color w:val="auto"/>
                <w:highlight w:val="none"/>
              </w:rPr>
            </m:ctrlPr>
          </m:e>
          <m:sub>
            <m:r>
              <m:rPr/>
              <w:rPr>
                <w:rFonts w:hint="default" w:ascii="Cambria Math" w:hAnsi="Cambria Math" w:cs="Times New Roman"/>
                <w:color w:val="auto"/>
                <w:highlight w:val="none"/>
              </w:rPr>
              <m:t>i</m:t>
            </m:r>
            <m:ctrlPr>
              <w:rPr>
                <w:rFonts w:hint="default" w:ascii="Cambria Math" w:hAnsi="Cambria Math" w:cs="Times New Roman"/>
                <w:color w:val="auto"/>
                <w:highlight w:val="none"/>
              </w:rPr>
            </m:ctrlPr>
          </m:sub>
        </m:sSub>
      </m:oMath>
      <w:r>
        <w:rPr>
          <w:rFonts w:hint="default" w:ascii="Times New Roman" w:hAnsi="Times New Roman" w:cs="Times New Roman"/>
          <w:color w:val="auto"/>
          <w:highlight w:val="none"/>
        </w:rPr>
        <w:t xml:space="preserve"> ——第i个污染物的最大地面空气质量浓度 占标率，%；</w:t>
      </w:r>
    </w:p>
    <w:p w14:paraId="7C1C082B">
      <w:pPr>
        <w:pStyle w:val="25"/>
        <w:ind w:firstLine="480"/>
        <w:rPr>
          <w:rFonts w:hint="default" w:ascii="Times New Roman" w:hAnsi="Times New Roman" w:cs="Times New Roman"/>
          <w:color w:val="auto"/>
          <w:highlight w:val="none"/>
        </w:rPr>
      </w:pPr>
      <m:oMath>
        <m:sSub>
          <m:sSubPr>
            <m:ctrlPr>
              <w:rPr>
                <w:rFonts w:hint="default" w:ascii="Cambria Math" w:hAnsi="Cambria Math" w:cs="Times New Roman"/>
                <w:i/>
                <w:color w:val="auto"/>
                <w:highlight w:val="none"/>
              </w:rPr>
            </m:ctrlPr>
          </m:sSubPr>
          <m:e>
            <m:r>
              <m:rPr/>
              <w:rPr>
                <w:rFonts w:hint="default" w:ascii="Cambria Math" w:hAnsi="Cambria Math" w:cs="Times New Roman"/>
                <w:color w:val="auto"/>
                <w:highlight w:val="none"/>
              </w:rPr>
              <m:t>C</m:t>
            </m:r>
            <m:ctrlPr>
              <w:rPr>
                <w:rFonts w:hint="default" w:ascii="Cambria Math" w:hAnsi="Cambria Math" w:cs="Times New Roman"/>
                <w:i/>
                <w:color w:val="auto"/>
                <w:highlight w:val="none"/>
              </w:rPr>
            </m:ctrlPr>
          </m:e>
          <m:sub>
            <m:r>
              <m:rPr/>
              <w:rPr>
                <w:rFonts w:hint="default" w:ascii="Cambria Math" w:hAnsi="Cambria Math" w:cs="Times New Roman"/>
                <w:color w:val="auto"/>
                <w:highlight w:val="none"/>
              </w:rPr>
              <m:t>i</m:t>
            </m:r>
            <m:ctrlPr>
              <w:rPr>
                <w:rFonts w:hint="default" w:ascii="Cambria Math" w:hAnsi="Cambria Math" w:cs="Times New Roman"/>
                <w:i/>
                <w:color w:val="auto"/>
                <w:highlight w:val="none"/>
              </w:rPr>
            </m:ctrlPr>
          </m:sub>
        </m:sSub>
      </m:oMath>
      <w:r>
        <w:rPr>
          <w:rFonts w:hint="default" w:ascii="Times New Roman" w:hAnsi="Times New Roman" w:cs="Times New Roman"/>
          <w:color w:val="auto"/>
          <w:highlight w:val="none"/>
        </w:rPr>
        <w:t>——采用估算模型计算出的第i个污染物的最大1h地面空气质量浓度，μg/m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p w14:paraId="5A725088">
      <w:pPr>
        <w:pStyle w:val="25"/>
        <w:ind w:firstLine="480"/>
        <w:rPr>
          <w:rFonts w:hint="default" w:ascii="Times New Roman" w:hAnsi="Times New Roman" w:cs="Times New Roman"/>
          <w:color w:val="auto"/>
          <w:highlight w:val="none"/>
        </w:rPr>
      </w:pPr>
      <m:oMath>
        <m:sSub>
          <m:sSubPr>
            <m:ctrlPr>
              <w:rPr>
                <w:rFonts w:hint="default" w:ascii="Cambria Math" w:hAnsi="Cambria Math" w:cs="Times New Roman"/>
                <w:i/>
                <w:color w:val="auto"/>
                <w:highlight w:val="none"/>
              </w:rPr>
            </m:ctrlPr>
          </m:sSubPr>
          <m:e>
            <m:r>
              <m:rPr/>
              <w:rPr>
                <w:rFonts w:hint="default" w:ascii="Cambria Math" w:hAnsi="Cambria Math" w:cs="Times New Roman"/>
                <w:color w:val="auto"/>
                <w:highlight w:val="none"/>
              </w:rPr>
              <m:t>C</m:t>
            </m:r>
            <m:ctrlPr>
              <w:rPr>
                <w:rFonts w:hint="default" w:ascii="Cambria Math" w:hAnsi="Cambria Math" w:cs="Times New Roman"/>
                <w:i/>
                <w:color w:val="auto"/>
                <w:highlight w:val="none"/>
              </w:rPr>
            </m:ctrlPr>
          </m:e>
          <m:sub>
            <m:r>
              <m:rPr/>
              <w:rPr>
                <w:rFonts w:hint="default" w:ascii="Cambria Math" w:hAnsi="Cambria Math" w:cs="Times New Roman"/>
                <w:color w:val="auto"/>
                <w:highlight w:val="none"/>
              </w:rPr>
              <m:t>0i</m:t>
            </m:r>
            <m:ctrlPr>
              <w:rPr>
                <w:rFonts w:hint="default" w:ascii="Cambria Math" w:hAnsi="Cambria Math" w:cs="Times New Roman"/>
                <w:i/>
                <w:color w:val="auto"/>
                <w:highlight w:val="none"/>
              </w:rPr>
            </m:ctrlPr>
          </m:sub>
        </m:sSub>
      </m:oMath>
      <w:r>
        <w:rPr>
          <w:rFonts w:hint="default" w:ascii="Times New Roman" w:hAnsi="Times New Roman" w:cs="Times New Roman"/>
          <w:color w:val="auto"/>
          <w:highlight w:val="none"/>
        </w:rPr>
        <w:t>——第i个污染物的环境空气质量浓度标准，μg/m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一般选用GB3095中1h平均质量浓度的二级浓度限值，如项目位于一类环境空气功能区，应选择相应的一级浓度限值；对该标准中未包含的污染物，使用5.2确定的各评价因子1h平均质量浓度限值。对仅有8h平均质量浓度限值、日平均质量浓度限值或年平均质量浓度限值的，可分别按2倍、3倍、6倍折算为1h平均质量浓度限值。</w:t>
      </w:r>
    </w:p>
    <w:p w14:paraId="6E88556F">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根据工程分析，兴顺采石场(2#)项目产生的废气为作业机械尾气和作业扬尘。机械尾气中主要污染物为CO、HC、NO</w:t>
      </w:r>
      <w:r>
        <w:rPr>
          <w:rFonts w:hint="default" w:ascii="Times New Roman" w:hAnsi="Times New Roman" w:cs="Times New Roman"/>
          <w:color w:val="auto"/>
          <w:highlight w:val="none"/>
          <w:vertAlign w:val="subscript"/>
        </w:rPr>
        <w:t>x</w:t>
      </w:r>
      <w:r>
        <w:rPr>
          <w:rFonts w:hint="default" w:ascii="Times New Roman" w:hAnsi="Times New Roman" w:cs="Times New Roman"/>
          <w:color w:val="auto"/>
          <w:highlight w:val="none"/>
        </w:rPr>
        <w:t>等，可通过自然通风稀释扩散，且污染物排放量较小，故本评价不进行机械尾气污染物的最大地面浓度占标率计算。因此，本次选取煤矸石的回填作业时产生的TSP作为主要污染物进行评价工作等级的确定。</w:t>
      </w:r>
    </w:p>
    <w:p w14:paraId="7F426FF7">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表2-6-2估算模式参数表</w:t>
      </w:r>
    </w:p>
    <w:tbl>
      <w:tblPr>
        <w:tblStyle w:val="20"/>
        <w:tblW w:w="4999"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2297"/>
        <w:gridCol w:w="2654"/>
        <w:gridCol w:w="3569"/>
      </w:tblGrid>
      <w:tr w14:paraId="054233F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2905" w:type="pct"/>
            <w:gridSpan w:val="2"/>
            <w:vAlign w:val="center"/>
          </w:tcPr>
          <w:p w14:paraId="32CE659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参数</w:t>
            </w:r>
          </w:p>
        </w:tc>
        <w:tc>
          <w:tcPr>
            <w:tcW w:w="2094" w:type="pct"/>
            <w:vAlign w:val="center"/>
          </w:tcPr>
          <w:p w14:paraId="331D473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取值</w:t>
            </w:r>
          </w:p>
        </w:tc>
      </w:tr>
      <w:tr w14:paraId="6B1016D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348" w:type="pct"/>
            <w:vMerge w:val="restart"/>
            <w:vAlign w:val="center"/>
          </w:tcPr>
          <w:p w14:paraId="57D077E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城市农村/选项</w:t>
            </w:r>
          </w:p>
        </w:tc>
        <w:tc>
          <w:tcPr>
            <w:tcW w:w="1557" w:type="pct"/>
            <w:vAlign w:val="center"/>
          </w:tcPr>
          <w:p w14:paraId="7394A55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城市/农村</w:t>
            </w:r>
          </w:p>
        </w:tc>
        <w:tc>
          <w:tcPr>
            <w:tcW w:w="2094" w:type="pct"/>
            <w:vAlign w:val="center"/>
          </w:tcPr>
          <w:p w14:paraId="2898054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农村</w:t>
            </w:r>
          </w:p>
        </w:tc>
      </w:tr>
      <w:tr w14:paraId="110B6CB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348" w:type="pct"/>
            <w:vMerge w:val="continue"/>
            <w:vAlign w:val="center"/>
          </w:tcPr>
          <w:p w14:paraId="634914F6">
            <w:pPr>
              <w:pStyle w:val="44"/>
              <w:bidi w:val="0"/>
              <w:rPr>
                <w:rFonts w:hint="default" w:ascii="Times New Roman" w:hAnsi="Times New Roman" w:cs="Times New Roman"/>
                <w:color w:val="auto"/>
                <w:highlight w:val="none"/>
              </w:rPr>
            </w:pPr>
          </w:p>
        </w:tc>
        <w:tc>
          <w:tcPr>
            <w:tcW w:w="1557" w:type="pct"/>
            <w:vAlign w:val="center"/>
          </w:tcPr>
          <w:p w14:paraId="05B6201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人口数（城市人口数）</w:t>
            </w:r>
          </w:p>
        </w:tc>
        <w:tc>
          <w:tcPr>
            <w:tcW w:w="2094" w:type="pct"/>
            <w:vAlign w:val="center"/>
          </w:tcPr>
          <w:p w14:paraId="36F9324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14:paraId="22DF071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2905" w:type="pct"/>
            <w:gridSpan w:val="2"/>
            <w:vAlign w:val="center"/>
          </w:tcPr>
          <w:p w14:paraId="7E55AF6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最高环境温度</w:t>
            </w:r>
          </w:p>
        </w:tc>
        <w:tc>
          <w:tcPr>
            <w:tcW w:w="3569" w:type="dxa"/>
            <w:vAlign w:val="center"/>
          </w:tcPr>
          <w:p w14:paraId="3836A184">
            <w:pPr>
              <w:pStyle w:val="44"/>
              <w:bidi w:val="0"/>
              <w:rPr>
                <w:rFonts w:hint="default" w:ascii="Times New Roman" w:hAnsi="Times New Roman" w:cs="Times New Roman"/>
                <w:color w:val="auto"/>
                <w:highlight w:val="none"/>
                <w:lang w:eastAsia="ja-JP"/>
              </w:rPr>
            </w:pPr>
            <w:r>
              <w:rPr>
                <w:rFonts w:hint="default" w:ascii="Times New Roman" w:hAnsi="Times New Roman" w:cs="Times New Roman"/>
                <w:color w:val="auto"/>
                <w:lang w:val="en-US" w:eastAsia="zh-CN"/>
              </w:rPr>
              <w:t>37.4</w:t>
            </w:r>
          </w:p>
        </w:tc>
      </w:tr>
      <w:tr w14:paraId="27B56D7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2905" w:type="pct"/>
            <w:gridSpan w:val="2"/>
            <w:vAlign w:val="center"/>
          </w:tcPr>
          <w:p w14:paraId="6120CC4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最低环境温度</w:t>
            </w:r>
          </w:p>
        </w:tc>
        <w:tc>
          <w:tcPr>
            <w:tcW w:w="3569" w:type="dxa"/>
            <w:vAlign w:val="center"/>
          </w:tcPr>
          <w:p w14:paraId="4249E3D0">
            <w:pPr>
              <w:pStyle w:val="44"/>
              <w:bidi w:val="0"/>
              <w:rPr>
                <w:rFonts w:hint="default" w:ascii="Times New Roman" w:hAnsi="Times New Roman" w:cs="Times New Roman"/>
                <w:color w:val="auto"/>
                <w:highlight w:val="none"/>
              </w:rPr>
            </w:pPr>
            <w:r>
              <w:rPr>
                <w:rFonts w:hint="default" w:ascii="Times New Roman" w:hAnsi="Times New Roman" w:cs="Times New Roman"/>
                <w:color w:val="auto"/>
                <w:lang w:val="en-US" w:eastAsia="zh-CN"/>
              </w:rPr>
              <w:t>-29.8</w:t>
            </w:r>
          </w:p>
        </w:tc>
      </w:tr>
      <w:tr w14:paraId="327BC96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2905" w:type="pct"/>
            <w:gridSpan w:val="2"/>
            <w:vAlign w:val="center"/>
          </w:tcPr>
          <w:p w14:paraId="763646D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土地利用类型</w:t>
            </w:r>
          </w:p>
        </w:tc>
        <w:tc>
          <w:tcPr>
            <w:tcW w:w="3569" w:type="dxa"/>
            <w:vAlign w:val="center"/>
          </w:tcPr>
          <w:p w14:paraId="1B47F481">
            <w:pPr>
              <w:pStyle w:val="44"/>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lang w:val="en-US" w:eastAsia="zh-CN"/>
              </w:rPr>
              <w:t>落叶林</w:t>
            </w:r>
          </w:p>
        </w:tc>
      </w:tr>
      <w:tr w14:paraId="109A1FF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2905" w:type="pct"/>
            <w:gridSpan w:val="2"/>
            <w:vAlign w:val="center"/>
          </w:tcPr>
          <w:p w14:paraId="51EAA51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区域湿度条件</w:t>
            </w:r>
          </w:p>
        </w:tc>
        <w:tc>
          <w:tcPr>
            <w:tcW w:w="2094" w:type="pct"/>
            <w:vAlign w:val="center"/>
          </w:tcPr>
          <w:p w14:paraId="31CC95C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潮湿</w:t>
            </w:r>
          </w:p>
        </w:tc>
      </w:tr>
      <w:tr w14:paraId="06863FB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348" w:type="pct"/>
            <w:vMerge w:val="restart"/>
            <w:vAlign w:val="center"/>
          </w:tcPr>
          <w:p w14:paraId="03C96DE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是否考虑地形</w:t>
            </w:r>
          </w:p>
        </w:tc>
        <w:tc>
          <w:tcPr>
            <w:tcW w:w="1557" w:type="pct"/>
            <w:vAlign w:val="center"/>
          </w:tcPr>
          <w:p w14:paraId="6189CD3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考虑地形</w:t>
            </w:r>
          </w:p>
        </w:tc>
        <w:tc>
          <w:tcPr>
            <w:tcW w:w="2094" w:type="pct"/>
            <w:vAlign w:val="center"/>
          </w:tcPr>
          <w:p w14:paraId="7E93C8A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是</w:t>
            </w:r>
          </w:p>
        </w:tc>
      </w:tr>
      <w:tr w14:paraId="7CAE000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348" w:type="pct"/>
            <w:vMerge w:val="continue"/>
            <w:vAlign w:val="center"/>
          </w:tcPr>
          <w:p w14:paraId="6746D8B2">
            <w:pPr>
              <w:pStyle w:val="44"/>
              <w:bidi w:val="0"/>
              <w:rPr>
                <w:rFonts w:hint="default" w:ascii="Times New Roman" w:hAnsi="Times New Roman" w:cs="Times New Roman"/>
                <w:color w:val="auto"/>
                <w:highlight w:val="none"/>
              </w:rPr>
            </w:pPr>
          </w:p>
        </w:tc>
        <w:tc>
          <w:tcPr>
            <w:tcW w:w="1557" w:type="pct"/>
            <w:vAlign w:val="center"/>
          </w:tcPr>
          <w:p w14:paraId="23F40B9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地形数据分辨率（m)</w:t>
            </w:r>
          </w:p>
        </w:tc>
        <w:tc>
          <w:tcPr>
            <w:tcW w:w="2094" w:type="pct"/>
            <w:vAlign w:val="center"/>
          </w:tcPr>
          <w:p w14:paraId="646E75E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90</w:t>
            </w:r>
          </w:p>
        </w:tc>
      </w:tr>
      <w:tr w14:paraId="03EA77C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348" w:type="pct"/>
            <w:vMerge w:val="restart"/>
            <w:vAlign w:val="center"/>
          </w:tcPr>
          <w:p w14:paraId="3A43CF9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是否考虑海岸线熏烟</w:t>
            </w:r>
          </w:p>
        </w:tc>
        <w:tc>
          <w:tcPr>
            <w:tcW w:w="1557" w:type="pct"/>
            <w:vAlign w:val="center"/>
          </w:tcPr>
          <w:p w14:paraId="568036A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考虑海岸线熏烟</w:t>
            </w:r>
          </w:p>
        </w:tc>
        <w:tc>
          <w:tcPr>
            <w:tcW w:w="2094" w:type="pct"/>
            <w:vAlign w:val="center"/>
          </w:tcPr>
          <w:p w14:paraId="0FBDEAE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否</w:t>
            </w:r>
          </w:p>
        </w:tc>
      </w:tr>
      <w:tr w14:paraId="5111B8F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348" w:type="pct"/>
            <w:vMerge w:val="continue"/>
            <w:vAlign w:val="center"/>
          </w:tcPr>
          <w:p w14:paraId="550162BC">
            <w:pPr>
              <w:pStyle w:val="44"/>
              <w:bidi w:val="0"/>
              <w:rPr>
                <w:rFonts w:hint="default" w:ascii="Times New Roman" w:hAnsi="Times New Roman" w:cs="Times New Roman"/>
                <w:color w:val="auto"/>
                <w:highlight w:val="none"/>
              </w:rPr>
            </w:pPr>
          </w:p>
        </w:tc>
        <w:tc>
          <w:tcPr>
            <w:tcW w:w="1557" w:type="pct"/>
            <w:vAlign w:val="center"/>
          </w:tcPr>
          <w:p w14:paraId="3135998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海岸线距离/km</w:t>
            </w:r>
          </w:p>
        </w:tc>
        <w:tc>
          <w:tcPr>
            <w:tcW w:w="2094" w:type="pct"/>
            <w:vAlign w:val="center"/>
          </w:tcPr>
          <w:p w14:paraId="70503BC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14:paraId="56855E5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348" w:type="pct"/>
            <w:vMerge w:val="continue"/>
            <w:vAlign w:val="center"/>
          </w:tcPr>
          <w:p w14:paraId="2FF22284">
            <w:pPr>
              <w:pStyle w:val="44"/>
              <w:bidi w:val="0"/>
              <w:rPr>
                <w:rFonts w:hint="default" w:ascii="Times New Roman" w:hAnsi="Times New Roman" w:cs="Times New Roman"/>
                <w:color w:val="auto"/>
                <w:highlight w:val="none"/>
              </w:rPr>
            </w:pPr>
          </w:p>
        </w:tc>
        <w:tc>
          <w:tcPr>
            <w:tcW w:w="1557" w:type="pct"/>
            <w:vAlign w:val="center"/>
          </w:tcPr>
          <w:p w14:paraId="7722F7A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海岸线方向/o</w:t>
            </w:r>
          </w:p>
        </w:tc>
        <w:tc>
          <w:tcPr>
            <w:tcW w:w="2094" w:type="pct"/>
            <w:vAlign w:val="center"/>
          </w:tcPr>
          <w:p w14:paraId="1384538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bl>
    <w:p w14:paraId="55816348">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估算模型参数选取如下：</w:t>
      </w:r>
    </w:p>
    <w:p w14:paraId="5FCAB106">
      <w:pPr>
        <w:spacing w:line="500" w:lineRule="exact"/>
        <w:ind w:firstLine="480" w:firstLineChars="200"/>
        <w:rPr>
          <w:rFonts w:hint="default" w:ascii="Times New Roman" w:hAnsi="Times New Roman" w:cs="Times New Roman"/>
          <w:color w:val="auto"/>
          <w:kern w:val="0"/>
          <w:sz w:val="24"/>
          <w:szCs w:val="22"/>
          <w:highlight w:val="none"/>
        </w:rPr>
      </w:pPr>
      <w:r>
        <w:rPr>
          <w:rFonts w:hint="default" w:ascii="Times New Roman" w:hAnsi="Times New Roman" w:cs="Times New Roman"/>
          <w:color w:val="auto"/>
          <w:sz w:val="24"/>
          <w:szCs w:val="22"/>
          <w:highlight w:val="none"/>
        </w:rPr>
        <w:t>①根据</w:t>
      </w:r>
      <w:r>
        <w:rPr>
          <w:rFonts w:hint="default" w:ascii="Times New Roman" w:hAnsi="Times New Roman" w:cs="Times New Roman"/>
          <w:color w:val="auto"/>
          <w:kern w:val="0"/>
          <w:sz w:val="24"/>
          <w:szCs w:val="22"/>
          <w:highlight w:val="none"/>
        </w:rPr>
        <w:t>《环境影响评价技术导则</w:t>
      </w:r>
      <w:r>
        <w:rPr>
          <w:rFonts w:hint="default" w:ascii="Times New Roman" w:hAnsi="Times New Roman" w:cs="Times New Roman"/>
          <w:color w:val="auto"/>
          <w:sz w:val="24"/>
          <w:szCs w:val="20"/>
          <w:highlight w:val="none"/>
        </w:rPr>
        <w:t xml:space="preserve"> </w:t>
      </w:r>
      <w:r>
        <w:rPr>
          <w:rFonts w:hint="default" w:ascii="Times New Roman" w:hAnsi="Times New Roman" w:cs="Times New Roman"/>
          <w:color w:val="auto"/>
          <w:kern w:val="0"/>
          <w:sz w:val="24"/>
          <w:szCs w:val="22"/>
          <w:highlight w:val="none"/>
        </w:rPr>
        <w:t>大气环境》(HJ2.2-2018）附录B的B.6.1城市/农村选项，“当项目周边3km半径范围内一半以上属于城市建成区或者规划区时选择城市，否则选择农村”。根据本次评价对厂址周边3km半径范围内的用地性质调查结果可知，本次评价选取农村选项。</w:t>
      </w:r>
    </w:p>
    <w:p w14:paraId="7DF61449">
      <w:pPr>
        <w:spacing w:line="500" w:lineRule="exact"/>
        <w:ind w:firstLine="480" w:firstLineChars="200"/>
        <w:rPr>
          <w:rFonts w:hint="default" w:ascii="Times New Roman" w:hAnsi="Times New Roman" w:cs="Times New Roman"/>
          <w:color w:val="auto"/>
          <w:kern w:val="0"/>
          <w:sz w:val="24"/>
          <w:szCs w:val="22"/>
          <w:highlight w:val="none"/>
        </w:rPr>
      </w:pPr>
      <w:r>
        <w:rPr>
          <w:rFonts w:hint="default" w:ascii="Times New Roman" w:hAnsi="Times New Roman" w:cs="Times New Roman"/>
          <w:color w:val="auto"/>
          <w:kern w:val="0"/>
          <w:sz w:val="24"/>
          <w:szCs w:val="22"/>
          <w:highlight w:val="none"/>
        </w:rPr>
        <w:t>②环境温度取值来源于鸡西市气象站近二十年气象数据统计。</w:t>
      </w:r>
    </w:p>
    <w:p w14:paraId="64751DF1">
      <w:pPr>
        <w:spacing w:line="500" w:lineRule="exact"/>
        <w:ind w:firstLine="480" w:firstLineChars="200"/>
        <w:rPr>
          <w:rFonts w:hint="default" w:ascii="Times New Roman" w:hAnsi="Times New Roman" w:cs="Times New Roman"/>
          <w:color w:val="auto"/>
          <w:kern w:val="0"/>
          <w:sz w:val="24"/>
          <w:szCs w:val="22"/>
          <w:highlight w:val="none"/>
        </w:rPr>
      </w:pPr>
      <w:r>
        <w:rPr>
          <w:rFonts w:hint="default" w:ascii="Times New Roman" w:hAnsi="Times New Roman" w:cs="Times New Roman"/>
          <w:color w:val="auto"/>
          <w:kern w:val="0"/>
          <w:sz w:val="24"/>
          <w:szCs w:val="22"/>
          <w:highlight w:val="none"/>
        </w:rPr>
        <w:t>③根据《环境影响评价技术导则</w:t>
      </w:r>
      <w:r>
        <w:rPr>
          <w:rFonts w:hint="default" w:ascii="Times New Roman" w:hAnsi="Times New Roman" w:cs="Times New Roman"/>
          <w:color w:val="auto"/>
          <w:sz w:val="24"/>
          <w:szCs w:val="20"/>
          <w:highlight w:val="none"/>
        </w:rPr>
        <w:t xml:space="preserve"> </w:t>
      </w:r>
      <w:r>
        <w:rPr>
          <w:rFonts w:hint="default" w:ascii="Times New Roman" w:hAnsi="Times New Roman" w:cs="Times New Roman"/>
          <w:color w:val="auto"/>
          <w:kern w:val="0"/>
          <w:sz w:val="24"/>
          <w:szCs w:val="22"/>
          <w:highlight w:val="none"/>
        </w:rPr>
        <w:t>大气环境》(HJ2.2-2018）附录B的B.5地表参数，AERMOD地表参数一般根据项目周边3km范围内的土地利用类型进行合理划分，本项目周边3km范围内的土地利用类型为林地，本次评价的土地利用类型选取落叶林。</w:t>
      </w:r>
    </w:p>
    <w:p w14:paraId="7C0A9644">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kern w:val="0"/>
          <w:sz w:val="24"/>
          <w:szCs w:val="22"/>
          <w:highlight w:val="none"/>
        </w:rPr>
        <w:t>④区域湿度条件根据中国干湿度分布图判断，</w:t>
      </w:r>
      <w:r>
        <w:rPr>
          <w:rFonts w:hint="eastAsia" w:cs="Times New Roman"/>
          <w:color w:val="auto"/>
          <w:kern w:val="0"/>
          <w:sz w:val="24"/>
          <w:szCs w:val="22"/>
          <w:highlight w:val="none"/>
          <w:lang w:eastAsia="zh-CN"/>
        </w:rPr>
        <w:t>鸡西</w:t>
      </w:r>
      <w:r>
        <w:rPr>
          <w:rFonts w:hint="default" w:ascii="Times New Roman" w:hAnsi="Times New Roman" w:cs="Times New Roman"/>
          <w:color w:val="auto"/>
          <w:kern w:val="0"/>
          <w:sz w:val="24"/>
          <w:szCs w:val="22"/>
          <w:highlight w:val="none"/>
        </w:rPr>
        <w:t>县属于潮湿气候。</w:t>
      </w:r>
    </w:p>
    <w:p w14:paraId="3D33A83D">
      <w:pPr>
        <w:spacing w:line="500" w:lineRule="exact"/>
        <w:ind w:firstLine="480" w:firstLineChars="200"/>
        <w:rPr>
          <w:rFonts w:hint="default" w:ascii="Times New Roman" w:hAnsi="Times New Roman" w:cs="Times New Roman"/>
          <w:color w:val="auto"/>
          <w:kern w:val="0"/>
          <w:sz w:val="24"/>
          <w:szCs w:val="22"/>
          <w:highlight w:val="none"/>
        </w:rPr>
      </w:pPr>
      <w:r>
        <w:rPr>
          <w:rFonts w:hint="default" w:ascii="Times New Roman" w:hAnsi="Times New Roman" w:cs="Times New Roman"/>
          <w:color w:val="auto"/>
          <w:kern w:val="0"/>
          <w:sz w:val="24"/>
          <w:szCs w:val="22"/>
          <w:highlight w:val="none"/>
        </w:rPr>
        <w:t>⑤根据《环境影响评价技术导则</w:t>
      </w:r>
      <w:r>
        <w:rPr>
          <w:rFonts w:hint="default" w:ascii="Times New Roman" w:hAnsi="Times New Roman" w:cs="Times New Roman"/>
          <w:color w:val="auto"/>
          <w:sz w:val="24"/>
          <w:szCs w:val="22"/>
          <w:highlight w:val="none"/>
        </w:rPr>
        <w:t xml:space="preserve"> </w:t>
      </w:r>
      <w:r>
        <w:rPr>
          <w:rFonts w:hint="default" w:ascii="Times New Roman" w:hAnsi="Times New Roman" w:cs="Times New Roman"/>
          <w:color w:val="auto"/>
          <w:kern w:val="0"/>
          <w:sz w:val="24"/>
          <w:szCs w:val="22"/>
          <w:highlight w:val="none"/>
        </w:rPr>
        <w:t>大气环境》(HJ2.2-2018）附录B的B.4地形数据可知，原始地形数据分辨率不得小于90m，根据EIA2018大气预测软件的DEM地形文件，本项目地形数据分辨率为90m。</w:t>
      </w:r>
    </w:p>
    <w:p w14:paraId="01C9F79E">
      <w:pPr>
        <w:jc w:val="center"/>
        <w:rPr>
          <w:rFonts w:hint="default" w:ascii="Times New Roman" w:hAnsi="Times New Roman" w:cs="Times New Roman"/>
          <w:b/>
          <w:color w:val="auto"/>
          <w:sz w:val="24"/>
          <w:szCs w:val="32"/>
          <w:highlight w:val="none"/>
        </w:rPr>
      </w:pPr>
      <w:r>
        <w:rPr>
          <w:rFonts w:hint="default" w:ascii="Times New Roman" w:hAnsi="Times New Roman" w:cs="Times New Roman"/>
          <w:b/>
          <w:color w:val="auto"/>
          <w:sz w:val="24"/>
          <w:szCs w:val="32"/>
          <w:highlight w:val="none"/>
        </w:rPr>
        <mc:AlternateContent>
          <mc:Choice Requires="wps">
            <w:drawing>
              <wp:anchor distT="0" distB="0" distL="114300" distR="114300" simplePos="0" relativeHeight="251665408" behindDoc="0" locked="0" layoutInCell="1" allowOverlap="1">
                <wp:simplePos x="0" y="0"/>
                <wp:positionH relativeFrom="column">
                  <wp:posOffset>2130425</wp:posOffset>
                </wp:positionH>
                <wp:positionV relativeFrom="paragraph">
                  <wp:posOffset>720090</wp:posOffset>
                </wp:positionV>
                <wp:extent cx="1141095" cy="476885"/>
                <wp:effectExtent l="4445" t="157480" r="16510" b="13335"/>
                <wp:wrapNone/>
                <wp:docPr id="1320843171" name="对话气泡: 矩形 2"/>
                <wp:cNvGraphicFramePr/>
                <a:graphic xmlns:a="http://schemas.openxmlformats.org/drawingml/2006/main">
                  <a:graphicData uri="http://schemas.microsoft.com/office/word/2010/wordprocessingShape">
                    <wps:wsp>
                      <wps:cNvSpPr/>
                      <wps:spPr>
                        <a:xfrm>
                          <a:off x="0" y="0"/>
                          <a:ext cx="1141095" cy="476885"/>
                        </a:xfrm>
                        <a:prstGeom prst="wedgeRectCallout">
                          <a:avLst>
                            <a:gd name="adj1" fmla="val -47885"/>
                            <a:gd name="adj2" fmla="val -81982"/>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2B7F958">
                            <w:pPr>
                              <w:ind w:left="0" w:leftChars="0" w:firstLine="0" w:firstLineChars="0"/>
                              <w:rPr>
                                <w:rFonts w:hint="eastAsia" w:eastAsia="宋体"/>
                                <w:b/>
                                <w:bCs/>
                                <w:color w:val="000000" w:themeColor="text1"/>
                                <w:lang w:val="en-US" w:eastAsia="zh-CN"/>
                                <w14:textFill>
                                  <w14:solidFill>
                                    <w14:schemeClr w14:val="tx1"/>
                                  </w14:solidFill>
                                </w14:textFill>
                              </w:rPr>
                            </w:pPr>
                            <w:r>
                              <w:rPr>
                                <w:rFonts w:hint="eastAsia"/>
                                <w:b/>
                                <w:bCs/>
                                <w:color w:val="000000" w:themeColor="text1"/>
                                <w14:textFill>
                                  <w14:solidFill>
                                    <w14:schemeClr w14:val="tx1"/>
                                  </w14:solidFill>
                                </w14:textFill>
                              </w:rPr>
                              <w:t>本项目</w:t>
                            </w:r>
                            <w:r>
                              <w:rPr>
                                <w:rFonts w:hint="eastAsia"/>
                                <w:b/>
                                <w:bCs/>
                                <w:color w:val="000000" w:themeColor="text1"/>
                                <w:lang w:val="en-US" w:eastAsia="zh-CN"/>
                                <w14:textFill>
                                  <w14:solidFill>
                                    <w14:schemeClr w14:val="tx1"/>
                                  </w14:solidFill>
                                </w14:textFill>
                              </w:rPr>
                              <w:t>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2" o:spid="_x0000_s1026" o:spt="61" type="#_x0000_t61" style="position:absolute;left:0pt;margin-left:167.75pt;margin-top:56.7pt;height:37.55pt;width:89.85pt;z-index:251665408;v-text-anchor:middle;mso-width-relative:page;mso-height-relative:page;" filled="f" stroked="t" coordsize="21600,21600" o:gfxdata="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Ia2l69kAAAALAQAADwAAAAAAAAABACAAAAAiAAAAZHJz&#10;L2Rvd25yZXYueG1sUEsBAhQAFAAAAAgAh07iQBfv98OuAgAANAUAAA4AAAAAAAAAAQAgAAAAKAEA&#10;AGRycy9lMm9Eb2MueG1sUEsFBgAAAAAGAAYAWQEAAEgGAAAAAA==&#10;" adj="457,-6908">
                <v:fill on="f" focussize="0,0"/>
                <v:stroke weight="0.5pt" color="#000000 [3213]" joinstyle="round"/>
                <v:imagedata o:title=""/>
                <o:lock v:ext="edit" aspectratio="f"/>
                <v:textbox>
                  <w:txbxContent>
                    <w:p w14:paraId="12B7F958">
                      <w:pPr>
                        <w:ind w:left="0" w:leftChars="0" w:firstLine="0" w:firstLineChars="0"/>
                        <w:rPr>
                          <w:rFonts w:hint="eastAsia" w:eastAsia="宋体"/>
                          <w:b/>
                          <w:bCs/>
                          <w:color w:val="000000" w:themeColor="text1"/>
                          <w:lang w:val="en-US" w:eastAsia="zh-CN"/>
                          <w14:textFill>
                            <w14:solidFill>
                              <w14:schemeClr w14:val="tx1"/>
                            </w14:solidFill>
                          </w14:textFill>
                        </w:rPr>
                      </w:pPr>
                      <w:r>
                        <w:rPr>
                          <w:rFonts w:hint="eastAsia"/>
                          <w:b/>
                          <w:bCs/>
                          <w:color w:val="000000" w:themeColor="text1"/>
                          <w14:textFill>
                            <w14:solidFill>
                              <w14:schemeClr w14:val="tx1"/>
                            </w14:solidFill>
                          </w14:textFill>
                        </w:rPr>
                        <w:t>本项目</w:t>
                      </w:r>
                      <w:r>
                        <w:rPr>
                          <w:rFonts w:hint="eastAsia"/>
                          <w:b/>
                          <w:bCs/>
                          <w:color w:val="000000" w:themeColor="text1"/>
                          <w:lang w:val="en-US" w:eastAsia="zh-CN"/>
                          <w14:textFill>
                            <w14:solidFill>
                              <w14:schemeClr w14:val="tx1"/>
                            </w14:solidFill>
                          </w14:textFill>
                        </w:rPr>
                        <w:t>位置</w:t>
                      </w:r>
                    </w:p>
                  </w:txbxContent>
                </v:textbox>
              </v:shape>
            </w:pict>
          </mc:Fallback>
        </mc:AlternateContent>
      </w:r>
      <w:r>
        <w:rPr>
          <w:rFonts w:hint="default" w:ascii="Times New Roman" w:hAnsi="Times New Roman" w:cs="Times New Roman"/>
          <w:color w:val="auto"/>
          <w:highlight w:val="none"/>
        </w:rPr>
        <w:drawing>
          <wp:inline distT="0" distB="0" distL="114300" distR="114300">
            <wp:extent cx="5271135" cy="2527935"/>
            <wp:effectExtent l="0" t="0" r="5715" b="5715"/>
            <wp:docPr id="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
                    <pic:cNvPicPr>
                      <a:picLocks noChangeAspect="1"/>
                    </pic:cNvPicPr>
                  </pic:nvPicPr>
                  <pic:blipFill>
                    <a:blip r:embed="rId18"/>
                    <a:stretch>
                      <a:fillRect/>
                    </a:stretch>
                  </pic:blipFill>
                  <pic:spPr>
                    <a:xfrm>
                      <a:off x="0" y="0"/>
                      <a:ext cx="5271135" cy="2527935"/>
                    </a:xfrm>
                    <a:prstGeom prst="rect">
                      <a:avLst/>
                    </a:prstGeom>
                    <a:noFill/>
                    <a:ln>
                      <a:noFill/>
                    </a:ln>
                  </pic:spPr>
                </pic:pic>
              </a:graphicData>
            </a:graphic>
          </wp:inline>
        </w:drawing>
      </w:r>
    </w:p>
    <w:p w14:paraId="3C2D1881">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图2-6-1评价区等高线示意图</w:t>
      </w:r>
    </w:p>
    <w:p w14:paraId="2911D7DF">
      <w:pPr>
        <w:pStyle w:val="27"/>
        <w:bidi w:val="0"/>
        <w:rPr>
          <w:rFonts w:hint="default" w:ascii="Times New Roman" w:hAnsi="Times New Roman" w:cs="Times New Roman"/>
          <w:color w:val="auto"/>
          <w:highlight w:val="none"/>
        </w:rPr>
      </w:pPr>
      <w:bookmarkStart w:id="111" w:name="OLE_LINK21"/>
      <w:r>
        <w:rPr>
          <w:rFonts w:hint="default" w:ascii="Times New Roman" w:hAnsi="Times New Roman" w:cs="Times New Roman"/>
          <w:color w:val="auto"/>
          <w:highlight w:val="none"/>
        </w:rPr>
        <w:t>表2-6-3面源参数一览表</w:t>
      </w:r>
    </w:p>
    <w:bookmarkEnd w:id="111"/>
    <w:tbl>
      <w:tblPr>
        <w:tblStyle w:val="20"/>
        <w:tblW w:w="499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46"/>
        <w:gridCol w:w="1175"/>
        <w:gridCol w:w="1178"/>
        <w:gridCol w:w="879"/>
        <w:gridCol w:w="947"/>
        <w:gridCol w:w="974"/>
        <w:gridCol w:w="761"/>
        <w:gridCol w:w="1852"/>
      </w:tblGrid>
      <w:tr w14:paraId="262024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438" w:type="pct"/>
            <w:vMerge w:val="restart"/>
            <w:noWrap w:val="0"/>
            <w:vAlign w:val="center"/>
          </w:tcPr>
          <w:p w14:paraId="66FE8231">
            <w:pPr>
              <w:pStyle w:val="44"/>
              <w:bidi w:val="0"/>
              <w:rPr>
                <w:rFonts w:hint="default" w:ascii="Times New Roman" w:hAnsi="Times New Roman" w:cs="Times New Roman"/>
                <w:color w:val="auto"/>
              </w:rPr>
            </w:pPr>
            <w:r>
              <w:rPr>
                <w:rFonts w:hint="default" w:ascii="Times New Roman" w:hAnsi="Times New Roman" w:cs="Times New Roman"/>
                <w:color w:val="auto"/>
              </w:rPr>
              <w:t>面源名称</w:t>
            </w:r>
          </w:p>
        </w:tc>
        <w:tc>
          <w:tcPr>
            <w:tcW w:w="1382" w:type="pct"/>
            <w:gridSpan w:val="2"/>
            <w:noWrap w:val="0"/>
            <w:vAlign w:val="center"/>
          </w:tcPr>
          <w:p w14:paraId="273D61F4">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eastAsia="zh-CN"/>
              </w:rPr>
              <w:t>各顶点坐标</w:t>
            </w:r>
            <w:r>
              <w:rPr>
                <w:rFonts w:hint="default" w:ascii="Times New Roman" w:hAnsi="Times New Roman" w:cs="Times New Roman"/>
                <w:color w:val="auto"/>
                <w:lang w:val="en-US" w:eastAsia="zh-CN"/>
              </w:rPr>
              <w:t>/m</w:t>
            </w:r>
          </w:p>
        </w:tc>
        <w:tc>
          <w:tcPr>
            <w:tcW w:w="516" w:type="pct"/>
            <w:vMerge w:val="restart"/>
            <w:noWrap w:val="0"/>
            <w:vAlign w:val="center"/>
          </w:tcPr>
          <w:p w14:paraId="14D46748">
            <w:pPr>
              <w:pStyle w:val="44"/>
              <w:bidi w:val="0"/>
              <w:rPr>
                <w:rFonts w:hint="default" w:ascii="Times New Roman" w:hAnsi="Times New Roman" w:cs="Times New Roman"/>
                <w:color w:val="auto"/>
              </w:rPr>
            </w:pPr>
            <w:r>
              <w:rPr>
                <w:rFonts w:hint="default" w:ascii="Times New Roman" w:hAnsi="Times New Roman" w:cs="Times New Roman"/>
                <w:color w:val="auto"/>
              </w:rPr>
              <w:t>面源海拔高度/m</w:t>
            </w:r>
          </w:p>
        </w:tc>
        <w:tc>
          <w:tcPr>
            <w:tcW w:w="556" w:type="pct"/>
            <w:vMerge w:val="restart"/>
            <w:noWrap w:val="0"/>
            <w:vAlign w:val="center"/>
          </w:tcPr>
          <w:p w14:paraId="02B4BE6F">
            <w:pPr>
              <w:pStyle w:val="44"/>
              <w:bidi w:val="0"/>
              <w:rPr>
                <w:rFonts w:hint="default" w:ascii="Times New Roman" w:hAnsi="Times New Roman" w:cs="Times New Roman"/>
                <w:color w:val="auto"/>
              </w:rPr>
            </w:pPr>
            <w:r>
              <w:rPr>
                <w:rFonts w:hint="default" w:ascii="Times New Roman" w:hAnsi="Times New Roman" w:cs="Times New Roman"/>
                <w:color w:val="auto"/>
              </w:rPr>
              <w:t>面源排放高度/m</w:t>
            </w:r>
          </w:p>
        </w:tc>
        <w:tc>
          <w:tcPr>
            <w:tcW w:w="572" w:type="pct"/>
            <w:vMerge w:val="restart"/>
            <w:noWrap w:val="0"/>
            <w:vAlign w:val="center"/>
          </w:tcPr>
          <w:p w14:paraId="2D7CEBDE">
            <w:pPr>
              <w:pStyle w:val="44"/>
              <w:bidi w:val="0"/>
              <w:rPr>
                <w:rFonts w:hint="default" w:ascii="Times New Roman" w:hAnsi="Times New Roman" w:cs="Times New Roman"/>
                <w:color w:val="auto"/>
              </w:rPr>
            </w:pPr>
            <w:r>
              <w:rPr>
                <w:rFonts w:hint="default" w:ascii="Times New Roman" w:hAnsi="Times New Roman" w:cs="Times New Roman"/>
                <w:color w:val="auto"/>
              </w:rPr>
              <w:t>年排放小时数/h</w:t>
            </w:r>
          </w:p>
        </w:tc>
        <w:tc>
          <w:tcPr>
            <w:tcW w:w="447" w:type="pct"/>
            <w:vMerge w:val="restart"/>
            <w:noWrap w:val="0"/>
            <w:vAlign w:val="center"/>
          </w:tcPr>
          <w:p w14:paraId="6AB6E09C">
            <w:pPr>
              <w:pStyle w:val="44"/>
              <w:bidi w:val="0"/>
              <w:rPr>
                <w:rFonts w:hint="default" w:ascii="Times New Roman" w:hAnsi="Times New Roman" w:cs="Times New Roman"/>
                <w:color w:val="auto"/>
              </w:rPr>
            </w:pPr>
            <w:r>
              <w:rPr>
                <w:rFonts w:hint="default" w:ascii="Times New Roman" w:hAnsi="Times New Roman" w:cs="Times New Roman"/>
                <w:color w:val="auto"/>
              </w:rPr>
              <w:t>排放</w:t>
            </w:r>
          </w:p>
          <w:p w14:paraId="61BAE199">
            <w:pPr>
              <w:pStyle w:val="44"/>
              <w:bidi w:val="0"/>
              <w:rPr>
                <w:rFonts w:hint="default" w:ascii="Times New Roman" w:hAnsi="Times New Roman" w:cs="Times New Roman"/>
                <w:color w:val="auto"/>
              </w:rPr>
            </w:pPr>
            <w:r>
              <w:rPr>
                <w:rFonts w:hint="default" w:ascii="Times New Roman" w:hAnsi="Times New Roman" w:cs="Times New Roman"/>
                <w:color w:val="auto"/>
              </w:rPr>
              <w:t>工况</w:t>
            </w:r>
          </w:p>
        </w:tc>
        <w:tc>
          <w:tcPr>
            <w:tcW w:w="1087" w:type="pct"/>
            <w:noWrap w:val="0"/>
            <w:vAlign w:val="center"/>
          </w:tcPr>
          <w:p w14:paraId="14434CB7">
            <w:pPr>
              <w:pStyle w:val="44"/>
              <w:bidi w:val="0"/>
              <w:rPr>
                <w:rFonts w:hint="default" w:ascii="Times New Roman" w:hAnsi="Times New Roman" w:cs="Times New Roman"/>
                <w:color w:val="auto"/>
              </w:rPr>
            </w:pPr>
            <w:r>
              <w:rPr>
                <w:rFonts w:hint="default" w:ascii="Times New Roman" w:hAnsi="Times New Roman" w:cs="Times New Roman"/>
                <w:color w:val="auto"/>
              </w:rPr>
              <w:t>污染物排放速率/（kg/h）</w:t>
            </w:r>
          </w:p>
        </w:tc>
      </w:tr>
      <w:tr w14:paraId="2E5636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438" w:type="pct"/>
            <w:vMerge w:val="continue"/>
            <w:noWrap w:val="0"/>
            <w:vAlign w:val="center"/>
          </w:tcPr>
          <w:p w14:paraId="6C935629">
            <w:pPr>
              <w:pStyle w:val="44"/>
              <w:bidi w:val="0"/>
              <w:rPr>
                <w:rFonts w:hint="default" w:ascii="Times New Roman" w:hAnsi="Times New Roman" w:cs="Times New Roman"/>
                <w:color w:val="auto"/>
              </w:rPr>
            </w:pPr>
          </w:p>
        </w:tc>
        <w:tc>
          <w:tcPr>
            <w:tcW w:w="690" w:type="pct"/>
            <w:noWrap w:val="0"/>
            <w:vAlign w:val="center"/>
          </w:tcPr>
          <w:p w14:paraId="671886BC">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X</w:t>
            </w:r>
          </w:p>
        </w:tc>
        <w:tc>
          <w:tcPr>
            <w:tcW w:w="691" w:type="pct"/>
            <w:noWrap w:val="0"/>
            <w:vAlign w:val="center"/>
          </w:tcPr>
          <w:p w14:paraId="10A0C65F">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Y</w:t>
            </w:r>
          </w:p>
        </w:tc>
        <w:tc>
          <w:tcPr>
            <w:tcW w:w="516" w:type="pct"/>
            <w:vMerge w:val="continue"/>
            <w:noWrap w:val="0"/>
            <w:vAlign w:val="center"/>
          </w:tcPr>
          <w:p w14:paraId="0F9A2609">
            <w:pPr>
              <w:pStyle w:val="44"/>
              <w:bidi w:val="0"/>
              <w:rPr>
                <w:rFonts w:hint="default" w:ascii="Times New Roman" w:hAnsi="Times New Roman" w:cs="Times New Roman"/>
                <w:color w:val="auto"/>
              </w:rPr>
            </w:pPr>
          </w:p>
        </w:tc>
        <w:tc>
          <w:tcPr>
            <w:tcW w:w="556" w:type="pct"/>
            <w:vMerge w:val="continue"/>
            <w:noWrap w:val="0"/>
            <w:vAlign w:val="center"/>
          </w:tcPr>
          <w:p w14:paraId="1063FFF5">
            <w:pPr>
              <w:pStyle w:val="44"/>
              <w:bidi w:val="0"/>
              <w:rPr>
                <w:rFonts w:hint="default" w:ascii="Times New Roman" w:hAnsi="Times New Roman" w:cs="Times New Roman"/>
                <w:color w:val="auto"/>
              </w:rPr>
            </w:pPr>
          </w:p>
        </w:tc>
        <w:tc>
          <w:tcPr>
            <w:tcW w:w="572" w:type="pct"/>
            <w:vMerge w:val="continue"/>
            <w:noWrap w:val="0"/>
            <w:vAlign w:val="center"/>
          </w:tcPr>
          <w:p w14:paraId="016AE28D">
            <w:pPr>
              <w:pStyle w:val="44"/>
              <w:bidi w:val="0"/>
              <w:rPr>
                <w:rFonts w:hint="default" w:ascii="Times New Roman" w:hAnsi="Times New Roman" w:cs="Times New Roman"/>
                <w:color w:val="auto"/>
              </w:rPr>
            </w:pPr>
          </w:p>
        </w:tc>
        <w:tc>
          <w:tcPr>
            <w:tcW w:w="447" w:type="pct"/>
            <w:vMerge w:val="continue"/>
            <w:noWrap w:val="0"/>
            <w:vAlign w:val="center"/>
          </w:tcPr>
          <w:p w14:paraId="43DA616C">
            <w:pPr>
              <w:pStyle w:val="44"/>
              <w:bidi w:val="0"/>
              <w:rPr>
                <w:rFonts w:hint="default" w:ascii="Times New Roman" w:hAnsi="Times New Roman" w:cs="Times New Roman"/>
                <w:color w:val="auto"/>
              </w:rPr>
            </w:pPr>
          </w:p>
        </w:tc>
        <w:tc>
          <w:tcPr>
            <w:tcW w:w="1087" w:type="pct"/>
            <w:noWrap w:val="0"/>
            <w:vAlign w:val="center"/>
          </w:tcPr>
          <w:p w14:paraId="5181C3EE">
            <w:pPr>
              <w:pStyle w:val="44"/>
              <w:bidi w:val="0"/>
              <w:rPr>
                <w:rFonts w:hint="default" w:ascii="Times New Roman" w:hAnsi="Times New Roman" w:cs="Times New Roman"/>
                <w:color w:val="auto"/>
                <w:lang w:eastAsia="zh-CN"/>
              </w:rPr>
            </w:pPr>
            <w:r>
              <w:rPr>
                <w:rFonts w:hint="default" w:ascii="Times New Roman" w:hAnsi="Times New Roman" w:cs="Times New Roman"/>
                <w:color w:val="auto"/>
              </w:rPr>
              <w:t>TSP</w:t>
            </w:r>
          </w:p>
        </w:tc>
      </w:tr>
      <w:tr w14:paraId="547B71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8" w:type="pct"/>
            <w:vMerge w:val="restart"/>
            <w:noWrap w:val="0"/>
            <w:vAlign w:val="center"/>
          </w:tcPr>
          <w:p w14:paraId="244F44C3">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回填区</w:t>
            </w:r>
          </w:p>
        </w:tc>
        <w:tc>
          <w:tcPr>
            <w:tcW w:w="690" w:type="pct"/>
            <w:noWrap w:val="0"/>
            <w:vAlign w:val="center"/>
          </w:tcPr>
          <w:p w14:paraId="2008F855">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3743</w:t>
            </w:r>
          </w:p>
        </w:tc>
        <w:tc>
          <w:tcPr>
            <w:tcW w:w="691" w:type="pct"/>
            <w:noWrap w:val="0"/>
            <w:vAlign w:val="center"/>
          </w:tcPr>
          <w:p w14:paraId="29819866">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2307</w:t>
            </w:r>
          </w:p>
        </w:tc>
        <w:tc>
          <w:tcPr>
            <w:tcW w:w="516" w:type="pct"/>
            <w:vMerge w:val="restart"/>
            <w:noWrap w:val="0"/>
            <w:vAlign w:val="center"/>
          </w:tcPr>
          <w:p w14:paraId="7CC64D09">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300</w:t>
            </w:r>
          </w:p>
        </w:tc>
        <w:tc>
          <w:tcPr>
            <w:tcW w:w="556" w:type="pct"/>
            <w:vMerge w:val="restart"/>
            <w:noWrap w:val="0"/>
            <w:vAlign w:val="center"/>
          </w:tcPr>
          <w:p w14:paraId="4C064CA4">
            <w:pPr>
              <w:pStyle w:val="44"/>
              <w:bidi w:val="0"/>
              <w:rPr>
                <w:rFonts w:hint="default" w:ascii="Times New Roman" w:hAnsi="Times New Roman" w:cs="Times New Roman"/>
                <w:color w:val="auto"/>
                <w:lang w:val="en-US" w:eastAsia="zh-CN"/>
              </w:rPr>
            </w:pPr>
            <w:r>
              <w:rPr>
                <w:rFonts w:hint="eastAsia" w:cs="Times New Roman"/>
                <w:color w:val="auto"/>
                <w:lang w:val="en-US" w:eastAsia="zh-CN"/>
              </w:rPr>
              <w:t>5</w:t>
            </w:r>
          </w:p>
        </w:tc>
        <w:tc>
          <w:tcPr>
            <w:tcW w:w="572" w:type="pct"/>
            <w:vMerge w:val="restart"/>
            <w:noWrap w:val="0"/>
            <w:vAlign w:val="center"/>
          </w:tcPr>
          <w:p w14:paraId="77C24EB8">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1680</w:t>
            </w:r>
          </w:p>
        </w:tc>
        <w:tc>
          <w:tcPr>
            <w:tcW w:w="447" w:type="pct"/>
            <w:vMerge w:val="restart"/>
            <w:noWrap w:val="0"/>
            <w:vAlign w:val="center"/>
          </w:tcPr>
          <w:p w14:paraId="20670137">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eastAsia="zh-CN"/>
              </w:rPr>
              <w:t>正常</w:t>
            </w:r>
          </w:p>
          <w:p w14:paraId="021E5AA4">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eastAsia="zh-CN"/>
              </w:rPr>
              <w:t>工况</w:t>
            </w:r>
          </w:p>
        </w:tc>
        <w:tc>
          <w:tcPr>
            <w:tcW w:w="1087" w:type="pct"/>
            <w:vMerge w:val="restart"/>
            <w:noWrap w:val="0"/>
            <w:vAlign w:val="center"/>
          </w:tcPr>
          <w:p w14:paraId="73BBFC56">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w:t>
            </w:r>
            <w:r>
              <w:rPr>
                <w:rFonts w:hint="eastAsia" w:ascii="Times New Roman" w:hAnsi="Times New Roman" w:cs="Times New Roman"/>
                <w:color w:val="auto"/>
                <w:lang w:val="en-US" w:eastAsia="zh-CN"/>
              </w:rPr>
              <w:t>0026</w:t>
            </w:r>
          </w:p>
        </w:tc>
      </w:tr>
      <w:tr w14:paraId="7D7CE9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8" w:type="pct"/>
            <w:vMerge w:val="continue"/>
            <w:noWrap w:val="0"/>
            <w:vAlign w:val="center"/>
          </w:tcPr>
          <w:p w14:paraId="284A6EAA">
            <w:pPr>
              <w:pStyle w:val="44"/>
              <w:bidi w:val="0"/>
              <w:rPr>
                <w:rFonts w:hint="default" w:ascii="Times New Roman" w:hAnsi="Times New Roman" w:cs="Times New Roman"/>
                <w:color w:val="auto"/>
                <w:lang w:eastAsia="zh-CN"/>
              </w:rPr>
            </w:pPr>
          </w:p>
        </w:tc>
        <w:tc>
          <w:tcPr>
            <w:tcW w:w="690" w:type="pct"/>
            <w:noWrap w:val="0"/>
            <w:vAlign w:val="center"/>
          </w:tcPr>
          <w:p w14:paraId="08C123C8">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3730</w:t>
            </w:r>
          </w:p>
        </w:tc>
        <w:tc>
          <w:tcPr>
            <w:tcW w:w="691" w:type="pct"/>
            <w:noWrap w:val="0"/>
            <w:vAlign w:val="center"/>
          </w:tcPr>
          <w:p w14:paraId="014EA8E5">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2323</w:t>
            </w:r>
          </w:p>
        </w:tc>
        <w:tc>
          <w:tcPr>
            <w:tcW w:w="516" w:type="pct"/>
            <w:vMerge w:val="continue"/>
            <w:noWrap w:val="0"/>
            <w:vAlign w:val="center"/>
          </w:tcPr>
          <w:p w14:paraId="39D7A9CB">
            <w:pPr>
              <w:pStyle w:val="44"/>
              <w:bidi w:val="0"/>
              <w:rPr>
                <w:rFonts w:hint="default" w:ascii="Times New Roman" w:hAnsi="Times New Roman" w:cs="Times New Roman"/>
                <w:color w:val="auto"/>
                <w:lang w:val="en-US" w:eastAsia="zh-CN"/>
              </w:rPr>
            </w:pPr>
          </w:p>
        </w:tc>
        <w:tc>
          <w:tcPr>
            <w:tcW w:w="556" w:type="pct"/>
            <w:vMerge w:val="continue"/>
            <w:noWrap w:val="0"/>
            <w:vAlign w:val="center"/>
          </w:tcPr>
          <w:p w14:paraId="29C41E7E">
            <w:pPr>
              <w:pStyle w:val="44"/>
              <w:bidi w:val="0"/>
              <w:rPr>
                <w:rFonts w:hint="default" w:ascii="Times New Roman" w:hAnsi="Times New Roman" w:cs="Times New Roman"/>
                <w:color w:val="auto"/>
                <w:lang w:val="en-US" w:eastAsia="zh-CN"/>
              </w:rPr>
            </w:pPr>
          </w:p>
        </w:tc>
        <w:tc>
          <w:tcPr>
            <w:tcW w:w="572" w:type="pct"/>
            <w:vMerge w:val="continue"/>
            <w:noWrap w:val="0"/>
            <w:vAlign w:val="center"/>
          </w:tcPr>
          <w:p w14:paraId="2ECD85D0">
            <w:pPr>
              <w:pStyle w:val="44"/>
              <w:bidi w:val="0"/>
              <w:rPr>
                <w:rFonts w:hint="default" w:ascii="Times New Roman" w:hAnsi="Times New Roman" w:cs="Times New Roman"/>
                <w:color w:val="auto"/>
                <w:lang w:val="en-US" w:eastAsia="zh-CN"/>
              </w:rPr>
            </w:pPr>
          </w:p>
        </w:tc>
        <w:tc>
          <w:tcPr>
            <w:tcW w:w="447" w:type="pct"/>
            <w:vMerge w:val="continue"/>
            <w:noWrap w:val="0"/>
            <w:vAlign w:val="center"/>
          </w:tcPr>
          <w:p w14:paraId="08FF7195">
            <w:pPr>
              <w:pStyle w:val="44"/>
              <w:bidi w:val="0"/>
              <w:rPr>
                <w:rFonts w:hint="default" w:ascii="Times New Roman" w:hAnsi="Times New Roman" w:cs="Times New Roman"/>
                <w:color w:val="auto"/>
                <w:lang w:eastAsia="zh-CN"/>
              </w:rPr>
            </w:pPr>
          </w:p>
        </w:tc>
        <w:tc>
          <w:tcPr>
            <w:tcW w:w="1087" w:type="pct"/>
            <w:vMerge w:val="continue"/>
            <w:noWrap w:val="0"/>
            <w:vAlign w:val="center"/>
          </w:tcPr>
          <w:p w14:paraId="1D2D69E8">
            <w:pPr>
              <w:pStyle w:val="44"/>
              <w:bidi w:val="0"/>
              <w:rPr>
                <w:rFonts w:hint="default" w:ascii="Times New Roman" w:hAnsi="Times New Roman" w:cs="Times New Roman"/>
                <w:color w:val="auto"/>
                <w:lang w:val="en-US" w:eastAsia="zh-CN"/>
              </w:rPr>
            </w:pPr>
          </w:p>
        </w:tc>
      </w:tr>
      <w:tr w14:paraId="18B706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8" w:type="pct"/>
            <w:vMerge w:val="continue"/>
            <w:noWrap w:val="0"/>
            <w:vAlign w:val="center"/>
          </w:tcPr>
          <w:p w14:paraId="7DC36CF6">
            <w:pPr>
              <w:pStyle w:val="44"/>
              <w:bidi w:val="0"/>
              <w:rPr>
                <w:rFonts w:hint="default" w:ascii="Times New Roman" w:hAnsi="Times New Roman" w:cs="Times New Roman"/>
                <w:color w:val="auto"/>
                <w:lang w:eastAsia="zh-CN"/>
              </w:rPr>
            </w:pPr>
          </w:p>
        </w:tc>
        <w:tc>
          <w:tcPr>
            <w:tcW w:w="690" w:type="pct"/>
            <w:noWrap w:val="0"/>
            <w:vAlign w:val="center"/>
          </w:tcPr>
          <w:p w14:paraId="3450A5A9">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3678</w:t>
            </w:r>
          </w:p>
        </w:tc>
        <w:tc>
          <w:tcPr>
            <w:tcW w:w="691" w:type="pct"/>
            <w:noWrap w:val="0"/>
            <w:vAlign w:val="center"/>
          </w:tcPr>
          <w:p w14:paraId="09E2C269">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2317</w:t>
            </w:r>
          </w:p>
        </w:tc>
        <w:tc>
          <w:tcPr>
            <w:tcW w:w="516" w:type="pct"/>
            <w:vMerge w:val="continue"/>
            <w:noWrap w:val="0"/>
            <w:vAlign w:val="center"/>
          </w:tcPr>
          <w:p w14:paraId="5390CC81">
            <w:pPr>
              <w:pStyle w:val="44"/>
              <w:bidi w:val="0"/>
              <w:rPr>
                <w:rFonts w:hint="default" w:ascii="Times New Roman" w:hAnsi="Times New Roman" w:cs="Times New Roman"/>
                <w:color w:val="auto"/>
                <w:lang w:val="en-US" w:eastAsia="zh-CN"/>
              </w:rPr>
            </w:pPr>
          </w:p>
        </w:tc>
        <w:tc>
          <w:tcPr>
            <w:tcW w:w="556" w:type="pct"/>
            <w:vMerge w:val="continue"/>
            <w:noWrap w:val="0"/>
            <w:vAlign w:val="center"/>
          </w:tcPr>
          <w:p w14:paraId="6A7654D3">
            <w:pPr>
              <w:pStyle w:val="44"/>
              <w:bidi w:val="0"/>
              <w:rPr>
                <w:rFonts w:hint="default" w:ascii="Times New Roman" w:hAnsi="Times New Roman" w:cs="Times New Roman"/>
                <w:color w:val="auto"/>
                <w:lang w:val="en-US" w:eastAsia="zh-CN"/>
              </w:rPr>
            </w:pPr>
          </w:p>
        </w:tc>
        <w:tc>
          <w:tcPr>
            <w:tcW w:w="572" w:type="pct"/>
            <w:vMerge w:val="continue"/>
            <w:noWrap w:val="0"/>
            <w:vAlign w:val="center"/>
          </w:tcPr>
          <w:p w14:paraId="3256CC82">
            <w:pPr>
              <w:pStyle w:val="44"/>
              <w:bidi w:val="0"/>
              <w:rPr>
                <w:rFonts w:hint="default" w:ascii="Times New Roman" w:hAnsi="Times New Roman" w:cs="Times New Roman"/>
                <w:color w:val="auto"/>
                <w:lang w:val="en-US" w:eastAsia="zh-CN"/>
              </w:rPr>
            </w:pPr>
          </w:p>
        </w:tc>
        <w:tc>
          <w:tcPr>
            <w:tcW w:w="447" w:type="pct"/>
            <w:vMerge w:val="continue"/>
            <w:noWrap w:val="0"/>
            <w:vAlign w:val="center"/>
          </w:tcPr>
          <w:p w14:paraId="14F25727">
            <w:pPr>
              <w:pStyle w:val="44"/>
              <w:bidi w:val="0"/>
              <w:rPr>
                <w:rFonts w:hint="default" w:ascii="Times New Roman" w:hAnsi="Times New Roman" w:cs="Times New Roman"/>
                <w:color w:val="auto"/>
                <w:lang w:eastAsia="zh-CN"/>
              </w:rPr>
            </w:pPr>
          </w:p>
        </w:tc>
        <w:tc>
          <w:tcPr>
            <w:tcW w:w="1087" w:type="pct"/>
            <w:vMerge w:val="continue"/>
            <w:noWrap w:val="0"/>
            <w:vAlign w:val="center"/>
          </w:tcPr>
          <w:p w14:paraId="41B89CCB">
            <w:pPr>
              <w:pStyle w:val="44"/>
              <w:bidi w:val="0"/>
              <w:rPr>
                <w:rFonts w:hint="default" w:ascii="Times New Roman" w:hAnsi="Times New Roman" w:cs="Times New Roman"/>
                <w:color w:val="auto"/>
                <w:lang w:val="en-US" w:eastAsia="zh-CN"/>
              </w:rPr>
            </w:pPr>
          </w:p>
        </w:tc>
      </w:tr>
      <w:tr w14:paraId="35631A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8" w:type="pct"/>
            <w:vMerge w:val="continue"/>
            <w:noWrap w:val="0"/>
            <w:vAlign w:val="center"/>
          </w:tcPr>
          <w:p w14:paraId="626A41D7">
            <w:pPr>
              <w:pStyle w:val="44"/>
              <w:bidi w:val="0"/>
              <w:rPr>
                <w:rFonts w:hint="default" w:ascii="Times New Roman" w:hAnsi="Times New Roman" w:cs="Times New Roman"/>
                <w:color w:val="auto"/>
                <w:lang w:eastAsia="zh-CN"/>
              </w:rPr>
            </w:pPr>
          </w:p>
        </w:tc>
        <w:tc>
          <w:tcPr>
            <w:tcW w:w="690" w:type="pct"/>
            <w:noWrap w:val="0"/>
            <w:vAlign w:val="center"/>
          </w:tcPr>
          <w:p w14:paraId="697333B5">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3616</w:t>
            </w:r>
          </w:p>
        </w:tc>
        <w:tc>
          <w:tcPr>
            <w:tcW w:w="691" w:type="pct"/>
            <w:noWrap w:val="0"/>
            <w:vAlign w:val="center"/>
          </w:tcPr>
          <w:p w14:paraId="1A30D03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2267</w:t>
            </w:r>
          </w:p>
        </w:tc>
        <w:tc>
          <w:tcPr>
            <w:tcW w:w="516" w:type="pct"/>
            <w:vMerge w:val="continue"/>
            <w:noWrap w:val="0"/>
            <w:vAlign w:val="center"/>
          </w:tcPr>
          <w:p w14:paraId="7ED0A420">
            <w:pPr>
              <w:pStyle w:val="44"/>
              <w:bidi w:val="0"/>
              <w:rPr>
                <w:rFonts w:hint="default" w:ascii="Times New Roman" w:hAnsi="Times New Roman" w:cs="Times New Roman"/>
                <w:color w:val="auto"/>
                <w:lang w:val="en-US" w:eastAsia="zh-CN"/>
              </w:rPr>
            </w:pPr>
          </w:p>
        </w:tc>
        <w:tc>
          <w:tcPr>
            <w:tcW w:w="556" w:type="pct"/>
            <w:vMerge w:val="continue"/>
            <w:noWrap w:val="0"/>
            <w:vAlign w:val="center"/>
          </w:tcPr>
          <w:p w14:paraId="33971C59">
            <w:pPr>
              <w:pStyle w:val="44"/>
              <w:bidi w:val="0"/>
              <w:rPr>
                <w:rFonts w:hint="default" w:ascii="Times New Roman" w:hAnsi="Times New Roman" w:cs="Times New Roman"/>
                <w:color w:val="auto"/>
                <w:lang w:val="en-US" w:eastAsia="zh-CN"/>
              </w:rPr>
            </w:pPr>
          </w:p>
        </w:tc>
        <w:tc>
          <w:tcPr>
            <w:tcW w:w="572" w:type="pct"/>
            <w:vMerge w:val="continue"/>
            <w:noWrap w:val="0"/>
            <w:vAlign w:val="center"/>
          </w:tcPr>
          <w:p w14:paraId="046A9220">
            <w:pPr>
              <w:pStyle w:val="44"/>
              <w:bidi w:val="0"/>
              <w:rPr>
                <w:rFonts w:hint="default" w:ascii="Times New Roman" w:hAnsi="Times New Roman" w:cs="Times New Roman"/>
                <w:color w:val="auto"/>
                <w:lang w:val="en-US" w:eastAsia="zh-CN"/>
              </w:rPr>
            </w:pPr>
          </w:p>
        </w:tc>
        <w:tc>
          <w:tcPr>
            <w:tcW w:w="447" w:type="pct"/>
            <w:vMerge w:val="continue"/>
            <w:noWrap w:val="0"/>
            <w:vAlign w:val="center"/>
          </w:tcPr>
          <w:p w14:paraId="22F04B5C">
            <w:pPr>
              <w:pStyle w:val="44"/>
              <w:bidi w:val="0"/>
              <w:rPr>
                <w:rFonts w:hint="default" w:ascii="Times New Roman" w:hAnsi="Times New Roman" w:cs="Times New Roman"/>
                <w:color w:val="auto"/>
                <w:lang w:eastAsia="zh-CN"/>
              </w:rPr>
            </w:pPr>
          </w:p>
        </w:tc>
        <w:tc>
          <w:tcPr>
            <w:tcW w:w="1087" w:type="pct"/>
            <w:vMerge w:val="continue"/>
            <w:noWrap w:val="0"/>
            <w:vAlign w:val="center"/>
          </w:tcPr>
          <w:p w14:paraId="7AD7AC5E">
            <w:pPr>
              <w:pStyle w:val="44"/>
              <w:bidi w:val="0"/>
              <w:rPr>
                <w:rFonts w:hint="default" w:ascii="Times New Roman" w:hAnsi="Times New Roman" w:cs="Times New Roman"/>
                <w:color w:val="auto"/>
                <w:lang w:val="en-US" w:eastAsia="zh-CN"/>
              </w:rPr>
            </w:pPr>
          </w:p>
        </w:tc>
      </w:tr>
      <w:tr w14:paraId="7F68D6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8" w:type="pct"/>
            <w:vMerge w:val="continue"/>
            <w:noWrap w:val="0"/>
            <w:vAlign w:val="center"/>
          </w:tcPr>
          <w:p w14:paraId="20BC0B7A">
            <w:pPr>
              <w:pStyle w:val="44"/>
              <w:bidi w:val="0"/>
              <w:rPr>
                <w:rFonts w:hint="default" w:ascii="Times New Roman" w:hAnsi="Times New Roman" w:cs="Times New Roman"/>
                <w:color w:val="auto"/>
                <w:lang w:eastAsia="zh-CN"/>
              </w:rPr>
            </w:pPr>
          </w:p>
        </w:tc>
        <w:tc>
          <w:tcPr>
            <w:tcW w:w="690" w:type="pct"/>
            <w:noWrap w:val="0"/>
            <w:vAlign w:val="center"/>
          </w:tcPr>
          <w:p w14:paraId="06B375F3">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3539</w:t>
            </w:r>
          </w:p>
        </w:tc>
        <w:tc>
          <w:tcPr>
            <w:tcW w:w="691" w:type="pct"/>
            <w:noWrap w:val="0"/>
            <w:vAlign w:val="center"/>
          </w:tcPr>
          <w:p w14:paraId="361FBAFE">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2304</w:t>
            </w:r>
          </w:p>
        </w:tc>
        <w:tc>
          <w:tcPr>
            <w:tcW w:w="516" w:type="pct"/>
            <w:vMerge w:val="continue"/>
            <w:noWrap w:val="0"/>
            <w:vAlign w:val="center"/>
          </w:tcPr>
          <w:p w14:paraId="63AA98F4">
            <w:pPr>
              <w:pStyle w:val="44"/>
              <w:bidi w:val="0"/>
              <w:rPr>
                <w:rFonts w:hint="default" w:ascii="Times New Roman" w:hAnsi="Times New Roman" w:cs="Times New Roman"/>
                <w:color w:val="auto"/>
                <w:lang w:val="en-US" w:eastAsia="zh-CN"/>
              </w:rPr>
            </w:pPr>
          </w:p>
        </w:tc>
        <w:tc>
          <w:tcPr>
            <w:tcW w:w="556" w:type="pct"/>
            <w:vMerge w:val="continue"/>
            <w:noWrap w:val="0"/>
            <w:vAlign w:val="center"/>
          </w:tcPr>
          <w:p w14:paraId="08906142">
            <w:pPr>
              <w:pStyle w:val="44"/>
              <w:bidi w:val="0"/>
              <w:rPr>
                <w:rFonts w:hint="default" w:ascii="Times New Roman" w:hAnsi="Times New Roman" w:cs="Times New Roman"/>
                <w:color w:val="auto"/>
                <w:lang w:val="en-US" w:eastAsia="zh-CN"/>
              </w:rPr>
            </w:pPr>
          </w:p>
        </w:tc>
        <w:tc>
          <w:tcPr>
            <w:tcW w:w="572" w:type="pct"/>
            <w:vMerge w:val="continue"/>
            <w:noWrap w:val="0"/>
            <w:vAlign w:val="center"/>
          </w:tcPr>
          <w:p w14:paraId="2FFDED44">
            <w:pPr>
              <w:pStyle w:val="44"/>
              <w:bidi w:val="0"/>
              <w:rPr>
                <w:rFonts w:hint="default" w:ascii="Times New Roman" w:hAnsi="Times New Roman" w:cs="Times New Roman"/>
                <w:color w:val="auto"/>
                <w:lang w:val="en-US" w:eastAsia="zh-CN"/>
              </w:rPr>
            </w:pPr>
          </w:p>
        </w:tc>
        <w:tc>
          <w:tcPr>
            <w:tcW w:w="447" w:type="pct"/>
            <w:vMerge w:val="continue"/>
            <w:noWrap w:val="0"/>
            <w:vAlign w:val="center"/>
          </w:tcPr>
          <w:p w14:paraId="5AB7EA71">
            <w:pPr>
              <w:pStyle w:val="44"/>
              <w:bidi w:val="0"/>
              <w:rPr>
                <w:rFonts w:hint="default" w:ascii="Times New Roman" w:hAnsi="Times New Roman" w:cs="Times New Roman"/>
                <w:color w:val="auto"/>
                <w:lang w:eastAsia="zh-CN"/>
              </w:rPr>
            </w:pPr>
          </w:p>
        </w:tc>
        <w:tc>
          <w:tcPr>
            <w:tcW w:w="1087" w:type="pct"/>
            <w:vMerge w:val="continue"/>
            <w:noWrap w:val="0"/>
            <w:vAlign w:val="center"/>
          </w:tcPr>
          <w:p w14:paraId="63DA3D9F">
            <w:pPr>
              <w:pStyle w:val="44"/>
              <w:bidi w:val="0"/>
              <w:rPr>
                <w:rFonts w:hint="default" w:ascii="Times New Roman" w:hAnsi="Times New Roman" w:cs="Times New Roman"/>
                <w:color w:val="auto"/>
                <w:lang w:val="en-US" w:eastAsia="zh-CN"/>
              </w:rPr>
            </w:pPr>
          </w:p>
        </w:tc>
      </w:tr>
      <w:tr w14:paraId="730A45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8" w:type="pct"/>
            <w:vMerge w:val="continue"/>
            <w:noWrap w:val="0"/>
            <w:vAlign w:val="center"/>
          </w:tcPr>
          <w:p w14:paraId="16633FD3">
            <w:pPr>
              <w:pStyle w:val="44"/>
              <w:bidi w:val="0"/>
              <w:rPr>
                <w:rFonts w:hint="default" w:ascii="Times New Roman" w:hAnsi="Times New Roman" w:cs="Times New Roman"/>
                <w:color w:val="auto"/>
                <w:lang w:eastAsia="zh-CN"/>
              </w:rPr>
            </w:pPr>
          </w:p>
        </w:tc>
        <w:tc>
          <w:tcPr>
            <w:tcW w:w="690" w:type="pct"/>
            <w:noWrap w:val="0"/>
            <w:vAlign w:val="center"/>
          </w:tcPr>
          <w:p w14:paraId="2A7F983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3529</w:t>
            </w:r>
          </w:p>
        </w:tc>
        <w:tc>
          <w:tcPr>
            <w:tcW w:w="691" w:type="pct"/>
            <w:noWrap w:val="0"/>
            <w:vAlign w:val="center"/>
          </w:tcPr>
          <w:p w14:paraId="2EEC4BB4">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2344</w:t>
            </w:r>
          </w:p>
        </w:tc>
        <w:tc>
          <w:tcPr>
            <w:tcW w:w="516" w:type="pct"/>
            <w:vMerge w:val="continue"/>
            <w:noWrap w:val="0"/>
            <w:vAlign w:val="center"/>
          </w:tcPr>
          <w:p w14:paraId="234E1FCF">
            <w:pPr>
              <w:pStyle w:val="44"/>
              <w:bidi w:val="0"/>
              <w:rPr>
                <w:rFonts w:hint="default" w:ascii="Times New Roman" w:hAnsi="Times New Roman" w:cs="Times New Roman"/>
                <w:color w:val="auto"/>
                <w:lang w:val="en-US" w:eastAsia="zh-CN"/>
              </w:rPr>
            </w:pPr>
          </w:p>
        </w:tc>
        <w:tc>
          <w:tcPr>
            <w:tcW w:w="556" w:type="pct"/>
            <w:vMerge w:val="continue"/>
            <w:noWrap w:val="0"/>
            <w:vAlign w:val="center"/>
          </w:tcPr>
          <w:p w14:paraId="2338E0DC">
            <w:pPr>
              <w:pStyle w:val="44"/>
              <w:bidi w:val="0"/>
              <w:rPr>
                <w:rFonts w:hint="default" w:ascii="Times New Roman" w:hAnsi="Times New Roman" w:cs="Times New Roman"/>
                <w:color w:val="auto"/>
                <w:lang w:val="en-US" w:eastAsia="zh-CN"/>
              </w:rPr>
            </w:pPr>
          </w:p>
        </w:tc>
        <w:tc>
          <w:tcPr>
            <w:tcW w:w="572" w:type="pct"/>
            <w:vMerge w:val="continue"/>
            <w:noWrap w:val="0"/>
            <w:vAlign w:val="center"/>
          </w:tcPr>
          <w:p w14:paraId="75FF02EF">
            <w:pPr>
              <w:pStyle w:val="44"/>
              <w:bidi w:val="0"/>
              <w:rPr>
                <w:rFonts w:hint="default" w:ascii="Times New Roman" w:hAnsi="Times New Roman" w:cs="Times New Roman"/>
                <w:color w:val="auto"/>
                <w:lang w:val="en-US" w:eastAsia="zh-CN"/>
              </w:rPr>
            </w:pPr>
          </w:p>
        </w:tc>
        <w:tc>
          <w:tcPr>
            <w:tcW w:w="447" w:type="pct"/>
            <w:vMerge w:val="continue"/>
            <w:noWrap w:val="0"/>
            <w:vAlign w:val="center"/>
          </w:tcPr>
          <w:p w14:paraId="4013FBB8">
            <w:pPr>
              <w:pStyle w:val="44"/>
              <w:bidi w:val="0"/>
              <w:rPr>
                <w:rFonts w:hint="default" w:ascii="Times New Roman" w:hAnsi="Times New Roman" w:cs="Times New Roman"/>
                <w:color w:val="auto"/>
                <w:lang w:eastAsia="zh-CN"/>
              </w:rPr>
            </w:pPr>
          </w:p>
        </w:tc>
        <w:tc>
          <w:tcPr>
            <w:tcW w:w="1087" w:type="pct"/>
            <w:vMerge w:val="continue"/>
            <w:noWrap w:val="0"/>
            <w:vAlign w:val="center"/>
          </w:tcPr>
          <w:p w14:paraId="066F9711">
            <w:pPr>
              <w:pStyle w:val="44"/>
              <w:bidi w:val="0"/>
              <w:rPr>
                <w:rFonts w:hint="default" w:ascii="Times New Roman" w:hAnsi="Times New Roman" w:cs="Times New Roman"/>
                <w:color w:val="auto"/>
                <w:lang w:val="en-US" w:eastAsia="zh-CN"/>
              </w:rPr>
            </w:pPr>
          </w:p>
        </w:tc>
      </w:tr>
      <w:tr w14:paraId="6C28AD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8" w:type="pct"/>
            <w:vMerge w:val="continue"/>
            <w:noWrap w:val="0"/>
            <w:vAlign w:val="center"/>
          </w:tcPr>
          <w:p w14:paraId="03EA9CE0">
            <w:pPr>
              <w:pStyle w:val="44"/>
              <w:bidi w:val="0"/>
              <w:rPr>
                <w:rFonts w:hint="default" w:ascii="Times New Roman" w:hAnsi="Times New Roman" w:cs="Times New Roman"/>
                <w:color w:val="auto"/>
                <w:lang w:eastAsia="zh-CN"/>
              </w:rPr>
            </w:pPr>
          </w:p>
        </w:tc>
        <w:tc>
          <w:tcPr>
            <w:tcW w:w="690" w:type="pct"/>
            <w:noWrap w:val="0"/>
            <w:vAlign w:val="center"/>
          </w:tcPr>
          <w:p w14:paraId="52E207A2">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3505</w:t>
            </w:r>
          </w:p>
        </w:tc>
        <w:tc>
          <w:tcPr>
            <w:tcW w:w="691" w:type="pct"/>
            <w:noWrap w:val="0"/>
            <w:vAlign w:val="center"/>
          </w:tcPr>
          <w:p w14:paraId="16F2CC84">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2462</w:t>
            </w:r>
          </w:p>
        </w:tc>
        <w:tc>
          <w:tcPr>
            <w:tcW w:w="516" w:type="pct"/>
            <w:vMerge w:val="continue"/>
            <w:noWrap w:val="0"/>
            <w:vAlign w:val="center"/>
          </w:tcPr>
          <w:p w14:paraId="34101C90">
            <w:pPr>
              <w:pStyle w:val="44"/>
              <w:bidi w:val="0"/>
              <w:rPr>
                <w:rFonts w:hint="default" w:ascii="Times New Roman" w:hAnsi="Times New Roman" w:cs="Times New Roman"/>
                <w:color w:val="auto"/>
                <w:lang w:val="en-US" w:eastAsia="zh-CN"/>
              </w:rPr>
            </w:pPr>
          </w:p>
        </w:tc>
        <w:tc>
          <w:tcPr>
            <w:tcW w:w="556" w:type="pct"/>
            <w:vMerge w:val="continue"/>
            <w:noWrap w:val="0"/>
            <w:vAlign w:val="center"/>
          </w:tcPr>
          <w:p w14:paraId="725E96FC">
            <w:pPr>
              <w:pStyle w:val="44"/>
              <w:bidi w:val="0"/>
              <w:rPr>
                <w:rFonts w:hint="default" w:ascii="Times New Roman" w:hAnsi="Times New Roman" w:cs="Times New Roman"/>
                <w:color w:val="auto"/>
                <w:lang w:val="en-US" w:eastAsia="zh-CN"/>
              </w:rPr>
            </w:pPr>
          </w:p>
        </w:tc>
        <w:tc>
          <w:tcPr>
            <w:tcW w:w="572" w:type="pct"/>
            <w:vMerge w:val="continue"/>
            <w:noWrap w:val="0"/>
            <w:vAlign w:val="center"/>
          </w:tcPr>
          <w:p w14:paraId="1FB6E544">
            <w:pPr>
              <w:pStyle w:val="44"/>
              <w:bidi w:val="0"/>
              <w:rPr>
                <w:rFonts w:hint="default" w:ascii="Times New Roman" w:hAnsi="Times New Roman" w:cs="Times New Roman"/>
                <w:color w:val="auto"/>
                <w:lang w:val="en-US" w:eastAsia="zh-CN"/>
              </w:rPr>
            </w:pPr>
          </w:p>
        </w:tc>
        <w:tc>
          <w:tcPr>
            <w:tcW w:w="447" w:type="pct"/>
            <w:vMerge w:val="continue"/>
            <w:noWrap w:val="0"/>
            <w:vAlign w:val="center"/>
          </w:tcPr>
          <w:p w14:paraId="0E044125">
            <w:pPr>
              <w:pStyle w:val="44"/>
              <w:bidi w:val="0"/>
              <w:rPr>
                <w:rFonts w:hint="default" w:ascii="Times New Roman" w:hAnsi="Times New Roman" w:cs="Times New Roman"/>
                <w:color w:val="auto"/>
                <w:lang w:eastAsia="zh-CN"/>
              </w:rPr>
            </w:pPr>
          </w:p>
        </w:tc>
        <w:tc>
          <w:tcPr>
            <w:tcW w:w="1087" w:type="pct"/>
            <w:vMerge w:val="continue"/>
            <w:noWrap w:val="0"/>
            <w:vAlign w:val="center"/>
          </w:tcPr>
          <w:p w14:paraId="7D048D4A">
            <w:pPr>
              <w:pStyle w:val="44"/>
              <w:bidi w:val="0"/>
              <w:rPr>
                <w:rFonts w:hint="default" w:ascii="Times New Roman" w:hAnsi="Times New Roman" w:cs="Times New Roman"/>
                <w:color w:val="auto"/>
                <w:lang w:val="en-US" w:eastAsia="zh-CN"/>
              </w:rPr>
            </w:pPr>
          </w:p>
        </w:tc>
      </w:tr>
      <w:tr w14:paraId="5B7320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8" w:type="pct"/>
            <w:vMerge w:val="continue"/>
            <w:noWrap w:val="0"/>
            <w:vAlign w:val="center"/>
          </w:tcPr>
          <w:p w14:paraId="69CD2AAD">
            <w:pPr>
              <w:pStyle w:val="44"/>
              <w:bidi w:val="0"/>
              <w:rPr>
                <w:rFonts w:hint="default" w:ascii="Times New Roman" w:hAnsi="Times New Roman" w:cs="Times New Roman"/>
                <w:color w:val="auto"/>
                <w:lang w:eastAsia="zh-CN"/>
              </w:rPr>
            </w:pPr>
          </w:p>
        </w:tc>
        <w:tc>
          <w:tcPr>
            <w:tcW w:w="690" w:type="pct"/>
            <w:noWrap w:val="0"/>
            <w:vAlign w:val="center"/>
          </w:tcPr>
          <w:p w14:paraId="4FB4063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3684</w:t>
            </w:r>
          </w:p>
        </w:tc>
        <w:tc>
          <w:tcPr>
            <w:tcW w:w="691" w:type="pct"/>
            <w:noWrap w:val="0"/>
            <w:vAlign w:val="center"/>
          </w:tcPr>
          <w:p w14:paraId="638231CF">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2524</w:t>
            </w:r>
          </w:p>
        </w:tc>
        <w:tc>
          <w:tcPr>
            <w:tcW w:w="516" w:type="pct"/>
            <w:vMerge w:val="continue"/>
            <w:noWrap w:val="0"/>
            <w:vAlign w:val="center"/>
          </w:tcPr>
          <w:p w14:paraId="4DDF66F0">
            <w:pPr>
              <w:pStyle w:val="44"/>
              <w:bidi w:val="0"/>
              <w:rPr>
                <w:rFonts w:hint="default" w:ascii="Times New Roman" w:hAnsi="Times New Roman" w:cs="Times New Roman"/>
                <w:color w:val="auto"/>
                <w:lang w:val="en-US" w:eastAsia="zh-CN"/>
              </w:rPr>
            </w:pPr>
          </w:p>
        </w:tc>
        <w:tc>
          <w:tcPr>
            <w:tcW w:w="556" w:type="pct"/>
            <w:vMerge w:val="continue"/>
            <w:noWrap w:val="0"/>
            <w:vAlign w:val="center"/>
          </w:tcPr>
          <w:p w14:paraId="28561DA5">
            <w:pPr>
              <w:pStyle w:val="44"/>
              <w:bidi w:val="0"/>
              <w:rPr>
                <w:rFonts w:hint="default" w:ascii="Times New Roman" w:hAnsi="Times New Roman" w:cs="Times New Roman"/>
                <w:color w:val="auto"/>
                <w:lang w:val="en-US" w:eastAsia="zh-CN"/>
              </w:rPr>
            </w:pPr>
          </w:p>
        </w:tc>
        <w:tc>
          <w:tcPr>
            <w:tcW w:w="572" w:type="pct"/>
            <w:vMerge w:val="continue"/>
            <w:noWrap w:val="0"/>
            <w:vAlign w:val="center"/>
          </w:tcPr>
          <w:p w14:paraId="6B680098">
            <w:pPr>
              <w:pStyle w:val="44"/>
              <w:bidi w:val="0"/>
              <w:rPr>
                <w:rFonts w:hint="default" w:ascii="Times New Roman" w:hAnsi="Times New Roman" w:cs="Times New Roman"/>
                <w:color w:val="auto"/>
                <w:lang w:val="en-US" w:eastAsia="zh-CN"/>
              </w:rPr>
            </w:pPr>
          </w:p>
        </w:tc>
        <w:tc>
          <w:tcPr>
            <w:tcW w:w="447" w:type="pct"/>
            <w:vMerge w:val="continue"/>
            <w:noWrap w:val="0"/>
            <w:vAlign w:val="center"/>
          </w:tcPr>
          <w:p w14:paraId="45A109B5">
            <w:pPr>
              <w:pStyle w:val="44"/>
              <w:bidi w:val="0"/>
              <w:rPr>
                <w:rFonts w:hint="default" w:ascii="Times New Roman" w:hAnsi="Times New Roman" w:cs="Times New Roman"/>
                <w:color w:val="auto"/>
                <w:lang w:eastAsia="zh-CN"/>
              </w:rPr>
            </w:pPr>
          </w:p>
        </w:tc>
        <w:tc>
          <w:tcPr>
            <w:tcW w:w="1087" w:type="pct"/>
            <w:vMerge w:val="continue"/>
            <w:noWrap w:val="0"/>
            <w:vAlign w:val="center"/>
          </w:tcPr>
          <w:p w14:paraId="7170FFC2">
            <w:pPr>
              <w:pStyle w:val="44"/>
              <w:bidi w:val="0"/>
              <w:rPr>
                <w:rFonts w:hint="default" w:ascii="Times New Roman" w:hAnsi="Times New Roman" w:cs="Times New Roman"/>
                <w:color w:val="auto"/>
                <w:lang w:val="en-US" w:eastAsia="zh-CN"/>
              </w:rPr>
            </w:pPr>
          </w:p>
        </w:tc>
      </w:tr>
      <w:tr w14:paraId="5B4A7B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8" w:type="pct"/>
            <w:vMerge w:val="continue"/>
            <w:noWrap w:val="0"/>
            <w:vAlign w:val="center"/>
          </w:tcPr>
          <w:p w14:paraId="0E4718A4">
            <w:pPr>
              <w:pStyle w:val="44"/>
              <w:bidi w:val="0"/>
              <w:rPr>
                <w:rFonts w:hint="default" w:ascii="Times New Roman" w:hAnsi="Times New Roman" w:cs="Times New Roman"/>
                <w:color w:val="auto"/>
                <w:lang w:eastAsia="zh-CN"/>
              </w:rPr>
            </w:pPr>
          </w:p>
        </w:tc>
        <w:tc>
          <w:tcPr>
            <w:tcW w:w="690" w:type="pct"/>
            <w:noWrap w:val="0"/>
            <w:vAlign w:val="center"/>
          </w:tcPr>
          <w:p w14:paraId="35530B09">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3659</w:t>
            </w:r>
          </w:p>
        </w:tc>
        <w:tc>
          <w:tcPr>
            <w:tcW w:w="691" w:type="pct"/>
            <w:noWrap w:val="0"/>
            <w:vAlign w:val="center"/>
          </w:tcPr>
          <w:p w14:paraId="772255B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2483</w:t>
            </w:r>
          </w:p>
        </w:tc>
        <w:tc>
          <w:tcPr>
            <w:tcW w:w="516" w:type="pct"/>
            <w:vMerge w:val="continue"/>
            <w:noWrap w:val="0"/>
            <w:vAlign w:val="center"/>
          </w:tcPr>
          <w:p w14:paraId="4CFDAD0C">
            <w:pPr>
              <w:pStyle w:val="44"/>
              <w:bidi w:val="0"/>
              <w:rPr>
                <w:rFonts w:hint="default" w:ascii="Times New Roman" w:hAnsi="Times New Roman" w:cs="Times New Roman"/>
                <w:color w:val="auto"/>
                <w:lang w:val="en-US" w:eastAsia="zh-CN"/>
              </w:rPr>
            </w:pPr>
          </w:p>
        </w:tc>
        <w:tc>
          <w:tcPr>
            <w:tcW w:w="556" w:type="pct"/>
            <w:vMerge w:val="continue"/>
            <w:noWrap w:val="0"/>
            <w:vAlign w:val="center"/>
          </w:tcPr>
          <w:p w14:paraId="16C2A3B2">
            <w:pPr>
              <w:pStyle w:val="44"/>
              <w:bidi w:val="0"/>
              <w:rPr>
                <w:rFonts w:hint="default" w:ascii="Times New Roman" w:hAnsi="Times New Roman" w:cs="Times New Roman"/>
                <w:color w:val="auto"/>
                <w:lang w:val="en-US" w:eastAsia="zh-CN"/>
              </w:rPr>
            </w:pPr>
          </w:p>
        </w:tc>
        <w:tc>
          <w:tcPr>
            <w:tcW w:w="572" w:type="pct"/>
            <w:vMerge w:val="continue"/>
            <w:noWrap w:val="0"/>
            <w:vAlign w:val="center"/>
          </w:tcPr>
          <w:p w14:paraId="0F40075D">
            <w:pPr>
              <w:pStyle w:val="44"/>
              <w:bidi w:val="0"/>
              <w:rPr>
                <w:rFonts w:hint="default" w:ascii="Times New Roman" w:hAnsi="Times New Roman" w:cs="Times New Roman"/>
                <w:color w:val="auto"/>
                <w:lang w:val="en-US" w:eastAsia="zh-CN"/>
              </w:rPr>
            </w:pPr>
          </w:p>
        </w:tc>
        <w:tc>
          <w:tcPr>
            <w:tcW w:w="447" w:type="pct"/>
            <w:vMerge w:val="continue"/>
            <w:noWrap w:val="0"/>
            <w:vAlign w:val="center"/>
          </w:tcPr>
          <w:p w14:paraId="365CF3D7">
            <w:pPr>
              <w:pStyle w:val="44"/>
              <w:bidi w:val="0"/>
              <w:rPr>
                <w:rFonts w:hint="default" w:ascii="Times New Roman" w:hAnsi="Times New Roman" w:cs="Times New Roman"/>
                <w:color w:val="auto"/>
                <w:lang w:eastAsia="zh-CN"/>
              </w:rPr>
            </w:pPr>
          </w:p>
        </w:tc>
        <w:tc>
          <w:tcPr>
            <w:tcW w:w="1087" w:type="pct"/>
            <w:vMerge w:val="continue"/>
            <w:noWrap w:val="0"/>
            <w:vAlign w:val="center"/>
          </w:tcPr>
          <w:p w14:paraId="502D8799">
            <w:pPr>
              <w:pStyle w:val="44"/>
              <w:bidi w:val="0"/>
              <w:rPr>
                <w:rFonts w:hint="default" w:ascii="Times New Roman" w:hAnsi="Times New Roman" w:cs="Times New Roman"/>
                <w:color w:val="auto"/>
                <w:lang w:val="en-US" w:eastAsia="zh-CN"/>
              </w:rPr>
            </w:pPr>
          </w:p>
        </w:tc>
      </w:tr>
      <w:tr w14:paraId="188BF0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8" w:type="pct"/>
            <w:vMerge w:val="continue"/>
            <w:noWrap w:val="0"/>
            <w:vAlign w:val="center"/>
          </w:tcPr>
          <w:p w14:paraId="3EDCF7C4">
            <w:pPr>
              <w:pStyle w:val="44"/>
              <w:bidi w:val="0"/>
              <w:rPr>
                <w:rFonts w:hint="default" w:ascii="Times New Roman" w:hAnsi="Times New Roman" w:cs="Times New Roman"/>
                <w:color w:val="auto"/>
                <w:lang w:eastAsia="zh-CN"/>
              </w:rPr>
            </w:pPr>
          </w:p>
        </w:tc>
        <w:tc>
          <w:tcPr>
            <w:tcW w:w="690" w:type="pct"/>
            <w:noWrap w:val="0"/>
            <w:vAlign w:val="center"/>
          </w:tcPr>
          <w:p w14:paraId="693E9D8A">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3687</w:t>
            </w:r>
          </w:p>
        </w:tc>
        <w:tc>
          <w:tcPr>
            <w:tcW w:w="691" w:type="pct"/>
            <w:noWrap w:val="0"/>
            <w:vAlign w:val="center"/>
          </w:tcPr>
          <w:p w14:paraId="7D71C49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2446</w:t>
            </w:r>
          </w:p>
        </w:tc>
        <w:tc>
          <w:tcPr>
            <w:tcW w:w="516" w:type="pct"/>
            <w:vMerge w:val="continue"/>
            <w:noWrap w:val="0"/>
            <w:vAlign w:val="center"/>
          </w:tcPr>
          <w:p w14:paraId="6E23C1BD">
            <w:pPr>
              <w:pStyle w:val="44"/>
              <w:bidi w:val="0"/>
              <w:rPr>
                <w:rFonts w:hint="default" w:ascii="Times New Roman" w:hAnsi="Times New Roman" w:cs="Times New Roman"/>
                <w:color w:val="auto"/>
                <w:lang w:val="en-US" w:eastAsia="zh-CN"/>
              </w:rPr>
            </w:pPr>
          </w:p>
        </w:tc>
        <w:tc>
          <w:tcPr>
            <w:tcW w:w="556" w:type="pct"/>
            <w:vMerge w:val="continue"/>
            <w:noWrap w:val="0"/>
            <w:vAlign w:val="center"/>
          </w:tcPr>
          <w:p w14:paraId="22D72475">
            <w:pPr>
              <w:pStyle w:val="44"/>
              <w:bidi w:val="0"/>
              <w:rPr>
                <w:rFonts w:hint="default" w:ascii="Times New Roman" w:hAnsi="Times New Roman" w:cs="Times New Roman"/>
                <w:color w:val="auto"/>
                <w:lang w:val="en-US" w:eastAsia="zh-CN"/>
              </w:rPr>
            </w:pPr>
          </w:p>
        </w:tc>
        <w:tc>
          <w:tcPr>
            <w:tcW w:w="572" w:type="pct"/>
            <w:vMerge w:val="continue"/>
            <w:noWrap w:val="0"/>
            <w:vAlign w:val="center"/>
          </w:tcPr>
          <w:p w14:paraId="2E87F53C">
            <w:pPr>
              <w:pStyle w:val="44"/>
              <w:bidi w:val="0"/>
              <w:rPr>
                <w:rFonts w:hint="default" w:ascii="Times New Roman" w:hAnsi="Times New Roman" w:cs="Times New Roman"/>
                <w:color w:val="auto"/>
                <w:lang w:val="en-US" w:eastAsia="zh-CN"/>
              </w:rPr>
            </w:pPr>
          </w:p>
        </w:tc>
        <w:tc>
          <w:tcPr>
            <w:tcW w:w="447" w:type="pct"/>
            <w:vMerge w:val="continue"/>
            <w:noWrap w:val="0"/>
            <w:vAlign w:val="center"/>
          </w:tcPr>
          <w:p w14:paraId="175E052D">
            <w:pPr>
              <w:pStyle w:val="44"/>
              <w:bidi w:val="0"/>
              <w:rPr>
                <w:rFonts w:hint="default" w:ascii="Times New Roman" w:hAnsi="Times New Roman" w:cs="Times New Roman"/>
                <w:color w:val="auto"/>
                <w:lang w:eastAsia="zh-CN"/>
              </w:rPr>
            </w:pPr>
          </w:p>
        </w:tc>
        <w:tc>
          <w:tcPr>
            <w:tcW w:w="1087" w:type="pct"/>
            <w:vMerge w:val="continue"/>
            <w:noWrap w:val="0"/>
            <w:vAlign w:val="center"/>
          </w:tcPr>
          <w:p w14:paraId="0DFA8646">
            <w:pPr>
              <w:pStyle w:val="44"/>
              <w:bidi w:val="0"/>
              <w:rPr>
                <w:rFonts w:hint="default" w:ascii="Times New Roman" w:hAnsi="Times New Roman" w:cs="Times New Roman"/>
                <w:color w:val="auto"/>
                <w:lang w:val="en-US" w:eastAsia="zh-CN"/>
              </w:rPr>
            </w:pPr>
          </w:p>
        </w:tc>
      </w:tr>
      <w:tr w14:paraId="3B29B8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8" w:type="pct"/>
            <w:vMerge w:val="continue"/>
            <w:noWrap w:val="0"/>
            <w:vAlign w:val="center"/>
          </w:tcPr>
          <w:p w14:paraId="5D344A5C">
            <w:pPr>
              <w:pStyle w:val="44"/>
              <w:bidi w:val="0"/>
              <w:rPr>
                <w:rFonts w:hint="default" w:ascii="Times New Roman" w:hAnsi="Times New Roman" w:cs="Times New Roman"/>
                <w:color w:val="auto"/>
                <w:lang w:eastAsia="zh-CN"/>
              </w:rPr>
            </w:pPr>
          </w:p>
        </w:tc>
        <w:tc>
          <w:tcPr>
            <w:tcW w:w="690" w:type="pct"/>
            <w:noWrap w:val="0"/>
            <w:vAlign w:val="center"/>
          </w:tcPr>
          <w:p w14:paraId="56FBF274">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3733</w:t>
            </w:r>
          </w:p>
        </w:tc>
        <w:tc>
          <w:tcPr>
            <w:tcW w:w="691" w:type="pct"/>
            <w:noWrap w:val="0"/>
            <w:vAlign w:val="center"/>
          </w:tcPr>
          <w:p w14:paraId="46E5BB69">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2425</w:t>
            </w:r>
          </w:p>
        </w:tc>
        <w:tc>
          <w:tcPr>
            <w:tcW w:w="516" w:type="pct"/>
            <w:vMerge w:val="continue"/>
            <w:noWrap w:val="0"/>
            <w:vAlign w:val="center"/>
          </w:tcPr>
          <w:p w14:paraId="05366DDB">
            <w:pPr>
              <w:pStyle w:val="44"/>
              <w:bidi w:val="0"/>
              <w:rPr>
                <w:rFonts w:hint="default" w:ascii="Times New Roman" w:hAnsi="Times New Roman" w:cs="Times New Roman"/>
                <w:color w:val="auto"/>
                <w:lang w:val="en-US" w:eastAsia="zh-CN"/>
              </w:rPr>
            </w:pPr>
          </w:p>
        </w:tc>
        <w:tc>
          <w:tcPr>
            <w:tcW w:w="556" w:type="pct"/>
            <w:vMerge w:val="continue"/>
            <w:noWrap w:val="0"/>
            <w:vAlign w:val="center"/>
          </w:tcPr>
          <w:p w14:paraId="3FFD4099">
            <w:pPr>
              <w:pStyle w:val="44"/>
              <w:bidi w:val="0"/>
              <w:rPr>
                <w:rFonts w:hint="default" w:ascii="Times New Roman" w:hAnsi="Times New Roman" w:cs="Times New Roman"/>
                <w:color w:val="auto"/>
                <w:lang w:val="en-US" w:eastAsia="zh-CN"/>
              </w:rPr>
            </w:pPr>
          </w:p>
        </w:tc>
        <w:tc>
          <w:tcPr>
            <w:tcW w:w="572" w:type="pct"/>
            <w:vMerge w:val="continue"/>
            <w:noWrap w:val="0"/>
            <w:vAlign w:val="center"/>
          </w:tcPr>
          <w:p w14:paraId="03F3D305">
            <w:pPr>
              <w:pStyle w:val="44"/>
              <w:bidi w:val="0"/>
              <w:rPr>
                <w:rFonts w:hint="default" w:ascii="Times New Roman" w:hAnsi="Times New Roman" w:cs="Times New Roman"/>
                <w:color w:val="auto"/>
                <w:lang w:val="en-US" w:eastAsia="zh-CN"/>
              </w:rPr>
            </w:pPr>
          </w:p>
        </w:tc>
        <w:tc>
          <w:tcPr>
            <w:tcW w:w="447" w:type="pct"/>
            <w:vMerge w:val="continue"/>
            <w:noWrap w:val="0"/>
            <w:vAlign w:val="center"/>
          </w:tcPr>
          <w:p w14:paraId="3B5BEEDD">
            <w:pPr>
              <w:pStyle w:val="44"/>
              <w:bidi w:val="0"/>
              <w:rPr>
                <w:rFonts w:hint="default" w:ascii="Times New Roman" w:hAnsi="Times New Roman" w:cs="Times New Roman"/>
                <w:color w:val="auto"/>
                <w:lang w:eastAsia="zh-CN"/>
              </w:rPr>
            </w:pPr>
          </w:p>
        </w:tc>
        <w:tc>
          <w:tcPr>
            <w:tcW w:w="1087" w:type="pct"/>
            <w:vMerge w:val="continue"/>
            <w:noWrap w:val="0"/>
            <w:vAlign w:val="center"/>
          </w:tcPr>
          <w:p w14:paraId="4517F382">
            <w:pPr>
              <w:pStyle w:val="44"/>
              <w:bidi w:val="0"/>
              <w:rPr>
                <w:rFonts w:hint="default" w:ascii="Times New Roman" w:hAnsi="Times New Roman" w:cs="Times New Roman"/>
                <w:color w:val="auto"/>
                <w:lang w:val="en-US" w:eastAsia="zh-CN"/>
              </w:rPr>
            </w:pPr>
          </w:p>
        </w:tc>
      </w:tr>
      <w:tr w14:paraId="712C47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8" w:type="pct"/>
            <w:vMerge w:val="continue"/>
            <w:noWrap w:val="0"/>
            <w:vAlign w:val="center"/>
          </w:tcPr>
          <w:p w14:paraId="01B66097">
            <w:pPr>
              <w:pStyle w:val="44"/>
              <w:bidi w:val="0"/>
              <w:rPr>
                <w:rFonts w:hint="default" w:ascii="Times New Roman" w:hAnsi="Times New Roman" w:cs="Times New Roman"/>
                <w:color w:val="auto"/>
                <w:lang w:eastAsia="zh-CN"/>
              </w:rPr>
            </w:pPr>
          </w:p>
        </w:tc>
        <w:tc>
          <w:tcPr>
            <w:tcW w:w="690" w:type="pct"/>
            <w:noWrap w:val="0"/>
            <w:vAlign w:val="center"/>
          </w:tcPr>
          <w:p w14:paraId="3FFE8A95">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3740</w:t>
            </w:r>
          </w:p>
        </w:tc>
        <w:tc>
          <w:tcPr>
            <w:tcW w:w="691" w:type="pct"/>
            <w:noWrap w:val="0"/>
            <w:vAlign w:val="center"/>
          </w:tcPr>
          <w:p w14:paraId="6ECA06B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2317</w:t>
            </w:r>
          </w:p>
        </w:tc>
        <w:tc>
          <w:tcPr>
            <w:tcW w:w="516" w:type="pct"/>
            <w:vMerge w:val="continue"/>
            <w:noWrap w:val="0"/>
            <w:vAlign w:val="center"/>
          </w:tcPr>
          <w:p w14:paraId="611B614A">
            <w:pPr>
              <w:pStyle w:val="44"/>
              <w:bidi w:val="0"/>
              <w:rPr>
                <w:rFonts w:hint="default" w:ascii="Times New Roman" w:hAnsi="Times New Roman" w:cs="Times New Roman"/>
                <w:color w:val="auto"/>
                <w:lang w:val="en-US" w:eastAsia="zh-CN"/>
              </w:rPr>
            </w:pPr>
          </w:p>
        </w:tc>
        <w:tc>
          <w:tcPr>
            <w:tcW w:w="556" w:type="pct"/>
            <w:vMerge w:val="continue"/>
            <w:noWrap w:val="0"/>
            <w:vAlign w:val="center"/>
          </w:tcPr>
          <w:p w14:paraId="0B27415B">
            <w:pPr>
              <w:pStyle w:val="44"/>
              <w:bidi w:val="0"/>
              <w:rPr>
                <w:rFonts w:hint="default" w:ascii="Times New Roman" w:hAnsi="Times New Roman" w:cs="Times New Roman"/>
                <w:color w:val="auto"/>
                <w:lang w:val="en-US" w:eastAsia="zh-CN"/>
              </w:rPr>
            </w:pPr>
          </w:p>
        </w:tc>
        <w:tc>
          <w:tcPr>
            <w:tcW w:w="572" w:type="pct"/>
            <w:vMerge w:val="continue"/>
            <w:noWrap w:val="0"/>
            <w:vAlign w:val="center"/>
          </w:tcPr>
          <w:p w14:paraId="5CE4C881">
            <w:pPr>
              <w:pStyle w:val="44"/>
              <w:bidi w:val="0"/>
              <w:rPr>
                <w:rFonts w:hint="default" w:ascii="Times New Roman" w:hAnsi="Times New Roman" w:cs="Times New Roman"/>
                <w:color w:val="auto"/>
                <w:lang w:val="en-US" w:eastAsia="zh-CN"/>
              </w:rPr>
            </w:pPr>
          </w:p>
        </w:tc>
        <w:tc>
          <w:tcPr>
            <w:tcW w:w="447" w:type="pct"/>
            <w:vMerge w:val="continue"/>
            <w:noWrap w:val="0"/>
            <w:vAlign w:val="center"/>
          </w:tcPr>
          <w:p w14:paraId="70B6662A">
            <w:pPr>
              <w:pStyle w:val="44"/>
              <w:bidi w:val="0"/>
              <w:rPr>
                <w:rFonts w:hint="default" w:ascii="Times New Roman" w:hAnsi="Times New Roman" w:cs="Times New Roman"/>
                <w:color w:val="auto"/>
                <w:lang w:eastAsia="zh-CN"/>
              </w:rPr>
            </w:pPr>
          </w:p>
        </w:tc>
        <w:tc>
          <w:tcPr>
            <w:tcW w:w="1087" w:type="pct"/>
            <w:vMerge w:val="continue"/>
            <w:noWrap w:val="0"/>
            <w:vAlign w:val="center"/>
          </w:tcPr>
          <w:p w14:paraId="0F6B0198">
            <w:pPr>
              <w:pStyle w:val="44"/>
              <w:bidi w:val="0"/>
              <w:rPr>
                <w:rFonts w:hint="default" w:ascii="Times New Roman" w:hAnsi="Times New Roman" w:cs="Times New Roman"/>
                <w:color w:val="auto"/>
                <w:lang w:val="en-US" w:eastAsia="zh-CN"/>
              </w:rPr>
            </w:pPr>
          </w:p>
        </w:tc>
      </w:tr>
    </w:tbl>
    <w:p w14:paraId="55959A37">
      <w:pP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注：以项目区</w:t>
      </w:r>
      <w:r>
        <w:rPr>
          <w:rFonts w:hint="default" w:ascii="Times New Roman" w:hAnsi="Times New Roman" w:cs="Times New Roman"/>
          <w:color w:val="auto"/>
          <w:sz w:val="18"/>
          <w:szCs w:val="18"/>
          <w:highlight w:val="none"/>
          <w:lang w:val="en-US" w:eastAsia="zh-CN"/>
        </w:rPr>
        <w:t>西南点</w:t>
      </w:r>
      <w:r>
        <w:rPr>
          <w:rFonts w:hint="default" w:ascii="Times New Roman" w:hAnsi="Times New Roman" w:cs="Times New Roman"/>
          <w:color w:val="auto"/>
          <w:sz w:val="18"/>
          <w:szCs w:val="18"/>
          <w:highlight w:val="none"/>
        </w:rPr>
        <w:t>侧为0,0点，由于非作业面及时苫盖，不会产生扬尘，因此面源按排放小时数按每天</w:t>
      </w:r>
      <w:r>
        <w:rPr>
          <w:rFonts w:hint="default" w:ascii="Times New Roman" w:hAnsi="Times New Roman" w:cs="Times New Roman"/>
          <w:color w:val="auto"/>
          <w:sz w:val="18"/>
          <w:szCs w:val="18"/>
          <w:highlight w:val="none"/>
          <w:lang w:val="en-US" w:eastAsia="zh-CN"/>
        </w:rPr>
        <w:t>8</w:t>
      </w:r>
      <w:r>
        <w:rPr>
          <w:rFonts w:hint="default" w:ascii="Times New Roman" w:hAnsi="Times New Roman" w:cs="Times New Roman"/>
          <w:color w:val="auto"/>
          <w:sz w:val="18"/>
          <w:szCs w:val="18"/>
          <w:highlight w:val="none"/>
        </w:rPr>
        <w:t>小时，年工作</w:t>
      </w:r>
      <w:r>
        <w:rPr>
          <w:rFonts w:hint="default" w:ascii="Times New Roman" w:hAnsi="Times New Roman" w:cs="Times New Roman"/>
          <w:color w:val="auto"/>
          <w:sz w:val="18"/>
          <w:szCs w:val="18"/>
          <w:highlight w:val="none"/>
          <w:lang w:val="en-US" w:eastAsia="zh-CN"/>
        </w:rPr>
        <w:t>210</w:t>
      </w:r>
      <w:r>
        <w:rPr>
          <w:rFonts w:hint="default" w:ascii="Times New Roman" w:hAnsi="Times New Roman" w:cs="Times New Roman"/>
          <w:color w:val="auto"/>
          <w:sz w:val="18"/>
          <w:szCs w:val="18"/>
          <w:highlight w:val="none"/>
        </w:rPr>
        <w:t>d计算。</w:t>
      </w:r>
    </w:p>
    <w:p w14:paraId="674A0E9D">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表2-6-4估算结果表</w:t>
      </w:r>
    </w:p>
    <w:tbl>
      <w:tblPr>
        <w:tblStyle w:val="2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70"/>
        <w:gridCol w:w="983"/>
        <w:gridCol w:w="1196"/>
        <w:gridCol w:w="1496"/>
        <w:gridCol w:w="1178"/>
        <w:gridCol w:w="982"/>
        <w:gridCol w:w="1317"/>
      </w:tblGrid>
      <w:tr w14:paraId="693C6E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381" w:type="pct"/>
            <w:gridSpan w:val="2"/>
            <w:vAlign w:val="center"/>
          </w:tcPr>
          <w:p w14:paraId="1F1F86B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w:t>
            </w:r>
          </w:p>
        </w:tc>
        <w:tc>
          <w:tcPr>
            <w:tcW w:w="702" w:type="pct"/>
            <w:vAlign w:val="center"/>
          </w:tcPr>
          <w:p w14:paraId="177EC5C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环境质量标准</w:t>
            </w:r>
            <w:r>
              <w:rPr>
                <w:rFonts w:hint="default" w:ascii="Times New Roman" w:hAnsi="Times New Roman" w:cs="Times New Roman"/>
                <w:color w:val="auto"/>
                <w:highlight w:val="none"/>
                <w:lang w:val="en-GB"/>
              </w:rPr>
              <w:t>（</w:t>
            </w:r>
            <w:r>
              <w:rPr>
                <w:rFonts w:hint="default" w:ascii="Times New Roman" w:hAnsi="Times New Roman" w:cs="Times New Roman"/>
                <w:color w:val="auto"/>
                <w:highlight w:val="none"/>
              </w:rPr>
              <w:t>μg/m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lang w:val="en-GB"/>
              </w:rPr>
              <w:t>）</w:t>
            </w:r>
          </w:p>
        </w:tc>
        <w:tc>
          <w:tcPr>
            <w:tcW w:w="878" w:type="pct"/>
            <w:vAlign w:val="center"/>
          </w:tcPr>
          <w:p w14:paraId="757589A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预测下风向最大质量浓度</w:t>
            </w:r>
            <w:r>
              <w:rPr>
                <w:rFonts w:hint="default" w:ascii="Times New Roman" w:hAnsi="Times New Roman" w:cs="Times New Roman"/>
                <w:color w:val="auto"/>
                <w:highlight w:val="none"/>
                <w:lang w:val="en-GB"/>
              </w:rPr>
              <w:t>（</w:t>
            </w:r>
            <w:r>
              <w:rPr>
                <w:rFonts w:hint="default" w:ascii="Times New Roman" w:hAnsi="Times New Roman" w:cs="Times New Roman"/>
                <w:color w:val="auto"/>
                <w:highlight w:val="none"/>
              </w:rPr>
              <w:t>μg/m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lang w:val="en-GB"/>
              </w:rPr>
              <w:t>）</w:t>
            </w:r>
          </w:p>
        </w:tc>
        <w:tc>
          <w:tcPr>
            <w:tcW w:w="691" w:type="pct"/>
            <w:vAlign w:val="center"/>
          </w:tcPr>
          <w:p w14:paraId="392FA8C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D10%最远距离（m)</w:t>
            </w:r>
          </w:p>
        </w:tc>
        <w:tc>
          <w:tcPr>
            <w:tcW w:w="576" w:type="pct"/>
            <w:vAlign w:val="center"/>
          </w:tcPr>
          <w:p w14:paraId="7469FE8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占标率（%）</w:t>
            </w:r>
          </w:p>
        </w:tc>
        <w:tc>
          <w:tcPr>
            <w:tcW w:w="772" w:type="pct"/>
            <w:vAlign w:val="center"/>
          </w:tcPr>
          <w:p w14:paraId="2155878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最大浓度出现距离（m）</w:t>
            </w:r>
          </w:p>
        </w:tc>
      </w:tr>
      <w:tr w14:paraId="2A1A77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804" w:type="pct"/>
            <w:vAlign w:val="center"/>
          </w:tcPr>
          <w:p w14:paraId="4E71A480">
            <w:pPr>
              <w:pStyle w:val="44"/>
              <w:bidi w:val="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回填</w:t>
            </w:r>
            <w:r>
              <w:rPr>
                <w:rFonts w:hint="default" w:ascii="Times New Roman" w:hAnsi="Times New Roman" w:cs="Times New Roman"/>
                <w:color w:val="auto"/>
                <w:highlight w:val="none"/>
                <w:lang w:val="en-US" w:eastAsia="zh-CN"/>
              </w:rPr>
              <w:t>区</w:t>
            </w:r>
          </w:p>
        </w:tc>
        <w:tc>
          <w:tcPr>
            <w:tcW w:w="577" w:type="pct"/>
            <w:vAlign w:val="center"/>
          </w:tcPr>
          <w:p w14:paraId="78C099C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TSP</w:t>
            </w:r>
          </w:p>
        </w:tc>
        <w:tc>
          <w:tcPr>
            <w:tcW w:w="702" w:type="pct"/>
            <w:vAlign w:val="center"/>
          </w:tcPr>
          <w:p w14:paraId="0FD8CBA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300</w:t>
            </w:r>
          </w:p>
        </w:tc>
        <w:tc>
          <w:tcPr>
            <w:tcW w:w="878" w:type="pct"/>
            <w:vAlign w:val="center"/>
          </w:tcPr>
          <w:p w14:paraId="0B0A77E7">
            <w:pPr>
              <w:pStyle w:val="44"/>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0.971</w:t>
            </w:r>
          </w:p>
        </w:tc>
        <w:tc>
          <w:tcPr>
            <w:tcW w:w="691" w:type="pct"/>
            <w:vAlign w:val="center"/>
          </w:tcPr>
          <w:p w14:paraId="2BA69A6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576" w:type="pct"/>
            <w:vAlign w:val="center"/>
          </w:tcPr>
          <w:p w14:paraId="317E582E">
            <w:pPr>
              <w:pStyle w:val="44"/>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0.11</w:t>
            </w:r>
          </w:p>
        </w:tc>
        <w:tc>
          <w:tcPr>
            <w:tcW w:w="772" w:type="pct"/>
            <w:vAlign w:val="center"/>
          </w:tcPr>
          <w:p w14:paraId="5709B2BA">
            <w:pPr>
              <w:pStyle w:val="44"/>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181</w:t>
            </w:r>
          </w:p>
        </w:tc>
      </w:tr>
    </w:tbl>
    <w:p w14:paraId="5466E228">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由上表可知，本项目产生的大气污染物TSP预测最大地面质量浓度占标率最大值为</w:t>
      </w:r>
      <w:r>
        <w:rPr>
          <w:rFonts w:hint="eastAsia" w:cs="Times New Roman"/>
          <w:color w:val="auto"/>
          <w:highlight w:val="none"/>
          <w:lang w:val="en-US" w:eastAsia="zh-CN"/>
        </w:rPr>
        <w:t>0.11</w:t>
      </w:r>
      <w:r>
        <w:rPr>
          <w:rFonts w:hint="default" w:ascii="Times New Roman" w:hAnsi="Times New Roman" w:cs="Times New Roman"/>
          <w:color w:val="auto"/>
          <w:highlight w:val="none"/>
        </w:rPr>
        <w:t>%</w:t>
      </w:r>
      <w:r>
        <w:rPr>
          <w:rFonts w:hint="eastAsia" w:cs="Times New Roman"/>
          <w:color w:val="auto"/>
          <w:highlight w:val="none"/>
          <w:lang w:val="en-US" w:eastAsia="zh-CN"/>
        </w:rPr>
        <w:t>小</w:t>
      </w:r>
      <w:r>
        <w:rPr>
          <w:rFonts w:hint="default" w:ascii="Times New Roman" w:hAnsi="Times New Roman" w:cs="Times New Roman"/>
          <w:color w:val="auto"/>
          <w:highlight w:val="none"/>
          <w:lang w:val="en-US" w:eastAsia="zh-CN"/>
        </w:rPr>
        <w:t>于</w:t>
      </w:r>
      <w:r>
        <w:rPr>
          <w:rFonts w:hint="default" w:ascii="Times New Roman" w:hAnsi="Times New Roman" w:cs="Times New Roman"/>
          <w:color w:val="auto"/>
          <w:highlight w:val="none"/>
          <w:lang w:val="zh-CN"/>
        </w:rPr>
        <w:t>1%</w:t>
      </w:r>
      <w:r>
        <w:rPr>
          <w:rFonts w:hint="default" w:ascii="Times New Roman" w:hAnsi="Times New Roman" w:cs="Times New Roman"/>
          <w:color w:val="auto"/>
          <w:highlight w:val="none"/>
        </w:rPr>
        <w:t>，因此，确定本项目大气环境影响评价等级为</w:t>
      </w:r>
      <w:r>
        <w:rPr>
          <w:rFonts w:hint="eastAsia" w:cs="Times New Roman"/>
          <w:color w:val="auto"/>
          <w:highlight w:val="none"/>
          <w:lang w:val="en-US" w:eastAsia="zh-CN"/>
        </w:rPr>
        <w:t>三</w:t>
      </w:r>
      <w:r>
        <w:rPr>
          <w:rFonts w:hint="default" w:ascii="Times New Roman" w:hAnsi="Times New Roman" w:cs="Times New Roman"/>
          <w:color w:val="auto"/>
          <w:highlight w:val="none"/>
        </w:rPr>
        <w:t>级。</w:t>
      </w:r>
    </w:p>
    <w:p w14:paraId="09FEFA04">
      <w:pPr>
        <w:pStyle w:val="39"/>
        <w:rPr>
          <w:rFonts w:hint="default" w:ascii="Times New Roman" w:hAnsi="Times New Roman" w:cs="Times New Roman"/>
          <w:color w:val="auto"/>
          <w:highlight w:val="none"/>
        </w:rPr>
      </w:pPr>
      <w:bookmarkStart w:id="112" w:name="_Toc17512"/>
      <w:r>
        <w:rPr>
          <w:rFonts w:hint="default" w:ascii="Times New Roman" w:hAnsi="Times New Roman" w:cs="Times New Roman"/>
          <w:color w:val="auto"/>
          <w:highlight w:val="none"/>
        </w:rPr>
        <w:t>2.6.2地表水环境</w:t>
      </w:r>
      <w:bookmarkEnd w:id="112"/>
    </w:p>
    <w:p w14:paraId="15CA2AFF">
      <w:pPr>
        <w:pStyle w:val="25"/>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根据《环境影响评价技术导则 地表水环境》（HJ2.3-2018）中的有关规定，将地表水环境影响评价工作等级分为一级、二级、三级A、三级B，划分依据见下表。</w:t>
      </w:r>
    </w:p>
    <w:p w14:paraId="07E02D51">
      <w:pPr>
        <w:pStyle w:val="27"/>
        <w:bidi w:val="0"/>
        <w:rPr>
          <w:rFonts w:hint="default" w:ascii="Times New Roman" w:hAnsi="Times New Roman" w:cs="Times New Roman"/>
          <w:color w:val="auto"/>
          <w:highlight w:val="none"/>
        </w:rPr>
      </w:pPr>
      <w:bookmarkStart w:id="113" w:name="_Hlk10134411"/>
      <w:r>
        <w:rPr>
          <w:rFonts w:hint="default" w:ascii="Times New Roman" w:hAnsi="Times New Roman" w:cs="Times New Roman"/>
          <w:color w:val="auto"/>
          <w:highlight w:val="none"/>
        </w:rPr>
        <w:t>表2-6-5地表水评价等级确定表</w:t>
      </w:r>
    </w:p>
    <w:bookmarkEnd w:id="113"/>
    <w:tbl>
      <w:tblPr>
        <w:tblStyle w:val="20"/>
        <w:tblW w:w="8306"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842"/>
        <w:gridCol w:w="2268"/>
        <w:gridCol w:w="4196"/>
      </w:tblGrid>
      <w:tr w14:paraId="0CB0C36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842" w:type="dxa"/>
            <w:vMerge w:val="restart"/>
            <w:vAlign w:val="center"/>
          </w:tcPr>
          <w:p w14:paraId="3E372423">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评价等级</w:t>
            </w:r>
          </w:p>
        </w:tc>
        <w:tc>
          <w:tcPr>
            <w:tcW w:w="6464" w:type="dxa"/>
            <w:gridSpan w:val="2"/>
          </w:tcPr>
          <w:p w14:paraId="647236E4">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判定依据</w:t>
            </w:r>
          </w:p>
        </w:tc>
      </w:tr>
      <w:tr w14:paraId="42AF2B3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842" w:type="dxa"/>
            <w:vMerge w:val="continue"/>
            <w:vAlign w:val="center"/>
          </w:tcPr>
          <w:p w14:paraId="74457346">
            <w:pPr>
              <w:pStyle w:val="44"/>
              <w:bidi w:val="0"/>
              <w:rPr>
                <w:rFonts w:hint="default" w:ascii="Times New Roman" w:hAnsi="Times New Roman" w:cs="Times New Roman"/>
                <w:color w:val="auto"/>
                <w:highlight w:val="none"/>
                <w:lang w:val="zh-CN"/>
              </w:rPr>
            </w:pPr>
          </w:p>
        </w:tc>
        <w:tc>
          <w:tcPr>
            <w:tcW w:w="2268" w:type="dxa"/>
            <w:vAlign w:val="center"/>
          </w:tcPr>
          <w:p w14:paraId="2764465B">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排放方式</w:t>
            </w:r>
          </w:p>
        </w:tc>
        <w:tc>
          <w:tcPr>
            <w:tcW w:w="4196" w:type="dxa"/>
            <w:vAlign w:val="center"/>
          </w:tcPr>
          <w:p w14:paraId="4CEBE9B3">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废水排放量Q/（m</w:t>
            </w:r>
            <w:r>
              <w:rPr>
                <w:rFonts w:hint="default" w:ascii="Times New Roman" w:hAnsi="Times New Roman" w:cs="Times New Roman"/>
                <w:color w:val="auto"/>
                <w:highlight w:val="none"/>
                <w:vertAlign w:val="superscript"/>
                <w:lang w:val="zh-CN"/>
              </w:rPr>
              <w:t>3</w:t>
            </w:r>
            <w:r>
              <w:rPr>
                <w:rFonts w:hint="default" w:ascii="Times New Roman" w:hAnsi="Times New Roman" w:cs="Times New Roman"/>
                <w:color w:val="auto"/>
                <w:highlight w:val="none"/>
                <w:lang w:val="zh-CN"/>
              </w:rPr>
              <w:t>/d）；</w:t>
            </w:r>
          </w:p>
          <w:p w14:paraId="11714D4D">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水污染物当量数W/（无量纲）</w:t>
            </w:r>
          </w:p>
        </w:tc>
      </w:tr>
      <w:tr w14:paraId="7DE9D63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1" w:hRule="atLeast"/>
          <w:jc w:val="center"/>
        </w:trPr>
        <w:tc>
          <w:tcPr>
            <w:tcW w:w="1842" w:type="dxa"/>
            <w:vAlign w:val="center"/>
          </w:tcPr>
          <w:p w14:paraId="55197ED9">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一级</w:t>
            </w:r>
          </w:p>
        </w:tc>
        <w:tc>
          <w:tcPr>
            <w:tcW w:w="2268" w:type="dxa"/>
            <w:vAlign w:val="center"/>
          </w:tcPr>
          <w:p w14:paraId="4E242891">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直接排放</w:t>
            </w:r>
          </w:p>
        </w:tc>
        <w:tc>
          <w:tcPr>
            <w:tcW w:w="4196" w:type="dxa"/>
            <w:vAlign w:val="center"/>
          </w:tcPr>
          <w:p w14:paraId="5C35256E">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Q≥20000或W≥600000</w:t>
            </w:r>
          </w:p>
        </w:tc>
      </w:tr>
      <w:tr w14:paraId="48B9651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842" w:type="dxa"/>
            <w:vAlign w:val="center"/>
          </w:tcPr>
          <w:p w14:paraId="0ECC9D82">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二级</w:t>
            </w:r>
          </w:p>
        </w:tc>
        <w:tc>
          <w:tcPr>
            <w:tcW w:w="2268" w:type="dxa"/>
            <w:vAlign w:val="center"/>
          </w:tcPr>
          <w:p w14:paraId="5AC3324E">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直接排放</w:t>
            </w:r>
          </w:p>
        </w:tc>
        <w:tc>
          <w:tcPr>
            <w:tcW w:w="4196" w:type="dxa"/>
            <w:vAlign w:val="center"/>
          </w:tcPr>
          <w:p w14:paraId="0D6DCF61">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其他</w:t>
            </w:r>
          </w:p>
        </w:tc>
      </w:tr>
      <w:tr w14:paraId="68D3AD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842" w:type="dxa"/>
            <w:vAlign w:val="center"/>
          </w:tcPr>
          <w:p w14:paraId="0B676385">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rPr>
              <w:t>三级A</w:t>
            </w:r>
          </w:p>
        </w:tc>
        <w:tc>
          <w:tcPr>
            <w:tcW w:w="2268" w:type="dxa"/>
            <w:vAlign w:val="center"/>
          </w:tcPr>
          <w:p w14:paraId="1861A216">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直接排放</w:t>
            </w:r>
          </w:p>
        </w:tc>
        <w:tc>
          <w:tcPr>
            <w:tcW w:w="4196" w:type="dxa"/>
            <w:vAlign w:val="center"/>
          </w:tcPr>
          <w:p w14:paraId="7493E561">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Q＜200或W＜6000</w:t>
            </w:r>
          </w:p>
        </w:tc>
      </w:tr>
      <w:tr w14:paraId="2050476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842" w:type="dxa"/>
            <w:vAlign w:val="center"/>
          </w:tcPr>
          <w:p w14:paraId="1BBBA8C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三级B</w:t>
            </w:r>
          </w:p>
        </w:tc>
        <w:tc>
          <w:tcPr>
            <w:tcW w:w="2268" w:type="dxa"/>
            <w:vAlign w:val="center"/>
          </w:tcPr>
          <w:p w14:paraId="0946EB0F">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间接排放</w:t>
            </w:r>
          </w:p>
        </w:tc>
        <w:tc>
          <w:tcPr>
            <w:tcW w:w="4196" w:type="dxa"/>
            <w:vAlign w:val="center"/>
          </w:tcPr>
          <w:p w14:paraId="00B44F3B">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r>
      <w:tr w14:paraId="33CE4C4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14" w:hRule="atLeast"/>
          <w:jc w:val="center"/>
        </w:trPr>
        <w:tc>
          <w:tcPr>
            <w:tcW w:w="8306" w:type="dxa"/>
            <w:gridSpan w:val="3"/>
            <w:vAlign w:val="center"/>
          </w:tcPr>
          <w:p w14:paraId="42D0F4E5">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注1：水污染物当量数等于该污染物的年排放量除以该污染物的污染当量值（见附录A），计算排放污染物的污染物当量数，应区分第一类水污染物和其他类水污染物，统计第一类污染物当量数总和，然后与其他类污染物按照污染物当量数从大到小排序，取最大当量数作为建设项目评价等级确定的依据。</w:t>
            </w:r>
          </w:p>
          <w:p w14:paraId="654FC16E">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注 2：废水排放量按行业排放标准中规定的废水种类统计，没有相关行业排放标准要求的通过工程分析合理确定，应统计含热量大的冷却水的排放量，可不统计间接冷却水、循环水以及其他含污染物极少的清净下水的排放量。</w:t>
            </w:r>
          </w:p>
          <w:p w14:paraId="3FBC7F03">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注3：厂区存在堆积物（露天堆放的原料、燃料、废渣等以及垃圾堆放场）、降尘污染的，应将初期雨污水纳入废水排放量，相应的主要污染物纳入水污染当量计算。</w:t>
            </w:r>
          </w:p>
          <w:p w14:paraId="3D617F11">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注4：建设项目直接排放第一类污染物的，其评价等级为一级；建设项目直接排放的污染物为受纳水体超标因子的，评价等级不低于二级。</w:t>
            </w:r>
          </w:p>
          <w:p w14:paraId="60547502">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注5：直接排放受纳水体影响范围涉及饮用水水源保护区、饮用水取水口、重点保护与珍稀水生生物的栖息地、重要水生生物的自然产卵场等保护目标时，评价等级不低于二级。</w:t>
            </w:r>
          </w:p>
          <w:p w14:paraId="2BE7A435">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注6：建设项目向河流、湖库排放温排水引起受纳水体水温变化超过水环境质量标准要求，且评价范围有水温敏感目标 时，评价等级为一级。</w:t>
            </w:r>
          </w:p>
          <w:p w14:paraId="70936289">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注7：建设项目利用海水作为调节温度介质，排水量≥500万m3/d，评价等级为一级；排水量＜500万m3/d，评价等级为二级。</w:t>
            </w:r>
          </w:p>
          <w:p w14:paraId="61382771">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注8：仅涉及清净下水排放的，如其排放水质满足受纳水体水环境质量标准要求的，评价等级为三级 A。</w:t>
            </w:r>
          </w:p>
          <w:p w14:paraId="424DF5B0">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注9：依托现有排放口，且对外环境未新增排放污染物的直接排放建设项目，评价等级参照间接排放，定为三级B。</w:t>
            </w:r>
          </w:p>
          <w:p w14:paraId="43D74065">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注10：建设项目生产工艺中有废水产生，但作为回水利用，不排放到外环境的，按三级B评价。</w:t>
            </w:r>
          </w:p>
        </w:tc>
      </w:tr>
    </w:tbl>
    <w:p w14:paraId="0C50A3EC">
      <w:pPr>
        <w:pStyle w:val="25"/>
        <w:keepNext w:val="0"/>
        <w:pageBreakBefore w:val="0"/>
        <w:kinsoku/>
        <w:wordWrap/>
        <w:overflowPunct/>
        <w:topLinePunct w:val="0"/>
        <w:autoSpaceDE/>
        <w:autoSpaceDN/>
        <w:bidi w:val="0"/>
        <w:adjustRightInd w:val="0"/>
        <w:snapToGrid w:val="0"/>
        <w:spacing w:line="360" w:lineRule="auto"/>
        <w:ind w:firstLine="720" w:firstLineChars="300"/>
        <w:textAlignment w:val="auto"/>
        <w:rPr>
          <w:rFonts w:hint="default" w:ascii="Times New Roman" w:hAnsi="Times New Roman" w:eastAsia="宋体" w:cs="Times New Roman"/>
          <w:snapToGrid w:val="0"/>
          <w:color w:val="auto"/>
          <w:kern w:val="0"/>
          <w:szCs w:val="22"/>
          <w:highlight w:val="none"/>
          <w:lang w:val="en-US" w:eastAsia="zh-CN"/>
        </w:rPr>
      </w:pPr>
      <w:r>
        <w:rPr>
          <w:rFonts w:hint="default" w:ascii="Times New Roman" w:hAnsi="Times New Roman" w:cs="Times New Roman"/>
          <w:color w:val="auto"/>
          <w:highlight w:val="none"/>
          <w:lang w:val="en-US" w:eastAsia="zh-CN"/>
        </w:rPr>
        <w:t>本项目2#项目区无生活污水、生产废水排放</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本项目进行定性分析。</w:t>
      </w:r>
    </w:p>
    <w:p w14:paraId="0CAD58B3">
      <w:pPr>
        <w:pStyle w:val="39"/>
        <w:keepNext w:val="0"/>
        <w:pageBreakBefore w:val="0"/>
        <w:kinsoku/>
        <w:wordWrap/>
        <w:overflowPunct/>
        <w:topLinePunct w:val="0"/>
        <w:autoSpaceDE/>
        <w:autoSpaceDN/>
        <w:bidi w:val="0"/>
        <w:adjustRightInd w:val="0"/>
        <w:snapToGrid w:val="0"/>
        <w:spacing w:after="0" w:line="360" w:lineRule="auto"/>
        <w:textAlignment w:val="auto"/>
        <w:rPr>
          <w:rFonts w:hint="default" w:ascii="Times New Roman" w:hAnsi="Times New Roman" w:cs="Times New Roman"/>
          <w:color w:val="auto"/>
          <w:highlight w:val="none"/>
        </w:rPr>
      </w:pPr>
      <w:bookmarkStart w:id="114" w:name="_Toc4412"/>
      <w:r>
        <w:rPr>
          <w:rFonts w:hint="default" w:ascii="Times New Roman" w:hAnsi="Times New Roman" w:cs="Times New Roman"/>
          <w:color w:val="auto"/>
          <w:highlight w:val="none"/>
        </w:rPr>
        <w:t>2.6.3地下水环境</w:t>
      </w:r>
      <w:bookmarkEnd w:id="114"/>
    </w:p>
    <w:p w14:paraId="713074D6">
      <w:pPr>
        <w:keepNext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napToGrid w:val="0"/>
          <w:color w:val="auto"/>
          <w:sz w:val="24"/>
          <w:szCs w:val="22"/>
          <w:highlight w:val="none"/>
        </w:rPr>
      </w:pPr>
      <w:r>
        <w:rPr>
          <w:rFonts w:hint="default" w:ascii="Times New Roman" w:hAnsi="Times New Roman" w:cs="Times New Roman"/>
          <w:snapToGrid w:val="0"/>
          <w:color w:val="auto"/>
          <w:sz w:val="24"/>
          <w:highlight w:val="none"/>
        </w:rPr>
        <w:t>根据《环境影响评价技术导则 地下水环境》（HJ610-2016），评价工作等级的划分应依据建设项目行业分类和地下水环境敏感程度分级进行判定。</w:t>
      </w:r>
    </w:p>
    <w:p w14:paraId="6AFF1D37">
      <w:pPr>
        <w:spacing w:line="500" w:lineRule="exact"/>
        <w:ind w:firstLine="480" w:firstLineChars="200"/>
        <w:rPr>
          <w:rFonts w:hint="default" w:ascii="Times New Roman" w:hAnsi="Times New Roman" w:cs="Times New Roman"/>
          <w:snapToGrid w:val="0"/>
          <w:color w:val="auto"/>
          <w:sz w:val="24"/>
          <w:highlight w:val="none"/>
        </w:rPr>
      </w:pPr>
      <w:r>
        <w:rPr>
          <w:rFonts w:hint="default" w:ascii="Times New Roman" w:hAnsi="Times New Roman" w:cs="Times New Roman"/>
          <w:snapToGrid w:val="0"/>
          <w:color w:val="auto"/>
          <w:sz w:val="24"/>
          <w:highlight w:val="none"/>
        </w:rPr>
        <w:t>（1）根据《环境影响评价技术导则 地下水环境》附录A，本项目属于U城镇基础设施及房地产 152、工业固体废物（含污泥）集中处置，本项目所回填煤矸石为</w:t>
      </w:r>
      <w:r>
        <w:rPr>
          <w:rFonts w:hint="default" w:ascii="Times New Roman" w:hAnsi="Times New Roman" w:cs="Times New Roman"/>
          <w:snapToGrid w:val="0"/>
          <w:color w:val="auto"/>
          <w:sz w:val="24"/>
          <w:highlight w:val="none"/>
        </w:rPr>
        <w:fldChar w:fldCharType="begin"/>
      </w:r>
      <w:r>
        <w:rPr>
          <w:rFonts w:hint="default" w:ascii="Times New Roman" w:hAnsi="Times New Roman" w:cs="Times New Roman"/>
          <w:snapToGrid w:val="0"/>
          <w:color w:val="auto"/>
          <w:sz w:val="24"/>
          <w:highlight w:val="none"/>
        </w:rPr>
        <w:instrText xml:space="preserve"> = 1 \* ROMAN </w:instrText>
      </w:r>
      <w:r>
        <w:rPr>
          <w:rFonts w:hint="default" w:ascii="Times New Roman" w:hAnsi="Times New Roman" w:cs="Times New Roman"/>
          <w:snapToGrid w:val="0"/>
          <w:color w:val="auto"/>
          <w:sz w:val="24"/>
          <w:highlight w:val="none"/>
        </w:rPr>
        <w:fldChar w:fldCharType="separate"/>
      </w:r>
      <w:r>
        <w:rPr>
          <w:rFonts w:hint="default" w:ascii="Times New Roman" w:hAnsi="Times New Roman" w:cs="Times New Roman"/>
          <w:snapToGrid w:val="0"/>
          <w:color w:val="auto"/>
          <w:sz w:val="24"/>
          <w:highlight w:val="none"/>
        </w:rPr>
        <w:t>I</w:t>
      </w:r>
      <w:r>
        <w:rPr>
          <w:rFonts w:hint="default" w:ascii="Times New Roman" w:hAnsi="Times New Roman" w:cs="Times New Roman"/>
          <w:snapToGrid w:val="0"/>
          <w:color w:val="auto"/>
          <w:sz w:val="24"/>
          <w:highlight w:val="none"/>
        </w:rPr>
        <w:fldChar w:fldCharType="end"/>
      </w:r>
      <w:r>
        <w:rPr>
          <w:rFonts w:hint="default" w:ascii="Times New Roman" w:hAnsi="Times New Roman" w:cs="Times New Roman"/>
          <w:snapToGrid w:val="0"/>
          <w:color w:val="auto"/>
          <w:sz w:val="24"/>
          <w:highlight w:val="none"/>
        </w:rPr>
        <w:t>类固废，因此，本项目所属的地下水环境影响评价项目类别为</w:t>
      </w:r>
      <w:r>
        <w:rPr>
          <w:rFonts w:hint="default" w:ascii="Times New Roman" w:hAnsi="Times New Roman" w:cs="Times New Roman"/>
          <w:snapToGrid w:val="0"/>
          <w:color w:val="auto"/>
          <w:highlight w:val="none"/>
          <w:lang w:val="zh-CN"/>
        </w:rPr>
        <w:fldChar w:fldCharType="begin"/>
      </w:r>
      <w:r>
        <w:rPr>
          <w:rFonts w:hint="default" w:ascii="Times New Roman" w:hAnsi="Times New Roman" w:cs="Times New Roman"/>
          <w:snapToGrid w:val="0"/>
          <w:color w:val="auto"/>
          <w:highlight w:val="none"/>
          <w:lang w:val="zh-CN"/>
        </w:rPr>
        <w:instrText xml:space="preserve"> = 3 \* ROMAN </w:instrText>
      </w:r>
      <w:r>
        <w:rPr>
          <w:rFonts w:hint="default" w:ascii="Times New Roman" w:hAnsi="Times New Roman" w:cs="Times New Roman"/>
          <w:snapToGrid w:val="0"/>
          <w:color w:val="auto"/>
          <w:highlight w:val="none"/>
          <w:lang w:val="zh-CN"/>
        </w:rPr>
        <w:fldChar w:fldCharType="separate"/>
      </w:r>
      <w:r>
        <w:rPr>
          <w:rFonts w:hint="default" w:ascii="Times New Roman" w:hAnsi="Times New Roman" w:cs="Times New Roman"/>
          <w:snapToGrid w:val="0"/>
          <w:color w:val="auto"/>
          <w:highlight w:val="none"/>
          <w:lang w:val="zh-CN"/>
        </w:rPr>
        <w:t>III</w:t>
      </w:r>
      <w:r>
        <w:rPr>
          <w:rFonts w:hint="default" w:ascii="Times New Roman" w:hAnsi="Times New Roman" w:cs="Times New Roman"/>
          <w:snapToGrid w:val="0"/>
          <w:color w:val="auto"/>
          <w:highlight w:val="none"/>
          <w:lang w:val="zh-CN"/>
        </w:rPr>
        <w:fldChar w:fldCharType="end"/>
      </w:r>
      <w:r>
        <w:rPr>
          <w:rFonts w:hint="default" w:ascii="Times New Roman" w:hAnsi="Times New Roman" w:cs="Times New Roman"/>
          <w:snapToGrid w:val="0"/>
          <w:color w:val="auto"/>
          <w:kern w:val="0"/>
          <w:sz w:val="24"/>
          <w:highlight w:val="none"/>
        </w:rPr>
        <w:t>类</w:t>
      </w:r>
      <w:r>
        <w:rPr>
          <w:rFonts w:hint="default" w:ascii="Times New Roman" w:hAnsi="Times New Roman" w:cs="Times New Roman"/>
          <w:snapToGrid w:val="0"/>
          <w:color w:val="auto"/>
          <w:sz w:val="24"/>
          <w:highlight w:val="none"/>
        </w:rPr>
        <w:t>。</w:t>
      </w:r>
    </w:p>
    <w:p w14:paraId="5810C156">
      <w:pPr>
        <w:spacing w:line="500" w:lineRule="exact"/>
        <w:ind w:firstLine="480" w:firstLineChars="200"/>
        <w:rPr>
          <w:rFonts w:hint="default" w:ascii="Times New Roman" w:hAnsi="Times New Roman" w:cs="Times New Roman"/>
          <w:snapToGrid w:val="0"/>
          <w:color w:val="auto"/>
          <w:sz w:val="24"/>
          <w:highlight w:val="none"/>
        </w:rPr>
      </w:pPr>
      <w:r>
        <w:rPr>
          <w:rFonts w:hint="default" w:ascii="Times New Roman" w:hAnsi="Times New Roman" w:cs="Times New Roman"/>
          <w:snapToGrid w:val="0"/>
          <w:color w:val="auto"/>
          <w:sz w:val="24"/>
          <w:highlight w:val="none"/>
        </w:rPr>
        <w:t>（2）建设项目场地的地下水环境敏感程度可分为敏感、较敏感、不敏感三级，分级原则见表2-6-6。</w:t>
      </w:r>
    </w:p>
    <w:p w14:paraId="15D5F1E9">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表2-6-6地下水环境敏感程度分级</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68"/>
        <w:gridCol w:w="7654"/>
      </w:tblGrid>
      <w:tr w14:paraId="29D586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509" w:type="pct"/>
            <w:tcBorders>
              <w:top w:val="single" w:color="auto" w:sz="12" w:space="0"/>
              <w:left w:val="nil"/>
              <w:bottom w:val="single" w:color="auto" w:sz="4" w:space="0"/>
              <w:right w:val="single" w:color="auto" w:sz="4" w:space="0"/>
            </w:tcBorders>
            <w:vAlign w:val="center"/>
          </w:tcPr>
          <w:p w14:paraId="4BAE402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分级</w:t>
            </w:r>
          </w:p>
        </w:tc>
        <w:tc>
          <w:tcPr>
            <w:tcW w:w="4491" w:type="pct"/>
            <w:tcBorders>
              <w:top w:val="single" w:color="auto" w:sz="12" w:space="0"/>
              <w:left w:val="single" w:color="auto" w:sz="4" w:space="0"/>
              <w:bottom w:val="single" w:color="auto" w:sz="4" w:space="0"/>
              <w:right w:val="nil"/>
            </w:tcBorders>
            <w:vAlign w:val="center"/>
          </w:tcPr>
          <w:p w14:paraId="76E0D19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地下水环境敏感特征</w:t>
            </w:r>
          </w:p>
        </w:tc>
      </w:tr>
      <w:tr w14:paraId="5822E9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8" w:hRule="exact"/>
          <w:jc w:val="center"/>
        </w:trPr>
        <w:tc>
          <w:tcPr>
            <w:tcW w:w="509" w:type="pct"/>
            <w:tcBorders>
              <w:top w:val="single" w:color="auto" w:sz="4" w:space="0"/>
              <w:left w:val="nil"/>
              <w:bottom w:val="single" w:color="auto" w:sz="4" w:space="0"/>
              <w:right w:val="single" w:color="auto" w:sz="4" w:space="0"/>
            </w:tcBorders>
            <w:vAlign w:val="center"/>
          </w:tcPr>
          <w:p w14:paraId="7F95545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敏感</w:t>
            </w:r>
          </w:p>
        </w:tc>
        <w:tc>
          <w:tcPr>
            <w:tcW w:w="4491" w:type="pct"/>
            <w:tcBorders>
              <w:top w:val="single" w:color="auto" w:sz="4" w:space="0"/>
              <w:left w:val="single" w:color="auto" w:sz="4" w:space="0"/>
              <w:bottom w:val="single" w:color="auto" w:sz="4" w:space="0"/>
              <w:right w:val="nil"/>
            </w:tcBorders>
            <w:vAlign w:val="center"/>
          </w:tcPr>
          <w:p w14:paraId="1ED1227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集中式饮用水水源（包括已建成的在用、备用、应急水源，在建和规划的饮用水水源）准保护区；除集中式饮用水水源以外的国家或地方政府设定的与地下水环境相关的其他保护区，如热水、矿泉水、温泉等特殊地下水资源保护区。</w:t>
            </w:r>
          </w:p>
        </w:tc>
      </w:tr>
      <w:tr w14:paraId="0F1A6E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53" w:hRule="exact"/>
          <w:jc w:val="center"/>
        </w:trPr>
        <w:tc>
          <w:tcPr>
            <w:tcW w:w="509" w:type="pct"/>
            <w:tcBorders>
              <w:top w:val="single" w:color="auto" w:sz="4" w:space="0"/>
              <w:left w:val="nil"/>
              <w:bottom w:val="single" w:color="auto" w:sz="4" w:space="0"/>
              <w:right w:val="single" w:color="auto" w:sz="4" w:space="0"/>
            </w:tcBorders>
            <w:vAlign w:val="center"/>
          </w:tcPr>
          <w:p w14:paraId="4E5EB9D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较敏感</w:t>
            </w:r>
          </w:p>
        </w:tc>
        <w:tc>
          <w:tcPr>
            <w:tcW w:w="4491" w:type="pct"/>
            <w:tcBorders>
              <w:top w:val="single" w:color="auto" w:sz="4" w:space="0"/>
              <w:left w:val="single" w:color="auto" w:sz="4" w:space="0"/>
              <w:bottom w:val="single" w:color="auto" w:sz="4" w:space="0"/>
              <w:right w:val="nil"/>
            </w:tcBorders>
            <w:vAlign w:val="center"/>
          </w:tcPr>
          <w:p w14:paraId="230B99D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集中式饮用水水源（包括已建成的在用、备用、应急水源，在建和规划的饮用水水源）准保护区以外的补给径流区；未划定准保护区的集中式饮用水水源，其保护区以外的补给径流区；分散式饮用水水源地；特殊地下水资源（如矿泉水、温泉等）保护区以外的分布区等其他未列入上述敏感分级的环境敏感区。</w:t>
            </w:r>
          </w:p>
        </w:tc>
      </w:tr>
      <w:tr w14:paraId="65CE39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509" w:type="pct"/>
            <w:tcBorders>
              <w:top w:val="single" w:color="auto" w:sz="4" w:space="0"/>
              <w:left w:val="nil"/>
              <w:bottom w:val="single" w:color="auto" w:sz="4" w:space="0"/>
              <w:right w:val="single" w:color="auto" w:sz="4" w:space="0"/>
            </w:tcBorders>
            <w:vAlign w:val="center"/>
          </w:tcPr>
          <w:p w14:paraId="04076B7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不敏感</w:t>
            </w:r>
          </w:p>
        </w:tc>
        <w:tc>
          <w:tcPr>
            <w:tcW w:w="4491" w:type="pct"/>
            <w:tcBorders>
              <w:top w:val="single" w:color="auto" w:sz="4" w:space="0"/>
              <w:left w:val="single" w:color="auto" w:sz="4" w:space="0"/>
              <w:bottom w:val="single" w:color="auto" w:sz="4" w:space="0"/>
              <w:right w:val="nil"/>
            </w:tcBorders>
            <w:vAlign w:val="center"/>
          </w:tcPr>
          <w:p w14:paraId="2BB1F9F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上述地区之外的其他地区。</w:t>
            </w:r>
          </w:p>
        </w:tc>
      </w:tr>
      <w:tr w14:paraId="2826B1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1" w:hRule="atLeast"/>
          <w:jc w:val="center"/>
        </w:trPr>
        <w:tc>
          <w:tcPr>
            <w:tcW w:w="5000" w:type="pct"/>
            <w:gridSpan w:val="2"/>
            <w:tcBorders>
              <w:top w:val="single" w:color="auto" w:sz="4" w:space="0"/>
              <w:left w:val="nil"/>
              <w:bottom w:val="single" w:color="auto" w:sz="12" w:space="0"/>
              <w:right w:val="nil"/>
            </w:tcBorders>
            <w:vAlign w:val="center"/>
          </w:tcPr>
          <w:p w14:paraId="338FA12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注：a“环境敏感区”是指《建设项目环境影响评价分类管理名录》中所界定的涉及地下水的环境敏感区。 </w:t>
            </w:r>
          </w:p>
        </w:tc>
      </w:tr>
    </w:tbl>
    <w:p w14:paraId="6F6450E3">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调查，本项目不在地下水集中式水源地（包括已建成的在用、备用、应急水源，在建和规划的饮用水水源）保护区范围内；不在除集中式饮用水水源以外的国家或地方政府设定的与地下水环境相关的其它保护区，如热水、矿泉水、温泉等特殊地下水资源保护区。不在集中式饮用水水源（包括已建成的在用、备用、应急水源，在建和规划的饮用水水源）准保护区以外的补给径流区；不在未划定准保护区的集中式饮用水水源，其保护区以外的补给径流区；不在特殊地下水资源（如矿泉水、温泉等）保护区以外的分布区等其他未列入上述敏感分级的环境敏感区内。</w:t>
      </w:r>
    </w:p>
    <w:p w14:paraId="27729F14">
      <w:pPr>
        <w:pStyle w:val="25"/>
        <w:bidi w:val="0"/>
        <w:rPr>
          <w:rFonts w:hint="default"/>
          <w:color w:val="auto"/>
          <w:highlight w:val="none"/>
        </w:rPr>
      </w:pPr>
      <w:r>
        <w:rPr>
          <w:rFonts w:hint="eastAsia"/>
          <w:color w:val="auto"/>
          <w:lang w:val="en-US" w:eastAsia="zh-CN"/>
        </w:rPr>
        <w:t>根据现场调查结果，本项目厂址东南180m处为一分场管理局的成海村居民饮用水源井；西北侧280m处为西沟屯饮用水井，</w:t>
      </w:r>
      <w:r>
        <w:rPr>
          <w:rFonts w:hint="eastAsia" w:ascii="宋体" w:hAnsi="宋体" w:cs="宋体"/>
          <w:color w:val="auto"/>
        </w:rPr>
        <w:t>该饮用水源地未进行水源地保护区划分。</w:t>
      </w:r>
      <w:r>
        <w:rPr>
          <w:rFonts w:hint="default"/>
          <w:color w:val="auto"/>
          <w:highlight w:val="none"/>
        </w:rPr>
        <w:t>结合《饮用水水源保护区划分技术规范》</w:t>
      </w:r>
      <w:r>
        <w:rPr>
          <w:rFonts w:hint="eastAsia"/>
          <w:color w:val="auto"/>
          <w:highlight w:val="none"/>
          <w:lang w:eastAsia="zh-CN"/>
        </w:rPr>
        <w:t>（HJ/T 338-2007）</w:t>
      </w:r>
      <w:r>
        <w:rPr>
          <w:rFonts w:hint="default"/>
          <w:color w:val="auto"/>
          <w:highlight w:val="none"/>
        </w:rPr>
        <w:t>，地下水敏感性判定依据如下：</w:t>
      </w:r>
    </w:p>
    <w:p w14:paraId="3C59AD86">
      <w:pPr>
        <w:pStyle w:val="25"/>
        <w:bidi w:val="0"/>
        <w:rPr>
          <w:rFonts w:hint="default"/>
          <w:color w:val="auto"/>
          <w:highlight w:val="none"/>
        </w:rPr>
      </w:pPr>
      <w:r>
        <w:rPr>
          <w:rFonts w:hint="default"/>
          <w:color w:val="auto"/>
          <w:highlight w:val="none"/>
        </w:rPr>
        <w:drawing>
          <wp:inline distT="0" distB="0" distL="114300" distR="114300">
            <wp:extent cx="4437380" cy="2745740"/>
            <wp:effectExtent l="0" t="0" r="1270" b="16510"/>
            <wp:docPr id="24" name="图片 20" descr="0648ac79880cb6e754c4e5c35cfa6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0" descr="0648ac79880cb6e754c4e5c35cfa62d"/>
                    <pic:cNvPicPr>
                      <a:picLocks noChangeAspect="1"/>
                    </pic:cNvPicPr>
                  </pic:nvPicPr>
                  <pic:blipFill>
                    <a:blip r:embed="rId19"/>
                    <a:stretch>
                      <a:fillRect/>
                    </a:stretch>
                  </pic:blipFill>
                  <pic:spPr>
                    <a:xfrm>
                      <a:off x="0" y="0"/>
                      <a:ext cx="4437380" cy="2745740"/>
                    </a:xfrm>
                    <a:prstGeom prst="rect">
                      <a:avLst/>
                    </a:prstGeom>
                    <a:noFill/>
                    <a:ln>
                      <a:noFill/>
                    </a:ln>
                  </pic:spPr>
                </pic:pic>
              </a:graphicData>
            </a:graphic>
          </wp:inline>
        </w:drawing>
      </w:r>
    </w:p>
    <w:p w14:paraId="45CEC5B5">
      <w:pPr>
        <w:pStyle w:val="25"/>
        <w:keepNext w:val="0"/>
        <w:keepLines w:val="0"/>
        <w:pageBreakBefore w:val="0"/>
        <w:widowControl/>
        <w:kinsoku/>
        <w:wordWrap/>
        <w:overflowPunct/>
        <w:topLinePunct w:val="0"/>
        <w:autoSpaceDE/>
        <w:autoSpaceDN/>
        <w:bidi w:val="0"/>
        <w:adjustRightInd w:val="0"/>
        <w:snapToGrid w:val="0"/>
        <w:textAlignment w:val="auto"/>
        <w:rPr>
          <w:rFonts w:hint="default"/>
          <w:color w:val="auto"/>
          <w:highlight w:val="none"/>
        </w:rPr>
      </w:pPr>
      <w:r>
        <w:rPr>
          <w:rFonts w:hint="eastAsia"/>
          <w:color w:val="auto"/>
          <w:highlight w:val="none"/>
          <w:lang w:val="en-US" w:eastAsia="zh-CN"/>
        </w:rPr>
        <w:t>分散</w:t>
      </w:r>
      <w:r>
        <w:rPr>
          <w:rFonts w:hint="default"/>
          <w:color w:val="auto"/>
          <w:highlight w:val="none"/>
        </w:rPr>
        <w:t>式饮用水水源保护区划分：</w:t>
      </w:r>
    </w:p>
    <w:p w14:paraId="18526DDA">
      <w:pPr>
        <w:pStyle w:val="25"/>
        <w:keepNext w:val="0"/>
        <w:keepLines w:val="0"/>
        <w:pageBreakBefore w:val="0"/>
        <w:widowControl/>
        <w:kinsoku/>
        <w:wordWrap/>
        <w:overflowPunct/>
        <w:topLinePunct w:val="0"/>
        <w:autoSpaceDE/>
        <w:autoSpaceDN/>
        <w:bidi w:val="0"/>
        <w:adjustRightInd w:val="0"/>
        <w:snapToGrid w:val="0"/>
        <w:textAlignment w:val="auto"/>
        <w:rPr>
          <w:rFonts w:hint="default"/>
          <w:color w:val="auto"/>
          <w:highlight w:val="none"/>
        </w:rPr>
      </w:pPr>
      <w:r>
        <w:rPr>
          <w:rFonts w:hint="default"/>
          <w:color w:val="auto"/>
          <w:highlight w:val="none"/>
        </w:rPr>
        <w:t>对于未划定保护区的</w:t>
      </w:r>
      <w:r>
        <w:rPr>
          <w:rFonts w:hint="eastAsia"/>
          <w:color w:val="auto"/>
          <w:highlight w:val="none"/>
          <w:lang w:val="en-US" w:eastAsia="zh-CN"/>
        </w:rPr>
        <w:t>分散</w:t>
      </w:r>
      <w:r>
        <w:rPr>
          <w:rFonts w:hint="default"/>
          <w:color w:val="auto"/>
          <w:highlight w:val="none"/>
        </w:rPr>
        <w:t>式地下饮用水水源地，可参照地下水</w:t>
      </w:r>
      <w:r>
        <w:rPr>
          <w:rFonts w:hint="eastAsia"/>
          <w:color w:val="auto"/>
          <w:highlight w:val="none"/>
          <w:lang w:val="en-US" w:eastAsia="zh-CN"/>
        </w:rPr>
        <w:t>50m</w:t>
      </w:r>
      <w:r>
        <w:rPr>
          <w:rFonts w:hint="default"/>
          <w:color w:val="auto"/>
          <w:highlight w:val="none"/>
        </w:rPr>
        <w:t>距离划定为一级保护区，二级保护区外地下水质点运移2000天对应距离划定为</w:t>
      </w:r>
      <w:r>
        <w:rPr>
          <w:rFonts w:hint="eastAsia"/>
          <w:color w:val="auto"/>
          <w:highlight w:val="none"/>
          <w:lang w:val="en-US" w:eastAsia="zh-CN"/>
        </w:rPr>
        <w:t>较</w:t>
      </w:r>
      <w:r>
        <w:rPr>
          <w:rFonts w:hint="default"/>
          <w:color w:val="auto"/>
          <w:highlight w:val="none"/>
        </w:rPr>
        <w:t>敏感区，并将较敏感区外界定为不敏感区。</w:t>
      </w:r>
    </w:p>
    <w:p w14:paraId="20F926E5">
      <w:pPr>
        <w:pStyle w:val="25"/>
        <w:keepNext w:val="0"/>
        <w:keepLines w:val="0"/>
        <w:pageBreakBefore w:val="0"/>
        <w:widowControl/>
        <w:kinsoku/>
        <w:wordWrap/>
        <w:overflowPunct/>
        <w:topLinePunct w:val="0"/>
        <w:autoSpaceDE/>
        <w:autoSpaceDN/>
        <w:bidi w:val="0"/>
        <w:adjustRightInd w:val="0"/>
        <w:snapToGrid w:val="0"/>
        <w:textAlignment w:val="auto"/>
        <w:rPr>
          <w:rFonts w:hint="default"/>
          <w:color w:val="auto"/>
          <w:highlight w:val="none"/>
        </w:rPr>
      </w:pPr>
      <w:r>
        <w:rPr>
          <w:rFonts w:hint="default"/>
          <w:color w:val="auto"/>
          <w:highlight w:val="none"/>
        </w:rPr>
        <w:t>根据地下水质点运移距离计算公式：</w:t>
      </w:r>
    </w:p>
    <w:p w14:paraId="4D8A7AC7">
      <w:pPr>
        <w:pStyle w:val="25"/>
        <w:keepNext w:val="0"/>
        <w:keepLines w:val="0"/>
        <w:pageBreakBefore w:val="0"/>
        <w:widowControl/>
        <w:kinsoku/>
        <w:wordWrap/>
        <w:overflowPunct/>
        <w:topLinePunct w:val="0"/>
        <w:autoSpaceDE/>
        <w:autoSpaceDN/>
        <w:bidi w:val="0"/>
        <w:adjustRightInd w:val="0"/>
        <w:snapToGrid w:val="0"/>
        <w:textAlignment w:val="auto"/>
        <w:rPr>
          <w:rFonts w:hint="default"/>
          <w:color w:val="auto"/>
          <w:highlight w:val="none"/>
        </w:rPr>
      </w:pPr>
      <w:r>
        <w:rPr>
          <w:rFonts w:hint="default"/>
          <w:color w:val="auto"/>
          <w:highlight w:val="none"/>
        </w:rPr>
        <w:t>L＝α×K×I×T/ne</w:t>
      </w:r>
    </w:p>
    <w:p w14:paraId="40F9EF4D">
      <w:pPr>
        <w:pStyle w:val="25"/>
        <w:keepNext w:val="0"/>
        <w:keepLines w:val="0"/>
        <w:pageBreakBefore w:val="0"/>
        <w:widowControl/>
        <w:kinsoku/>
        <w:wordWrap/>
        <w:overflowPunct/>
        <w:topLinePunct w:val="0"/>
        <w:autoSpaceDE/>
        <w:autoSpaceDN/>
        <w:bidi w:val="0"/>
        <w:adjustRightInd w:val="0"/>
        <w:snapToGrid w:val="0"/>
        <w:textAlignment w:val="auto"/>
        <w:rPr>
          <w:rFonts w:hint="default"/>
          <w:color w:val="auto"/>
          <w:highlight w:val="none"/>
        </w:rPr>
      </w:pPr>
      <w:r>
        <w:rPr>
          <w:rFonts w:hint="default"/>
          <w:color w:val="auto"/>
          <w:highlight w:val="none"/>
        </w:rPr>
        <w:t>式中：</w:t>
      </w:r>
    </w:p>
    <w:p w14:paraId="5AEFCC7E">
      <w:pPr>
        <w:pStyle w:val="25"/>
        <w:keepNext w:val="0"/>
        <w:keepLines w:val="0"/>
        <w:pageBreakBefore w:val="0"/>
        <w:widowControl/>
        <w:kinsoku/>
        <w:wordWrap/>
        <w:overflowPunct/>
        <w:topLinePunct w:val="0"/>
        <w:autoSpaceDE/>
        <w:autoSpaceDN/>
        <w:bidi w:val="0"/>
        <w:adjustRightInd w:val="0"/>
        <w:snapToGrid w:val="0"/>
        <w:textAlignment w:val="auto"/>
        <w:rPr>
          <w:rFonts w:hint="default"/>
          <w:color w:val="auto"/>
          <w:highlight w:val="none"/>
        </w:rPr>
      </w:pPr>
      <w:r>
        <w:rPr>
          <w:rFonts w:hint="default"/>
          <w:color w:val="auto"/>
          <w:highlight w:val="none"/>
        </w:rPr>
        <w:t>L：下游迁移距离，m；</w:t>
      </w:r>
    </w:p>
    <w:p w14:paraId="6378DD6A">
      <w:pPr>
        <w:pStyle w:val="25"/>
        <w:keepNext w:val="0"/>
        <w:keepLines w:val="0"/>
        <w:pageBreakBefore w:val="0"/>
        <w:widowControl/>
        <w:kinsoku/>
        <w:wordWrap/>
        <w:overflowPunct/>
        <w:topLinePunct w:val="0"/>
        <w:autoSpaceDE/>
        <w:autoSpaceDN/>
        <w:bidi w:val="0"/>
        <w:adjustRightInd w:val="0"/>
        <w:snapToGrid w:val="0"/>
        <w:textAlignment w:val="auto"/>
        <w:rPr>
          <w:rFonts w:hint="default"/>
          <w:color w:val="auto"/>
          <w:highlight w:val="none"/>
        </w:rPr>
      </w:pPr>
      <w:r>
        <w:rPr>
          <w:rFonts w:hint="default"/>
          <w:color w:val="auto"/>
          <w:highlight w:val="none"/>
        </w:rPr>
        <w:t>α：变化系数，α≥1，一般取2；</w:t>
      </w:r>
    </w:p>
    <w:p w14:paraId="3F4BFA6F">
      <w:pPr>
        <w:pStyle w:val="25"/>
        <w:keepNext w:val="0"/>
        <w:keepLines w:val="0"/>
        <w:pageBreakBefore w:val="0"/>
        <w:widowControl/>
        <w:kinsoku/>
        <w:wordWrap/>
        <w:overflowPunct/>
        <w:topLinePunct w:val="0"/>
        <w:autoSpaceDE/>
        <w:autoSpaceDN/>
        <w:bidi w:val="0"/>
        <w:adjustRightInd w:val="0"/>
        <w:snapToGrid w:val="0"/>
        <w:textAlignment w:val="auto"/>
        <w:rPr>
          <w:rFonts w:hint="default"/>
          <w:color w:val="auto"/>
          <w:highlight w:val="none"/>
        </w:rPr>
      </w:pPr>
      <w:r>
        <w:rPr>
          <w:rFonts w:hint="default"/>
          <w:color w:val="auto"/>
          <w:highlight w:val="none"/>
        </w:rPr>
        <w:t>K：渗透系数，m/d，根据区域含水层特点，本次取K=</w:t>
      </w:r>
      <w:r>
        <w:rPr>
          <w:rFonts w:hint="eastAsia"/>
          <w:color w:val="auto"/>
          <w:highlight w:val="none"/>
          <w:lang w:val="en-US" w:eastAsia="zh-CN"/>
        </w:rPr>
        <w:t>25</w:t>
      </w:r>
      <w:r>
        <w:rPr>
          <w:rFonts w:hint="default"/>
          <w:color w:val="auto"/>
          <w:highlight w:val="none"/>
        </w:rPr>
        <w:t>；</w:t>
      </w:r>
    </w:p>
    <w:p w14:paraId="7B8BA7E3">
      <w:pPr>
        <w:pStyle w:val="25"/>
        <w:keepNext w:val="0"/>
        <w:keepLines w:val="0"/>
        <w:pageBreakBefore w:val="0"/>
        <w:widowControl/>
        <w:kinsoku/>
        <w:wordWrap/>
        <w:overflowPunct/>
        <w:topLinePunct w:val="0"/>
        <w:autoSpaceDE/>
        <w:autoSpaceDN/>
        <w:bidi w:val="0"/>
        <w:adjustRightInd w:val="0"/>
        <w:snapToGrid w:val="0"/>
        <w:textAlignment w:val="auto"/>
        <w:rPr>
          <w:rFonts w:hint="default"/>
          <w:color w:val="auto"/>
          <w:highlight w:val="none"/>
        </w:rPr>
      </w:pPr>
      <w:r>
        <w:rPr>
          <w:rFonts w:hint="default"/>
          <w:color w:val="auto"/>
          <w:highlight w:val="none"/>
        </w:rPr>
        <w:t>I：水力坡度，无量纲；根据区域等水位线与距离确定本次取I=0.2‰；</w:t>
      </w:r>
    </w:p>
    <w:p w14:paraId="78A2E6B0">
      <w:pPr>
        <w:pStyle w:val="25"/>
        <w:keepNext w:val="0"/>
        <w:keepLines w:val="0"/>
        <w:pageBreakBefore w:val="0"/>
        <w:widowControl/>
        <w:kinsoku/>
        <w:wordWrap/>
        <w:overflowPunct/>
        <w:topLinePunct w:val="0"/>
        <w:autoSpaceDE/>
        <w:autoSpaceDN/>
        <w:bidi w:val="0"/>
        <w:adjustRightInd w:val="0"/>
        <w:snapToGrid w:val="0"/>
        <w:textAlignment w:val="auto"/>
        <w:rPr>
          <w:rFonts w:hint="default"/>
          <w:color w:val="auto"/>
          <w:highlight w:val="none"/>
        </w:rPr>
      </w:pPr>
      <w:r>
        <w:rPr>
          <w:rFonts w:hint="default"/>
          <w:color w:val="auto"/>
          <w:highlight w:val="none"/>
        </w:rPr>
        <w:t>T：质点迁移天数，取值不小于3000d；本次取T=</w:t>
      </w:r>
      <w:r>
        <w:rPr>
          <w:rFonts w:hint="eastAsia"/>
          <w:color w:val="auto"/>
          <w:highlight w:val="none"/>
          <w:lang w:val="en-US" w:eastAsia="zh-CN"/>
        </w:rPr>
        <w:t>2</w:t>
      </w:r>
      <w:r>
        <w:rPr>
          <w:rFonts w:hint="default"/>
          <w:color w:val="auto"/>
          <w:highlight w:val="none"/>
        </w:rPr>
        <w:t>000；</w:t>
      </w:r>
    </w:p>
    <w:p w14:paraId="5A2911CB">
      <w:pPr>
        <w:pStyle w:val="25"/>
        <w:keepNext w:val="0"/>
        <w:keepLines w:val="0"/>
        <w:pageBreakBefore w:val="0"/>
        <w:widowControl/>
        <w:kinsoku/>
        <w:wordWrap/>
        <w:overflowPunct/>
        <w:topLinePunct w:val="0"/>
        <w:autoSpaceDE/>
        <w:autoSpaceDN/>
        <w:bidi w:val="0"/>
        <w:adjustRightInd w:val="0"/>
        <w:snapToGrid w:val="0"/>
        <w:textAlignment w:val="auto"/>
        <w:rPr>
          <w:rFonts w:hint="default"/>
          <w:color w:val="auto"/>
          <w:highlight w:val="none"/>
          <w:lang w:val="en-US" w:eastAsia="zh-CN"/>
        </w:rPr>
      </w:pPr>
      <w:r>
        <w:rPr>
          <w:rFonts w:hint="default"/>
          <w:color w:val="auto"/>
          <w:highlight w:val="none"/>
        </w:rPr>
        <w:t>ne：有效孔隙度，无量纲；本次取ne=</w:t>
      </w:r>
      <w:r>
        <w:rPr>
          <w:rFonts w:hint="default"/>
          <w:color w:val="auto"/>
          <w:highlight w:val="none"/>
          <w:lang w:val="en-US" w:eastAsia="zh-CN"/>
        </w:rPr>
        <w:t>0.3</w:t>
      </w:r>
    </w:p>
    <w:p w14:paraId="56CB82EA">
      <w:pPr>
        <w:pStyle w:val="25"/>
        <w:keepNext w:val="0"/>
        <w:keepLines w:val="0"/>
        <w:pageBreakBefore w:val="0"/>
        <w:widowControl/>
        <w:kinsoku/>
        <w:wordWrap/>
        <w:overflowPunct/>
        <w:topLinePunct w:val="0"/>
        <w:autoSpaceDE/>
        <w:autoSpaceDN/>
        <w:bidi w:val="0"/>
        <w:adjustRightInd w:val="0"/>
        <w:snapToGrid w:val="0"/>
        <w:textAlignment w:val="auto"/>
        <w:rPr>
          <w:rFonts w:hint="eastAsia"/>
          <w:color w:val="auto"/>
          <w:highlight w:val="none"/>
          <w:lang w:eastAsia="zh-CN"/>
        </w:rPr>
      </w:pPr>
      <w:r>
        <w:rPr>
          <w:rFonts w:hint="default"/>
          <w:color w:val="auto"/>
          <w:highlight w:val="none"/>
        </w:rPr>
        <w:t>本项目含水层主要由透水性很强的中粗砂组成，水力坡度为0.1～0.3‰，根据《环境影响评价技术导则 地下水环境》（HJ 610-2016）附录B，项目所在区域地质、水文地质条件，中粗砂渗透系数取平均值25m/d；水力坡度取平均值I=0.2‰；有效孔隙度（n）取中粗砂、砂砾石的有效孔隙度0.3。因此，下游迁徙距离为</w:t>
      </w:r>
      <w:r>
        <w:rPr>
          <w:rFonts w:hint="eastAsia"/>
          <w:color w:val="auto"/>
          <w:highlight w:val="none"/>
          <w:lang w:eastAsia="zh-CN"/>
        </w:rPr>
        <w:t>：</w:t>
      </w:r>
    </w:p>
    <w:p w14:paraId="562B4A15">
      <w:pPr>
        <w:pStyle w:val="25"/>
        <w:keepNext w:val="0"/>
        <w:keepLines w:val="0"/>
        <w:pageBreakBefore w:val="0"/>
        <w:widowControl/>
        <w:kinsoku/>
        <w:wordWrap/>
        <w:overflowPunct/>
        <w:topLinePunct w:val="0"/>
        <w:autoSpaceDE/>
        <w:autoSpaceDN/>
        <w:bidi w:val="0"/>
        <w:adjustRightInd w:val="0"/>
        <w:snapToGrid w:val="0"/>
        <w:textAlignment w:val="auto"/>
        <w:rPr>
          <w:rFonts w:hint="default"/>
          <w:color w:val="auto"/>
          <w:highlight w:val="none"/>
        </w:rPr>
      </w:pPr>
      <w:r>
        <w:rPr>
          <w:rFonts w:hint="default"/>
          <w:color w:val="auto"/>
          <w:highlight w:val="none"/>
        </w:rPr>
        <w:t>2000天：L=α×K×I×T/ne</w:t>
      </w:r>
      <w:r>
        <w:rPr>
          <w:rFonts w:hint="eastAsia"/>
          <w:color w:val="auto"/>
          <w:highlight w:val="none"/>
          <w:lang w:val="en-US" w:eastAsia="zh-CN"/>
        </w:rPr>
        <w:t>=</w:t>
      </w:r>
      <w:r>
        <w:rPr>
          <w:rFonts w:hint="default"/>
          <w:color w:val="auto"/>
          <w:highlight w:val="none"/>
        </w:rPr>
        <w:t>2×</w:t>
      </w:r>
      <w:r>
        <w:rPr>
          <w:rFonts w:hint="default"/>
          <w:color w:val="auto"/>
          <w:highlight w:val="none"/>
          <w:lang w:val="en-US" w:eastAsia="zh-CN"/>
        </w:rPr>
        <w:t>25</w:t>
      </w:r>
      <w:r>
        <w:rPr>
          <w:rFonts w:hint="default"/>
          <w:color w:val="auto"/>
          <w:highlight w:val="none"/>
        </w:rPr>
        <w:t>×0.00</w:t>
      </w:r>
      <w:r>
        <w:rPr>
          <w:rFonts w:hint="default"/>
          <w:color w:val="auto"/>
          <w:highlight w:val="none"/>
          <w:lang w:val="en-US" w:eastAsia="zh-CN"/>
        </w:rPr>
        <w:t>02</w:t>
      </w:r>
      <w:r>
        <w:rPr>
          <w:rFonts w:hint="default"/>
          <w:color w:val="auto"/>
          <w:highlight w:val="none"/>
        </w:rPr>
        <w:t>×</w:t>
      </w:r>
      <w:r>
        <w:rPr>
          <w:rFonts w:hint="default"/>
          <w:color w:val="auto"/>
          <w:highlight w:val="none"/>
          <w:lang w:val="en-US" w:eastAsia="zh-CN"/>
        </w:rPr>
        <w:t>20</w:t>
      </w:r>
      <w:r>
        <w:rPr>
          <w:rFonts w:hint="default"/>
          <w:color w:val="auto"/>
          <w:highlight w:val="none"/>
        </w:rPr>
        <w:t>0</w:t>
      </w:r>
      <w:r>
        <w:rPr>
          <w:rFonts w:hint="default"/>
          <w:color w:val="auto"/>
          <w:highlight w:val="none"/>
          <w:lang w:val="en-US" w:eastAsia="zh-CN"/>
        </w:rPr>
        <w:t>0</w:t>
      </w:r>
      <w:r>
        <w:rPr>
          <w:rFonts w:hint="default"/>
          <w:color w:val="auto"/>
          <w:highlight w:val="none"/>
        </w:rPr>
        <w:t>/0</w:t>
      </w:r>
      <w:r>
        <w:rPr>
          <w:rFonts w:hint="default"/>
          <w:color w:val="auto"/>
          <w:highlight w:val="none"/>
          <w:lang w:val="en-US" w:eastAsia="zh-CN"/>
        </w:rPr>
        <w:t>.3</w:t>
      </w:r>
      <w:r>
        <w:rPr>
          <w:rFonts w:hint="default"/>
          <w:color w:val="auto"/>
          <w:highlight w:val="none"/>
        </w:rPr>
        <w:t>=</w:t>
      </w:r>
      <w:r>
        <w:rPr>
          <w:rFonts w:hint="default"/>
          <w:color w:val="auto"/>
          <w:highlight w:val="none"/>
          <w:lang w:val="en-US" w:eastAsia="zh-CN"/>
        </w:rPr>
        <w:t>66.67</w:t>
      </w:r>
      <w:r>
        <w:rPr>
          <w:rFonts w:hint="default"/>
          <w:color w:val="auto"/>
          <w:highlight w:val="none"/>
        </w:rPr>
        <w:t>m</w:t>
      </w:r>
    </w:p>
    <w:p w14:paraId="473402CB">
      <w:pPr>
        <w:pStyle w:val="25"/>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color w:val="auto"/>
          <w:highlight w:val="none"/>
        </w:rPr>
        <w:t>即：饮用水水源井</w:t>
      </w:r>
      <w:r>
        <w:rPr>
          <w:rFonts w:hint="eastAsia"/>
          <w:color w:val="auto"/>
          <w:highlight w:val="none"/>
          <w:lang w:val="en-US" w:eastAsia="zh-CN"/>
        </w:rPr>
        <w:t>66.7</w:t>
      </w:r>
      <w:r>
        <w:rPr>
          <w:rFonts w:hint="default"/>
          <w:color w:val="auto"/>
          <w:highlight w:val="none"/>
        </w:rPr>
        <w:t>m以外区域属于“不敏感”区域。</w:t>
      </w:r>
    </w:p>
    <w:p w14:paraId="768001A2">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评价范围内</w:t>
      </w:r>
      <w:r>
        <w:rPr>
          <w:rFonts w:hint="default" w:ascii="Times New Roman" w:hAnsi="Times New Roman" w:cs="Times New Roman"/>
          <w:color w:val="auto"/>
          <w:highlight w:val="none"/>
          <w:lang w:val="en-US" w:eastAsia="zh-CN"/>
        </w:rPr>
        <w:t>2#项目区周边</w:t>
      </w:r>
      <w:r>
        <w:rPr>
          <w:rFonts w:hint="default" w:ascii="Times New Roman" w:hAnsi="Times New Roman" w:cs="Times New Roman"/>
          <w:color w:val="auto"/>
          <w:highlight w:val="none"/>
        </w:rPr>
        <w:t>无集中式饮用水源保护区，和其他特殊地下水资源（如矿泉水、温泉等）保护区，但是存在分散式水源地，因此，敏感性判定为较敏感。</w:t>
      </w:r>
    </w:p>
    <w:p w14:paraId="27CB96B8">
      <w:pPr>
        <w:spacing w:line="500" w:lineRule="exact"/>
        <w:ind w:firstLine="480" w:firstLineChars="200"/>
        <w:rPr>
          <w:rFonts w:hint="default" w:ascii="Times New Roman" w:hAnsi="Times New Roman" w:cs="Times New Roman"/>
          <w:snapToGrid w:val="0"/>
          <w:color w:val="auto"/>
          <w:kern w:val="0"/>
          <w:sz w:val="24"/>
          <w:szCs w:val="22"/>
          <w:highlight w:val="none"/>
        </w:rPr>
      </w:pPr>
      <w:r>
        <w:rPr>
          <w:rFonts w:hint="default" w:ascii="Times New Roman" w:hAnsi="Times New Roman" w:cs="Times New Roman"/>
          <w:snapToGrid w:val="0"/>
          <w:color w:val="auto"/>
          <w:kern w:val="0"/>
          <w:sz w:val="24"/>
          <w:szCs w:val="22"/>
          <w:highlight w:val="none"/>
        </w:rPr>
        <w:t>（3）建设项目评价工作等级</w:t>
      </w:r>
    </w:p>
    <w:p w14:paraId="4861D5DA">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建设项目地下水环境影响评价工作等级的划分见下表。</w:t>
      </w:r>
    </w:p>
    <w:p w14:paraId="6C55F132">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表2-6-7地下水评价工作等级分级表</w:t>
      </w:r>
    </w:p>
    <w:tbl>
      <w:tblPr>
        <w:tblStyle w:val="20"/>
        <w:tblW w:w="5000" w:type="pct"/>
        <w:tblInd w:w="0" w:type="dxa"/>
        <w:tblLayout w:type="autofit"/>
        <w:tblCellMar>
          <w:top w:w="0" w:type="dxa"/>
          <w:left w:w="108" w:type="dxa"/>
          <w:bottom w:w="0" w:type="dxa"/>
          <w:right w:w="108" w:type="dxa"/>
        </w:tblCellMar>
      </w:tblPr>
      <w:tblGrid>
        <w:gridCol w:w="2476"/>
        <w:gridCol w:w="1813"/>
        <w:gridCol w:w="2117"/>
        <w:gridCol w:w="2116"/>
      </w:tblGrid>
      <w:tr w14:paraId="637F8902">
        <w:tblPrEx>
          <w:tblCellMar>
            <w:top w:w="0" w:type="dxa"/>
            <w:left w:w="108" w:type="dxa"/>
            <w:bottom w:w="0" w:type="dxa"/>
            <w:right w:w="108" w:type="dxa"/>
          </w:tblCellMar>
        </w:tblPrEx>
        <w:trPr>
          <w:trHeight w:val="652" w:hRule="atLeast"/>
        </w:trPr>
        <w:tc>
          <w:tcPr>
            <w:tcW w:w="1453" w:type="pct"/>
            <w:tcBorders>
              <w:top w:val="single" w:color="auto" w:sz="12" w:space="0"/>
              <w:left w:val="nil"/>
              <w:bottom w:val="single" w:color="auto" w:sz="4" w:space="0"/>
              <w:right w:val="single" w:color="auto" w:sz="4" w:space="0"/>
            </w:tcBorders>
          </w:tcPr>
          <w:p w14:paraId="381305AC">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rPr>
              <mc:AlternateContent>
                <mc:Choice Requires="wps">
                  <w:drawing>
                    <wp:anchor distT="0" distB="0" distL="114300" distR="114300" simplePos="0" relativeHeight="251661312" behindDoc="0" locked="0" layoutInCell="1" allowOverlap="1">
                      <wp:simplePos x="0" y="0"/>
                      <wp:positionH relativeFrom="column">
                        <wp:posOffset>-49530</wp:posOffset>
                      </wp:positionH>
                      <wp:positionV relativeFrom="paragraph">
                        <wp:posOffset>-10160</wp:posOffset>
                      </wp:positionV>
                      <wp:extent cx="1566545" cy="436880"/>
                      <wp:effectExtent l="1270" t="4445" r="13335" b="15875"/>
                      <wp:wrapNone/>
                      <wp:docPr id="1252353780" name="直接箭头连接符 2"/>
                      <wp:cNvGraphicFramePr/>
                      <a:graphic xmlns:a="http://schemas.openxmlformats.org/drawingml/2006/main">
                        <a:graphicData uri="http://schemas.microsoft.com/office/word/2010/wordprocessingShape">
                          <wps:wsp>
                            <wps:cNvCnPr>
                              <a:cxnSpLocks noChangeShapeType="1"/>
                            </wps:cNvCnPr>
                            <wps:spPr bwMode="auto">
                              <a:xfrm>
                                <a:off x="0" y="0"/>
                                <a:ext cx="1566545" cy="436880"/>
                              </a:xfrm>
                              <a:prstGeom prst="straightConnector1">
                                <a:avLst/>
                              </a:prstGeom>
                              <a:noFill/>
                              <a:ln w="3175">
                                <a:solidFill>
                                  <a:srgbClr val="000000"/>
                                </a:solidFill>
                                <a:round/>
                              </a:ln>
                            </wps:spPr>
                            <wps:bodyPr/>
                          </wps:wsp>
                        </a:graphicData>
                      </a:graphic>
                    </wp:anchor>
                  </w:drawing>
                </mc:Choice>
                <mc:Fallback>
                  <w:pict>
                    <v:shape id="直接箭头连接符 2" o:spid="_x0000_s1026" o:spt="32" type="#_x0000_t32" style="position:absolute;left:0pt;margin-left:-3.9pt;margin-top:-0.8pt;height:34.4pt;width:123.35pt;z-index:251661312;mso-width-relative:page;mso-height-relative:page;" filled="f" stroked="t" coordsize="21600,21600" o:gfxdata="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r7qR22AAAAAgBAAAPAAAAAAAAAAEAIAAAACIAAABkcnMv&#10;ZG93bnJldi54bWxQSwECFAAUAAAACACHTuJAtE5uYAMCAADMAwAADgAAAAAAAAABACAAAAAnAQAA&#10;ZHJzL2Uyb0RvYy54bWxQSwUGAAAAAAYABgBZAQAAnAUAAAAA&#10;">
                      <v:fill on="f" focussize="0,0"/>
                      <v:stroke weight="0.25pt" color="#000000" joinstyle="round"/>
                      <v:imagedata o:title=""/>
                      <o:lock v:ext="edit" aspectratio="f"/>
                    </v:shape>
                  </w:pict>
                </mc:Fallback>
              </mc:AlternateConten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lang w:val="zh-CN"/>
              </w:rPr>
              <w:t>项目类别</w:t>
            </w:r>
          </w:p>
          <w:p w14:paraId="4CCD70B9">
            <w:pPr>
              <w:pStyle w:val="44"/>
              <w:bidi w:val="0"/>
              <w:jc w:val="both"/>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环境敏感程度</w:t>
            </w:r>
          </w:p>
        </w:tc>
        <w:tc>
          <w:tcPr>
            <w:tcW w:w="1064" w:type="pct"/>
            <w:tcBorders>
              <w:top w:val="single" w:color="auto" w:sz="12" w:space="0"/>
              <w:left w:val="single" w:color="auto" w:sz="4" w:space="0"/>
              <w:bottom w:val="single" w:color="auto" w:sz="4" w:space="0"/>
              <w:right w:val="single" w:color="auto" w:sz="4" w:space="0"/>
            </w:tcBorders>
            <w:vAlign w:val="center"/>
          </w:tcPr>
          <w:p w14:paraId="006A4FDD">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fldChar w:fldCharType="begin"/>
            </w:r>
            <w:r>
              <w:rPr>
                <w:rFonts w:hint="default" w:ascii="Times New Roman" w:hAnsi="Times New Roman" w:cs="Times New Roman"/>
                <w:color w:val="auto"/>
                <w:highlight w:val="none"/>
                <w:lang w:val="zh-CN"/>
              </w:rPr>
              <w:instrText xml:space="preserve"> = 1 \* ROMAN </w:instrText>
            </w:r>
            <w:r>
              <w:rPr>
                <w:rFonts w:hint="default" w:ascii="Times New Roman" w:hAnsi="Times New Roman" w:cs="Times New Roman"/>
                <w:color w:val="auto"/>
                <w:highlight w:val="none"/>
                <w:lang w:val="zh-CN"/>
              </w:rPr>
              <w:fldChar w:fldCharType="separate"/>
            </w:r>
            <w:r>
              <w:rPr>
                <w:rFonts w:hint="default" w:ascii="Times New Roman" w:hAnsi="Times New Roman" w:cs="Times New Roman"/>
                <w:color w:val="auto"/>
                <w:highlight w:val="none"/>
                <w:lang w:val="zh-CN"/>
              </w:rPr>
              <w:t>I</w:t>
            </w:r>
            <w:r>
              <w:rPr>
                <w:rFonts w:hint="default" w:ascii="Times New Roman" w:hAnsi="Times New Roman" w:cs="Times New Roman"/>
                <w:color w:val="auto"/>
                <w:highlight w:val="none"/>
                <w:lang w:val="zh-CN"/>
              </w:rPr>
              <w:fldChar w:fldCharType="end"/>
            </w:r>
            <w:r>
              <w:rPr>
                <w:rFonts w:hint="default" w:ascii="Times New Roman" w:hAnsi="Times New Roman" w:cs="Times New Roman"/>
                <w:color w:val="auto"/>
                <w:highlight w:val="none"/>
                <w:lang w:val="zh-CN"/>
              </w:rPr>
              <w:t>类项目</w:t>
            </w:r>
          </w:p>
        </w:tc>
        <w:tc>
          <w:tcPr>
            <w:tcW w:w="1242" w:type="pct"/>
            <w:tcBorders>
              <w:top w:val="single" w:color="auto" w:sz="12" w:space="0"/>
              <w:left w:val="single" w:color="auto" w:sz="4" w:space="0"/>
              <w:bottom w:val="single" w:color="auto" w:sz="4" w:space="0"/>
              <w:right w:val="single" w:color="auto" w:sz="4" w:space="0"/>
            </w:tcBorders>
            <w:vAlign w:val="center"/>
          </w:tcPr>
          <w:p w14:paraId="09867EEC">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类项目</w:t>
            </w:r>
          </w:p>
        </w:tc>
        <w:tc>
          <w:tcPr>
            <w:tcW w:w="1242" w:type="pct"/>
            <w:tcBorders>
              <w:top w:val="single" w:color="auto" w:sz="12" w:space="0"/>
              <w:left w:val="single" w:color="auto" w:sz="4" w:space="0"/>
              <w:bottom w:val="single" w:color="auto" w:sz="4" w:space="0"/>
              <w:right w:val="nil"/>
            </w:tcBorders>
            <w:vAlign w:val="center"/>
          </w:tcPr>
          <w:p w14:paraId="07BFC89B">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fldChar w:fldCharType="begin"/>
            </w:r>
            <w:r>
              <w:rPr>
                <w:rFonts w:hint="default" w:ascii="Times New Roman" w:hAnsi="Times New Roman" w:cs="Times New Roman"/>
                <w:color w:val="auto"/>
                <w:highlight w:val="none"/>
                <w:lang w:val="zh-CN"/>
              </w:rPr>
              <w:instrText xml:space="preserve"> = 3 \* ROMAN </w:instrText>
            </w:r>
            <w:r>
              <w:rPr>
                <w:rFonts w:hint="default" w:ascii="Times New Roman" w:hAnsi="Times New Roman" w:cs="Times New Roman"/>
                <w:color w:val="auto"/>
                <w:highlight w:val="none"/>
                <w:lang w:val="zh-CN"/>
              </w:rPr>
              <w:fldChar w:fldCharType="separate"/>
            </w:r>
            <w:r>
              <w:rPr>
                <w:rFonts w:hint="default" w:ascii="Times New Roman" w:hAnsi="Times New Roman" w:cs="Times New Roman"/>
                <w:color w:val="auto"/>
                <w:highlight w:val="none"/>
                <w:lang w:val="zh-CN"/>
              </w:rPr>
              <w:t>III</w:t>
            </w:r>
            <w:r>
              <w:rPr>
                <w:rFonts w:hint="default" w:ascii="Times New Roman" w:hAnsi="Times New Roman" w:cs="Times New Roman"/>
                <w:color w:val="auto"/>
                <w:highlight w:val="none"/>
                <w:lang w:val="zh-CN"/>
              </w:rPr>
              <w:fldChar w:fldCharType="end"/>
            </w:r>
            <w:r>
              <w:rPr>
                <w:rFonts w:hint="default" w:ascii="Times New Roman" w:hAnsi="Times New Roman" w:cs="Times New Roman"/>
                <w:color w:val="auto"/>
                <w:highlight w:val="none"/>
                <w:lang w:val="zh-CN"/>
              </w:rPr>
              <w:t>类项目</w:t>
            </w:r>
          </w:p>
        </w:tc>
      </w:tr>
      <w:tr w14:paraId="0A558471">
        <w:tblPrEx>
          <w:tblCellMar>
            <w:top w:w="0" w:type="dxa"/>
            <w:left w:w="108" w:type="dxa"/>
            <w:bottom w:w="0" w:type="dxa"/>
            <w:right w:w="108" w:type="dxa"/>
          </w:tblCellMar>
        </w:tblPrEx>
        <w:trPr>
          <w:trHeight w:val="350" w:hRule="atLeast"/>
        </w:trPr>
        <w:tc>
          <w:tcPr>
            <w:tcW w:w="1453" w:type="pct"/>
            <w:tcBorders>
              <w:top w:val="single" w:color="auto" w:sz="4" w:space="0"/>
              <w:left w:val="nil"/>
              <w:bottom w:val="single" w:color="auto" w:sz="4" w:space="0"/>
              <w:right w:val="single" w:color="auto" w:sz="4" w:space="0"/>
            </w:tcBorders>
            <w:vAlign w:val="center"/>
          </w:tcPr>
          <w:p w14:paraId="2EB7F7BE">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敏感</w:t>
            </w:r>
          </w:p>
        </w:tc>
        <w:tc>
          <w:tcPr>
            <w:tcW w:w="1064" w:type="pct"/>
            <w:tcBorders>
              <w:top w:val="single" w:color="auto" w:sz="4" w:space="0"/>
              <w:left w:val="single" w:color="auto" w:sz="4" w:space="0"/>
              <w:bottom w:val="single" w:color="auto" w:sz="4" w:space="0"/>
              <w:right w:val="single" w:color="auto" w:sz="4" w:space="0"/>
            </w:tcBorders>
            <w:vAlign w:val="center"/>
          </w:tcPr>
          <w:p w14:paraId="62A8064B">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一</w:t>
            </w:r>
          </w:p>
        </w:tc>
        <w:tc>
          <w:tcPr>
            <w:tcW w:w="1242" w:type="pct"/>
            <w:tcBorders>
              <w:top w:val="single" w:color="auto" w:sz="4" w:space="0"/>
              <w:left w:val="single" w:color="auto" w:sz="4" w:space="0"/>
              <w:bottom w:val="single" w:color="auto" w:sz="4" w:space="0"/>
              <w:right w:val="single" w:color="auto" w:sz="4" w:space="0"/>
            </w:tcBorders>
            <w:vAlign w:val="center"/>
          </w:tcPr>
          <w:p w14:paraId="63065604">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一</w:t>
            </w:r>
          </w:p>
        </w:tc>
        <w:tc>
          <w:tcPr>
            <w:tcW w:w="1242" w:type="pct"/>
            <w:tcBorders>
              <w:top w:val="single" w:color="auto" w:sz="4" w:space="0"/>
              <w:left w:val="single" w:color="auto" w:sz="4" w:space="0"/>
              <w:bottom w:val="single" w:color="auto" w:sz="4" w:space="0"/>
              <w:right w:val="nil"/>
            </w:tcBorders>
            <w:vAlign w:val="center"/>
          </w:tcPr>
          <w:p w14:paraId="051ED171">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二</w:t>
            </w:r>
          </w:p>
        </w:tc>
      </w:tr>
      <w:tr w14:paraId="3D9C4AD5">
        <w:tblPrEx>
          <w:tblCellMar>
            <w:top w:w="0" w:type="dxa"/>
            <w:left w:w="108" w:type="dxa"/>
            <w:bottom w:w="0" w:type="dxa"/>
            <w:right w:w="108" w:type="dxa"/>
          </w:tblCellMar>
        </w:tblPrEx>
        <w:trPr>
          <w:trHeight w:val="349" w:hRule="atLeast"/>
        </w:trPr>
        <w:tc>
          <w:tcPr>
            <w:tcW w:w="1453" w:type="pct"/>
            <w:tcBorders>
              <w:top w:val="single" w:color="auto" w:sz="4" w:space="0"/>
              <w:left w:val="nil"/>
              <w:bottom w:val="single" w:color="auto" w:sz="4" w:space="0"/>
              <w:right w:val="single" w:color="auto" w:sz="4" w:space="0"/>
            </w:tcBorders>
            <w:vAlign w:val="center"/>
          </w:tcPr>
          <w:p w14:paraId="0DC692DC">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较敏感</w:t>
            </w:r>
          </w:p>
        </w:tc>
        <w:tc>
          <w:tcPr>
            <w:tcW w:w="1064" w:type="pct"/>
            <w:tcBorders>
              <w:top w:val="single" w:color="auto" w:sz="4" w:space="0"/>
              <w:left w:val="single" w:color="auto" w:sz="4" w:space="0"/>
              <w:bottom w:val="single" w:color="auto" w:sz="4" w:space="0"/>
              <w:right w:val="single" w:color="auto" w:sz="4" w:space="0"/>
            </w:tcBorders>
            <w:vAlign w:val="center"/>
          </w:tcPr>
          <w:p w14:paraId="15FCB10E">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一</w:t>
            </w:r>
          </w:p>
        </w:tc>
        <w:tc>
          <w:tcPr>
            <w:tcW w:w="1242" w:type="pct"/>
            <w:tcBorders>
              <w:top w:val="single" w:color="auto" w:sz="4" w:space="0"/>
              <w:left w:val="single" w:color="auto" w:sz="4" w:space="0"/>
              <w:bottom w:val="single" w:color="auto" w:sz="4" w:space="0"/>
              <w:right w:val="single" w:color="auto" w:sz="4" w:space="0"/>
            </w:tcBorders>
            <w:vAlign w:val="center"/>
          </w:tcPr>
          <w:p w14:paraId="1A21233B">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二</w:t>
            </w:r>
          </w:p>
        </w:tc>
        <w:tc>
          <w:tcPr>
            <w:tcW w:w="1242" w:type="pct"/>
            <w:tcBorders>
              <w:top w:val="single" w:color="auto" w:sz="4" w:space="0"/>
              <w:left w:val="single" w:color="auto" w:sz="4" w:space="0"/>
              <w:bottom w:val="single" w:color="auto" w:sz="4" w:space="0"/>
              <w:right w:val="nil"/>
            </w:tcBorders>
            <w:vAlign w:val="center"/>
          </w:tcPr>
          <w:p w14:paraId="04514A4E">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shd w:val="clear" w:color="FFFFFF" w:fill="D9D9D9"/>
                <w:lang w:val="zh-CN"/>
              </w:rPr>
              <w:t>三</w:t>
            </w:r>
          </w:p>
        </w:tc>
      </w:tr>
      <w:tr w14:paraId="6070D94C">
        <w:tblPrEx>
          <w:tblCellMar>
            <w:top w:w="0" w:type="dxa"/>
            <w:left w:w="108" w:type="dxa"/>
            <w:bottom w:w="0" w:type="dxa"/>
            <w:right w:w="108" w:type="dxa"/>
          </w:tblCellMar>
        </w:tblPrEx>
        <w:trPr>
          <w:trHeight w:val="385" w:hRule="atLeast"/>
        </w:trPr>
        <w:tc>
          <w:tcPr>
            <w:tcW w:w="1453" w:type="pct"/>
            <w:tcBorders>
              <w:top w:val="single" w:color="auto" w:sz="4" w:space="0"/>
              <w:left w:val="nil"/>
              <w:bottom w:val="single" w:color="auto" w:sz="12" w:space="0"/>
              <w:right w:val="single" w:color="auto" w:sz="4" w:space="0"/>
            </w:tcBorders>
            <w:vAlign w:val="center"/>
          </w:tcPr>
          <w:p w14:paraId="2FEFA592">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不敏感</w:t>
            </w:r>
          </w:p>
        </w:tc>
        <w:tc>
          <w:tcPr>
            <w:tcW w:w="1064" w:type="pct"/>
            <w:tcBorders>
              <w:top w:val="single" w:color="auto" w:sz="4" w:space="0"/>
              <w:left w:val="single" w:color="auto" w:sz="4" w:space="0"/>
              <w:bottom w:val="single" w:color="auto" w:sz="12" w:space="0"/>
              <w:right w:val="single" w:color="auto" w:sz="4" w:space="0"/>
            </w:tcBorders>
            <w:vAlign w:val="center"/>
          </w:tcPr>
          <w:p w14:paraId="17AFA3DD">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二</w:t>
            </w:r>
          </w:p>
        </w:tc>
        <w:tc>
          <w:tcPr>
            <w:tcW w:w="1242" w:type="pct"/>
            <w:tcBorders>
              <w:top w:val="single" w:color="auto" w:sz="4" w:space="0"/>
              <w:left w:val="single" w:color="auto" w:sz="4" w:space="0"/>
              <w:bottom w:val="single" w:color="auto" w:sz="12" w:space="0"/>
              <w:right w:val="single" w:color="auto" w:sz="4" w:space="0"/>
            </w:tcBorders>
            <w:vAlign w:val="center"/>
          </w:tcPr>
          <w:p w14:paraId="482E163F">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三</w:t>
            </w:r>
          </w:p>
        </w:tc>
        <w:tc>
          <w:tcPr>
            <w:tcW w:w="1242" w:type="pct"/>
            <w:tcBorders>
              <w:top w:val="single" w:color="auto" w:sz="4" w:space="0"/>
              <w:left w:val="single" w:color="auto" w:sz="4" w:space="0"/>
              <w:bottom w:val="single" w:color="auto" w:sz="12" w:space="0"/>
              <w:right w:val="nil"/>
            </w:tcBorders>
            <w:vAlign w:val="center"/>
          </w:tcPr>
          <w:p w14:paraId="2B185B3C">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三</w:t>
            </w:r>
          </w:p>
        </w:tc>
      </w:tr>
    </w:tbl>
    <w:p w14:paraId="644D23E8">
      <w:pPr>
        <w:spacing w:line="500" w:lineRule="exact"/>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szCs w:val="22"/>
          <w:highlight w:val="none"/>
        </w:rPr>
        <w:t>综上分析，</w:t>
      </w:r>
      <w:bookmarkStart w:id="115" w:name="_Hlk21536356"/>
      <w:r>
        <w:rPr>
          <w:rFonts w:hint="default" w:ascii="Times New Roman" w:hAnsi="Times New Roman" w:cs="Times New Roman"/>
          <w:snapToGrid w:val="0"/>
          <w:color w:val="auto"/>
          <w:kern w:val="0"/>
          <w:sz w:val="24"/>
          <w:szCs w:val="22"/>
          <w:highlight w:val="none"/>
        </w:rPr>
        <w:t>拟建项目属于地下水环境影响评价分类的</w:t>
      </w:r>
      <w:r>
        <w:rPr>
          <w:rFonts w:hint="default" w:ascii="Times New Roman" w:hAnsi="Times New Roman" w:eastAsia="等线" w:cs="Times New Roman"/>
          <w:color w:val="auto"/>
          <w:szCs w:val="22"/>
          <w:highlight w:val="none"/>
        </w:rPr>
        <w:fldChar w:fldCharType="begin"/>
      </w:r>
      <w:r>
        <w:rPr>
          <w:rFonts w:hint="default" w:ascii="Times New Roman" w:hAnsi="Times New Roman" w:cs="Times New Roman"/>
          <w:snapToGrid w:val="0"/>
          <w:color w:val="auto"/>
          <w:szCs w:val="22"/>
          <w:highlight w:val="none"/>
          <w:lang w:val="zh-CN"/>
        </w:rPr>
        <w:instrText xml:space="preserve"> = 3 \* ROMAN </w:instrText>
      </w:r>
      <w:r>
        <w:rPr>
          <w:rFonts w:hint="default" w:ascii="Times New Roman" w:hAnsi="Times New Roman" w:eastAsia="等线" w:cs="Times New Roman"/>
          <w:color w:val="auto"/>
          <w:szCs w:val="22"/>
          <w:highlight w:val="none"/>
        </w:rPr>
        <w:fldChar w:fldCharType="separate"/>
      </w:r>
      <w:r>
        <w:rPr>
          <w:rFonts w:hint="default" w:ascii="Times New Roman" w:hAnsi="Times New Roman" w:cs="Times New Roman"/>
          <w:snapToGrid w:val="0"/>
          <w:color w:val="auto"/>
          <w:szCs w:val="22"/>
          <w:highlight w:val="none"/>
          <w:lang w:val="zh-CN"/>
        </w:rPr>
        <w:t>III</w:t>
      </w:r>
      <w:r>
        <w:rPr>
          <w:rFonts w:hint="default" w:ascii="Times New Roman" w:hAnsi="Times New Roman" w:eastAsia="等线" w:cs="Times New Roman"/>
          <w:color w:val="auto"/>
          <w:szCs w:val="22"/>
          <w:highlight w:val="none"/>
        </w:rPr>
        <w:fldChar w:fldCharType="end"/>
      </w:r>
      <w:r>
        <w:rPr>
          <w:rFonts w:hint="default" w:ascii="Times New Roman" w:hAnsi="Times New Roman" w:cs="Times New Roman"/>
          <w:snapToGrid w:val="0"/>
          <w:color w:val="auto"/>
          <w:kern w:val="0"/>
          <w:sz w:val="24"/>
          <w:szCs w:val="22"/>
          <w:highlight w:val="none"/>
        </w:rPr>
        <w:t>类项目，地下水环境敏感程度为</w:t>
      </w:r>
      <w:r>
        <w:rPr>
          <w:rFonts w:hint="default" w:ascii="Times New Roman" w:hAnsi="Times New Roman" w:cs="Times New Roman"/>
          <w:snapToGrid w:val="0"/>
          <w:color w:val="auto"/>
          <w:kern w:val="0"/>
          <w:sz w:val="24"/>
          <w:szCs w:val="22"/>
          <w:highlight w:val="none"/>
          <w:lang w:val="en-US" w:eastAsia="zh-CN"/>
        </w:rPr>
        <w:t>较</w:t>
      </w:r>
      <w:r>
        <w:rPr>
          <w:rFonts w:hint="default" w:ascii="Times New Roman" w:hAnsi="Times New Roman" w:cs="Times New Roman"/>
          <w:snapToGrid w:val="0"/>
          <w:color w:val="auto"/>
          <w:kern w:val="0"/>
          <w:sz w:val="24"/>
          <w:szCs w:val="22"/>
          <w:highlight w:val="none"/>
        </w:rPr>
        <w:t>敏感，因此评价工作等级确定为</w:t>
      </w:r>
      <w:r>
        <w:rPr>
          <w:rFonts w:hint="default" w:ascii="Times New Roman" w:hAnsi="Times New Roman" w:cs="Times New Roman"/>
          <w:snapToGrid w:val="0"/>
          <w:color w:val="auto"/>
          <w:kern w:val="0"/>
          <w:sz w:val="24"/>
          <w:szCs w:val="22"/>
          <w:highlight w:val="none"/>
          <w:lang w:val="en-US" w:eastAsia="zh-CN"/>
        </w:rPr>
        <w:t>三</w:t>
      </w:r>
      <w:r>
        <w:rPr>
          <w:rFonts w:hint="default" w:ascii="Times New Roman" w:hAnsi="Times New Roman" w:cs="Times New Roman"/>
          <w:snapToGrid w:val="0"/>
          <w:color w:val="auto"/>
          <w:kern w:val="0"/>
          <w:sz w:val="24"/>
          <w:szCs w:val="22"/>
          <w:highlight w:val="none"/>
        </w:rPr>
        <w:t>级。</w:t>
      </w:r>
      <w:bookmarkEnd w:id="115"/>
    </w:p>
    <w:p w14:paraId="7E675950">
      <w:pPr>
        <w:pStyle w:val="39"/>
        <w:rPr>
          <w:rFonts w:hint="default" w:ascii="Times New Roman" w:hAnsi="Times New Roman" w:cs="Times New Roman"/>
          <w:color w:val="auto"/>
          <w:highlight w:val="none"/>
        </w:rPr>
      </w:pPr>
      <w:bookmarkStart w:id="116" w:name="_Toc16776"/>
      <w:r>
        <w:rPr>
          <w:rFonts w:hint="default" w:ascii="Times New Roman" w:hAnsi="Times New Roman" w:cs="Times New Roman"/>
          <w:color w:val="auto"/>
          <w:highlight w:val="none"/>
        </w:rPr>
        <w:t>2.6</w:t>
      </w:r>
      <w:bookmarkStart w:id="117" w:name="_Toc88968913"/>
      <w:bookmarkStart w:id="118" w:name="_Toc88969056"/>
      <w:bookmarkStart w:id="119" w:name="_Toc88900496"/>
      <w:bookmarkStart w:id="120" w:name="_Toc89231866"/>
      <w:r>
        <w:rPr>
          <w:rFonts w:hint="default" w:ascii="Times New Roman" w:hAnsi="Times New Roman" w:cs="Times New Roman"/>
          <w:color w:val="auto"/>
          <w:highlight w:val="none"/>
        </w:rPr>
        <w:t>.4声环境</w:t>
      </w:r>
      <w:bookmarkEnd w:id="117"/>
      <w:bookmarkEnd w:id="118"/>
      <w:bookmarkEnd w:id="119"/>
      <w:bookmarkEnd w:id="120"/>
      <w:r>
        <w:rPr>
          <w:rFonts w:hint="default" w:ascii="Times New Roman" w:hAnsi="Times New Roman" w:cs="Times New Roman"/>
          <w:color w:val="auto"/>
          <w:highlight w:val="none"/>
        </w:rPr>
        <w:t>评价工作等级</w:t>
      </w:r>
      <w:bookmarkEnd w:id="116"/>
    </w:p>
    <w:p w14:paraId="5DDA50B1">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根据《环境影响评价技术导则 声环境》（HJ2.4-2021）中规定的声环境影响评价工作等级划分5.1.3：建设项目所处的声环境功能区为GB3096规定的1类、2类地区，或建设项目建设前后评价范围内声环境保护目标噪声级增量达3dB(A)～5dB(A)，或受噪声影响人口数量增加较多时，按二级评价。</w:t>
      </w:r>
    </w:p>
    <w:p w14:paraId="1B566F3E">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本项目位于农村地区，所在功能区属于噪声功能区划的1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类区，项目建设前后评价范围内声环境保护目标噪声级增加量未达到3dB（A）～5dB（A），受噪声影响的人口数量变化不大，根据《环境影响评价技术导则 声环境》（HJ2.4-2021），确定本项目声环境评价判定为二级。</w:t>
      </w:r>
    </w:p>
    <w:p w14:paraId="5DF6684D">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表2-6-8声环境评价工作等级判断表</w:t>
      </w:r>
    </w:p>
    <w:tbl>
      <w:tblPr>
        <w:tblStyle w:val="20"/>
        <w:tblW w:w="5000" w:type="pct"/>
        <w:tblInd w:w="0" w:type="dxa"/>
        <w:tblLayout w:type="autofit"/>
        <w:tblCellMar>
          <w:top w:w="0" w:type="dxa"/>
          <w:left w:w="108" w:type="dxa"/>
          <w:bottom w:w="0" w:type="dxa"/>
          <w:right w:w="108" w:type="dxa"/>
        </w:tblCellMar>
      </w:tblPr>
      <w:tblGrid>
        <w:gridCol w:w="1104"/>
        <w:gridCol w:w="3295"/>
        <w:gridCol w:w="2747"/>
        <w:gridCol w:w="1376"/>
      </w:tblGrid>
      <w:tr w14:paraId="401C39E8">
        <w:tblPrEx>
          <w:tblCellMar>
            <w:top w:w="0" w:type="dxa"/>
            <w:left w:w="108" w:type="dxa"/>
            <w:bottom w:w="0" w:type="dxa"/>
            <w:right w:w="108" w:type="dxa"/>
          </w:tblCellMar>
        </w:tblPrEx>
        <w:trPr>
          <w:trHeight w:val="413" w:hRule="exact"/>
        </w:trPr>
        <w:tc>
          <w:tcPr>
            <w:tcW w:w="648" w:type="pct"/>
            <w:tcBorders>
              <w:top w:val="single" w:color="auto" w:sz="12" w:space="0"/>
              <w:left w:val="nil"/>
              <w:bottom w:val="single" w:color="auto" w:sz="4" w:space="0"/>
              <w:right w:val="single" w:color="auto" w:sz="4" w:space="0"/>
            </w:tcBorders>
            <w:vAlign w:val="center"/>
          </w:tcPr>
          <w:p w14:paraId="510C3673">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功能区</w:t>
            </w:r>
          </w:p>
        </w:tc>
        <w:tc>
          <w:tcPr>
            <w:tcW w:w="1933" w:type="pct"/>
            <w:tcBorders>
              <w:top w:val="single" w:color="auto" w:sz="12" w:space="0"/>
              <w:left w:val="single" w:color="auto" w:sz="4" w:space="0"/>
              <w:bottom w:val="single" w:color="auto" w:sz="4" w:space="0"/>
              <w:right w:val="single" w:color="auto" w:sz="4" w:space="0"/>
            </w:tcBorders>
            <w:vAlign w:val="center"/>
          </w:tcPr>
          <w:p w14:paraId="5C91C9DE">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建设前后噪声级的增加量</w:t>
            </w:r>
          </w:p>
        </w:tc>
        <w:tc>
          <w:tcPr>
            <w:tcW w:w="1612" w:type="pct"/>
            <w:tcBorders>
              <w:top w:val="single" w:color="auto" w:sz="12" w:space="0"/>
              <w:left w:val="single" w:color="auto" w:sz="4" w:space="0"/>
              <w:bottom w:val="single" w:color="auto" w:sz="4" w:space="0"/>
              <w:right w:val="single" w:color="auto" w:sz="4" w:space="0"/>
            </w:tcBorders>
            <w:vAlign w:val="center"/>
          </w:tcPr>
          <w:p w14:paraId="5FFA3FA9">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受影响人口变化情况</w:t>
            </w:r>
          </w:p>
        </w:tc>
        <w:tc>
          <w:tcPr>
            <w:tcW w:w="807" w:type="pct"/>
            <w:tcBorders>
              <w:top w:val="single" w:color="auto" w:sz="12" w:space="0"/>
              <w:left w:val="single" w:color="auto" w:sz="4" w:space="0"/>
              <w:bottom w:val="single" w:color="auto" w:sz="4" w:space="0"/>
              <w:right w:val="nil"/>
            </w:tcBorders>
            <w:vAlign w:val="center"/>
          </w:tcPr>
          <w:p w14:paraId="1E691375">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判定等级</w:t>
            </w:r>
          </w:p>
        </w:tc>
      </w:tr>
      <w:tr w14:paraId="6CEEA4BF">
        <w:tblPrEx>
          <w:tblCellMar>
            <w:top w:w="0" w:type="dxa"/>
            <w:left w:w="108" w:type="dxa"/>
            <w:bottom w:w="0" w:type="dxa"/>
            <w:right w:w="108" w:type="dxa"/>
          </w:tblCellMar>
        </w:tblPrEx>
        <w:trPr>
          <w:trHeight w:val="455" w:hRule="exact"/>
        </w:trPr>
        <w:tc>
          <w:tcPr>
            <w:tcW w:w="648" w:type="pct"/>
            <w:tcBorders>
              <w:top w:val="single" w:color="auto" w:sz="4" w:space="0"/>
              <w:left w:val="nil"/>
              <w:bottom w:val="single" w:color="auto" w:sz="12" w:space="0"/>
              <w:right w:val="single" w:color="auto" w:sz="4" w:space="0"/>
            </w:tcBorders>
            <w:vAlign w:val="center"/>
          </w:tcPr>
          <w:p w14:paraId="15E66149">
            <w:pPr>
              <w:pStyle w:val="44"/>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1类</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2类</w:t>
            </w:r>
          </w:p>
        </w:tc>
        <w:tc>
          <w:tcPr>
            <w:tcW w:w="1933" w:type="pct"/>
            <w:tcBorders>
              <w:top w:val="single" w:color="auto" w:sz="4" w:space="0"/>
              <w:left w:val="single" w:color="auto" w:sz="4" w:space="0"/>
              <w:bottom w:val="single" w:color="auto" w:sz="12" w:space="0"/>
              <w:right w:val="single" w:color="auto" w:sz="4" w:space="0"/>
            </w:tcBorders>
            <w:vAlign w:val="center"/>
          </w:tcPr>
          <w:p w14:paraId="422EE57E">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＜3dB（A）</w:t>
            </w:r>
          </w:p>
        </w:tc>
        <w:tc>
          <w:tcPr>
            <w:tcW w:w="1612" w:type="pct"/>
            <w:tcBorders>
              <w:top w:val="single" w:color="auto" w:sz="4" w:space="0"/>
              <w:left w:val="single" w:color="auto" w:sz="4" w:space="0"/>
              <w:bottom w:val="single" w:color="auto" w:sz="12" w:space="0"/>
              <w:right w:val="single" w:color="auto" w:sz="4" w:space="0"/>
            </w:tcBorders>
            <w:vAlign w:val="center"/>
          </w:tcPr>
          <w:p w14:paraId="1C26E08D">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不明显</w:t>
            </w:r>
          </w:p>
        </w:tc>
        <w:tc>
          <w:tcPr>
            <w:tcW w:w="807" w:type="pct"/>
            <w:tcBorders>
              <w:top w:val="single" w:color="auto" w:sz="4" w:space="0"/>
              <w:left w:val="single" w:color="auto" w:sz="4" w:space="0"/>
              <w:bottom w:val="single" w:color="auto" w:sz="12" w:space="0"/>
              <w:right w:val="nil"/>
            </w:tcBorders>
            <w:vAlign w:val="center"/>
          </w:tcPr>
          <w:p w14:paraId="1A814988">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二级</w:t>
            </w:r>
          </w:p>
        </w:tc>
      </w:tr>
    </w:tbl>
    <w:p w14:paraId="1A331206">
      <w:pPr>
        <w:pStyle w:val="39"/>
        <w:rPr>
          <w:rFonts w:hint="default" w:ascii="Times New Roman" w:hAnsi="Times New Roman" w:cs="Times New Roman"/>
          <w:color w:val="auto"/>
          <w:highlight w:val="none"/>
        </w:rPr>
      </w:pPr>
      <w:bookmarkStart w:id="121" w:name="_Toc20540"/>
      <w:r>
        <w:rPr>
          <w:rFonts w:hint="default" w:ascii="Times New Roman" w:hAnsi="Times New Roman" w:cs="Times New Roman"/>
          <w:color w:val="auto"/>
          <w:highlight w:val="none"/>
        </w:rPr>
        <w:t>2.6.5生态环境评价工作等级</w:t>
      </w:r>
      <w:bookmarkEnd w:id="121"/>
    </w:p>
    <w:p w14:paraId="3447338B">
      <w:pPr>
        <w:spacing w:line="500" w:lineRule="exact"/>
        <w:ind w:firstLine="480" w:firstLineChars="200"/>
        <w:rPr>
          <w:rFonts w:hint="default" w:ascii="Times New Roman" w:hAnsi="Times New Roman" w:cs="Times New Roman"/>
          <w:snapToGrid w:val="0"/>
          <w:color w:val="auto"/>
          <w:sz w:val="24"/>
          <w:szCs w:val="22"/>
          <w:highlight w:val="none"/>
        </w:rPr>
      </w:pPr>
      <w:r>
        <w:rPr>
          <w:rFonts w:hint="default" w:ascii="Times New Roman" w:hAnsi="Times New Roman" w:cs="Times New Roman"/>
          <w:snapToGrid w:val="0"/>
          <w:color w:val="auto"/>
          <w:sz w:val="24"/>
          <w:szCs w:val="22"/>
          <w:highlight w:val="none"/>
        </w:rPr>
        <w:t>根据《环境影响评价技术导则 生态影响》（HJ19-2022）规定，按以下原则确定评价等级：</w:t>
      </w:r>
    </w:p>
    <w:p w14:paraId="2A911A4A">
      <w:pPr>
        <w:spacing w:line="500" w:lineRule="exact"/>
        <w:ind w:firstLine="480" w:firstLineChars="200"/>
        <w:rPr>
          <w:rFonts w:hint="default" w:ascii="Times New Roman" w:hAnsi="Times New Roman" w:cs="Times New Roman"/>
          <w:snapToGrid w:val="0"/>
          <w:color w:val="auto"/>
          <w:sz w:val="24"/>
          <w:szCs w:val="22"/>
          <w:highlight w:val="none"/>
        </w:rPr>
      </w:pPr>
      <w:r>
        <w:rPr>
          <w:rFonts w:hint="default" w:ascii="Times New Roman" w:hAnsi="Times New Roman" w:cs="Times New Roman"/>
          <w:snapToGrid w:val="0"/>
          <w:color w:val="auto"/>
          <w:sz w:val="24"/>
          <w:szCs w:val="22"/>
          <w:highlight w:val="none"/>
        </w:rPr>
        <w:t>a）涉及国家公园、自然保护区、世界自然遗产、重要生境时，评价等级为一级；</w:t>
      </w:r>
    </w:p>
    <w:p w14:paraId="1BAA449A">
      <w:pPr>
        <w:spacing w:line="500" w:lineRule="exact"/>
        <w:ind w:firstLine="480" w:firstLineChars="200"/>
        <w:rPr>
          <w:rFonts w:hint="default" w:ascii="Times New Roman" w:hAnsi="Times New Roman" w:cs="Times New Roman"/>
          <w:snapToGrid w:val="0"/>
          <w:color w:val="auto"/>
          <w:sz w:val="24"/>
          <w:szCs w:val="22"/>
          <w:highlight w:val="none"/>
        </w:rPr>
      </w:pPr>
      <w:r>
        <w:rPr>
          <w:rFonts w:hint="default" w:ascii="Times New Roman" w:hAnsi="Times New Roman" w:cs="Times New Roman"/>
          <w:snapToGrid w:val="0"/>
          <w:color w:val="auto"/>
          <w:sz w:val="24"/>
          <w:szCs w:val="22"/>
          <w:highlight w:val="none"/>
        </w:rPr>
        <w:t>b）涉及自然公园时，评价等级为二级；</w:t>
      </w:r>
    </w:p>
    <w:p w14:paraId="6E1698DE">
      <w:pPr>
        <w:spacing w:line="500" w:lineRule="exact"/>
        <w:ind w:firstLine="480" w:firstLineChars="200"/>
        <w:rPr>
          <w:rFonts w:hint="default" w:ascii="Times New Roman" w:hAnsi="Times New Roman" w:cs="Times New Roman"/>
          <w:snapToGrid w:val="0"/>
          <w:color w:val="auto"/>
          <w:sz w:val="24"/>
          <w:szCs w:val="22"/>
          <w:highlight w:val="none"/>
        </w:rPr>
      </w:pPr>
      <w:r>
        <w:rPr>
          <w:rFonts w:hint="default" w:ascii="Times New Roman" w:hAnsi="Times New Roman" w:cs="Times New Roman"/>
          <w:snapToGrid w:val="0"/>
          <w:color w:val="auto"/>
          <w:sz w:val="24"/>
          <w:szCs w:val="22"/>
          <w:highlight w:val="none"/>
        </w:rPr>
        <w:t>c）涉及生态保护红线时，评价等级不低于二级；</w:t>
      </w:r>
    </w:p>
    <w:p w14:paraId="73F35D14">
      <w:pPr>
        <w:spacing w:line="500" w:lineRule="exact"/>
        <w:ind w:firstLine="480" w:firstLineChars="200"/>
        <w:rPr>
          <w:rFonts w:hint="default" w:ascii="Times New Roman" w:hAnsi="Times New Roman" w:cs="Times New Roman"/>
          <w:snapToGrid w:val="0"/>
          <w:color w:val="auto"/>
          <w:sz w:val="24"/>
          <w:szCs w:val="22"/>
          <w:highlight w:val="none"/>
        </w:rPr>
      </w:pPr>
      <w:r>
        <w:rPr>
          <w:rFonts w:hint="default" w:ascii="Times New Roman" w:hAnsi="Times New Roman" w:cs="Times New Roman"/>
          <w:snapToGrid w:val="0"/>
          <w:color w:val="auto"/>
          <w:sz w:val="24"/>
          <w:szCs w:val="22"/>
          <w:highlight w:val="none"/>
        </w:rPr>
        <w:t>d）根据HJ2.3判断属于水文要素影响型且地表水评价等级不低于二级的建设项目，生态影响评价等级不低于二级；</w:t>
      </w:r>
    </w:p>
    <w:p w14:paraId="5A46BFC6">
      <w:pPr>
        <w:spacing w:line="500" w:lineRule="exact"/>
        <w:ind w:firstLine="480" w:firstLineChars="200"/>
        <w:rPr>
          <w:rFonts w:hint="default" w:ascii="Times New Roman" w:hAnsi="Times New Roman" w:cs="Times New Roman"/>
          <w:snapToGrid w:val="0"/>
          <w:color w:val="auto"/>
          <w:sz w:val="24"/>
          <w:szCs w:val="22"/>
          <w:highlight w:val="none"/>
        </w:rPr>
      </w:pPr>
      <w:r>
        <w:rPr>
          <w:rFonts w:hint="default" w:ascii="Times New Roman" w:hAnsi="Times New Roman" w:cs="Times New Roman"/>
          <w:snapToGrid w:val="0"/>
          <w:color w:val="auto"/>
          <w:sz w:val="24"/>
          <w:szCs w:val="22"/>
          <w:highlight w:val="none"/>
        </w:rPr>
        <w:t>e）根据HJ610、HJ964判断地下水水位或土壤影响范围内分布有天然林、公益林、湿地等生态保护目标的建设项目，生态影响评价等级不低于二级；</w:t>
      </w:r>
    </w:p>
    <w:p w14:paraId="67380457">
      <w:pPr>
        <w:spacing w:line="500" w:lineRule="exact"/>
        <w:ind w:firstLine="480" w:firstLineChars="200"/>
        <w:rPr>
          <w:rFonts w:hint="default" w:ascii="Times New Roman" w:hAnsi="Times New Roman" w:cs="Times New Roman"/>
          <w:snapToGrid w:val="0"/>
          <w:color w:val="auto"/>
          <w:sz w:val="24"/>
          <w:szCs w:val="22"/>
          <w:highlight w:val="none"/>
        </w:rPr>
      </w:pPr>
      <w:r>
        <w:rPr>
          <w:rFonts w:hint="default" w:ascii="Times New Roman" w:hAnsi="Times New Roman" w:cs="Times New Roman"/>
          <w:snapToGrid w:val="0"/>
          <w:color w:val="auto"/>
          <w:sz w:val="24"/>
          <w:szCs w:val="22"/>
          <w:highlight w:val="none"/>
        </w:rPr>
        <w:t>f）当工程占地规模大于20km</w:t>
      </w:r>
      <w:r>
        <w:rPr>
          <w:rFonts w:hint="default" w:ascii="Times New Roman" w:hAnsi="Times New Roman" w:cs="Times New Roman"/>
          <w:snapToGrid w:val="0"/>
          <w:color w:val="auto"/>
          <w:sz w:val="24"/>
          <w:szCs w:val="22"/>
          <w:highlight w:val="none"/>
          <w:vertAlign w:val="superscript"/>
        </w:rPr>
        <w:t>2</w:t>
      </w:r>
      <w:r>
        <w:rPr>
          <w:rFonts w:hint="default" w:ascii="Times New Roman" w:hAnsi="Times New Roman" w:cs="Times New Roman"/>
          <w:snapToGrid w:val="0"/>
          <w:color w:val="auto"/>
          <w:sz w:val="24"/>
          <w:szCs w:val="22"/>
          <w:highlight w:val="none"/>
        </w:rPr>
        <w:t>时（包括永久和临时占用陆域和水域），评价等级不低于二级；改扩建项目的占地范围以新增占地（包括陆域和水域）确定；</w:t>
      </w:r>
    </w:p>
    <w:p w14:paraId="6B0B6FA5">
      <w:pPr>
        <w:spacing w:line="500" w:lineRule="exact"/>
        <w:ind w:firstLine="480" w:firstLineChars="200"/>
        <w:rPr>
          <w:rFonts w:hint="default" w:ascii="Times New Roman" w:hAnsi="Times New Roman" w:cs="Times New Roman"/>
          <w:snapToGrid w:val="0"/>
          <w:color w:val="auto"/>
          <w:sz w:val="24"/>
          <w:szCs w:val="22"/>
          <w:highlight w:val="none"/>
        </w:rPr>
      </w:pPr>
      <w:r>
        <w:rPr>
          <w:rFonts w:hint="default" w:ascii="Times New Roman" w:hAnsi="Times New Roman" w:cs="Times New Roman"/>
          <w:snapToGrid w:val="0"/>
          <w:color w:val="auto"/>
          <w:sz w:val="24"/>
          <w:szCs w:val="22"/>
          <w:highlight w:val="none"/>
        </w:rPr>
        <w:t>g）除本条a）、b）、c）、d）、e）、f）以外的情况，评价等级为三级；</w:t>
      </w:r>
    </w:p>
    <w:p w14:paraId="30C6F851">
      <w:pPr>
        <w:spacing w:line="500" w:lineRule="exact"/>
        <w:ind w:firstLine="480" w:firstLineChars="200"/>
        <w:rPr>
          <w:rFonts w:hint="default" w:ascii="Times New Roman" w:hAnsi="Times New Roman" w:cs="Times New Roman"/>
          <w:snapToGrid w:val="0"/>
          <w:color w:val="auto"/>
          <w:sz w:val="24"/>
          <w:szCs w:val="22"/>
          <w:highlight w:val="none"/>
        </w:rPr>
      </w:pPr>
      <w:r>
        <w:rPr>
          <w:rFonts w:hint="default" w:ascii="Times New Roman" w:hAnsi="Times New Roman" w:cs="Times New Roman"/>
          <w:snapToGrid w:val="0"/>
          <w:color w:val="auto"/>
          <w:sz w:val="24"/>
          <w:szCs w:val="22"/>
          <w:highlight w:val="none"/>
        </w:rPr>
        <w:t>h）当评价等级判定同时符合上述多种情况时，应采用其中最高的评价等级。</w:t>
      </w:r>
    </w:p>
    <w:p w14:paraId="5C30FA24">
      <w:pPr>
        <w:spacing w:line="500" w:lineRule="exact"/>
        <w:ind w:firstLine="480" w:firstLineChars="200"/>
        <w:rPr>
          <w:rFonts w:hint="default" w:ascii="Times New Roman" w:hAnsi="Times New Roman" w:cs="Times New Roman"/>
          <w:snapToGrid w:val="0"/>
          <w:color w:val="auto"/>
          <w:sz w:val="24"/>
          <w:szCs w:val="22"/>
          <w:highlight w:val="none"/>
        </w:rPr>
      </w:pPr>
      <w:r>
        <w:rPr>
          <w:rFonts w:hint="default" w:ascii="Times New Roman" w:hAnsi="Times New Roman" w:cs="Times New Roman"/>
          <w:snapToGrid w:val="0"/>
          <w:color w:val="auto"/>
          <w:sz w:val="24"/>
          <w:szCs w:val="22"/>
          <w:highlight w:val="none"/>
        </w:rPr>
        <w:t>符合生态环境分区管控要求且位于原厂界（或永久用地）范围内的污染影响类改扩建项目，位于已批准规划环评的产业园区内且符合规划环评要求、不涉及生态敏感区的污染影响类建设项目，可不确定评价等级，直接进行生态影响简单分析。</w:t>
      </w:r>
    </w:p>
    <w:p w14:paraId="5DF91230">
      <w:pPr>
        <w:pStyle w:val="25"/>
        <w:ind w:firstLine="480"/>
        <w:rPr>
          <w:rFonts w:hint="default" w:ascii="Times New Roman" w:hAnsi="Times New Roman" w:cs="Times New Roman"/>
          <w:snapToGrid w:val="0"/>
          <w:color w:val="auto"/>
          <w:kern w:val="0"/>
          <w:highlight w:val="none"/>
        </w:rPr>
      </w:pPr>
      <w:r>
        <w:rPr>
          <w:rFonts w:hint="default" w:ascii="Times New Roman" w:hAnsi="Times New Roman" w:cs="Times New Roman"/>
          <w:color w:val="auto"/>
          <w:highlight w:val="none"/>
        </w:rPr>
        <w:t>本项目区周边</w:t>
      </w:r>
      <w:r>
        <w:rPr>
          <w:rFonts w:hint="default" w:ascii="Times New Roman" w:hAnsi="Times New Roman" w:cs="Times New Roman"/>
          <w:color w:val="auto"/>
          <w:highlight w:val="none"/>
          <w:lang w:val="en-US" w:eastAsia="zh-CN"/>
        </w:rPr>
        <w:t>不涉及</w:t>
      </w:r>
      <w:r>
        <w:rPr>
          <w:rFonts w:hint="default" w:ascii="Times New Roman" w:hAnsi="Times New Roman" w:cs="Times New Roman"/>
          <w:color w:val="auto"/>
          <w:highlight w:val="none"/>
        </w:rPr>
        <w:t>国家公园、自然保护区、世界自然遗产、重要生境</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自然公</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生态保护红线</w:t>
      </w:r>
      <w:r>
        <w:rPr>
          <w:rFonts w:hint="default" w:ascii="Times New Roman" w:hAnsi="Times New Roman" w:cs="Times New Roman"/>
          <w:color w:val="auto"/>
          <w:highlight w:val="none"/>
          <w:lang w:val="en-US" w:eastAsia="zh-CN"/>
        </w:rPr>
        <w:t>等</w:t>
      </w:r>
      <w:r>
        <w:rPr>
          <w:rFonts w:hint="default" w:ascii="Times New Roman" w:hAnsi="Times New Roman" w:cs="Times New Roman"/>
          <w:color w:val="auto"/>
          <w:highlight w:val="none"/>
        </w:rPr>
        <w:t>，本项目为新建项目，项目总占地面积为</w:t>
      </w:r>
      <w:r>
        <w:rPr>
          <w:rFonts w:hint="default" w:ascii="Times New Roman" w:hAnsi="Times New Roman" w:cs="Times New Roman"/>
          <w:color w:val="auto"/>
          <w:highlight w:val="none"/>
          <w:lang w:val="en-US" w:eastAsia="zh-CN"/>
        </w:rPr>
        <w:t>0.1459</w:t>
      </w:r>
      <w:r>
        <w:rPr>
          <w:rFonts w:hint="default" w:ascii="Times New Roman" w:hAnsi="Times New Roman" w:cs="Times New Roman"/>
          <w:color w:val="auto"/>
          <w:highlight w:val="none"/>
        </w:rPr>
        <w:t>km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＜20km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vertAlign w:val="baseline"/>
          <w:lang w:eastAsia="zh-CN"/>
        </w:rPr>
        <w:t>，</w:t>
      </w:r>
      <w:r>
        <w:rPr>
          <w:rFonts w:hint="default" w:ascii="Times New Roman" w:hAnsi="Times New Roman" w:cs="Times New Roman"/>
          <w:color w:val="auto"/>
          <w:highlight w:val="none"/>
        </w:rPr>
        <w:t>因此确定本项目生态影响评价等级为</w:t>
      </w:r>
      <w:r>
        <w:rPr>
          <w:rFonts w:hint="default" w:ascii="Times New Roman" w:hAnsi="Times New Roman" w:cs="Times New Roman"/>
          <w:color w:val="auto"/>
          <w:highlight w:val="none"/>
          <w:lang w:val="en-US" w:eastAsia="zh-CN"/>
        </w:rPr>
        <w:t>三</w:t>
      </w:r>
      <w:r>
        <w:rPr>
          <w:rFonts w:hint="default" w:ascii="Times New Roman" w:hAnsi="Times New Roman" w:cs="Times New Roman"/>
          <w:color w:val="auto"/>
          <w:highlight w:val="none"/>
        </w:rPr>
        <w:t>级</w:t>
      </w:r>
      <w:r>
        <w:rPr>
          <w:rFonts w:hint="default" w:ascii="Times New Roman" w:hAnsi="Times New Roman" w:cs="Times New Roman"/>
          <w:snapToGrid w:val="0"/>
          <w:color w:val="auto"/>
          <w:kern w:val="0"/>
          <w:highlight w:val="none"/>
        </w:rPr>
        <w:t>。</w:t>
      </w:r>
    </w:p>
    <w:p w14:paraId="058BC1EF">
      <w:pPr>
        <w:pStyle w:val="27"/>
        <w:bidi w:val="0"/>
        <w:rPr>
          <w:rFonts w:hint="default" w:ascii="Times New Roman" w:hAnsi="Times New Roman" w:cs="Times New Roman"/>
          <w:snapToGrid w:val="0"/>
          <w:color w:val="auto"/>
          <w:kern w:val="0"/>
          <w:highlight w:val="none"/>
        </w:rPr>
      </w:pPr>
      <w:r>
        <w:rPr>
          <w:rFonts w:hint="default" w:ascii="Times New Roman" w:hAnsi="Times New Roman" w:cs="Times New Roman"/>
          <w:color w:val="auto"/>
          <w:highlight w:val="none"/>
          <w:lang w:val="zh-CN"/>
        </w:rPr>
        <w:t>表2-6-</w:t>
      </w:r>
      <w:r>
        <w:rPr>
          <w:rFonts w:hint="default" w:ascii="Times New Roman" w:hAnsi="Times New Roman" w:cs="Times New Roman"/>
          <w:color w:val="auto"/>
          <w:highlight w:val="none"/>
          <w:lang w:val="en-US" w:eastAsia="zh-CN"/>
        </w:rPr>
        <w:t>9生态</w:t>
      </w:r>
      <w:r>
        <w:rPr>
          <w:rFonts w:hint="default" w:ascii="Times New Roman" w:hAnsi="Times New Roman" w:cs="Times New Roman"/>
          <w:color w:val="auto"/>
          <w:highlight w:val="none"/>
          <w:lang w:val="zh-CN"/>
        </w:rPr>
        <w:t>环境评价工作等级判断表</w:t>
      </w:r>
    </w:p>
    <w:tbl>
      <w:tblPr>
        <w:tblStyle w:val="20"/>
        <w:tblW w:w="4994"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58"/>
        <w:gridCol w:w="4058"/>
        <w:gridCol w:w="3796"/>
      </w:tblGrid>
      <w:tr w14:paraId="2D17A8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tcBorders>
              <w:tl2br w:val="nil"/>
              <w:tr2bl w:val="nil"/>
            </w:tcBorders>
            <w:vAlign w:val="center"/>
          </w:tcPr>
          <w:p w14:paraId="07F32CE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2383" w:type="pct"/>
            <w:tcBorders>
              <w:tl2br w:val="nil"/>
              <w:tr2bl w:val="nil"/>
            </w:tcBorders>
            <w:vAlign w:val="center"/>
          </w:tcPr>
          <w:p w14:paraId="2801D3B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评价等级判定要求</w:t>
            </w:r>
          </w:p>
        </w:tc>
        <w:tc>
          <w:tcPr>
            <w:tcW w:w="2229" w:type="pct"/>
            <w:tcBorders>
              <w:tl2br w:val="nil"/>
              <w:tr2bl w:val="nil"/>
            </w:tcBorders>
            <w:vAlign w:val="center"/>
          </w:tcPr>
          <w:p w14:paraId="0C6753A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本项目情况</w:t>
            </w:r>
          </w:p>
        </w:tc>
      </w:tr>
      <w:tr w14:paraId="5A0D53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tcBorders>
              <w:tl2br w:val="nil"/>
              <w:tr2bl w:val="nil"/>
            </w:tcBorders>
            <w:vAlign w:val="center"/>
          </w:tcPr>
          <w:p w14:paraId="07536C2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a</w:t>
            </w:r>
          </w:p>
        </w:tc>
        <w:tc>
          <w:tcPr>
            <w:tcW w:w="2383" w:type="pct"/>
            <w:tcBorders>
              <w:tl2br w:val="nil"/>
              <w:tr2bl w:val="nil"/>
            </w:tcBorders>
            <w:vAlign w:val="center"/>
          </w:tcPr>
          <w:p w14:paraId="308FE5C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涉及国家公园、自然保护区、世界自然遗产、重要生境时，评价等级为一级；</w:t>
            </w:r>
          </w:p>
        </w:tc>
        <w:tc>
          <w:tcPr>
            <w:tcW w:w="2229" w:type="pct"/>
            <w:tcBorders>
              <w:tl2br w:val="nil"/>
              <w:tr2bl w:val="nil"/>
            </w:tcBorders>
            <w:vAlign w:val="center"/>
          </w:tcPr>
          <w:p w14:paraId="17D35EB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本项目不涉及国家公园、自然保护区、世界自然遗产、重要生境</w:t>
            </w:r>
          </w:p>
        </w:tc>
      </w:tr>
      <w:tr w14:paraId="63EFF8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387" w:type="pct"/>
            <w:tcBorders>
              <w:tl2br w:val="nil"/>
              <w:tr2bl w:val="nil"/>
            </w:tcBorders>
            <w:vAlign w:val="center"/>
          </w:tcPr>
          <w:p w14:paraId="7EBD530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b</w:t>
            </w:r>
          </w:p>
        </w:tc>
        <w:tc>
          <w:tcPr>
            <w:tcW w:w="2383" w:type="pct"/>
            <w:tcBorders>
              <w:tl2br w:val="nil"/>
              <w:tr2bl w:val="nil"/>
            </w:tcBorders>
            <w:vAlign w:val="center"/>
          </w:tcPr>
          <w:p w14:paraId="45AE01D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涉及自然公园时，评价等级为二级；</w:t>
            </w:r>
          </w:p>
        </w:tc>
        <w:tc>
          <w:tcPr>
            <w:tcW w:w="2229" w:type="pct"/>
            <w:tcBorders>
              <w:tl2br w:val="nil"/>
              <w:tr2bl w:val="nil"/>
            </w:tcBorders>
            <w:vAlign w:val="center"/>
          </w:tcPr>
          <w:p w14:paraId="499A65B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本项目不涉及自然公园</w:t>
            </w:r>
          </w:p>
        </w:tc>
      </w:tr>
      <w:tr w14:paraId="0737C7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tcBorders>
              <w:tl2br w:val="nil"/>
              <w:tr2bl w:val="nil"/>
            </w:tcBorders>
            <w:vAlign w:val="center"/>
          </w:tcPr>
          <w:p w14:paraId="287DD24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c</w:t>
            </w:r>
          </w:p>
        </w:tc>
        <w:tc>
          <w:tcPr>
            <w:tcW w:w="2383" w:type="pct"/>
            <w:tcBorders>
              <w:tl2br w:val="nil"/>
              <w:tr2bl w:val="nil"/>
            </w:tcBorders>
            <w:vAlign w:val="center"/>
          </w:tcPr>
          <w:p w14:paraId="6178CAE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涉及生态保护红线时，评价等级不低于二级；</w:t>
            </w:r>
          </w:p>
        </w:tc>
        <w:tc>
          <w:tcPr>
            <w:tcW w:w="2229" w:type="pct"/>
            <w:tcBorders>
              <w:tl2br w:val="nil"/>
              <w:tr2bl w:val="nil"/>
            </w:tcBorders>
            <w:vAlign w:val="center"/>
          </w:tcPr>
          <w:p w14:paraId="3C24490F">
            <w:pPr>
              <w:pStyle w:val="44"/>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不</w:t>
            </w:r>
            <w:r>
              <w:rPr>
                <w:rFonts w:hint="default" w:ascii="Times New Roman" w:hAnsi="Times New Roman" w:cs="Times New Roman"/>
                <w:color w:val="auto"/>
                <w:highlight w:val="none"/>
              </w:rPr>
              <w:t>涉及生态保护红线</w:t>
            </w:r>
            <w:r>
              <w:rPr>
                <w:rFonts w:hint="default" w:ascii="Times New Roman" w:hAnsi="Times New Roman" w:cs="Times New Roman"/>
                <w:color w:val="auto"/>
                <w:highlight w:val="none"/>
                <w:lang w:eastAsia="zh-CN"/>
              </w:rPr>
              <w:t>。</w:t>
            </w:r>
          </w:p>
        </w:tc>
      </w:tr>
      <w:tr w14:paraId="130E54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2" w:hRule="atLeast"/>
        </w:trPr>
        <w:tc>
          <w:tcPr>
            <w:tcW w:w="387" w:type="pct"/>
            <w:tcBorders>
              <w:tl2br w:val="nil"/>
              <w:tr2bl w:val="nil"/>
            </w:tcBorders>
            <w:vAlign w:val="center"/>
          </w:tcPr>
          <w:p w14:paraId="5A3EBAB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d</w:t>
            </w:r>
          </w:p>
        </w:tc>
        <w:tc>
          <w:tcPr>
            <w:tcW w:w="2383" w:type="pct"/>
            <w:tcBorders>
              <w:tl2br w:val="nil"/>
              <w:tr2bl w:val="nil"/>
            </w:tcBorders>
            <w:vAlign w:val="center"/>
          </w:tcPr>
          <w:p w14:paraId="506305B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根据HJ 2.3判断属于水文要素影响型且地表水评价等级不低于二级的建设项目，生态影响评价等级不低于二级；</w:t>
            </w:r>
          </w:p>
        </w:tc>
        <w:tc>
          <w:tcPr>
            <w:tcW w:w="2229" w:type="pct"/>
            <w:tcBorders>
              <w:tl2br w:val="nil"/>
              <w:tr2bl w:val="nil"/>
            </w:tcBorders>
            <w:vAlign w:val="center"/>
          </w:tcPr>
          <w:p w14:paraId="15217A3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本项目不属于水文要素影响型项目，地表水评价等级为三级B</w:t>
            </w:r>
          </w:p>
        </w:tc>
      </w:tr>
      <w:tr w14:paraId="402AC0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tcBorders>
              <w:tl2br w:val="nil"/>
              <w:tr2bl w:val="nil"/>
            </w:tcBorders>
            <w:vAlign w:val="center"/>
          </w:tcPr>
          <w:p w14:paraId="0421050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e</w:t>
            </w:r>
          </w:p>
        </w:tc>
        <w:tc>
          <w:tcPr>
            <w:tcW w:w="2383" w:type="pct"/>
            <w:tcBorders>
              <w:tl2br w:val="nil"/>
              <w:tr2bl w:val="nil"/>
            </w:tcBorders>
            <w:vAlign w:val="center"/>
          </w:tcPr>
          <w:p w14:paraId="34027F5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根据HJ 610、HJ 964判断地下水水位或土壤影响范围内分布有天然林、公益林、湿地等生态保护目标的建设项目，生态影响评价等级不低于二级；</w:t>
            </w:r>
          </w:p>
        </w:tc>
        <w:tc>
          <w:tcPr>
            <w:tcW w:w="2229" w:type="pct"/>
            <w:tcBorders>
              <w:tl2br w:val="nil"/>
              <w:tr2bl w:val="nil"/>
            </w:tcBorders>
            <w:vAlign w:val="center"/>
          </w:tcPr>
          <w:p w14:paraId="4F330D3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评价区域内无自然保护区、风景名胜区、地下水饮用水源保护区等生态敏感区。项目区域内主要为林地，林地性质不属于国家级公益林和天然林，项目不占用一般湿地和重要湿地，本项目土壤影响范围内不涉及天然林、公益林、湿地等生态保护目标</w:t>
            </w:r>
          </w:p>
        </w:tc>
      </w:tr>
      <w:tr w14:paraId="0E848B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tcBorders>
              <w:tl2br w:val="nil"/>
              <w:tr2bl w:val="nil"/>
            </w:tcBorders>
            <w:vAlign w:val="center"/>
          </w:tcPr>
          <w:p w14:paraId="762F746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f</w:t>
            </w:r>
          </w:p>
        </w:tc>
        <w:tc>
          <w:tcPr>
            <w:tcW w:w="2383" w:type="pct"/>
            <w:tcBorders>
              <w:tl2br w:val="nil"/>
              <w:tr2bl w:val="nil"/>
            </w:tcBorders>
            <w:vAlign w:val="center"/>
          </w:tcPr>
          <w:p w14:paraId="4D91929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当工程占地规模大于20km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时（包括永久和临时占用陆域和水域），评价等级不低于二级；改扩建项目的占地范围以新增占地（包括陆域和水域）确定；</w:t>
            </w:r>
          </w:p>
        </w:tc>
        <w:tc>
          <w:tcPr>
            <w:tcW w:w="2229" w:type="pct"/>
            <w:tcBorders>
              <w:tl2br w:val="nil"/>
              <w:tr2bl w:val="nil"/>
            </w:tcBorders>
            <w:vAlign w:val="center"/>
          </w:tcPr>
          <w:p w14:paraId="1D6E4AA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本项目为新建项目，项目总占地面积为0.0</w:t>
            </w:r>
            <w:r>
              <w:rPr>
                <w:rFonts w:hint="default" w:ascii="Times New Roman" w:hAnsi="Times New Roman" w:cs="Times New Roman"/>
                <w:color w:val="auto"/>
                <w:highlight w:val="none"/>
                <w:lang w:val="en-US" w:eastAsia="zh-CN"/>
              </w:rPr>
              <w:t>462</w:t>
            </w:r>
            <w:r>
              <w:rPr>
                <w:rFonts w:hint="default" w:ascii="Times New Roman" w:hAnsi="Times New Roman" w:cs="Times New Roman"/>
                <w:color w:val="auto"/>
                <w:highlight w:val="none"/>
              </w:rPr>
              <w:t>km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＜20km</w:t>
            </w:r>
            <w:r>
              <w:rPr>
                <w:rFonts w:hint="default" w:ascii="Times New Roman" w:hAnsi="Times New Roman" w:cs="Times New Roman"/>
                <w:color w:val="auto"/>
                <w:highlight w:val="none"/>
                <w:vertAlign w:val="superscript"/>
              </w:rPr>
              <w:t>2</w:t>
            </w:r>
          </w:p>
        </w:tc>
      </w:tr>
      <w:tr w14:paraId="26942B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tcBorders>
              <w:tl2br w:val="nil"/>
              <w:tr2bl w:val="nil"/>
            </w:tcBorders>
            <w:vAlign w:val="center"/>
          </w:tcPr>
          <w:p w14:paraId="6EDE891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g</w:t>
            </w:r>
          </w:p>
        </w:tc>
        <w:tc>
          <w:tcPr>
            <w:tcW w:w="2383" w:type="pct"/>
            <w:tcBorders>
              <w:tl2br w:val="nil"/>
              <w:tr2bl w:val="nil"/>
            </w:tcBorders>
            <w:vAlign w:val="center"/>
          </w:tcPr>
          <w:p w14:paraId="2525B3E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除本条a）、b）、c）、d）、e）、f）以外的情况，评价等级为三级；</w:t>
            </w:r>
          </w:p>
        </w:tc>
        <w:tc>
          <w:tcPr>
            <w:tcW w:w="2229" w:type="pct"/>
            <w:tcBorders>
              <w:tl2br w:val="nil"/>
              <w:tr2bl w:val="nil"/>
            </w:tcBorders>
            <w:vAlign w:val="center"/>
          </w:tcPr>
          <w:p w14:paraId="2CF4950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属于</w:t>
            </w:r>
            <w:r>
              <w:rPr>
                <w:rFonts w:hint="default" w:ascii="Times New Roman" w:hAnsi="Times New Roman" w:cs="Times New Roman"/>
                <w:color w:val="auto"/>
                <w:highlight w:val="none"/>
                <w:lang w:val="en-US" w:eastAsia="zh-CN"/>
              </w:rPr>
              <w:t>以上</w:t>
            </w:r>
            <w:r>
              <w:rPr>
                <w:rFonts w:hint="default" w:ascii="Times New Roman" w:hAnsi="Times New Roman" w:cs="Times New Roman"/>
                <w:color w:val="auto"/>
                <w:highlight w:val="none"/>
              </w:rPr>
              <w:t>情况，故项目评价等级为</w:t>
            </w:r>
            <w:r>
              <w:rPr>
                <w:rFonts w:hint="default" w:ascii="Times New Roman" w:hAnsi="Times New Roman" w:cs="Times New Roman"/>
                <w:color w:val="auto"/>
                <w:highlight w:val="none"/>
                <w:lang w:val="en-US" w:eastAsia="zh-CN"/>
              </w:rPr>
              <w:t>三</w:t>
            </w:r>
            <w:r>
              <w:rPr>
                <w:rFonts w:hint="default" w:ascii="Times New Roman" w:hAnsi="Times New Roman" w:cs="Times New Roman"/>
                <w:color w:val="auto"/>
                <w:highlight w:val="none"/>
              </w:rPr>
              <w:t>级</w:t>
            </w:r>
          </w:p>
        </w:tc>
      </w:tr>
      <w:tr w14:paraId="443823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7" w:type="pct"/>
            <w:tcBorders>
              <w:tl2br w:val="nil"/>
              <w:tr2bl w:val="nil"/>
            </w:tcBorders>
            <w:vAlign w:val="center"/>
          </w:tcPr>
          <w:p w14:paraId="4CD7750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h</w:t>
            </w:r>
          </w:p>
        </w:tc>
        <w:tc>
          <w:tcPr>
            <w:tcW w:w="2383" w:type="pct"/>
            <w:tcBorders>
              <w:tl2br w:val="nil"/>
              <w:tr2bl w:val="nil"/>
            </w:tcBorders>
            <w:vAlign w:val="center"/>
          </w:tcPr>
          <w:p w14:paraId="40ECE63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当评价等级判定同时符合上述多种情况时，应采用其中最高的评价等</w:t>
            </w:r>
          </w:p>
        </w:tc>
        <w:tc>
          <w:tcPr>
            <w:tcW w:w="2229" w:type="pct"/>
            <w:tcBorders>
              <w:tl2br w:val="nil"/>
              <w:tr2bl w:val="nil"/>
            </w:tcBorders>
            <w:vAlign w:val="center"/>
          </w:tcPr>
          <w:p w14:paraId="4497FD2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本项目废水不外排，不涉及水生生态影响，只涉及陆生生态影响，项目评价等级判定不同时符合上述多种情况</w:t>
            </w:r>
          </w:p>
        </w:tc>
      </w:tr>
    </w:tbl>
    <w:p w14:paraId="13F1F180">
      <w:pPr>
        <w:pStyle w:val="39"/>
        <w:rPr>
          <w:rFonts w:hint="default" w:ascii="Times New Roman" w:hAnsi="Times New Roman" w:cs="Times New Roman"/>
          <w:color w:val="auto"/>
          <w:highlight w:val="none"/>
        </w:rPr>
      </w:pPr>
      <w:bookmarkStart w:id="122" w:name="_Toc22920"/>
      <w:r>
        <w:rPr>
          <w:rFonts w:hint="default" w:ascii="Times New Roman" w:hAnsi="Times New Roman" w:cs="Times New Roman"/>
          <w:color w:val="auto"/>
          <w:highlight w:val="none"/>
        </w:rPr>
        <w:t>2.6.6风险评价工作等级</w:t>
      </w:r>
      <w:bookmarkEnd w:id="122"/>
    </w:p>
    <w:p w14:paraId="43CA7100">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highlight w:val="none"/>
        </w:rPr>
        <w:t>（1）Q值的确定</w:t>
      </w:r>
    </w:p>
    <w:p w14:paraId="485DDB00">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根据《建设项目环境风险评价技术导则》（HJ 169-2018）附录C，Q按下式进行计算：</w:t>
      </w:r>
    </w:p>
    <w:p w14:paraId="53A76C36">
      <w:pPr>
        <w:ind w:firstLine="480" w:firstLineChars="20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drawing>
          <wp:inline distT="0" distB="0" distL="0" distR="0">
            <wp:extent cx="1400175" cy="390525"/>
            <wp:effectExtent l="0" t="0" r="9525" b="9525"/>
            <wp:docPr id="202189482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894829" name="图片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1400175" cy="390525"/>
                    </a:xfrm>
                    <a:prstGeom prst="rect">
                      <a:avLst/>
                    </a:prstGeom>
                    <a:noFill/>
                    <a:ln>
                      <a:noFill/>
                    </a:ln>
                  </pic:spPr>
                </pic:pic>
              </a:graphicData>
            </a:graphic>
          </wp:inline>
        </w:drawing>
      </w:r>
    </w:p>
    <w:p w14:paraId="58EF2BF5">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式中：q1，q2……qn－每种危险物质的最大存在量，t；</w:t>
      </w:r>
    </w:p>
    <w:p w14:paraId="6A7635C3">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Q1，Q2……Qn－每种危险物质的临界量，t。</w:t>
      </w:r>
    </w:p>
    <w:p w14:paraId="53F958EC">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当Q＜1时，该项目环境风险潜势为</w:t>
      </w:r>
      <w:r>
        <w:rPr>
          <w:rFonts w:hint="default" w:ascii="Times New Roman" w:hAnsi="Times New Roman" w:cs="Times New Roman"/>
          <w:color w:val="auto"/>
          <w:sz w:val="24"/>
          <w:highlight w:val="none"/>
        </w:rPr>
        <w:fldChar w:fldCharType="begin"/>
      </w:r>
      <w:r>
        <w:rPr>
          <w:rFonts w:hint="default" w:ascii="Times New Roman" w:hAnsi="Times New Roman" w:cs="Times New Roman"/>
          <w:color w:val="auto"/>
          <w:sz w:val="24"/>
          <w:highlight w:val="none"/>
        </w:rPr>
        <w:instrText xml:space="preserve"> = 1 \* ROMAN </w:instrText>
      </w:r>
      <w:r>
        <w:rPr>
          <w:rFonts w:hint="default" w:ascii="Times New Roman" w:hAnsi="Times New Roman" w:cs="Times New Roman"/>
          <w:color w:val="auto"/>
          <w:sz w:val="24"/>
          <w:highlight w:val="none"/>
        </w:rPr>
        <w:fldChar w:fldCharType="separate"/>
      </w:r>
      <w:r>
        <w:rPr>
          <w:rFonts w:hint="default" w:ascii="Times New Roman" w:hAnsi="Times New Roman" w:cs="Times New Roman"/>
          <w:color w:val="auto"/>
          <w:sz w:val="24"/>
          <w:highlight w:val="none"/>
        </w:rPr>
        <w:t>I</w:t>
      </w:r>
      <w:r>
        <w:rPr>
          <w:rFonts w:hint="default" w:ascii="Times New Roman" w:hAnsi="Times New Roman" w:cs="Times New Roman"/>
          <w:color w:val="auto"/>
          <w:sz w:val="24"/>
          <w:highlight w:val="none"/>
        </w:rPr>
        <w:fldChar w:fldCharType="end"/>
      </w:r>
      <w:r>
        <w:rPr>
          <w:rFonts w:hint="default" w:ascii="Times New Roman" w:hAnsi="Times New Roman" w:cs="Times New Roman"/>
          <w:color w:val="auto"/>
          <w:sz w:val="24"/>
          <w:highlight w:val="none"/>
        </w:rPr>
        <w:t>。</w:t>
      </w:r>
    </w:p>
    <w:p w14:paraId="1FD542D5">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当Q≥1时，将Q值划分为：（1）1≤Q＜10；（2）10≤Q＜100；（3）Q≥100。</w:t>
      </w:r>
    </w:p>
    <w:p w14:paraId="5371AAD6">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利用煤矸石对废弃采坑进行回填复垦，煤矸石不属于《建设项目环境风险评价技术导则》（HJ169-2018）中规定的环境风险物质，本次项目煤矸石回填过程不涉及危险化学品及危险物质，所以本项目可直接判定项目环境风险潜势为Ⅰ级。</w:t>
      </w:r>
    </w:p>
    <w:p w14:paraId="4AB3BC31">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（2）环境风险潜势判断结果</w:t>
      </w:r>
    </w:p>
    <w:p w14:paraId="6C478594">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建设项目环境风险潜势划分为：Ⅰ、Ⅱ、Ⅲ、Ⅳ/Ⅳ</w:t>
      </w:r>
      <w:r>
        <w:rPr>
          <w:rFonts w:hint="default" w:ascii="Times New Roman" w:hAnsi="Times New Roman" w:cs="Times New Roman"/>
          <w:color w:val="auto"/>
          <w:sz w:val="24"/>
          <w:highlight w:val="none"/>
          <w:vertAlign w:val="superscript"/>
        </w:rPr>
        <w:t>+</w:t>
      </w:r>
      <w:r>
        <w:rPr>
          <w:rFonts w:hint="default" w:ascii="Times New Roman" w:hAnsi="Times New Roman" w:cs="Times New Roman"/>
          <w:color w:val="auto"/>
          <w:sz w:val="24"/>
          <w:highlight w:val="none"/>
        </w:rPr>
        <w:t>级。根据建设项目涉及的物质和工艺系统的危险性及其所在地的环境敏感程度，结合事故情形下环境影响途径，对建设项目潜在环境危害程度进行概化分析，按照下表确定环境风险潜势。</w:t>
      </w:r>
    </w:p>
    <w:p w14:paraId="0EDC808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表2-6-10建设项目环境风险潜势划分</w:t>
      </w:r>
    </w:p>
    <w:tbl>
      <w:tblPr>
        <w:tblStyle w:val="20"/>
        <w:tblW w:w="5000" w:type="pct"/>
        <w:tblInd w:w="0" w:type="dxa"/>
        <w:tblLayout w:type="autofit"/>
        <w:tblCellMar>
          <w:top w:w="0" w:type="dxa"/>
          <w:left w:w="108" w:type="dxa"/>
          <w:bottom w:w="0" w:type="dxa"/>
          <w:right w:w="108" w:type="dxa"/>
        </w:tblCellMar>
      </w:tblPr>
      <w:tblGrid>
        <w:gridCol w:w="1704"/>
        <w:gridCol w:w="1704"/>
        <w:gridCol w:w="1704"/>
        <w:gridCol w:w="1705"/>
        <w:gridCol w:w="1705"/>
      </w:tblGrid>
      <w:tr w14:paraId="6F580AB3">
        <w:tblPrEx>
          <w:tblCellMar>
            <w:top w:w="0" w:type="dxa"/>
            <w:left w:w="108" w:type="dxa"/>
            <w:bottom w:w="0" w:type="dxa"/>
            <w:right w:w="108" w:type="dxa"/>
          </w:tblCellMar>
        </w:tblPrEx>
        <w:trPr>
          <w:trHeight w:val="385" w:hRule="atLeast"/>
        </w:trPr>
        <w:tc>
          <w:tcPr>
            <w:tcW w:w="1000" w:type="pct"/>
            <w:vMerge w:val="restart"/>
            <w:tcBorders>
              <w:top w:val="single" w:color="auto" w:sz="12" w:space="0"/>
              <w:left w:val="nil"/>
              <w:bottom w:val="single" w:color="auto" w:sz="4" w:space="0"/>
              <w:right w:val="single" w:color="auto" w:sz="4" w:space="0"/>
            </w:tcBorders>
          </w:tcPr>
          <w:p w14:paraId="3C3C1F0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环境敏感程度（E）</w:t>
            </w:r>
          </w:p>
        </w:tc>
        <w:tc>
          <w:tcPr>
            <w:tcW w:w="4000" w:type="pct"/>
            <w:gridSpan w:val="4"/>
            <w:tcBorders>
              <w:top w:val="single" w:color="auto" w:sz="12" w:space="0"/>
              <w:left w:val="single" w:color="auto" w:sz="4" w:space="0"/>
              <w:bottom w:val="single" w:color="auto" w:sz="4" w:space="0"/>
              <w:right w:val="nil"/>
            </w:tcBorders>
          </w:tcPr>
          <w:p w14:paraId="6980054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危险物质及工艺系统危险性（P）</w:t>
            </w:r>
          </w:p>
        </w:tc>
      </w:tr>
      <w:tr w14:paraId="32DE39B3">
        <w:tblPrEx>
          <w:tblCellMar>
            <w:top w:w="0" w:type="dxa"/>
            <w:left w:w="108" w:type="dxa"/>
            <w:bottom w:w="0" w:type="dxa"/>
            <w:right w:w="108" w:type="dxa"/>
          </w:tblCellMar>
        </w:tblPrEx>
        <w:trPr>
          <w:trHeight w:val="459" w:hRule="atLeast"/>
        </w:trPr>
        <w:tc>
          <w:tcPr>
            <w:tcW w:w="0" w:type="auto"/>
            <w:vMerge w:val="continue"/>
            <w:tcBorders>
              <w:top w:val="single" w:color="auto" w:sz="12" w:space="0"/>
              <w:left w:val="nil"/>
              <w:bottom w:val="single" w:color="auto" w:sz="4" w:space="0"/>
              <w:right w:val="single" w:color="auto" w:sz="4" w:space="0"/>
            </w:tcBorders>
          </w:tcPr>
          <w:p w14:paraId="1F9F69EB">
            <w:pPr>
              <w:pStyle w:val="44"/>
              <w:bidi w:val="0"/>
              <w:rPr>
                <w:rFonts w:hint="default" w:ascii="Times New Roman" w:hAnsi="Times New Roman" w:cs="Times New Roman"/>
                <w:color w:val="auto"/>
                <w:highlight w:val="none"/>
                <w:lang w:val="zh-CN"/>
              </w:rPr>
            </w:pPr>
          </w:p>
        </w:tc>
        <w:tc>
          <w:tcPr>
            <w:tcW w:w="1000" w:type="pct"/>
            <w:tcBorders>
              <w:top w:val="single" w:color="auto" w:sz="4" w:space="0"/>
              <w:left w:val="single" w:color="auto" w:sz="4" w:space="0"/>
              <w:bottom w:val="single" w:color="auto" w:sz="4" w:space="0"/>
              <w:right w:val="single" w:color="auto" w:sz="4" w:space="0"/>
            </w:tcBorders>
          </w:tcPr>
          <w:p w14:paraId="41AF1DA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极高危害（P1）</w:t>
            </w:r>
          </w:p>
        </w:tc>
        <w:tc>
          <w:tcPr>
            <w:tcW w:w="1000" w:type="pct"/>
            <w:tcBorders>
              <w:top w:val="single" w:color="auto" w:sz="4" w:space="0"/>
              <w:left w:val="single" w:color="auto" w:sz="4" w:space="0"/>
              <w:bottom w:val="single" w:color="auto" w:sz="4" w:space="0"/>
              <w:right w:val="single" w:color="auto" w:sz="4" w:space="0"/>
            </w:tcBorders>
          </w:tcPr>
          <w:p w14:paraId="7610B1B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高度危害（P2）</w:t>
            </w:r>
          </w:p>
        </w:tc>
        <w:tc>
          <w:tcPr>
            <w:tcW w:w="1000" w:type="pct"/>
            <w:tcBorders>
              <w:top w:val="single" w:color="auto" w:sz="4" w:space="0"/>
              <w:left w:val="single" w:color="auto" w:sz="4" w:space="0"/>
              <w:bottom w:val="single" w:color="auto" w:sz="4" w:space="0"/>
              <w:right w:val="single" w:color="auto" w:sz="4" w:space="0"/>
            </w:tcBorders>
          </w:tcPr>
          <w:p w14:paraId="797E4F2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中度危害（P3）</w:t>
            </w:r>
          </w:p>
        </w:tc>
        <w:tc>
          <w:tcPr>
            <w:tcW w:w="1001" w:type="pct"/>
            <w:tcBorders>
              <w:top w:val="single" w:color="auto" w:sz="4" w:space="0"/>
              <w:left w:val="single" w:color="auto" w:sz="4" w:space="0"/>
              <w:bottom w:val="single" w:color="auto" w:sz="4" w:space="0"/>
              <w:right w:val="nil"/>
            </w:tcBorders>
          </w:tcPr>
          <w:p w14:paraId="7DAEB83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轻度危害（P4）</w:t>
            </w:r>
          </w:p>
        </w:tc>
      </w:tr>
      <w:tr w14:paraId="3CC66EF4">
        <w:tblPrEx>
          <w:tblCellMar>
            <w:top w:w="0" w:type="dxa"/>
            <w:left w:w="108" w:type="dxa"/>
            <w:bottom w:w="0" w:type="dxa"/>
            <w:right w:w="108" w:type="dxa"/>
          </w:tblCellMar>
        </w:tblPrEx>
        <w:trPr>
          <w:trHeight w:val="340" w:hRule="atLeast"/>
        </w:trPr>
        <w:tc>
          <w:tcPr>
            <w:tcW w:w="1000" w:type="pct"/>
            <w:tcBorders>
              <w:top w:val="single" w:color="auto" w:sz="4" w:space="0"/>
              <w:left w:val="nil"/>
              <w:bottom w:val="single" w:color="auto" w:sz="4" w:space="0"/>
              <w:right w:val="single" w:color="auto" w:sz="4" w:space="0"/>
            </w:tcBorders>
          </w:tcPr>
          <w:p w14:paraId="12585D8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环境高度敏感区（E1）</w:t>
            </w:r>
          </w:p>
        </w:tc>
        <w:tc>
          <w:tcPr>
            <w:tcW w:w="1000" w:type="pct"/>
            <w:tcBorders>
              <w:top w:val="single" w:color="auto" w:sz="4" w:space="0"/>
              <w:left w:val="single" w:color="auto" w:sz="4" w:space="0"/>
              <w:bottom w:val="single" w:color="auto" w:sz="4" w:space="0"/>
              <w:right w:val="single" w:color="auto" w:sz="4" w:space="0"/>
            </w:tcBorders>
          </w:tcPr>
          <w:p w14:paraId="63089AD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Ⅳ+</w:t>
            </w:r>
          </w:p>
        </w:tc>
        <w:tc>
          <w:tcPr>
            <w:tcW w:w="1000" w:type="pct"/>
            <w:tcBorders>
              <w:top w:val="single" w:color="auto" w:sz="4" w:space="0"/>
              <w:left w:val="single" w:color="auto" w:sz="4" w:space="0"/>
              <w:bottom w:val="single" w:color="auto" w:sz="4" w:space="0"/>
              <w:right w:val="single" w:color="auto" w:sz="4" w:space="0"/>
            </w:tcBorders>
          </w:tcPr>
          <w:p w14:paraId="5C284C8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Ⅳ</w:t>
            </w:r>
          </w:p>
        </w:tc>
        <w:tc>
          <w:tcPr>
            <w:tcW w:w="1000" w:type="pct"/>
            <w:tcBorders>
              <w:top w:val="single" w:color="auto" w:sz="4" w:space="0"/>
              <w:left w:val="single" w:color="auto" w:sz="4" w:space="0"/>
              <w:bottom w:val="single" w:color="auto" w:sz="4" w:space="0"/>
              <w:right w:val="single" w:color="auto" w:sz="4" w:space="0"/>
            </w:tcBorders>
          </w:tcPr>
          <w:p w14:paraId="110C692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Ⅲ</w:t>
            </w:r>
          </w:p>
        </w:tc>
        <w:tc>
          <w:tcPr>
            <w:tcW w:w="1001" w:type="pct"/>
            <w:tcBorders>
              <w:top w:val="single" w:color="auto" w:sz="4" w:space="0"/>
              <w:left w:val="single" w:color="auto" w:sz="4" w:space="0"/>
              <w:bottom w:val="single" w:color="auto" w:sz="4" w:space="0"/>
              <w:right w:val="nil"/>
            </w:tcBorders>
          </w:tcPr>
          <w:p w14:paraId="242BBB8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Ⅲ</w:t>
            </w:r>
          </w:p>
        </w:tc>
      </w:tr>
      <w:tr w14:paraId="258FA609">
        <w:tblPrEx>
          <w:tblCellMar>
            <w:top w:w="0" w:type="dxa"/>
            <w:left w:w="108" w:type="dxa"/>
            <w:bottom w:w="0" w:type="dxa"/>
            <w:right w:w="108" w:type="dxa"/>
          </w:tblCellMar>
        </w:tblPrEx>
        <w:trPr>
          <w:trHeight w:val="340" w:hRule="atLeast"/>
        </w:trPr>
        <w:tc>
          <w:tcPr>
            <w:tcW w:w="1000" w:type="pct"/>
            <w:tcBorders>
              <w:top w:val="single" w:color="auto" w:sz="4" w:space="0"/>
              <w:left w:val="nil"/>
              <w:bottom w:val="single" w:color="auto" w:sz="4" w:space="0"/>
              <w:right w:val="single" w:color="auto" w:sz="4" w:space="0"/>
            </w:tcBorders>
          </w:tcPr>
          <w:p w14:paraId="239B6DF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环境中度敏感区（E2）</w:t>
            </w:r>
          </w:p>
        </w:tc>
        <w:tc>
          <w:tcPr>
            <w:tcW w:w="1000" w:type="pct"/>
            <w:tcBorders>
              <w:top w:val="single" w:color="auto" w:sz="4" w:space="0"/>
              <w:left w:val="single" w:color="auto" w:sz="4" w:space="0"/>
              <w:bottom w:val="single" w:color="auto" w:sz="4" w:space="0"/>
              <w:right w:val="single" w:color="auto" w:sz="4" w:space="0"/>
            </w:tcBorders>
          </w:tcPr>
          <w:p w14:paraId="1CD6891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Ⅳ</w:t>
            </w:r>
          </w:p>
        </w:tc>
        <w:tc>
          <w:tcPr>
            <w:tcW w:w="1000" w:type="pct"/>
            <w:tcBorders>
              <w:top w:val="single" w:color="auto" w:sz="4" w:space="0"/>
              <w:left w:val="single" w:color="auto" w:sz="4" w:space="0"/>
              <w:bottom w:val="single" w:color="auto" w:sz="4" w:space="0"/>
              <w:right w:val="single" w:color="auto" w:sz="4" w:space="0"/>
            </w:tcBorders>
          </w:tcPr>
          <w:p w14:paraId="6D5590C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Ⅲ</w:t>
            </w:r>
          </w:p>
        </w:tc>
        <w:tc>
          <w:tcPr>
            <w:tcW w:w="1000" w:type="pct"/>
            <w:tcBorders>
              <w:top w:val="single" w:color="auto" w:sz="4" w:space="0"/>
              <w:left w:val="single" w:color="auto" w:sz="4" w:space="0"/>
              <w:bottom w:val="single" w:color="auto" w:sz="4" w:space="0"/>
              <w:right w:val="single" w:color="auto" w:sz="4" w:space="0"/>
            </w:tcBorders>
          </w:tcPr>
          <w:p w14:paraId="069F9A8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Ⅲ</w:t>
            </w:r>
          </w:p>
        </w:tc>
        <w:tc>
          <w:tcPr>
            <w:tcW w:w="1001" w:type="pct"/>
            <w:tcBorders>
              <w:top w:val="single" w:color="auto" w:sz="4" w:space="0"/>
              <w:left w:val="single" w:color="auto" w:sz="4" w:space="0"/>
              <w:bottom w:val="single" w:color="auto" w:sz="4" w:space="0"/>
              <w:right w:val="nil"/>
            </w:tcBorders>
          </w:tcPr>
          <w:p w14:paraId="33F6FE8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Ⅱ</w:t>
            </w:r>
          </w:p>
        </w:tc>
      </w:tr>
      <w:tr w14:paraId="48AAAD13">
        <w:tblPrEx>
          <w:tblCellMar>
            <w:top w:w="0" w:type="dxa"/>
            <w:left w:w="108" w:type="dxa"/>
            <w:bottom w:w="0" w:type="dxa"/>
            <w:right w:w="108" w:type="dxa"/>
          </w:tblCellMar>
        </w:tblPrEx>
        <w:trPr>
          <w:trHeight w:val="340" w:hRule="atLeast"/>
        </w:trPr>
        <w:tc>
          <w:tcPr>
            <w:tcW w:w="1000" w:type="pct"/>
            <w:tcBorders>
              <w:top w:val="single" w:color="auto" w:sz="4" w:space="0"/>
              <w:left w:val="nil"/>
              <w:bottom w:val="single" w:color="auto" w:sz="4" w:space="0"/>
              <w:right w:val="single" w:color="auto" w:sz="4" w:space="0"/>
            </w:tcBorders>
          </w:tcPr>
          <w:p w14:paraId="12E1801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环境低度敏感区（E3）</w:t>
            </w:r>
          </w:p>
        </w:tc>
        <w:tc>
          <w:tcPr>
            <w:tcW w:w="1000" w:type="pct"/>
            <w:tcBorders>
              <w:top w:val="single" w:color="auto" w:sz="4" w:space="0"/>
              <w:left w:val="single" w:color="auto" w:sz="4" w:space="0"/>
              <w:bottom w:val="single" w:color="auto" w:sz="4" w:space="0"/>
              <w:right w:val="single" w:color="auto" w:sz="4" w:space="0"/>
            </w:tcBorders>
          </w:tcPr>
          <w:p w14:paraId="6FFAA2A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Ⅲ</w:t>
            </w:r>
          </w:p>
        </w:tc>
        <w:tc>
          <w:tcPr>
            <w:tcW w:w="1000" w:type="pct"/>
            <w:tcBorders>
              <w:top w:val="single" w:color="auto" w:sz="4" w:space="0"/>
              <w:left w:val="single" w:color="auto" w:sz="4" w:space="0"/>
              <w:bottom w:val="single" w:color="auto" w:sz="4" w:space="0"/>
              <w:right w:val="single" w:color="auto" w:sz="4" w:space="0"/>
            </w:tcBorders>
          </w:tcPr>
          <w:p w14:paraId="7D3ECD6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Ⅲ</w:t>
            </w:r>
          </w:p>
        </w:tc>
        <w:tc>
          <w:tcPr>
            <w:tcW w:w="1000" w:type="pct"/>
            <w:tcBorders>
              <w:top w:val="single" w:color="auto" w:sz="4" w:space="0"/>
              <w:left w:val="single" w:color="auto" w:sz="4" w:space="0"/>
              <w:bottom w:val="single" w:color="auto" w:sz="4" w:space="0"/>
              <w:right w:val="single" w:color="auto" w:sz="4" w:space="0"/>
            </w:tcBorders>
          </w:tcPr>
          <w:p w14:paraId="6D5A3E6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Ⅱ</w:t>
            </w:r>
          </w:p>
        </w:tc>
        <w:tc>
          <w:tcPr>
            <w:tcW w:w="1001" w:type="pct"/>
            <w:tcBorders>
              <w:top w:val="single" w:color="auto" w:sz="4" w:space="0"/>
              <w:left w:val="single" w:color="auto" w:sz="4" w:space="0"/>
              <w:bottom w:val="single" w:color="auto" w:sz="4" w:space="0"/>
              <w:right w:val="nil"/>
            </w:tcBorders>
          </w:tcPr>
          <w:p w14:paraId="3A18135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Ⅰ</w:t>
            </w:r>
          </w:p>
        </w:tc>
      </w:tr>
      <w:tr w14:paraId="649F853D">
        <w:tblPrEx>
          <w:tblCellMar>
            <w:top w:w="0" w:type="dxa"/>
            <w:left w:w="108" w:type="dxa"/>
            <w:bottom w:w="0" w:type="dxa"/>
            <w:right w:w="108" w:type="dxa"/>
          </w:tblCellMar>
        </w:tblPrEx>
        <w:trPr>
          <w:trHeight w:val="503" w:hRule="atLeast"/>
        </w:trPr>
        <w:tc>
          <w:tcPr>
            <w:tcW w:w="5000" w:type="pct"/>
            <w:gridSpan w:val="5"/>
            <w:tcBorders>
              <w:top w:val="single" w:color="auto" w:sz="4" w:space="0"/>
              <w:left w:val="nil"/>
              <w:bottom w:val="single" w:color="auto" w:sz="12" w:space="0"/>
              <w:right w:val="nil"/>
            </w:tcBorders>
          </w:tcPr>
          <w:p w14:paraId="56BE7BC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注：</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4 \* ROMAN \* MERGEFORMAT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IV</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+为极高环境风险；危险物质数量与临界量比值Q＜1，项目环境风险潜势为I。</w:t>
            </w:r>
          </w:p>
        </w:tc>
      </w:tr>
    </w:tbl>
    <w:p w14:paraId="56C77057">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highlight w:val="none"/>
        </w:rPr>
        <w:t>本项目Q＜1，根据《建设项目环境风险评价技术导则》（HJ169-2018）附录C，本项目危险物质数量与临界量比值Q＜1，最终确定本项目环境风险潜势为</w:t>
      </w:r>
      <w:r>
        <w:rPr>
          <w:rFonts w:hint="default" w:ascii="Times New Roman" w:hAnsi="Times New Roman" w:cs="Times New Roman"/>
          <w:color w:val="auto"/>
          <w:sz w:val="24"/>
          <w:highlight w:val="none"/>
        </w:rPr>
        <w:fldChar w:fldCharType="begin"/>
      </w:r>
      <w:r>
        <w:rPr>
          <w:rFonts w:hint="default" w:ascii="Times New Roman" w:hAnsi="Times New Roman" w:cs="Times New Roman"/>
          <w:color w:val="auto"/>
          <w:sz w:val="24"/>
          <w:highlight w:val="none"/>
        </w:rPr>
        <w:instrText xml:space="preserve"> = 1 \* ROMAN </w:instrText>
      </w:r>
      <w:r>
        <w:rPr>
          <w:rFonts w:hint="default" w:ascii="Times New Roman" w:hAnsi="Times New Roman" w:cs="Times New Roman"/>
          <w:color w:val="auto"/>
          <w:sz w:val="24"/>
          <w:highlight w:val="none"/>
        </w:rPr>
        <w:fldChar w:fldCharType="separate"/>
      </w:r>
      <w:r>
        <w:rPr>
          <w:rFonts w:hint="default" w:ascii="Times New Roman" w:hAnsi="Times New Roman" w:cs="Times New Roman"/>
          <w:color w:val="auto"/>
          <w:sz w:val="24"/>
          <w:highlight w:val="none"/>
        </w:rPr>
        <w:t>I</w:t>
      </w:r>
      <w:r>
        <w:rPr>
          <w:rFonts w:hint="default" w:ascii="Times New Roman" w:hAnsi="Times New Roman" w:cs="Times New Roman"/>
          <w:color w:val="auto"/>
          <w:sz w:val="24"/>
          <w:highlight w:val="none"/>
        </w:rPr>
        <w:fldChar w:fldCharType="end"/>
      </w:r>
      <w:r>
        <w:rPr>
          <w:rFonts w:hint="default" w:ascii="Times New Roman" w:hAnsi="Times New Roman" w:cs="Times New Roman"/>
          <w:color w:val="auto"/>
          <w:sz w:val="24"/>
          <w:highlight w:val="none"/>
        </w:rPr>
        <w:t>。</w:t>
      </w:r>
    </w:p>
    <w:p w14:paraId="3C2DAB1F">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（3）风险评价等级</w:t>
      </w:r>
    </w:p>
    <w:p w14:paraId="3F0AA538">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依据《建设项目环境风险评价技术导则》（HJ169-2018）的有关规定，环境风险评价工作等级划分为一级、二级、三级。根据建设项目涉及的物质及工艺系统危险性和所在地的环境敏感性确定环境风险潜势，按照下表确定评价工作等级。风险潜势为Ⅳ及以上，进行一级评价；风险潜势为Ⅲ，进行二级评价；风险潜势为Ⅱ，进行三级评价；风险潜势为Ⅰ，可开展简单分析。</w:t>
      </w:r>
    </w:p>
    <w:p w14:paraId="167130D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表2-6-11风险评价工作等级划分表</w:t>
      </w:r>
    </w:p>
    <w:tbl>
      <w:tblPr>
        <w:tblStyle w:val="20"/>
        <w:tblW w:w="5000" w:type="pct"/>
        <w:tblInd w:w="0" w:type="dxa"/>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1704"/>
        <w:gridCol w:w="1704"/>
        <w:gridCol w:w="1704"/>
        <w:gridCol w:w="1705"/>
        <w:gridCol w:w="1705"/>
      </w:tblGrid>
      <w:tr w14:paraId="5E6A573B">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000" w:type="pct"/>
            <w:tcBorders>
              <w:top w:val="single" w:color="auto" w:sz="12" w:space="0"/>
              <w:left w:val="nil"/>
              <w:bottom w:val="single" w:color="auto" w:sz="8" w:space="0"/>
              <w:right w:val="single" w:color="auto" w:sz="8" w:space="0"/>
            </w:tcBorders>
            <w:vAlign w:val="center"/>
          </w:tcPr>
          <w:p w14:paraId="0F6B2CE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环境风险潜势</w:t>
            </w:r>
          </w:p>
        </w:tc>
        <w:tc>
          <w:tcPr>
            <w:tcW w:w="1000" w:type="pct"/>
            <w:tcBorders>
              <w:top w:val="single" w:color="auto" w:sz="12" w:space="0"/>
              <w:left w:val="single" w:color="auto" w:sz="8" w:space="0"/>
              <w:bottom w:val="single" w:color="auto" w:sz="8" w:space="0"/>
              <w:right w:val="single" w:color="auto" w:sz="8" w:space="0"/>
            </w:tcBorders>
            <w:vAlign w:val="center"/>
          </w:tcPr>
          <w:p w14:paraId="1DA6656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Ⅳ、Ⅳ+</w:t>
            </w:r>
          </w:p>
        </w:tc>
        <w:tc>
          <w:tcPr>
            <w:tcW w:w="1000" w:type="pct"/>
            <w:tcBorders>
              <w:top w:val="single" w:color="auto" w:sz="12" w:space="0"/>
              <w:left w:val="single" w:color="auto" w:sz="8" w:space="0"/>
              <w:bottom w:val="single" w:color="auto" w:sz="8" w:space="0"/>
              <w:right w:val="single" w:color="auto" w:sz="8" w:space="0"/>
            </w:tcBorders>
            <w:vAlign w:val="center"/>
          </w:tcPr>
          <w:p w14:paraId="138BC3F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Ⅲ</w:t>
            </w:r>
          </w:p>
        </w:tc>
        <w:tc>
          <w:tcPr>
            <w:tcW w:w="1000" w:type="pct"/>
            <w:tcBorders>
              <w:top w:val="single" w:color="auto" w:sz="12" w:space="0"/>
              <w:left w:val="single" w:color="auto" w:sz="8" w:space="0"/>
              <w:bottom w:val="single" w:color="auto" w:sz="8" w:space="0"/>
              <w:right w:val="single" w:color="auto" w:sz="8" w:space="0"/>
            </w:tcBorders>
            <w:vAlign w:val="center"/>
          </w:tcPr>
          <w:p w14:paraId="73EA3F2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Ⅱ</w:t>
            </w:r>
          </w:p>
        </w:tc>
        <w:tc>
          <w:tcPr>
            <w:tcW w:w="1000" w:type="pct"/>
            <w:tcBorders>
              <w:top w:val="single" w:color="auto" w:sz="12" w:space="0"/>
              <w:left w:val="single" w:color="auto" w:sz="8" w:space="0"/>
              <w:bottom w:val="single" w:color="auto" w:sz="8" w:space="0"/>
              <w:right w:val="nil"/>
            </w:tcBorders>
            <w:vAlign w:val="center"/>
          </w:tcPr>
          <w:p w14:paraId="7C86E77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Ⅰ</w:t>
            </w:r>
          </w:p>
        </w:tc>
      </w:tr>
      <w:tr w14:paraId="50DD6D35">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000" w:type="pct"/>
            <w:tcBorders>
              <w:top w:val="single" w:color="auto" w:sz="8" w:space="0"/>
              <w:left w:val="nil"/>
              <w:bottom w:val="single" w:color="auto" w:sz="8" w:space="0"/>
              <w:right w:val="single" w:color="auto" w:sz="8" w:space="0"/>
            </w:tcBorders>
            <w:vAlign w:val="center"/>
          </w:tcPr>
          <w:p w14:paraId="30A169A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评价工作等级</w:t>
            </w:r>
          </w:p>
        </w:tc>
        <w:tc>
          <w:tcPr>
            <w:tcW w:w="1000" w:type="pct"/>
            <w:tcBorders>
              <w:top w:val="single" w:color="auto" w:sz="8" w:space="0"/>
              <w:left w:val="single" w:color="auto" w:sz="8" w:space="0"/>
              <w:bottom w:val="single" w:color="auto" w:sz="8" w:space="0"/>
              <w:right w:val="single" w:color="auto" w:sz="8" w:space="0"/>
            </w:tcBorders>
            <w:vAlign w:val="center"/>
          </w:tcPr>
          <w:p w14:paraId="3B5EB86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一</w:t>
            </w:r>
          </w:p>
        </w:tc>
        <w:tc>
          <w:tcPr>
            <w:tcW w:w="1000" w:type="pct"/>
            <w:tcBorders>
              <w:top w:val="single" w:color="auto" w:sz="8" w:space="0"/>
              <w:left w:val="single" w:color="auto" w:sz="8" w:space="0"/>
              <w:bottom w:val="single" w:color="auto" w:sz="8" w:space="0"/>
              <w:right w:val="single" w:color="auto" w:sz="8" w:space="0"/>
            </w:tcBorders>
            <w:vAlign w:val="center"/>
          </w:tcPr>
          <w:p w14:paraId="3BD542F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二</w:t>
            </w:r>
          </w:p>
        </w:tc>
        <w:tc>
          <w:tcPr>
            <w:tcW w:w="1000" w:type="pct"/>
            <w:tcBorders>
              <w:top w:val="single" w:color="auto" w:sz="8" w:space="0"/>
              <w:left w:val="single" w:color="auto" w:sz="8" w:space="0"/>
              <w:bottom w:val="single" w:color="auto" w:sz="8" w:space="0"/>
              <w:right w:val="single" w:color="auto" w:sz="8" w:space="0"/>
            </w:tcBorders>
            <w:vAlign w:val="center"/>
          </w:tcPr>
          <w:p w14:paraId="7F77387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三</w:t>
            </w:r>
          </w:p>
        </w:tc>
        <w:tc>
          <w:tcPr>
            <w:tcW w:w="1000" w:type="pct"/>
            <w:tcBorders>
              <w:top w:val="single" w:color="auto" w:sz="8" w:space="0"/>
              <w:left w:val="single" w:color="auto" w:sz="8" w:space="0"/>
              <w:bottom w:val="single" w:color="auto" w:sz="8" w:space="0"/>
              <w:right w:val="nil"/>
            </w:tcBorders>
            <w:vAlign w:val="center"/>
          </w:tcPr>
          <w:p w14:paraId="1BBD867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shd w:val="clear" w:color="FFFFFF" w:fill="D9D9D9"/>
              </w:rPr>
              <w:t>简单分析a</w:t>
            </w:r>
          </w:p>
        </w:tc>
      </w:tr>
      <w:tr w14:paraId="54FC3CE5">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5000" w:type="pct"/>
            <w:gridSpan w:val="5"/>
            <w:tcBorders>
              <w:top w:val="single" w:color="auto" w:sz="8" w:space="0"/>
              <w:left w:val="nil"/>
              <w:bottom w:val="single" w:color="auto" w:sz="12" w:space="0"/>
              <w:right w:val="nil"/>
            </w:tcBorders>
            <w:vAlign w:val="center"/>
          </w:tcPr>
          <w:p w14:paraId="59B3778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a：是相对于详细评价工作内容而言，在描述危险物质、环境影响途径、环境危害后果、风险防范措施等方面给出定性的说明。</w:t>
            </w:r>
          </w:p>
        </w:tc>
      </w:tr>
    </w:tbl>
    <w:p w14:paraId="6BB8FD66">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本项目环境风险潜势为Ⅰ，根据《建设项目环境风险评价技术导则》（HJ169-2018），本报告进行简单风险分析。</w:t>
      </w:r>
    </w:p>
    <w:p w14:paraId="32DE1496">
      <w:pPr>
        <w:pStyle w:val="39"/>
        <w:rPr>
          <w:rFonts w:hint="default" w:ascii="Times New Roman" w:hAnsi="Times New Roman" w:cs="Times New Roman"/>
          <w:color w:val="auto"/>
          <w:highlight w:val="none"/>
        </w:rPr>
      </w:pPr>
      <w:bookmarkStart w:id="123" w:name="_Toc8406"/>
      <w:r>
        <w:rPr>
          <w:rFonts w:hint="default" w:ascii="Times New Roman" w:hAnsi="Times New Roman" w:cs="Times New Roman"/>
          <w:color w:val="auto"/>
          <w:highlight w:val="none"/>
        </w:rPr>
        <w:t>2.6.7土壤评价工作等级</w:t>
      </w:r>
      <w:bookmarkEnd w:id="123"/>
    </w:p>
    <w:p w14:paraId="0CC892F1">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（1）项目类别</w:t>
      </w:r>
    </w:p>
    <w:p w14:paraId="05B9CFDE">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本项目的煤矸石根据固体废物鉴别标准鉴别为一般工业固体废物，其影响类似于</w:t>
      </w:r>
      <w:bookmarkStart w:id="124" w:name="_Hlk69720803"/>
      <w:r>
        <w:rPr>
          <w:rFonts w:hint="default" w:ascii="Times New Roman" w:hAnsi="Times New Roman" w:cs="Times New Roman"/>
          <w:color w:val="auto"/>
          <w:highlight w:val="none"/>
        </w:rPr>
        <w:t>《环境影响评价技术导则 土壤环境》（HJ964-2018）</w:t>
      </w:r>
      <w:bookmarkEnd w:id="124"/>
      <w:r>
        <w:rPr>
          <w:rFonts w:hint="default" w:ascii="Times New Roman" w:hAnsi="Times New Roman" w:cs="Times New Roman"/>
          <w:color w:val="auto"/>
          <w:highlight w:val="none"/>
        </w:rPr>
        <w:t>附录A中“环境和公共设施管理业 采取填埋和焚烧方式的一般工业固体废物处置及综合利用”，项目类别为Ⅱ类。</w:t>
      </w:r>
    </w:p>
    <w:p w14:paraId="4468207C">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（2）环境影响类型</w:t>
      </w:r>
    </w:p>
    <w:p w14:paraId="69B30EA9">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鉴于煤矸石回填有可能对土壤环境带来污染影响，故项目属于污染影响型。</w:t>
      </w:r>
    </w:p>
    <w:p w14:paraId="15464C87">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（3）项目规模及敏感程度</w:t>
      </w:r>
    </w:p>
    <w:p w14:paraId="44F2966F">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2#项目区</w:t>
      </w:r>
      <w:r>
        <w:rPr>
          <w:rFonts w:hint="default" w:ascii="Times New Roman" w:hAnsi="Times New Roman" w:cs="Times New Roman"/>
          <w:color w:val="auto"/>
          <w:highlight w:val="none"/>
        </w:rPr>
        <w:t>占地</w:t>
      </w:r>
      <w:r>
        <w:rPr>
          <w:rFonts w:hint="default" w:ascii="Times New Roman" w:hAnsi="Times New Roman" w:cs="Times New Roman"/>
          <w:color w:val="auto"/>
          <w:highlight w:val="none"/>
          <w:lang w:val="en-US" w:eastAsia="zh-CN"/>
        </w:rPr>
        <w:t>6.48</w:t>
      </w:r>
      <w:r>
        <w:rPr>
          <w:rFonts w:hint="default" w:ascii="Times New Roman" w:hAnsi="Times New Roman" w:cs="Times New Roman"/>
          <w:color w:val="auto"/>
          <w:highlight w:val="none"/>
        </w:rPr>
        <w:t>hm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大于</w:t>
      </w:r>
      <w:r>
        <w:rPr>
          <w:rFonts w:hint="default" w:ascii="Times New Roman" w:hAnsi="Times New Roman" w:cs="Times New Roman"/>
          <w:color w:val="auto"/>
          <w:highlight w:val="none"/>
        </w:rPr>
        <w:t>5hm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），按占地规模分类判定为“</w:t>
      </w:r>
      <w:r>
        <w:rPr>
          <w:rFonts w:hint="default" w:ascii="Times New Roman" w:hAnsi="Times New Roman" w:cs="Times New Roman"/>
          <w:color w:val="auto"/>
          <w:highlight w:val="none"/>
          <w:lang w:val="en-US" w:eastAsia="zh-CN"/>
        </w:rPr>
        <w:t>中</w:t>
      </w:r>
      <w:r>
        <w:rPr>
          <w:rFonts w:hint="default" w:ascii="Times New Roman" w:hAnsi="Times New Roman" w:cs="Times New Roman"/>
          <w:color w:val="auto"/>
          <w:highlight w:val="none"/>
        </w:rPr>
        <w:t>型”。项目所在地及周边存在农田和林地，土壤环境敏感程度判别为“敏感”。</w:t>
      </w:r>
    </w:p>
    <w:p w14:paraId="2981ED6D">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表2-6-12污染影响型敏感程度分级表</w:t>
      </w:r>
    </w:p>
    <w:tbl>
      <w:tblPr>
        <w:tblStyle w:val="20"/>
        <w:tblW w:w="8250" w:type="dxa"/>
        <w:jc w:val="center"/>
        <w:tblLayout w:type="fixed"/>
        <w:tblCellMar>
          <w:top w:w="0" w:type="dxa"/>
          <w:left w:w="0" w:type="dxa"/>
          <w:bottom w:w="0" w:type="dxa"/>
          <w:right w:w="0" w:type="dxa"/>
        </w:tblCellMar>
      </w:tblPr>
      <w:tblGrid>
        <w:gridCol w:w="1626"/>
        <w:gridCol w:w="6624"/>
      </w:tblGrid>
      <w:tr w14:paraId="2918AC07">
        <w:tblPrEx>
          <w:tblCellMar>
            <w:top w:w="0" w:type="dxa"/>
            <w:left w:w="0" w:type="dxa"/>
            <w:bottom w:w="0" w:type="dxa"/>
            <w:right w:w="0" w:type="dxa"/>
          </w:tblCellMar>
        </w:tblPrEx>
        <w:trPr>
          <w:trHeight w:val="350" w:hRule="atLeast"/>
          <w:jc w:val="center"/>
        </w:trPr>
        <w:tc>
          <w:tcPr>
            <w:tcW w:w="1626" w:type="dxa"/>
            <w:tcBorders>
              <w:top w:val="single" w:color="000000" w:sz="12" w:space="0"/>
              <w:left w:val="nil"/>
              <w:bottom w:val="single" w:color="000000" w:sz="4" w:space="0"/>
              <w:right w:val="single" w:color="000000" w:sz="4" w:space="0"/>
            </w:tcBorders>
            <w:vAlign w:val="center"/>
          </w:tcPr>
          <w:p w14:paraId="787E44E9">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敏感程度</w:t>
            </w:r>
          </w:p>
        </w:tc>
        <w:tc>
          <w:tcPr>
            <w:tcW w:w="6624" w:type="dxa"/>
            <w:tcBorders>
              <w:top w:val="single" w:color="000000" w:sz="12" w:space="0"/>
              <w:left w:val="single" w:color="000000" w:sz="4" w:space="0"/>
              <w:bottom w:val="single" w:color="000000" w:sz="4" w:space="0"/>
              <w:right w:val="nil"/>
            </w:tcBorders>
            <w:vAlign w:val="center"/>
          </w:tcPr>
          <w:p w14:paraId="1F26A871">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判别依据</w:t>
            </w:r>
          </w:p>
        </w:tc>
      </w:tr>
      <w:tr w14:paraId="0C1D4C4C">
        <w:tblPrEx>
          <w:tblCellMar>
            <w:top w:w="0" w:type="dxa"/>
            <w:left w:w="0" w:type="dxa"/>
            <w:bottom w:w="0" w:type="dxa"/>
            <w:right w:w="0" w:type="dxa"/>
          </w:tblCellMar>
        </w:tblPrEx>
        <w:trPr>
          <w:trHeight w:val="64" w:hRule="atLeast"/>
          <w:jc w:val="center"/>
        </w:trPr>
        <w:tc>
          <w:tcPr>
            <w:tcW w:w="1626" w:type="dxa"/>
            <w:tcBorders>
              <w:top w:val="single" w:color="000000" w:sz="4" w:space="0"/>
              <w:left w:val="nil"/>
              <w:bottom w:val="single" w:color="000000" w:sz="4" w:space="0"/>
              <w:right w:val="single" w:color="000000" w:sz="4" w:space="0"/>
            </w:tcBorders>
            <w:vAlign w:val="center"/>
          </w:tcPr>
          <w:p w14:paraId="328C4C21">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敏感</w:t>
            </w:r>
          </w:p>
        </w:tc>
        <w:tc>
          <w:tcPr>
            <w:tcW w:w="6624" w:type="dxa"/>
            <w:tcBorders>
              <w:top w:val="single" w:color="000000" w:sz="4" w:space="0"/>
              <w:left w:val="single" w:color="000000" w:sz="4" w:space="0"/>
              <w:bottom w:val="single" w:color="000000" w:sz="4" w:space="0"/>
              <w:right w:val="nil"/>
            </w:tcBorders>
            <w:vAlign w:val="center"/>
          </w:tcPr>
          <w:p w14:paraId="4B5161A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建设项目周边存在耕地、园地、牧草地、饮用水水源地或居民区、学校、医院、疗养院、养老院等土壤环境敏感目标的</w:t>
            </w:r>
          </w:p>
        </w:tc>
      </w:tr>
      <w:tr w14:paraId="038B6286">
        <w:tblPrEx>
          <w:tblCellMar>
            <w:top w:w="0" w:type="dxa"/>
            <w:left w:w="0" w:type="dxa"/>
            <w:bottom w:w="0" w:type="dxa"/>
            <w:right w:w="0" w:type="dxa"/>
          </w:tblCellMar>
        </w:tblPrEx>
        <w:trPr>
          <w:trHeight w:val="400" w:hRule="atLeast"/>
          <w:jc w:val="center"/>
        </w:trPr>
        <w:tc>
          <w:tcPr>
            <w:tcW w:w="1626" w:type="dxa"/>
            <w:tcBorders>
              <w:top w:val="single" w:color="000000" w:sz="4" w:space="0"/>
              <w:left w:val="nil"/>
              <w:bottom w:val="single" w:color="000000" w:sz="4" w:space="0"/>
              <w:right w:val="single" w:color="000000" w:sz="4" w:space="0"/>
            </w:tcBorders>
            <w:vAlign w:val="center"/>
          </w:tcPr>
          <w:p w14:paraId="5B04AB4B">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较敏感</w:t>
            </w:r>
          </w:p>
        </w:tc>
        <w:tc>
          <w:tcPr>
            <w:tcW w:w="6624" w:type="dxa"/>
            <w:tcBorders>
              <w:top w:val="single" w:color="000000" w:sz="4" w:space="0"/>
              <w:left w:val="single" w:color="000000" w:sz="4" w:space="0"/>
              <w:bottom w:val="single" w:color="000000" w:sz="4" w:space="0"/>
              <w:right w:val="nil"/>
            </w:tcBorders>
            <w:vAlign w:val="center"/>
          </w:tcPr>
          <w:p w14:paraId="5D2C321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建设项目周边存在其他土壤环境敏感目标</w:t>
            </w:r>
          </w:p>
        </w:tc>
      </w:tr>
      <w:tr w14:paraId="79A2BA19">
        <w:tblPrEx>
          <w:tblCellMar>
            <w:top w:w="0" w:type="dxa"/>
            <w:left w:w="0" w:type="dxa"/>
            <w:bottom w:w="0" w:type="dxa"/>
            <w:right w:w="0" w:type="dxa"/>
          </w:tblCellMar>
        </w:tblPrEx>
        <w:trPr>
          <w:trHeight w:val="395" w:hRule="atLeast"/>
          <w:jc w:val="center"/>
        </w:trPr>
        <w:tc>
          <w:tcPr>
            <w:tcW w:w="1626" w:type="dxa"/>
            <w:tcBorders>
              <w:top w:val="single" w:color="000000" w:sz="4" w:space="0"/>
              <w:left w:val="nil"/>
              <w:bottom w:val="single" w:color="000000" w:sz="12" w:space="0"/>
              <w:right w:val="single" w:color="000000" w:sz="4" w:space="0"/>
            </w:tcBorders>
            <w:vAlign w:val="center"/>
          </w:tcPr>
          <w:p w14:paraId="154F55F2">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不敏感</w:t>
            </w:r>
          </w:p>
        </w:tc>
        <w:tc>
          <w:tcPr>
            <w:tcW w:w="6624" w:type="dxa"/>
            <w:tcBorders>
              <w:top w:val="single" w:color="000000" w:sz="4" w:space="0"/>
              <w:left w:val="single" w:color="000000" w:sz="4" w:space="0"/>
              <w:bottom w:val="single" w:color="000000" w:sz="12" w:space="0"/>
              <w:right w:val="nil"/>
            </w:tcBorders>
            <w:vAlign w:val="center"/>
          </w:tcPr>
          <w:p w14:paraId="1FA0DF49">
            <w:pPr>
              <w:pStyle w:val="44"/>
              <w:bidi w:val="0"/>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其他情况</w:t>
            </w:r>
          </w:p>
        </w:tc>
      </w:tr>
    </w:tbl>
    <w:p w14:paraId="72CA5554">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（4）评价等级</w:t>
      </w:r>
    </w:p>
    <w:p w14:paraId="57386848">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根据《环境影响评价技术导则 土壤环境》（HJ964-2018）可知，本项目土壤环境影响评价工作等级为二级。</w:t>
      </w:r>
    </w:p>
    <w:p w14:paraId="2A057A3C">
      <w:pPr>
        <w:pStyle w:val="27"/>
        <w:bidi w:val="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mc:AlternateContent>
          <mc:Choice Requires="wps">
            <w:drawing>
              <wp:anchor distT="45720" distB="45720" distL="114300" distR="114300" simplePos="0" relativeHeight="251663360" behindDoc="0" locked="0" layoutInCell="1" allowOverlap="1">
                <wp:simplePos x="0" y="0"/>
                <wp:positionH relativeFrom="column">
                  <wp:posOffset>685800</wp:posOffset>
                </wp:positionH>
                <wp:positionV relativeFrom="paragraph">
                  <wp:posOffset>268605</wp:posOffset>
                </wp:positionV>
                <wp:extent cx="672465" cy="285750"/>
                <wp:effectExtent l="0" t="0" r="0" b="0"/>
                <wp:wrapNone/>
                <wp:docPr id="79351000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72465" cy="285750"/>
                        </a:xfrm>
                        <a:prstGeom prst="rect">
                          <a:avLst/>
                        </a:prstGeom>
                        <a:noFill/>
                        <a:ln w="9525">
                          <a:noFill/>
                          <a:miter lim="800000"/>
                        </a:ln>
                      </wps:spPr>
                      <wps:txbx>
                        <w:txbxContent>
                          <w:p w14:paraId="19AC8600">
                            <w:pPr>
                              <w:rPr>
                                <w:sz w:val="15"/>
                                <w:szCs w:val="15"/>
                              </w:rPr>
                            </w:pPr>
                            <w:r>
                              <w:rPr>
                                <w:rFonts w:hint="eastAsia"/>
                                <w:sz w:val="15"/>
                                <w:szCs w:val="15"/>
                              </w:rPr>
                              <w:t>项目类别</w:t>
                            </w:r>
                          </w:p>
                        </w:txbxContent>
                      </wps:txbx>
                      <wps:bodyPr rot="0" vertOverflow="clip" horzOverflow="clip" vert="horz" wrap="square" lIns="91440" tIns="45720" rIns="91440" bIns="45720" anchor="t" anchorCtr="0">
                        <a:noAutofit/>
                      </wps:bodyPr>
                    </wps:wsp>
                  </a:graphicData>
                </a:graphic>
              </wp:anchor>
            </w:drawing>
          </mc:Choice>
          <mc:Fallback>
            <w:pict>
              <v:shape id="文本框 2" o:spid="_x0000_s1026" o:spt="202" type="#_x0000_t202" style="position:absolute;left:0pt;margin-left:54pt;margin-top:21.15pt;height:22.5pt;width:52.95pt;z-index:251663360;mso-width-relative:page;mso-height-relative:page;" filled="f" stroked="f" coordsize="21600,21600" o:gfxdata="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5JW34tcAAAAJAQAADwAAAAAAAAABACAAAAAiAAAAZHJzL2Rv&#10;d25yZXYueG1sUEsBAhQAFAAAAAgAh07iQIME0TU7AgAAWAQAAA4AAAAAAAAAAQAgAAAAJgEAAGRy&#10;cy9lMm9Eb2MueG1sUEsFBgAAAAAGAAYAWQEAANMFAAAAAA==&#10;">
                <v:fill on="f" focussize="0,0"/>
                <v:stroke on="f" miterlimit="8" joinstyle="miter"/>
                <v:imagedata o:title=""/>
                <o:lock v:ext="edit" aspectratio="f"/>
                <v:textbox>
                  <w:txbxContent>
                    <w:p w14:paraId="19AC8600">
                      <w:pPr>
                        <w:rPr>
                          <w:sz w:val="15"/>
                          <w:szCs w:val="15"/>
                        </w:rPr>
                      </w:pPr>
                      <w:r>
                        <w:rPr>
                          <w:rFonts w:hint="eastAsia"/>
                          <w:sz w:val="15"/>
                          <w:szCs w:val="15"/>
                        </w:rPr>
                        <w:t>项目类别</w:t>
                      </w:r>
                    </w:p>
                  </w:txbxContent>
                </v:textbox>
              </v:shape>
            </w:pict>
          </mc:Fallback>
        </mc:AlternateContent>
      </w:r>
      <w:r>
        <w:rPr>
          <w:rFonts w:hint="default" w:ascii="Times New Roman" w:hAnsi="Times New Roman" w:eastAsia="宋体" w:cs="Times New Roman"/>
          <w:color w:val="auto"/>
          <w:highlight w:val="none"/>
          <w:lang w:val="zh-CN"/>
        </w:rPr>
        <w:t>表2-6-13土壤环境评价工作等级划分表</w:t>
      </w:r>
    </w:p>
    <w:tbl>
      <w:tblPr>
        <w:tblStyle w:val="20"/>
        <w:tblW w:w="8310"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05"/>
        <w:gridCol w:w="689"/>
        <w:gridCol w:w="694"/>
        <w:gridCol w:w="689"/>
        <w:gridCol w:w="693"/>
        <w:gridCol w:w="691"/>
        <w:gridCol w:w="691"/>
        <w:gridCol w:w="829"/>
        <w:gridCol w:w="693"/>
        <w:gridCol w:w="736"/>
      </w:tblGrid>
      <w:tr w14:paraId="21E7DC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05" w:type="dxa"/>
            <w:vMerge w:val="restart"/>
            <w:tcBorders>
              <w:top w:val="single" w:color="auto" w:sz="12" w:space="0"/>
              <w:left w:val="nil"/>
              <w:bottom w:val="single" w:color="auto" w:sz="4" w:space="0"/>
              <w:right w:val="single" w:color="auto" w:sz="4" w:space="0"/>
            </w:tcBorders>
            <w:vAlign w:val="center"/>
          </w:tcPr>
          <w:p w14:paraId="2F2F0EBD">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rPr>
              <mc:AlternateContent>
                <mc:Choice Requires="wps">
                  <w:drawing>
                    <wp:anchor distT="45720" distB="45720" distL="114300" distR="114300" simplePos="0" relativeHeight="251662336" behindDoc="0" locked="0" layoutInCell="1" allowOverlap="1">
                      <wp:simplePos x="0" y="0"/>
                      <wp:positionH relativeFrom="column">
                        <wp:posOffset>440690</wp:posOffset>
                      </wp:positionH>
                      <wp:positionV relativeFrom="paragraph">
                        <wp:posOffset>102235</wp:posOffset>
                      </wp:positionV>
                      <wp:extent cx="972820" cy="285115"/>
                      <wp:effectExtent l="0" t="0" r="0" b="635"/>
                      <wp:wrapNone/>
                      <wp:docPr id="635577921" name="文本框 2"/>
                      <wp:cNvGraphicFramePr/>
                      <a:graphic xmlns:a="http://schemas.openxmlformats.org/drawingml/2006/main">
                        <a:graphicData uri="http://schemas.microsoft.com/office/word/2010/wordprocessingShape">
                          <wps:wsp>
                            <wps:cNvSpPr txBox="1">
                              <a:spLocks noChangeArrowheads="1"/>
                            </wps:cNvSpPr>
                            <wps:spPr bwMode="auto">
                              <a:xfrm>
                                <a:off x="0" y="0"/>
                                <a:ext cx="972820" cy="285115"/>
                              </a:xfrm>
                              <a:prstGeom prst="rect">
                                <a:avLst/>
                              </a:prstGeom>
                              <a:noFill/>
                              <a:ln w="9525">
                                <a:noFill/>
                                <a:miter lim="800000"/>
                              </a:ln>
                            </wps:spPr>
                            <wps:txbx>
                              <w:txbxContent>
                                <w:p w14:paraId="538BCD2A">
                                  <w:pPr>
                                    <w:rPr>
                                      <w:sz w:val="15"/>
                                      <w:szCs w:val="15"/>
                                    </w:rPr>
                                  </w:pPr>
                                  <w:r>
                                    <w:rPr>
                                      <w:rFonts w:hint="eastAsia"/>
                                      <w:sz w:val="15"/>
                                      <w:szCs w:val="15"/>
                                    </w:rPr>
                                    <w:t>评价工作等级</w:t>
                                  </w:r>
                                </w:p>
                              </w:txbxContent>
                            </wps:txbx>
                            <wps:bodyPr rot="0" vertOverflow="clip" horzOverflow="clip" vert="horz" wrap="square" lIns="91440" tIns="45720" rIns="91440" bIns="45720" anchor="t" anchorCtr="0">
                              <a:noAutofit/>
                            </wps:bodyPr>
                          </wps:wsp>
                        </a:graphicData>
                      </a:graphic>
                    </wp:anchor>
                  </w:drawing>
                </mc:Choice>
                <mc:Fallback>
                  <w:pict>
                    <v:shape id="文本框 2" o:spid="_x0000_s1026" o:spt="202" type="#_x0000_t202" style="position:absolute;left:0pt;margin-left:34.7pt;margin-top:8.05pt;height:22.45pt;width:76.6pt;z-index:251662336;mso-width-relative:page;mso-height-relative:page;" filled="f" stroked="f" coordsize="21600,21600" o:gfxdata="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IKOvlvUAAAACAEAAA8AAAAAAAAAAQAgAAAAIgAAAGRycy9kb3ducmV2&#10;LnhtbFBLAQIUABQAAAAIAIdO4kD30ReDOQIAAFgEAAAOAAAAAAAAAAEAIAAAACMBAABkcnMvZTJv&#10;RG9jLnhtbFBLBQYAAAAABgAGAFkBAADOBQAAAAA=&#10;">
                      <v:fill on="f" focussize="0,0"/>
                      <v:stroke on="f" miterlimit="8" joinstyle="miter"/>
                      <v:imagedata o:title=""/>
                      <o:lock v:ext="edit" aspectratio="f"/>
                      <v:textbox>
                        <w:txbxContent>
                          <w:p w14:paraId="538BCD2A">
                            <w:pPr>
                              <w:rPr>
                                <w:sz w:val="15"/>
                                <w:szCs w:val="15"/>
                              </w:rPr>
                            </w:pPr>
                            <w:r>
                              <w:rPr>
                                <w:rFonts w:hint="eastAsia"/>
                                <w:sz w:val="15"/>
                                <w:szCs w:val="15"/>
                              </w:rPr>
                              <w:t>评价工作等级</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66432" behindDoc="0" locked="0" layoutInCell="1" allowOverlap="1">
                      <wp:simplePos x="0" y="0"/>
                      <wp:positionH relativeFrom="column">
                        <wp:posOffset>-33020</wp:posOffset>
                      </wp:positionH>
                      <wp:positionV relativeFrom="paragraph">
                        <wp:posOffset>12700</wp:posOffset>
                      </wp:positionV>
                      <wp:extent cx="1132205" cy="223520"/>
                      <wp:effectExtent l="635" t="4445" r="10160" b="19685"/>
                      <wp:wrapNone/>
                      <wp:docPr id="2" name="直接连接符 2"/>
                      <wp:cNvGraphicFramePr/>
                      <a:graphic xmlns:a="http://schemas.openxmlformats.org/drawingml/2006/main">
                        <a:graphicData uri="http://schemas.microsoft.com/office/word/2010/wordprocessingShape">
                          <wps:wsp>
                            <wps:cNvCnPr/>
                            <wps:spPr>
                              <a:xfrm>
                                <a:off x="1104900" y="3625215"/>
                                <a:ext cx="1132205" cy="223520"/>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6pt;margin-top:1pt;height:17.6pt;width:89.15pt;z-index:251666432;mso-width-relative:page;mso-height-relative:page;" filled="f" stroked="t" coordsize="21600,21600" o:gfxdata="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A1EpfM1QAA&#10;AAcBAAAPAAAAAAAAAAEAIAAAACIAAABkcnMvZG93bnJldi54bWxQSwECFAAUAAAACACHTuJAM1ur&#10;wegBAACrAwAADgAAAAAAAAABACAAAAAkAQAAZHJzL2Uyb0RvYy54bWxQSwUGAAAAAAYABgBZAQAA&#10;fgUAAAAA&#10;">
                      <v:fill on="f" focussize="0,0"/>
                      <v:stroke color="#000000 [3213]" joinstyle="round"/>
                      <v:imagedata o:title=""/>
                      <o:lock v:ext="edit" aspectratio="f"/>
                    </v:lin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67456" behindDoc="0" locked="0" layoutInCell="1" allowOverlap="1">
                      <wp:simplePos x="0" y="0"/>
                      <wp:positionH relativeFrom="column">
                        <wp:posOffset>-62865</wp:posOffset>
                      </wp:positionH>
                      <wp:positionV relativeFrom="paragraph">
                        <wp:posOffset>3810</wp:posOffset>
                      </wp:positionV>
                      <wp:extent cx="910590" cy="471170"/>
                      <wp:effectExtent l="3175" t="5715" r="19685" b="18415"/>
                      <wp:wrapNone/>
                      <wp:docPr id="4" name="直接连接符 4"/>
                      <wp:cNvGraphicFramePr/>
                      <a:graphic xmlns:a="http://schemas.openxmlformats.org/drawingml/2006/main">
                        <a:graphicData uri="http://schemas.microsoft.com/office/word/2010/wordprocessingShape">
                          <wps:wsp>
                            <wps:cNvCnPr/>
                            <wps:spPr>
                              <a:xfrm>
                                <a:off x="0" y="0"/>
                                <a:ext cx="910590" cy="471170"/>
                              </a:xfrm>
                              <a:prstGeom prst="line">
                                <a:avLst/>
                              </a:prstGeom>
                              <a:ln w="12700">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4.95pt;margin-top:0.3pt;height:37.1pt;width:71.7pt;z-index:251667456;mso-width-relative:page;mso-height-relative:page;" filled="f" stroked="t" coordsize="21600,21600" o:gfxdata="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qM/n2tYAAAAGAQAADwAAAAAA&#10;AAABACAAAAAiAAAAZHJzL2Rvd25yZXYueG1sUEsBAhQAFAAAAAgAh07iQDEhe7XcAQAAnwMAAA4A&#10;AAAAAAAAAQAgAAAAJQEAAGRycy9lMm9Eb2MueG1sUEsFBgAAAAAGAAYAWQEAAHMFAAAAAA==&#10;">
                      <v:fill on="f" focussize="0,0"/>
                      <v:stroke weight="1pt" color="#000000 [3213]" joinstyle="round"/>
                      <v:imagedata o:title=""/>
                      <o:lock v:ext="edit" aspectratio="f"/>
                    </v:line>
                  </w:pict>
                </mc:Fallback>
              </mc:AlternateContent>
            </w:r>
            <w:r>
              <w:rPr>
                <w:rFonts w:hint="default" w:ascii="Times New Roman" w:hAnsi="Times New Roman" w:cs="Times New Roman"/>
                <w:color w:val="auto"/>
                <w:highlight w:val="none"/>
              </w:rPr>
              <mc:AlternateContent>
                <mc:Choice Requires="wps">
                  <w:drawing>
                    <wp:anchor distT="45720" distB="45720" distL="114300" distR="114300" simplePos="0" relativeHeight="251664384" behindDoc="0" locked="0" layoutInCell="1" allowOverlap="1">
                      <wp:simplePos x="0" y="0"/>
                      <wp:positionH relativeFrom="column">
                        <wp:posOffset>-135255</wp:posOffset>
                      </wp:positionH>
                      <wp:positionV relativeFrom="paragraph">
                        <wp:posOffset>222885</wp:posOffset>
                      </wp:positionV>
                      <wp:extent cx="933450" cy="285115"/>
                      <wp:effectExtent l="0" t="0" r="0" b="635"/>
                      <wp:wrapNone/>
                      <wp:docPr id="947861005" name="文本框 2"/>
                      <wp:cNvGraphicFramePr/>
                      <a:graphic xmlns:a="http://schemas.openxmlformats.org/drawingml/2006/main">
                        <a:graphicData uri="http://schemas.microsoft.com/office/word/2010/wordprocessingShape">
                          <wps:wsp>
                            <wps:cNvSpPr txBox="1">
                              <a:spLocks noChangeArrowheads="1"/>
                            </wps:cNvSpPr>
                            <wps:spPr bwMode="auto">
                              <a:xfrm>
                                <a:off x="0" y="0"/>
                                <a:ext cx="933450" cy="285115"/>
                              </a:xfrm>
                              <a:prstGeom prst="rect">
                                <a:avLst/>
                              </a:prstGeom>
                              <a:noFill/>
                              <a:ln w="9525">
                                <a:noFill/>
                                <a:miter lim="800000"/>
                              </a:ln>
                            </wps:spPr>
                            <wps:txbx>
                              <w:txbxContent>
                                <w:p w14:paraId="099D4266">
                                  <w:pPr>
                                    <w:rPr>
                                      <w:sz w:val="15"/>
                                      <w:szCs w:val="15"/>
                                    </w:rPr>
                                  </w:pPr>
                                  <w:r>
                                    <w:rPr>
                                      <w:rFonts w:hint="eastAsia"/>
                                      <w:sz w:val="15"/>
                                      <w:szCs w:val="15"/>
                                    </w:rPr>
                                    <w:t>环境敏感程度</w:t>
                                  </w:r>
                                </w:p>
                              </w:txbxContent>
                            </wps:txbx>
                            <wps:bodyPr rot="0" vertOverflow="clip" horzOverflow="clip" vert="horz" wrap="square" lIns="91440" tIns="45720" rIns="91440" bIns="45720" anchor="t" anchorCtr="0">
                              <a:noAutofit/>
                            </wps:bodyPr>
                          </wps:wsp>
                        </a:graphicData>
                      </a:graphic>
                    </wp:anchor>
                  </w:drawing>
                </mc:Choice>
                <mc:Fallback>
                  <w:pict>
                    <v:shape id="文本框 2" o:spid="_x0000_s1026" o:spt="202" type="#_x0000_t202" style="position:absolute;left:0pt;margin-left:-10.65pt;margin-top:17.55pt;height:22.45pt;width:73.5pt;z-index:251664384;mso-width-relative:page;mso-height-relative:page;" filled="f" stroked="f" coordsize="21600,21600" o:gfxdata="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DCWkHXXAAAACQEAAA8AAAAAAAAAAQAgAAAAIgAAAGRycy9kb3du&#10;cmV2LnhtbFBLAQIUABQAAAAIAIdO4kA7DIB/OQIAAFgEAAAOAAAAAAAAAAEAIAAAACYBAABkcnMv&#10;ZTJvRG9jLnhtbFBLBQYAAAAABgAGAFkBAADRBQAAAAA=&#10;">
                      <v:fill on="f" focussize="0,0"/>
                      <v:stroke on="f" miterlimit="8" joinstyle="miter"/>
                      <v:imagedata o:title=""/>
                      <o:lock v:ext="edit" aspectratio="f"/>
                      <v:textbox>
                        <w:txbxContent>
                          <w:p w14:paraId="099D4266">
                            <w:pPr>
                              <w:rPr>
                                <w:sz w:val="15"/>
                                <w:szCs w:val="15"/>
                              </w:rPr>
                            </w:pPr>
                            <w:r>
                              <w:rPr>
                                <w:rFonts w:hint="eastAsia"/>
                                <w:sz w:val="15"/>
                                <w:szCs w:val="15"/>
                              </w:rPr>
                              <w:t>环境敏感程度</w:t>
                            </w:r>
                          </w:p>
                        </w:txbxContent>
                      </v:textbox>
                    </v:shape>
                  </w:pict>
                </mc:Fallback>
              </mc:AlternateContent>
            </w:r>
          </w:p>
        </w:tc>
        <w:tc>
          <w:tcPr>
            <w:tcW w:w="2072" w:type="dxa"/>
            <w:gridSpan w:val="3"/>
            <w:tcBorders>
              <w:top w:val="single" w:color="auto" w:sz="12" w:space="0"/>
              <w:left w:val="single" w:color="auto" w:sz="4" w:space="0"/>
              <w:bottom w:val="single" w:color="auto" w:sz="4" w:space="0"/>
              <w:right w:val="single" w:color="auto" w:sz="4" w:space="0"/>
            </w:tcBorders>
            <w:vAlign w:val="center"/>
          </w:tcPr>
          <w:p w14:paraId="3B553251">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fldChar w:fldCharType="begin"/>
            </w:r>
            <w:r>
              <w:rPr>
                <w:rFonts w:hint="default" w:ascii="Times New Roman" w:hAnsi="Times New Roman" w:cs="Times New Roman"/>
                <w:color w:val="auto"/>
                <w:highlight w:val="none"/>
                <w:lang w:val="zh-CN"/>
              </w:rPr>
              <w:instrText xml:space="preserve"> = 1 \* ROMAN </w:instrText>
            </w:r>
            <w:r>
              <w:rPr>
                <w:rFonts w:hint="default" w:ascii="Times New Roman" w:hAnsi="Times New Roman" w:cs="Times New Roman"/>
                <w:color w:val="auto"/>
                <w:highlight w:val="none"/>
                <w:lang w:val="zh-CN"/>
              </w:rPr>
              <w:fldChar w:fldCharType="separate"/>
            </w:r>
            <w:r>
              <w:rPr>
                <w:rFonts w:hint="default" w:ascii="Times New Roman" w:hAnsi="Times New Roman" w:cs="Times New Roman"/>
                <w:color w:val="auto"/>
                <w:highlight w:val="none"/>
                <w:lang w:val="zh-CN"/>
              </w:rPr>
              <w:t>I</w:t>
            </w:r>
            <w:r>
              <w:rPr>
                <w:rFonts w:hint="default" w:ascii="Times New Roman" w:hAnsi="Times New Roman" w:cs="Times New Roman"/>
                <w:color w:val="auto"/>
                <w:highlight w:val="none"/>
                <w:lang w:val="zh-CN"/>
              </w:rPr>
              <w:fldChar w:fldCharType="end"/>
            </w:r>
          </w:p>
        </w:tc>
        <w:tc>
          <w:tcPr>
            <w:tcW w:w="2075" w:type="dxa"/>
            <w:gridSpan w:val="3"/>
            <w:tcBorders>
              <w:top w:val="single" w:color="auto" w:sz="12" w:space="0"/>
              <w:left w:val="single" w:color="auto" w:sz="4" w:space="0"/>
              <w:bottom w:val="single" w:color="auto" w:sz="4" w:space="0"/>
              <w:right w:val="single" w:color="auto" w:sz="4" w:space="0"/>
            </w:tcBorders>
            <w:vAlign w:val="center"/>
          </w:tcPr>
          <w:p w14:paraId="4E78161B">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fldChar w:fldCharType="begin"/>
            </w:r>
            <w:r>
              <w:rPr>
                <w:rFonts w:hint="default" w:ascii="Times New Roman" w:hAnsi="Times New Roman" w:cs="Times New Roman"/>
                <w:color w:val="auto"/>
                <w:highlight w:val="none"/>
                <w:lang w:val="zh-CN"/>
              </w:rPr>
              <w:instrText xml:space="preserve"> = 2 \* ROMAN </w:instrText>
            </w:r>
            <w:r>
              <w:rPr>
                <w:rFonts w:hint="default" w:ascii="Times New Roman" w:hAnsi="Times New Roman" w:cs="Times New Roman"/>
                <w:color w:val="auto"/>
                <w:highlight w:val="none"/>
                <w:lang w:val="zh-CN"/>
              </w:rPr>
              <w:fldChar w:fldCharType="separate"/>
            </w:r>
            <w:r>
              <w:rPr>
                <w:rFonts w:hint="default" w:ascii="Times New Roman" w:hAnsi="Times New Roman" w:cs="Times New Roman"/>
                <w:color w:val="auto"/>
                <w:highlight w:val="none"/>
                <w:lang w:val="zh-CN"/>
              </w:rPr>
              <w:t>II</w:t>
            </w:r>
            <w:r>
              <w:rPr>
                <w:rFonts w:hint="default" w:ascii="Times New Roman" w:hAnsi="Times New Roman" w:cs="Times New Roman"/>
                <w:color w:val="auto"/>
                <w:highlight w:val="none"/>
                <w:lang w:val="zh-CN"/>
              </w:rPr>
              <w:fldChar w:fldCharType="end"/>
            </w:r>
          </w:p>
        </w:tc>
        <w:tc>
          <w:tcPr>
            <w:tcW w:w="2258" w:type="dxa"/>
            <w:gridSpan w:val="3"/>
            <w:tcBorders>
              <w:top w:val="single" w:color="auto" w:sz="12" w:space="0"/>
              <w:left w:val="single" w:color="auto" w:sz="4" w:space="0"/>
              <w:bottom w:val="single" w:color="auto" w:sz="4" w:space="0"/>
              <w:right w:val="nil"/>
            </w:tcBorders>
            <w:vAlign w:val="center"/>
          </w:tcPr>
          <w:p w14:paraId="6FF4EAFD">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fldChar w:fldCharType="begin"/>
            </w:r>
            <w:r>
              <w:rPr>
                <w:rFonts w:hint="default" w:ascii="Times New Roman" w:hAnsi="Times New Roman" w:cs="Times New Roman"/>
                <w:color w:val="auto"/>
                <w:highlight w:val="none"/>
                <w:lang w:val="zh-CN"/>
              </w:rPr>
              <w:instrText xml:space="preserve"> = 3 \* ROMAN </w:instrText>
            </w:r>
            <w:r>
              <w:rPr>
                <w:rFonts w:hint="default" w:ascii="Times New Roman" w:hAnsi="Times New Roman" w:cs="Times New Roman"/>
                <w:color w:val="auto"/>
                <w:highlight w:val="none"/>
                <w:lang w:val="zh-CN"/>
              </w:rPr>
              <w:fldChar w:fldCharType="separate"/>
            </w:r>
            <w:r>
              <w:rPr>
                <w:rFonts w:hint="default" w:ascii="Times New Roman" w:hAnsi="Times New Roman" w:cs="Times New Roman"/>
                <w:color w:val="auto"/>
                <w:highlight w:val="none"/>
                <w:lang w:val="zh-CN"/>
              </w:rPr>
              <w:t>III</w:t>
            </w:r>
            <w:r>
              <w:rPr>
                <w:rFonts w:hint="default" w:ascii="Times New Roman" w:hAnsi="Times New Roman" w:cs="Times New Roman"/>
                <w:color w:val="auto"/>
                <w:highlight w:val="none"/>
                <w:lang w:val="zh-CN"/>
              </w:rPr>
              <w:fldChar w:fldCharType="end"/>
            </w:r>
          </w:p>
        </w:tc>
      </w:tr>
      <w:tr w14:paraId="15B5C7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1905" w:type="dxa"/>
            <w:vMerge w:val="continue"/>
            <w:tcBorders>
              <w:top w:val="single" w:color="auto" w:sz="12" w:space="0"/>
              <w:left w:val="nil"/>
              <w:bottom w:val="single" w:color="auto" w:sz="4" w:space="0"/>
              <w:right w:val="single" w:color="auto" w:sz="4" w:space="0"/>
            </w:tcBorders>
            <w:vAlign w:val="center"/>
          </w:tcPr>
          <w:p w14:paraId="56FB617E">
            <w:pPr>
              <w:pStyle w:val="44"/>
              <w:bidi w:val="0"/>
              <w:rPr>
                <w:rFonts w:hint="default" w:ascii="Times New Roman" w:hAnsi="Times New Roman" w:cs="Times New Roman"/>
                <w:color w:val="auto"/>
                <w:highlight w:val="none"/>
                <w:lang w:val="zh-CN"/>
              </w:rPr>
            </w:pPr>
          </w:p>
        </w:tc>
        <w:tc>
          <w:tcPr>
            <w:tcW w:w="689" w:type="dxa"/>
            <w:tcBorders>
              <w:top w:val="single" w:color="auto" w:sz="4" w:space="0"/>
              <w:left w:val="single" w:color="auto" w:sz="4" w:space="0"/>
              <w:bottom w:val="single" w:color="auto" w:sz="4" w:space="0"/>
              <w:right w:val="single" w:color="auto" w:sz="4" w:space="0"/>
            </w:tcBorders>
            <w:vAlign w:val="center"/>
          </w:tcPr>
          <w:p w14:paraId="04D811B8">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大</w:t>
            </w:r>
          </w:p>
        </w:tc>
        <w:tc>
          <w:tcPr>
            <w:tcW w:w="694" w:type="dxa"/>
            <w:tcBorders>
              <w:top w:val="single" w:color="auto" w:sz="4" w:space="0"/>
              <w:left w:val="single" w:color="auto" w:sz="4" w:space="0"/>
              <w:bottom w:val="single" w:color="auto" w:sz="4" w:space="0"/>
              <w:right w:val="single" w:color="auto" w:sz="4" w:space="0"/>
            </w:tcBorders>
            <w:vAlign w:val="center"/>
          </w:tcPr>
          <w:p w14:paraId="702C6561">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中</w:t>
            </w:r>
          </w:p>
        </w:tc>
        <w:tc>
          <w:tcPr>
            <w:tcW w:w="689" w:type="dxa"/>
            <w:tcBorders>
              <w:top w:val="single" w:color="auto" w:sz="4" w:space="0"/>
              <w:left w:val="single" w:color="auto" w:sz="4" w:space="0"/>
              <w:bottom w:val="single" w:color="auto" w:sz="4" w:space="0"/>
              <w:right w:val="single" w:color="auto" w:sz="4" w:space="0"/>
            </w:tcBorders>
            <w:vAlign w:val="center"/>
          </w:tcPr>
          <w:p w14:paraId="723A3A83">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小</w:t>
            </w:r>
          </w:p>
        </w:tc>
        <w:tc>
          <w:tcPr>
            <w:tcW w:w="693" w:type="dxa"/>
            <w:tcBorders>
              <w:top w:val="single" w:color="auto" w:sz="4" w:space="0"/>
              <w:left w:val="single" w:color="auto" w:sz="4" w:space="0"/>
              <w:bottom w:val="single" w:color="auto" w:sz="4" w:space="0"/>
              <w:right w:val="single" w:color="auto" w:sz="4" w:space="0"/>
            </w:tcBorders>
            <w:vAlign w:val="center"/>
          </w:tcPr>
          <w:p w14:paraId="3EE3B298">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大</w:t>
            </w:r>
          </w:p>
        </w:tc>
        <w:tc>
          <w:tcPr>
            <w:tcW w:w="691" w:type="dxa"/>
            <w:tcBorders>
              <w:top w:val="single" w:color="auto" w:sz="4" w:space="0"/>
              <w:left w:val="single" w:color="auto" w:sz="4" w:space="0"/>
              <w:bottom w:val="single" w:color="auto" w:sz="4" w:space="0"/>
              <w:right w:val="single" w:color="auto" w:sz="4" w:space="0"/>
            </w:tcBorders>
            <w:vAlign w:val="center"/>
          </w:tcPr>
          <w:p w14:paraId="40474690">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中</w:t>
            </w:r>
          </w:p>
        </w:tc>
        <w:tc>
          <w:tcPr>
            <w:tcW w:w="691" w:type="dxa"/>
            <w:tcBorders>
              <w:top w:val="single" w:color="auto" w:sz="4" w:space="0"/>
              <w:left w:val="single" w:color="auto" w:sz="4" w:space="0"/>
              <w:bottom w:val="single" w:color="auto" w:sz="4" w:space="0"/>
              <w:right w:val="single" w:color="auto" w:sz="4" w:space="0"/>
            </w:tcBorders>
            <w:vAlign w:val="center"/>
          </w:tcPr>
          <w:p w14:paraId="096AD7E2">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小</w:t>
            </w:r>
          </w:p>
        </w:tc>
        <w:tc>
          <w:tcPr>
            <w:tcW w:w="829" w:type="dxa"/>
            <w:tcBorders>
              <w:top w:val="single" w:color="auto" w:sz="4" w:space="0"/>
              <w:left w:val="single" w:color="auto" w:sz="4" w:space="0"/>
              <w:bottom w:val="single" w:color="auto" w:sz="4" w:space="0"/>
              <w:right w:val="single" w:color="auto" w:sz="4" w:space="0"/>
            </w:tcBorders>
            <w:vAlign w:val="center"/>
          </w:tcPr>
          <w:p w14:paraId="62E8BD36">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大</w:t>
            </w:r>
          </w:p>
        </w:tc>
        <w:tc>
          <w:tcPr>
            <w:tcW w:w="693" w:type="dxa"/>
            <w:tcBorders>
              <w:top w:val="single" w:color="auto" w:sz="4" w:space="0"/>
              <w:left w:val="single" w:color="auto" w:sz="4" w:space="0"/>
              <w:bottom w:val="single" w:color="auto" w:sz="4" w:space="0"/>
              <w:right w:val="single" w:color="auto" w:sz="4" w:space="0"/>
            </w:tcBorders>
            <w:vAlign w:val="center"/>
          </w:tcPr>
          <w:p w14:paraId="15AF9EBB">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中</w:t>
            </w:r>
          </w:p>
        </w:tc>
        <w:tc>
          <w:tcPr>
            <w:tcW w:w="736" w:type="dxa"/>
            <w:tcBorders>
              <w:top w:val="single" w:color="auto" w:sz="4" w:space="0"/>
              <w:left w:val="single" w:color="auto" w:sz="4" w:space="0"/>
              <w:bottom w:val="single" w:color="auto" w:sz="4" w:space="0"/>
              <w:right w:val="nil"/>
            </w:tcBorders>
            <w:vAlign w:val="center"/>
          </w:tcPr>
          <w:p w14:paraId="0D6924CF">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小</w:t>
            </w:r>
          </w:p>
        </w:tc>
      </w:tr>
      <w:tr w14:paraId="2B3B37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05" w:type="dxa"/>
            <w:tcBorders>
              <w:top w:val="single" w:color="auto" w:sz="4" w:space="0"/>
              <w:left w:val="nil"/>
              <w:bottom w:val="single" w:color="auto" w:sz="4" w:space="0"/>
              <w:right w:val="single" w:color="auto" w:sz="4" w:space="0"/>
            </w:tcBorders>
            <w:vAlign w:val="center"/>
          </w:tcPr>
          <w:p w14:paraId="79B38371">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敏感</w:t>
            </w:r>
          </w:p>
        </w:tc>
        <w:tc>
          <w:tcPr>
            <w:tcW w:w="689" w:type="dxa"/>
            <w:tcBorders>
              <w:top w:val="single" w:color="auto" w:sz="4" w:space="0"/>
              <w:left w:val="single" w:color="auto" w:sz="4" w:space="0"/>
              <w:bottom w:val="single" w:color="auto" w:sz="4" w:space="0"/>
              <w:right w:val="single" w:color="auto" w:sz="4" w:space="0"/>
            </w:tcBorders>
            <w:vAlign w:val="center"/>
          </w:tcPr>
          <w:p w14:paraId="76C66F3F">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一级</w:t>
            </w:r>
          </w:p>
        </w:tc>
        <w:tc>
          <w:tcPr>
            <w:tcW w:w="694" w:type="dxa"/>
            <w:tcBorders>
              <w:top w:val="single" w:color="auto" w:sz="4" w:space="0"/>
              <w:left w:val="single" w:color="auto" w:sz="4" w:space="0"/>
              <w:bottom w:val="single" w:color="auto" w:sz="4" w:space="0"/>
              <w:right w:val="single" w:color="auto" w:sz="4" w:space="0"/>
            </w:tcBorders>
            <w:vAlign w:val="center"/>
          </w:tcPr>
          <w:p w14:paraId="35A6C4FD">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一级</w:t>
            </w:r>
          </w:p>
        </w:tc>
        <w:tc>
          <w:tcPr>
            <w:tcW w:w="689" w:type="dxa"/>
            <w:tcBorders>
              <w:top w:val="single" w:color="auto" w:sz="4" w:space="0"/>
              <w:left w:val="single" w:color="auto" w:sz="4" w:space="0"/>
              <w:bottom w:val="single" w:color="auto" w:sz="4" w:space="0"/>
              <w:right w:val="single" w:color="auto" w:sz="4" w:space="0"/>
            </w:tcBorders>
            <w:vAlign w:val="center"/>
          </w:tcPr>
          <w:p w14:paraId="59DFF68D">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一级</w:t>
            </w:r>
          </w:p>
        </w:tc>
        <w:tc>
          <w:tcPr>
            <w:tcW w:w="693" w:type="dxa"/>
            <w:tcBorders>
              <w:top w:val="single" w:color="auto" w:sz="4" w:space="0"/>
              <w:left w:val="single" w:color="auto" w:sz="4" w:space="0"/>
              <w:bottom w:val="single" w:color="auto" w:sz="4" w:space="0"/>
              <w:right w:val="single" w:color="auto" w:sz="4" w:space="0"/>
            </w:tcBorders>
          </w:tcPr>
          <w:p w14:paraId="0002547F">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二级</w:t>
            </w:r>
          </w:p>
        </w:tc>
        <w:tc>
          <w:tcPr>
            <w:tcW w:w="691" w:type="dxa"/>
            <w:tcBorders>
              <w:top w:val="single" w:color="auto" w:sz="4" w:space="0"/>
              <w:left w:val="single" w:color="auto" w:sz="4" w:space="0"/>
              <w:bottom w:val="single" w:color="auto" w:sz="4" w:space="0"/>
              <w:right w:val="single" w:color="auto" w:sz="4" w:space="0"/>
            </w:tcBorders>
          </w:tcPr>
          <w:p w14:paraId="4D9EC97B">
            <w:pPr>
              <w:pStyle w:val="44"/>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shd w:val="clear" w:color="FFFFFF" w:fill="D9D9D9"/>
                <w:lang w:val="en-US" w:eastAsia="zh-CN"/>
              </w:rPr>
              <w:t xml:space="preserve">二级  </w:t>
            </w:r>
            <w:r>
              <w:rPr>
                <w:rFonts w:hint="default" w:ascii="Times New Roman" w:hAnsi="Times New Roman" w:cs="Times New Roman"/>
                <w:color w:val="auto"/>
                <w:highlight w:val="none"/>
                <w:lang w:val="en-US" w:eastAsia="zh-CN"/>
              </w:rPr>
              <w:t xml:space="preserve">                                                                                                                                                                                                                                                                                                                                                                                                                                                                                                                                                                                                                                                                                                                                                                                                                                                                                                                                                                                                                                                                                                                                                                                                                                                                                                                                                                                                                                                                                                                                                                  </w:t>
            </w:r>
          </w:p>
        </w:tc>
        <w:tc>
          <w:tcPr>
            <w:tcW w:w="691" w:type="dxa"/>
            <w:tcBorders>
              <w:top w:val="single" w:color="auto" w:sz="4" w:space="0"/>
              <w:left w:val="single" w:color="auto" w:sz="4" w:space="0"/>
              <w:bottom w:val="single" w:color="auto" w:sz="4" w:space="0"/>
              <w:right w:val="single" w:color="auto" w:sz="4" w:space="0"/>
            </w:tcBorders>
          </w:tcPr>
          <w:p w14:paraId="0F960F1C">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shd w:val="clear" w:color="auto" w:fill="auto"/>
                <w:lang w:val="zh-CN"/>
              </w:rPr>
              <w:t>二级</w:t>
            </w:r>
          </w:p>
        </w:tc>
        <w:tc>
          <w:tcPr>
            <w:tcW w:w="829" w:type="dxa"/>
            <w:tcBorders>
              <w:top w:val="single" w:color="auto" w:sz="4" w:space="0"/>
              <w:left w:val="single" w:color="auto" w:sz="4" w:space="0"/>
              <w:bottom w:val="single" w:color="auto" w:sz="4" w:space="0"/>
              <w:right w:val="single" w:color="auto" w:sz="4" w:space="0"/>
            </w:tcBorders>
          </w:tcPr>
          <w:p w14:paraId="0ACE6A7C">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三级</w:t>
            </w:r>
          </w:p>
        </w:tc>
        <w:tc>
          <w:tcPr>
            <w:tcW w:w="693" w:type="dxa"/>
            <w:tcBorders>
              <w:top w:val="single" w:color="auto" w:sz="4" w:space="0"/>
              <w:left w:val="single" w:color="auto" w:sz="4" w:space="0"/>
              <w:bottom w:val="single" w:color="auto" w:sz="4" w:space="0"/>
              <w:right w:val="single" w:color="auto" w:sz="4" w:space="0"/>
            </w:tcBorders>
          </w:tcPr>
          <w:p w14:paraId="2BD7CB33">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三级</w:t>
            </w:r>
          </w:p>
        </w:tc>
        <w:tc>
          <w:tcPr>
            <w:tcW w:w="736" w:type="dxa"/>
            <w:tcBorders>
              <w:top w:val="single" w:color="auto" w:sz="4" w:space="0"/>
              <w:left w:val="single" w:color="auto" w:sz="4" w:space="0"/>
              <w:bottom w:val="single" w:color="auto" w:sz="4" w:space="0"/>
              <w:right w:val="nil"/>
            </w:tcBorders>
          </w:tcPr>
          <w:p w14:paraId="109B2731">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三级</w:t>
            </w:r>
          </w:p>
        </w:tc>
      </w:tr>
      <w:tr w14:paraId="758FBF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05" w:type="dxa"/>
            <w:tcBorders>
              <w:top w:val="single" w:color="auto" w:sz="4" w:space="0"/>
              <w:left w:val="nil"/>
              <w:bottom w:val="single" w:color="auto" w:sz="4" w:space="0"/>
              <w:right w:val="single" w:color="auto" w:sz="4" w:space="0"/>
            </w:tcBorders>
            <w:vAlign w:val="center"/>
          </w:tcPr>
          <w:p w14:paraId="19BDB20B">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较敏感</w:t>
            </w:r>
          </w:p>
        </w:tc>
        <w:tc>
          <w:tcPr>
            <w:tcW w:w="689" w:type="dxa"/>
            <w:tcBorders>
              <w:top w:val="single" w:color="auto" w:sz="4" w:space="0"/>
              <w:left w:val="single" w:color="auto" w:sz="4" w:space="0"/>
              <w:bottom w:val="single" w:color="auto" w:sz="4" w:space="0"/>
              <w:right w:val="single" w:color="auto" w:sz="4" w:space="0"/>
            </w:tcBorders>
            <w:vAlign w:val="center"/>
          </w:tcPr>
          <w:p w14:paraId="1D64226B">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二级</w:t>
            </w:r>
          </w:p>
        </w:tc>
        <w:tc>
          <w:tcPr>
            <w:tcW w:w="694" w:type="dxa"/>
            <w:tcBorders>
              <w:top w:val="single" w:color="auto" w:sz="4" w:space="0"/>
              <w:left w:val="single" w:color="auto" w:sz="4" w:space="0"/>
              <w:bottom w:val="single" w:color="auto" w:sz="4" w:space="0"/>
              <w:right w:val="single" w:color="auto" w:sz="4" w:space="0"/>
            </w:tcBorders>
          </w:tcPr>
          <w:p w14:paraId="25893538">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二级</w:t>
            </w:r>
          </w:p>
        </w:tc>
        <w:tc>
          <w:tcPr>
            <w:tcW w:w="689" w:type="dxa"/>
            <w:tcBorders>
              <w:top w:val="single" w:color="auto" w:sz="4" w:space="0"/>
              <w:left w:val="single" w:color="auto" w:sz="4" w:space="0"/>
              <w:bottom w:val="single" w:color="auto" w:sz="4" w:space="0"/>
              <w:right w:val="single" w:color="auto" w:sz="4" w:space="0"/>
            </w:tcBorders>
          </w:tcPr>
          <w:p w14:paraId="1BCB70B9">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二级</w:t>
            </w:r>
          </w:p>
        </w:tc>
        <w:tc>
          <w:tcPr>
            <w:tcW w:w="693" w:type="dxa"/>
            <w:tcBorders>
              <w:top w:val="single" w:color="auto" w:sz="4" w:space="0"/>
              <w:left w:val="single" w:color="auto" w:sz="4" w:space="0"/>
              <w:bottom w:val="single" w:color="auto" w:sz="4" w:space="0"/>
              <w:right w:val="single" w:color="auto" w:sz="4" w:space="0"/>
            </w:tcBorders>
          </w:tcPr>
          <w:p w14:paraId="66B038B4">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二级</w:t>
            </w:r>
          </w:p>
        </w:tc>
        <w:tc>
          <w:tcPr>
            <w:tcW w:w="691" w:type="dxa"/>
            <w:tcBorders>
              <w:top w:val="single" w:color="auto" w:sz="4" w:space="0"/>
              <w:left w:val="single" w:color="auto" w:sz="4" w:space="0"/>
              <w:bottom w:val="single" w:color="auto" w:sz="4" w:space="0"/>
              <w:right w:val="single" w:color="auto" w:sz="4" w:space="0"/>
            </w:tcBorders>
          </w:tcPr>
          <w:p w14:paraId="117C46E2">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二级</w:t>
            </w:r>
          </w:p>
        </w:tc>
        <w:tc>
          <w:tcPr>
            <w:tcW w:w="691" w:type="dxa"/>
            <w:tcBorders>
              <w:top w:val="single" w:color="auto" w:sz="4" w:space="0"/>
              <w:left w:val="single" w:color="auto" w:sz="4" w:space="0"/>
              <w:bottom w:val="single" w:color="auto" w:sz="4" w:space="0"/>
              <w:right w:val="single" w:color="auto" w:sz="4" w:space="0"/>
            </w:tcBorders>
            <w:vAlign w:val="center"/>
          </w:tcPr>
          <w:p w14:paraId="67B7F862">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三级</w:t>
            </w:r>
          </w:p>
        </w:tc>
        <w:tc>
          <w:tcPr>
            <w:tcW w:w="829" w:type="dxa"/>
            <w:tcBorders>
              <w:top w:val="single" w:color="auto" w:sz="4" w:space="0"/>
              <w:left w:val="single" w:color="auto" w:sz="4" w:space="0"/>
              <w:bottom w:val="single" w:color="auto" w:sz="4" w:space="0"/>
              <w:right w:val="single" w:color="auto" w:sz="4" w:space="0"/>
            </w:tcBorders>
          </w:tcPr>
          <w:p w14:paraId="17C0AEDB">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三级</w:t>
            </w:r>
          </w:p>
        </w:tc>
        <w:tc>
          <w:tcPr>
            <w:tcW w:w="693" w:type="dxa"/>
            <w:tcBorders>
              <w:top w:val="single" w:color="auto" w:sz="4" w:space="0"/>
              <w:left w:val="single" w:color="auto" w:sz="4" w:space="0"/>
              <w:bottom w:val="single" w:color="auto" w:sz="4" w:space="0"/>
              <w:right w:val="single" w:color="auto" w:sz="4" w:space="0"/>
            </w:tcBorders>
          </w:tcPr>
          <w:p w14:paraId="5600C693">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三级</w:t>
            </w:r>
          </w:p>
        </w:tc>
        <w:tc>
          <w:tcPr>
            <w:tcW w:w="736" w:type="dxa"/>
            <w:tcBorders>
              <w:top w:val="single" w:color="auto" w:sz="4" w:space="0"/>
              <w:left w:val="single" w:color="auto" w:sz="4" w:space="0"/>
              <w:bottom w:val="single" w:color="auto" w:sz="4" w:space="0"/>
              <w:right w:val="nil"/>
            </w:tcBorders>
            <w:vAlign w:val="center"/>
          </w:tcPr>
          <w:p w14:paraId="76CEC606">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r>
      <w:tr w14:paraId="2A279A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05" w:type="dxa"/>
            <w:tcBorders>
              <w:top w:val="single" w:color="auto" w:sz="4" w:space="0"/>
              <w:left w:val="nil"/>
              <w:bottom w:val="single" w:color="auto" w:sz="12" w:space="0"/>
              <w:right w:val="single" w:color="auto" w:sz="4" w:space="0"/>
            </w:tcBorders>
            <w:vAlign w:val="center"/>
          </w:tcPr>
          <w:p w14:paraId="26A32A14">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不敏感</w:t>
            </w:r>
          </w:p>
        </w:tc>
        <w:tc>
          <w:tcPr>
            <w:tcW w:w="689" w:type="dxa"/>
            <w:tcBorders>
              <w:top w:val="single" w:color="auto" w:sz="4" w:space="0"/>
              <w:left w:val="single" w:color="auto" w:sz="4" w:space="0"/>
              <w:bottom w:val="single" w:color="auto" w:sz="12" w:space="0"/>
              <w:right w:val="single" w:color="auto" w:sz="4" w:space="0"/>
            </w:tcBorders>
          </w:tcPr>
          <w:p w14:paraId="5C920ED1">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二级</w:t>
            </w:r>
          </w:p>
        </w:tc>
        <w:tc>
          <w:tcPr>
            <w:tcW w:w="694" w:type="dxa"/>
            <w:tcBorders>
              <w:top w:val="single" w:color="auto" w:sz="4" w:space="0"/>
              <w:left w:val="single" w:color="auto" w:sz="4" w:space="0"/>
              <w:bottom w:val="single" w:color="auto" w:sz="12" w:space="0"/>
              <w:right w:val="single" w:color="auto" w:sz="4" w:space="0"/>
            </w:tcBorders>
          </w:tcPr>
          <w:p w14:paraId="6A4F41B0">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二级</w:t>
            </w:r>
          </w:p>
        </w:tc>
        <w:tc>
          <w:tcPr>
            <w:tcW w:w="689" w:type="dxa"/>
            <w:tcBorders>
              <w:top w:val="single" w:color="auto" w:sz="4" w:space="0"/>
              <w:left w:val="single" w:color="auto" w:sz="4" w:space="0"/>
              <w:bottom w:val="single" w:color="auto" w:sz="12" w:space="0"/>
              <w:right w:val="single" w:color="auto" w:sz="4" w:space="0"/>
            </w:tcBorders>
          </w:tcPr>
          <w:p w14:paraId="7D97EE00">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二级</w:t>
            </w:r>
          </w:p>
        </w:tc>
        <w:tc>
          <w:tcPr>
            <w:tcW w:w="693" w:type="dxa"/>
            <w:tcBorders>
              <w:top w:val="single" w:color="auto" w:sz="4" w:space="0"/>
              <w:left w:val="single" w:color="auto" w:sz="4" w:space="0"/>
              <w:bottom w:val="single" w:color="auto" w:sz="12" w:space="0"/>
              <w:right w:val="single" w:color="auto" w:sz="4" w:space="0"/>
            </w:tcBorders>
            <w:vAlign w:val="center"/>
          </w:tcPr>
          <w:p w14:paraId="489279E0">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二级</w:t>
            </w:r>
          </w:p>
        </w:tc>
        <w:tc>
          <w:tcPr>
            <w:tcW w:w="691" w:type="dxa"/>
            <w:tcBorders>
              <w:top w:val="single" w:color="auto" w:sz="4" w:space="0"/>
              <w:left w:val="single" w:color="auto" w:sz="4" w:space="0"/>
              <w:bottom w:val="single" w:color="auto" w:sz="12" w:space="0"/>
              <w:right w:val="single" w:color="auto" w:sz="4" w:space="0"/>
            </w:tcBorders>
          </w:tcPr>
          <w:p w14:paraId="365A543A">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三级</w:t>
            </w:r>
          </w:p>
        </w:tc>
        <w:tc>
          <w:tcPr>
            <w:tcW w:w="691" w:type="dxa"/>
            <w:tcBorders>
              <w:top w:val="single" w:color="auto" w:sz="4" w:space="0"/>
              <w:left w:val="single" w:color="auto" w:sz="4" w:space="0"/>
              <w:bottom w:val="single" w:color="auto" w:sz="12" w:space="0"/>
              <w:right w:val="single" w:color="auto" w:sz="4" w:space="0"/>
            </w:tcBorders>
          </w:tcPr>
          <w:p w14:paraId="425E0458">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三级</w:t>
            </w:r>
          </w:p>
        </w:tc>
        <w:tc>
          <w:tcPr>
            <w:tcW w:w="829" w:type="dxa"/>
            <w:tcBorders>
              <w:top w:val="single" w:color="auto" w:sz="4" w:space="0"/>
              <w:left w:val="single" w:color="auto" w:sz="4" w:space="0"/>
              <w:bottom w:val="single" w:color="auto" w:sz="12" w:space="0"/>
              <w:right w:val="single" w:color="auto" w:sz="4" w:space="0"/>
            </w:tcBorders>
          </w:tcPr>
          <w:p w14:paraId="2BD9848E">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三级</w:t>
            </w:r>
          </w:p>
        </w:tc>
        <w:tc>
          <w:tcPr>
            <w:tcW w:w="693" w:type="dxa"/>
            <w:tcBorders>
              <w:top w:val="single" w:color="auto" w:sz="4" w:space="0"/>
              <w:left w:val="single" w:color="auto" w:sz="4" w:space="0"/>
              <w:bottom w:val="single" w:color="auto" w:sz="12" w:space="0"/>
              <w:right w:val="single" w:color="auto" w:sz="4" w:space="0"/>
            </w:tcBorders>
          </w:tcPr>
          <w:p w14:paraId="52BEF43B">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736" w:type="dxa"/>
            <w:tcBorders>
              <w:top w:val="single" w:color="auto" w:sz="4" w:space="0"/>
              <w:left w:val="single" w:color="auto" w:sz="4" w:space="0"/>
              <w:bottom w:val="single" w:color="auto" w:sz="12" w:space="0"/>
              <w:right w:val="nil"/>
            </w:tcBorders>
            <w:vAlign w:val="center"/>
          </w:tcPr>
          <w:p w14:paraId="02AC6191">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r>
    </w:tbl>
    <w:p w14:paraId="4C6E04E8">
      <w:pPr>
        <w:rPr>
          <w:rFonts w:hint="default" w:ascii="Times New Roman" w:hAnsi="Times New Roman" w:cs="Times New Roman"/>
          <w:color w:val="auto"/>
          <w:szCs w:val="22"/>
          <w:highlight w:val="none"/>
          <w:lang w:val="zh-CN"/>
        </w:rPr>
      </w:pPr>
      <w:r>
        <w:rPr>
          <w:rFonts w:hint="default" w:ascii="Times New Roman" w:hAnsi="Times New Roman" w:cs="Times New Roman"/>
          <w:color w:val="auto"/>
          <w:szCs w:val="22"/>
          <w:highlight w:val="none"/>
          <w:lang w:val="zh-CN"/>
        </w:rPr>
        <w:t>注</w:t>
      </w:r>
      <w:r>
        <w:rPr>
          <w:rFonts w:hint="default" w:ascii="Times New Roman" w:hAnsi="Times New Roman" w:eastAsia="TimesNewRomanPSMT" w:cs="Times New Roman"/>
          <w:color w:val="auto"/>
          <w:szCs w:val="22"/>
          <w:highlight w:val="none"/>
          <w:lang w:val="zh-CN"/>
        </w:rPr>
        <w:t>2</w:t>
      </w:r>
      <w:r>
        <w:rPr>
          <w:rFonts w:hint="default" w:ascii="Times New Roman" w:hAnsi="Times New Roman" w:cs="Times New Roman"/>
          <w:color w:val="auto"/>
          <w:szCs w:val="22"/>
          <w:highlight w:val="none"/>
          <w:lang w:val="zh-CN"/>
        </w:rPr>
        <w:t>：</w:t>
      </w:r>
      <w:r>
        <w:rPr>
          <w:rFonts w:hint="default" w:ascii="Times New Roman" w:hAnsi="Times New Roman" w:eastAsia="TimesNewRomanPSMT" w:cs="Times New Roman"/>
          <w:color w:val="auto"/>
          <w:szCs w:val="22"/>
          <w:highlight w:val="none"/>
          <w:lang w:val="zh-CN"/>
        </w:rPr>
        <w:t>“—”</w:t>
      </w:r>
      <w:r>
        <w:rPr>
          <w:rFonts w:hint="default" w:ascii="Times New Roman" w:hAnsi="Times New Roman" w:cs="Times New Roman"/>
          <w:color w:val="auto"/>
          <w:szCs w:val="22"/>
          <w:highlight w:val="none"/>
          <w:lang w:val="zh-CN"/>
        </w:rPr>
        <w:t>表示可不开展土壤环境影响评价工作。</w:t>
      </w:r>
    </w:p>
    <w:p w14:paraId="45465845">
      <w:pPr>
        <w:pStyle w:val="27"/>
        <w:bidi w:val="0"/>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highlight w:val="none"/>
          <w:lang w:val="zh-CN"/>
        </w:rPr>
        <w:t>表2-6-1</w:t>
      </w:r>
      <w:r>
        <w:rPr>
          <w:rFonts w:hint="default" w:ascii="Times New Roman" w:hAnsi="Times New Roman" w:cs="Times New Roman"/>
          <w:color w:val="auto"/>
          <w:highlight w:val="none"/>
          <w:lang w:val="en-US" w:eastAsia="zh-CN"/>
        </w:rPr>
        <w:t>4评价工作等级汇总表</w:t>
      </w:r>
    </w:p>
    <w:tbl>
      <w:tblPr>
        <w:tblStyle w:val="2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14:paraId="70B67F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0" w:type="dxa"/>
            <w:tcBorders>
              <w:tl2br w:val="nil"/>
              <w:tr2bl w:val="nil"/>
            </w:tcBorders>
          </w:tcPr>
          <w:p w14:paraId="2493DAC0">
            <w:pPr>
              <w:pStyle w:val="44"/>
              <w:bidi w:val="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影响因素</w:t>
            </w:r>
          </w:p>
        </w:tc>
        <w:tc>
          <w:tcPr>
            <w:tcW w:w="2841" w:type="dxa"/>
            <w:tcBorders>
              <w:tl2br w:val="nil"/>
              <w:tr2bl w:val="nil"/>
            </w:tcBorders>
          </w:tcPr>
          <w:p w14:paraId="50C92B66">
            <w:pPr>
              <w:pStyle w:val="44"/>
              <w:bidi w:val="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2#项目</w:t>
            </w:r>
          </w:p>
        </w:tc>
        <w:tc>
          <w:tcPr>
            <w:tcW w:w="2841" w:type="dxa"/>
            <w:tcBorders>
              <w:tl2br w:val="nil"/>
              <w:tr2bl w:val="nil"/>
            </w:tcBorders>
          </w:tcPr>
          <w:p w14:paraId="09621559">
            <w:pPr>
              <w:pStyle w:val="44"/>
              <w:bidi w:val="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其他项目</w:t>
            </w:r>
          </w:p>
        </w:tc>
      </w:tr>
      <w:tr w14:paraId="65FA62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0" w:type="dxa"/>
            <w:tcBorders>
              <w:tl2br w:val="nil"/>
              <w:tr2bl w:val="nil"/>
            </w:tcBorders>
          </w:tcPr>
          <w:p w14:paraId="4630318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大气环境</w:t>
            </w:r>
          </w:p>
        </w:tc>
        <w:tc>
          <w:tcPr>
            <w:tcW w:w="2841" w:type="dxa"/>
            <w:tcBorders>
              <w:tl2br w:val="nil"/>
              <w:tr2bl w:val="nil"/>
            </w:tcBorders>
          </w:tcPr>
          <w:p w14:paraId="48D193F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二级</w:t>
            </w:r>
          </w:p>
        </w:tc>
        <w:tc>
          <w:tcPr>
            <w:tcW w:w="2841" w:type="dxa"/>
            <w:tcBorders>
              <w:tl2br w:val="nil"/>
              <w:tr2bl w:val="nil"/>
            </w:tcBorders>
          </w:tcPr>
          <w:p w14:paraId="7DD3099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r>
      <w:tr w14:paraId="676F10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0" w:type="dxa"/>
            <w:tcBorders>
              <w:tl2br w:val="nil"/>
              <w:tr2bl w:val="nil"/>
            </w:tcBorders>
          </w:tcPr>
          <w:p w14:paraId="5CDA80D6">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噪声环境</w:t>
            </w:r>
          </w:p>
        </w:tc>
        <w:tc>
          <w:tcPr>
            <w:tcW w:w="2841" w:type="dxa"/>
            <w:tcBorders>
              <w:tl2br w:val="nil"/>
              <w:tr2bl w:val="nil"/>
            </w:tcBorders>
          </w:tcPr>
          <w:p w14:paraId="0DF910B2">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二级</w:t>
            </w:r>
          </w:p>
        </w:tc>
        <w:tc>
          <w:tcPr>
            <w:tcW w:w="2841" w:type="dxa"/>
            <w:tcBorders>
              <w:tl2br w:val="nil"/>
              <w:tr2bl w:val="nil"/>
            </w:tcBorders>
          </w:tcPr>
          <w:p w14:paraId="479AD2F2">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二级</w:t>
            </w:r>
          </w:p>
        </w:tc>
      </w:tr>
      <w:tr w14:paraId="027C12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0" w:type="dxa"/>
            <w:tcBorders>
              <w:tl2br w:val="nil"/>
              <w:tr2bl w:val="nil"/>
            </w:tcBorders>
          </w:tcPr>
          <w:p w14:paraId="64AD77F4">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生态环境</w:t>
            </w:r>
          </w:p>
        </w:tc>
        <w:tc>
          <w:tcPr>
            <w:tcW w:w="2841" w:type="dxa"/>
            <w:tcBorders>
              <w:tl2br w:val="nil"/>
              <w:tr2bl w:val="nil"/>
            </w:tcBorders>
          </w:tcPr>
          <w:p w14:paraId="74AA8248">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三级</w:t>
            </w:r>
          </w:p>
        </w:tc>
        <w:tc>
          <w:tcPr>
            <w:tcW w:w="2841" w:type="dxa"/>
            <w:tcBorders>
              <w:tl2br w:val="nil"/>
              <w:tr2bl w:val="nil"/>
            </w:tcBorders>
          </w:tcPr>
          <w:p w14:paraId="6B7D9652">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三级</w:t>
            </w:r>
          </w:p>
        </w:tc>
      </w:tr>
      <w:tr w14:paraId="49BE88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0" w:type="dxa"/>
            <w:tcBorders>
              <w:tl2br w:val="nil"/>
              <w:tr2bl w:val="nil"/>
            </w:tcBorders>
          </w:tcPr>
          <w:p w14:paraId="0C67C8E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地表水</w:t>
            </w:r>
          </w:p>
        </w:tc>
        <w:tc>
          <w:tcPr>
            <w:tcW w:w="2841" w:type="dxa"/>
            <w:tcBorders>
              <w:tl2br w:val="nil"/>
              <w:tr2bl w:val="nil"/>
            </w:tcBorders>
            <w:shd w:val="clear" w:color="auto" w:fill="auto"/>
            <w:vAlign w:val="top"/>
          </w:tcPr>
          <w:p w14:paraId="259BF192">
            <w:pPr>
              <w:pStyle w:val="44"/>
              <w:bidi w:val="0"/>
              <w:ind w:firstLine="0" w:firstLineChars="0"/>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cs="Times New Roman"/>
                <w:color w:val="auto"/>
                <w:lang w:val="en-US" w:eastAsia="zh-CN"/>
              </w:rPr>
              <w:t>定性分析</w:t>
            </w:r>
          </w:p>
        </w:tc>
        <w:tc>
          <w:tcPr>
            <w:tcW w:w="2841" w:type="dxa"/>
            <w:tcBorders>
              <w:tl2br w:val="nil"/>
              <w:tr2bl w:val="nil"/>
            </w:tcBorders>
            <w:shd w:val="clear" w:color="auto" w:fill="auto"/>
            <w:vAlign w:val="top"/>
          </w:tcPr>
          <w:p w14:paraId="5027EC02">
            <w:pPr>
              <w:pStyle w:val="44"/>
              <w:bidi w:val="0"/>
              <w:ind w:firstLine="0" w:firstLineChars="0"/>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cs="Times New Roman"/>
                <w:color w:val="auto"/>
                <w:lang w:val="en-US" w:eastAsia="zh-CN"/>
              </w:rPr>
              <w:t>/</w:t>
            </w:r>
          </w:p>
        </w:tc>
      </w:tr>
      <w:tr w14:paraId="1F74A7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0" w:type="dxa"/>
            <w:tcBorders>
              <w:tl2br w:val="nil"/>
              <w:tr2bl w:val="nil"/>
            </w:tcBorders>
          </w:tcPr>
          <w:p w14:paraId="4C59EDF5">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地下水</w:t>
            </w:r>
          </w:p>
        </w:tc>
        <w:tc>
          <w:tcPr>
            <w:tcW w:w="2841" w:type="dxa"/>
            <w:tcBorders>
              <w:tl2br w:val="nil"/>
              <w:tr2bl w:val="nil"/>
            </w:tcBorders>
            <w:shd w:val="clear" w:color="auto" w:fill="auto"/>
            <w:vAlign w:val="top"/>
          </w:tcPr>
          <w:p w14:paraId="695BB2A0">
            <w:pPr>
              <w:pStyle w:val="44"/>
              <w:bidi w:val="0"/>
              <w:ind w:firstLine="0" w:firstLineChars="0"/>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cs="Times New Roman"/>
                <w:color w:val="auto"/>
                <w:lang w:val="en-US" w:eastAsia="zh-CN"/>
              </w:rPr>
              <w:t>三级</w:t>
            </w:r>
          </w:p>
        </w:tc>
        <w:tc>
          <w:tcPr>
            <w:tcW w:w="2841" w:type="dxa"/>
            <w:tcBorders>
              <w:tl2br w:val="nil"/>
              <w:tr2bl w:val="nil"/>
            </w:tcBorders>
            <w:shd w:val="clear" w:color="auto" w:fill="auto"/>
            <w:vAlign w:val="top"/>
          </w:tcPr>
          <w:p w14:paraId="5CE888AB">
            <w:pPr>
              <w:pStyle w:val="44"/>
              <w:bidi w:val="0"/>
              <w:ind w:firstLine="0" w:firstLineChars="0"/>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cs="Times New Roman"/>
                <w:color w:val="auto"/>
                <w:lang w:val="en-US" w:eastAsia="zh-CN"/>
              </w:rPr>
              <w:t>/</w:t>
            </w:r>
          </w:p>
        </w:tc>
      </w:tr>
      <w:tr w14:paraId="1078DC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0" w:type="dxa"/>
            <w:tcBorders>
              <w:tl2br w:val="nil"/>
              <w:tr2bl w:val="nil"/>
            </w:tcBorders>
          </w:tcPr>
          <w:p w14:paraId="68C2042F">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土壤</w:t>
            </w:r>
          </w:p>
        </w:tc>
        <w:tc>
          <w:tcPr>
            <w:tcW w:w="2841" w:type="dxa"/>
            <w:tcBorders>
              <w:tl2br w:val="nil"/>
              <w:tr2bl w:val="nil"/>
            </w:tcBorders>
          </w:tcPr>
          <w:p w14:paraId="2FC4F29C">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二级</w:t>
            </w:r>
          </w:p>
        </w:tc>
        <w:tc>
          <w:tcPr>
            <w:tcW w:w="2841" w:type="dxa"/>
            <w:tcBorders>
              <w:tl2br w:val="nil"/>
              <w:tr2bl w:val="nil"/>
            </w:tcBorders>
          </w:tcPr>
          <w:p w14:paraId="46E1535D">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r>
    </w:tbl>
    <w:p w14:paraId="33BF0E3A">
      <w:pPr>
        <w:pStyle w:val="41"/>
        <w:rPr>
          <w:rFonts w:hint="default" w:ascii="Times New Roman" w:hAnsi="Times New Roman" w:cs="Times New Roman"/>
          <w:color w:val="auto"/>
          <w:highlight w:val="none"/>
        </w:rPr>
      </w:pPr>
      <w:bookmarkStart w:id="125" w:name="_Toc119316793"/>
      <w:bookmarkStart w:id="126" w:name="_Toc14133"/>
      <w:bookmarkStart w:id="127" w:name="_Toc152926812"/>
      <w:bookmarkStart w:id="128" w:name="_Toc22279"/>
      <w:r>
        <w:rPr>
          <w:rFonts w:hint="default" w:ascii="Times New Roman" w:hAnsi="Times New Roman" w:cs="Times New Roman"/>
          <w:color w:val="auto"/>
          <w:highlight w:val="none"/>
        </w:rPr>
        <w:t>2.7评价范围及评价时段</w:t>
      </w:r>
      <w:bookmarkEnd w:id="125"/>
      <w:bookmarkEnd w:id="126"/>
      <w:bookmarkEnd w:id="127"/>
      <w:bookmarkEnd w:id="128"/>
    </w:p>
    <w:p w14:paraId="439187A9">
      <w:pPr>
        <w:spacing w:line="500" w:lineRule="exact"/>
        <w:ind w:firstLine="480" w:firstLineChars="200"/>
        <w:rPr>
          <w:rFonts w:hint="default" w:ascii="Times New Roman" w:hAnsi="Times New Roman" w:cs="Times New Roman"/>
          <w:snapToGrid w:val="0"/>
          <w:color w:val="auto"/>
          <w:kern w:val="0"/>
          <w:sz w:val="24"/>
          <w:szCs w:val="22"/>
          <w:highlight w:val="none"/>
        </w:rPr>
      </w:pPr>
      <w:r>
        <w:rPr>
          <w:rFonts w:hint="default" w:ascii="Times New Roman" w:hAnsi="Times New Roman" w:cs="Times New Roman"/>
          <w:snapToGrid w:val="0"/>
          <w:color w:val="auto"/>
          <w:kern w:val="0"/>
          <w:sz w:val="24"/>
          <w:szCs w:val="22"/>
          <w:highlight w:val="none"/>
        </w:rPr>
        <w:t>由于施工期对周围环境影响程度因工序污染物排放不同而不同，而且为长期影响，因此本评价以</w:t>
      </w:r>
      <w:r>
        <w:rPr>
          <w:rFonts w:hint="default" w:ascii="Times New Roman" w:hAnsi="Times New Roman" w:cs="Times New Roman"/>
          <w:snapToGrid w:val="0"/>
          <w:color w:val="auto"/>
          <w:kern w:val="0"/>
          <w:sz w:val="24"/>
          <w:szCs w:val="22"/>
          <w:highlight w:val="none"/>
          <w:lang w:val="en-US" w:eastAsia="zh-CN"/>
        </w:rPr>
        <w:t>2#施工期</w:t>
      </w:r>
      <w:r>
        <w:rPr>
          <w:rFonts w:hint="default" w:ascii="Times New Roman" w:hAnsi="Times New Roman" w:cs="Times New Roman"/>
          <w:snapToGrid w:val="0"/>
          <w:color w:val="auto"/>
          <w:kern w:val="0"/>
          <w:sz w:val="24"/>
          <w:szCs w:val="22"/>
          <w:highlight w:val="none"/>
        </w:rPr>
        <w:t>为重点评价时段；生态恢复期主要为土地复垦，为有利影响，因此生态恢复期作简要影响分析。根据评价区域环境特点、建设项目工程污染特征及环境影响评价工作等级要求，确定各环境要素评价范围。</w:t>
      </w:r>
    </w:p>
    <w:p w14:paraId="410E27E6">
      <w:pPr>
        <w:pStyle w:val="39"/>
        <w:rPr>
          <w:rFonts w:hint="default" w:ascii="Times New Roman" w:hAnsi="Times New Roman" w:cs="Times New Roman"/>
          <w:color w:val="auto"/>
          <w:highlight w:val="none"/>
        </w:rPr>
      </w:pPr>
      <w:bookmarkStart w:id="129" w:name="_Toc11758479"/>
      <w:bookmarkStart w:id="130" w:name="_Toc12051"/>
      <w:r>
        <w:rPr>
          <w:rFonts w:hint="default" w:ascii="Times New Roman" w:hAnsi="Times New Roman" w:cs="Times New Roman"/>
          <w:color w:val="auto"/>
          <w:highlight w:val="none"/>
        </w:rPr>
        <w:t>2.7.1评价范围</w:t>
      </w:r>
      <w:bookmarkEnd w:id="129"/>
      <w:bookmarkEnd w:id="130"/>
    </w:p>
    <w:p w14:paraId="571D83A9">
      <w:pPr>
        <w:pStyle w:val="25"/>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（1）环境空气</w:t>
      </w:r>
    </w:p>
    <w:p w14:paraId="2250D3D2">
      <w:pPr>
        <w:pStyle w:val="25"/>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根据评价工作等级要求，考虑本项目所在区域的地形、地理特征，评价范围为边长为5km的矩形区域。</w:t>
      </w:r>
    </w:p>
    <w:p w14:paraId="11DAE892">
      <w:pPr>
        <w:pStyle w:val="25"/>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（2）地下水</w:t>
      </w:r>
    </w:p>
    <w:p w14:paraId="1618F53E">
      <w:pPr>
        <w:pStyle w:val="25"/>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根据《环境影响评价技术导则 地下水环境》(HJ610-2016)，确定项目地下水评价范围为项目区所在的水文地质单元：</w:t>
      </w:r>
      <w:r>
        <w:rPr>
          <w:rFonts w:hint="default" w:ascii="Times New Roman" w:hAnsi="Times New Roman" w:cs="Times New Roman"/>
          <w:color w:val="auto"/>
          <w:highlight w:val="none"/>
        </w:rPr>
        <w:t>场地上游</w:t>
      </w:r>
      <w:r>
        <w:rPr>
          <w:rFonts w:hint="default" w:ascii="Times New Roman" w:hAnsi="Times New Roman" w:cs="Times New Roman"/>
          <w:color w:val="auto"/>
          <w:highlight w:val="none"/>
          <w:lang w:val="en-US" w:eastAsia="zh-CN"/>
        </w:rPr>
        <w:t>至城子河</w:t>
      </w:r>
      <w:r>
        <w:rPr>
          <w:rFonts w:hint="default" w:ascii="Times New Roman" w:hAnsi="Times New Roman" w:cs="Times New Roman"/>
          <w:color w:val="auto"/>
          <w:highlight w:val="none"/>
        </w:rPr>
        <w:t>、下游至</w:t>
      </w:r>
      <w:r>
        <w:rPr>
          <w:rFonts w:hint="default" w:ascii="Times New Roman" w:hAnsi="Times New Roman" w:cs="Times New Roman"/>
          <w:color w:val="auto"/>
          <w:highlight w:val="none"/>
          <w:lang w:val="en-US" w:eastAsia="zh-CN"/>
        </w:rPr>
        <w:t>2500m</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西侧至1000m，</w:t>
      </w:r>
      <w:r>
        <w:rPr>
          <w:rFonts w:hint="default" w:ascii="Times New Roman" w:hAnsi="Times New Roman" w:cs="Times New Roman"/>
          <w:color w:val="auto"/>
          <w:highlight w:val="none"/>
        </w:rPr>
        <w:t>东侧至</w:t>
      </w:r>
      <w:r>
        <w:rPr>
          <w:rFonts w:hint="default" w:ascii="Times New Roman" w:hAnsi="Times New Roman" w:cs="Times New Roman"/>
          <w:color w:val="auto"/>
          <w:highlight w:val="none"/>
          <w:lang w:val="en-US" w:eastAsia="zh-CN"/>
        </w:rPr>
        <w:t>城子河</w:t>
      </w:r>
      <w:r>
        <w:rPr>
          <w:rFonts w:hint="default" w:ascii="Times New Roman" w:hAnsi="Times New Roman" w:cs="Times New Roman"/>
          <w:color w:val="auto"/>
          <w:highlight w:val="none"/>
        </w:rPr>
        <w:t>，面积</w:t>
      </w:r>
      <w:r>
        <w:rPr>
          <w:rFonts w:hint="default" w:ascii="Times New Roman" w:hAnsi="Times New Roman" w:cs="Times New Roman"/>
          <w:color w:val="auto"/>
          <w:highlight w:val="none"/>
          <w:lang w:val="en-US" w:eastAsia="zh-CN"/>
        </w:rPr>
        <w:t>2.8</w:t>
      </w:r>
      <w:r>
        <w:rPr>
          <w:rFonts w:hint="default" w:ascii="Times New Roman" w:hAnsi="Times New Roman" w:cs="Times New Roman"/>
          <w:color w:val="auto"/>
          <w:highlight w:val="none"/>
        </w:rPr>
        <w:t>km</w:t>
      </w:r>
      <w:r>
        <w:rPr>
          <w:rFonts w:hint="default" w:ascii="Times New Roman" w:hAnsi="Times New Roman" w:cs="Times New Roman"/>
          <w:color w:val="auto"/>
          <w:highlight w:val="none"/>
          <w:vertAlign w:val="superscript"/>
        </w:rPr>
        <w:t>2</w:t>
      </w:r>
      <w:r>
        <w:rPr>
          <w:rFonts w:hint="default" w:ascii="Times New Roman" w:hAnsi="Times New Roman" w:cs="Times New Roman"/>
          <w:snapToGrid w:val="0"/>
          <w:color w:val="auto"/>
          <w:highlight w:val="none"/>
        </w:rPr>
        <w:t>。评价范围见图2-8-2。</w:t>
      </w:r>
    </w:p>
    <w:p w14:paraId="56851AF2">
      <w:pPr>
        <w:pStyle w:val="25"/>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（3）声环境</w:t>
      </w:r>
    </w:p>
    <w:p w14:paraId="4B67A46F">
      <w:pPr>
        <w:pStyle w:val="25"/>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根据评价工作等级要求，该项目噪声评价范围为拟建项目厂界外200m范围。</w:t>
      </w:r>
    </w:p>
    <w:p w14:paraId="621C0D17">
      <w:pPr>
        <w:pStyle w:val="25"/>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（4）生态环境</w:t>
      </w:r>
    </w:p>
    <w:p w14:paraId="692F123B">
      <w:pPr>
        <w:pStyle w:val="25"/>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根据评价工作等级要求，该项目生态评价范围为拟建项目厂界外</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00m范围。</w:t>
      </w:r>
    </w:p>
    <w:p w14:paraId="4DDB4A55">
      <w:pPr>
        <w:pStyle w:val="25"/>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（5）土壤环境</w:t>
      </w:r>
    </w:p>
    <w:p w14:paraId="70BF841B">
      <w:pPr>
        <w:pStyle w:val="25"/>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根据评价工作等级要求，该项目土壤评价范围为拟建项目占地范围内及占地范围外200m范围内。</w:t>
      </w:r>
    </w:p>
    <w:p w14:paraId="7E3BE8DB">
      <w:pPr>
        <w:pStyle w:val="25"/>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（6）运输路线两侧评价范围</w:t>
      </w:r>
    </w:p>
    <w:p w14:paraId="5B610CDF">
      <w:pPr>
        <w:pStyle w:val="25"/>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本项目运输路线两侧大气及声环境影响评价范围为运输道路中心线两侧200m范围。</w:t>
      </w:r>
    </w:p>
    <w:p w14:paraId="3537B5D5">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表2-7-1</w:t>
      </w:r>
      <w:r>
        <w:rPr>
          <w:rFonts w:hint="default" w:ascii="Times New Roman" w:hAnsi="Times New Roman" w:cs="Times New Roman"/>
          <w:color w:val="auto"/>
          <w:highlight w:val="none"/>
          <w:lang w:val="en-US" w:eastAsia="zh-CN"/>
        </w:rPr>
        <w:t xml:space="preserve">  2#</w:t>
      </w:r>
      <w:r>
        <w:rPr>
          <w:rFonts w:hint="default" w:ascii="Times New Roman" w:hAnsi="Times New Roman" w:cs="Times New Roman"/>
          <w:color w:val="auto"/>
          <w:highlight w:val="none"/>
        </w:rPr>
        <w:t>工程评价范围表</w:t>
      </w:r>
    </w:p>
    <w:tbl>
      <w:tblPr>
        <w:tblStyle w:val="20"/>
        <w:tblW w:w="4832"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96"/>
        <w:gridCol w:w="2397"/>
        <w:gridCol w:w="2526"/>
        <w:gridCol w:w="2417"/>
      </w:tblGrid>
      <w:tr w14:paraId="171F35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999" w:type="pct"/>
            <w:gridSpan w:val="2"/>
            <w:tcBorders>
              <w:top w:val="single" w:color="auto" w:sz="12" w:space="0"/>
              <w:left w:val="nil"/>
              <w:bottom w:val="single" w:color="auto" w:sz="4" w:space="0"/>
              <w:right w:val="single" w:color="auto" w:sz="4" w:space="0"/>
            </w:tcBorders>
            <w:vAlign w:val="center"/>
          </w:tcPr>
          <w:p w14:paraId="354778A8">
            <w:pPr>
              <w:pStyle w:val="44"/>
              <w:bidi w:val="0"/>
              <w:rPr>
                <w:rFonts w:hint="default" w:ascii="Times New Roman" w:hAnsi="Times New Roman" w:cs="Times New Roman"/>
                <w:b/>
                <w:bCs/>
                <w:color w:val="auto"/>
                <w:highlight w:val="none"/>
                <w:lang w:val="zh-CN"/>
              </w:rPr>
            </w:pPr>
            <w:bookmarkStart w:id="131" w:name="_Toc15991636"/>
            <w:bookmarkStart w:id="132" w:name="_Toc524431294"/>
            <w:r>
              <w:rPr>
                <w:rFonts w:hint="default" w:ascii="Times New Roman" w:hAnsi="Times New Roman" w:cs="Times New Roman"/>
                <w:b/>
                <w:bCs/>
                <w:color w:val="auto"/>
                <w:highlight w:val="none"/>
                <w:lang w:val="zh-CN"/>
              </w:rPr>
              <w:t>项目</w:t>
            </w:r>
          </w:p>
        </w:tc>
        <w:tc>
          <w:tcPr>
            <w:tcW w:w="1533" w:type="pct"/>
            <w:tcBorders>
              <w:top w:val="single" w:color="auto" w:sz="12" w:space="0"/>
              <w:left w:val="single" w:color="auto" w:sz="4" w:space="0"/>
              <w:bottom w:val="single" w:color="auto" w:sz="4" w:space="0"/>
              <w:right w:val="nil"/>
            </w:tcBorders>
            <w:vAlign w:val="center"/>
          </w:tcPr>
          <w:p w14:paraId="3D1368A2">
            <w:pPr>
              <w:pStyle w:val="44"/>
              <w:bidi w:val="0"/>
              <w:rPr>
                <w:rFonts w:hint="default" w:ascii="Times New Roman" w:hAnsi="Times New Roman" w:cs="Times New Roman"/>
                <w:b/>
                <w:bCs/>
                <w:color w:val="auto"/>
                <w:highlight w:val="none"/>
                <w:lang w:val="zh-CN"/>
              </w:rPr>
            </w:pPr>
            <w:r>
              <w:rPr>
                <w:rFonts w:hint="default" w:ascii="Times New Roman" w:hAnsi="Times New Roman" w:cs="Times New Roman"/>
                <w:b/>
                <w:bCs/>
                <w:color w:val="auto"/>
                <w:highlight w:val="none"/>
                <w:lang w:val="en-US" w:eastAsia="zh-CN"/>
              </w:rPr>
              <w:t>2#</w:t>
            </w:r>
            <w:r>
              <w:rPr>
                <w:rFonts w:hint="default" w:ascii="Times New Roman" w:hAnsi="Times New Roman" w:cs="Times New Roman"/>
                <w:b/>
                <w:bCs/>
                <w:color w:val="auto"/>
                <w:highlight w:val="none"/>
                <w:lang w:val="zh-CN"/>
              </w:rPr>
              <w:t>评价范围</w:t>
            </w:r>
          </w:p>
        </w:tc>
        <w:tc>
          <w:tcPr>
            <w:tcW w:w="1467" w:type="pct"/>
            <w:tcBorders>
              <w:top w:val="single" w:color="auto" w:sz="12" w:space="0"/>
              <w:left w:val="single" w:color="auto" w:sz="4" w:space="0"/>
              <w:bottom w:val="single" w:color="auto" w:sz="4" w:space="0"/>
              <w:right w:val="nil"/>
            </w:tcBorders>
            <w:vAlign w:val="center"/>
          </w:tcPr>
          <w:p w14:paraId="76675C56">
            <w:pPr>
              <w:pStyle w:val="44"/>
              <w:bidi w:val="0"/>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val="en-US" w:eastAsia="zh-CN"/>
              </w:rPr>
              <w:t>其他项目区评价范围</w:t>
            </w:r>
          </w:p>
        </w:tc>
      </w:tr>
      <w:tr w14:paraId="4FD5CB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544" w:type="pct"/>
            <w:vMerge w:val="restart"/>
            <w:tcBorders>
              <w:top w:val="single" w:color="auto" w:sz="4" w:space="0"/>
              <w:left w:val="nil"/>
              <w:bottom w:val="single" w:color="auto" w:sz="4" w:space="0"/>
              <w:right w:val="single" w:color="auto" w:sz="4" w:space="0"/>
            </w:tcBorders>
            <w:vAlign w:val="center"/>
          </w:tcPr>
          <w:p w14:paraId="5A0124A1">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环境空气</w:t>
            </w:r>
          </w:p>
        </w:tc>
        <w:tc>
          <w:tcPr>
            <w:tcW w:w="1454" w:type="pct"/>
            <w:tcBorders>
              <w:top w:val="single" w:color="auto" w:sz="4" w:space="0"/>
              <w:left w:val="single" w:color="auto" w:sz="4" w:space="0"/>
              <w:bottom w:val="single" w:color="auto" w:sz="4" w:space="0"/>
              <w:right w:val="single" w:color="auto" w:sz="4" w:space="0"/>
            </w:tcBorders>
            <w:vAlign w:val="center"/>
          </w:tcPr>
          <w:p w14:paraId="78E708C8">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现状调查</w:t>
            </w:r>
          </w:p>
        </w:tc>
        <w:tc>
          <w:tcPr>
            <w:tcW w:w="1533" w:type="pct"/>
            <w:vMerge w:val="restart"/>
            <w:tcBorders>
              <w:top w:val="single" w:color="auto" w:sz="4" w:space="0"/>
              <w:left w:val="single" w:color="auto" w:sz="4" w:space="0"/>
              <w:bottom w:val="single" w:color="auto" w:sz="4" w:space="0"/>
              <w:right w:val="nil"/>
            </w:tcBorders>
            <w:vAlign w:val="center"/>
          </w:tcPr>
          <w:p w14:paraId="4D2434EB">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为边长为5km的矩形区域。</w:t>
            </w:r>
          </w:p>
        </w:tc>
        <w:tc>
          <w:tcPr>
            <w:tcW w:w="1467" w:type="pct"/>
            <w:vMerge w:val="restart"/>
            <w:tcBorders>
              <w:top w:val="single" w:color="auto" w:sz="4" w:space="0"/>
              <w:left w:val="single" w:color="auto" w:sz="4" w:space="0"/>
              <w:right w:val="nil"/>
            </w:tcBorders>
            <w:vAlign w:val="center"/>
          </w:tcPr>
          <w:p w14:paraId="005FF55C">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en-US" w:eastAsia="zh-CN"/>
              </w:rPr>
              <w:t>边界</w:t>
            </w:r>
            <w:r>
              <w:rPr>
                <w:rFonts w:hint="default" w:ascii="Times New Roman" w:hAnsi="Times New Roman" w:cs="Times New Roman"/>
                <w:color w:val="auto"/>
                <w:highlight w:val="none"/>
                <w:lang w:val="zh-CN" w:eastAsia="zh-CN"/>
              </w:rPr>
              <w:t>外 500 米范围内</w:t>
            </w:r>
          </w:p>
        </w:tc>
      </w:tr>
      <w:tr w14:paraId="245908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544" w:type="pct"/>
            <w:vMerge w:val="continue"/>
            <w:tcBorders>
              <w:top w:val="single" w:color="auto" w:sz="4" w:space="0"/>
              <w:left w:val="nil"/>
              <w:bottom w:val="single" w:color="auto" w:sz="4" w:space="0"/>
              <w:right w:val="single" w:color="auto" w:sz="4" w:space="0"/>
            </w:tcBorders>
            <w:vAlign w:val="center"/>
          </w:tcPr>
          <w:p w14:paraId="35BC8BF9">
            <w:pPr>
              <w:pStyle w:val="44"/>
              <w:bidi w:val="0"/>
              <w:rPr>
                <w:rFonts w:hint="default" w:ascii="Times New Roman" w:hAnsi="Times New Roman" w:cs="Times New Roman"/>
                <w:color w:val="auto"/>
                <w:highlight w:val="none"/>
                <w:lang w:val="zh-CN"/>
              </w:rPr>
            </w:pPr>
          </w:p>
        </w:tc>
        <w:tc>
          <w:tcPr>
            <w:tcW w:w="1454" w:type="pct"/>
            <w:tcBorders>
              <w:top w:val="single" w:color="auto" w:sz="4" w:space="0"/>
              <w:left w:val="single" w:color="auto" w:sz="4" w:space="0"/>
              <w:bottom w:val="single" w:color="auto" w:sz="4" w:space="0"/>
              <w:right w:val="single" w:color="auto" w:sz="4" w:space="0"/>
            </w:tcBorders>
            <w:vAlign w:val="center"/>
          </w:tcPr>
          <w:p w14:paraId="1D5291B2">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影响分析</w:t>
            </w:r>
          </w:p>
        </w:tc>
        <w:tc>
          <w:tcPr>
            <w:tcW w:w="1533" w:type="pct"/>
            <w:vMerge w:val="continue"/>
            <w:tcBorders>
              <w:top w:val="single" w:color="auto" w:sz="4" w:space="0"/>
              <w:left w:val="single" w:color="auto" w:sz="4" w:space="0"/>
              <w:bottom w:val="single" w:color="auto" w:sz="4" w:space="0"/>
              <w:right w:val="nil"/>
            </w:tcBorders>
            <w:vAlign w:val="center"/>
          </w:tcPr>
          <w:p w14:paraId="7F801632">
            <w:pPr>
              <w:pStyle w:val="44"/>
              <w:bidi w:val="0"/>
              <w:rPr>
                <w:rFonts w:hint="default" w:ascii="Times New Roman" w:hAnsi="Times New Roman" w:cs="Times New Roman"/>
                <w:color w:val="auto"/>
                <w:highlight w:val="none"/>
                <w:lang w:val="zh-CN"/>
              </w:rPr>
            </w:pPr>
          </w:p>
        </w:tc>
        <w:tc>
          <w:tcPr>
            <w:tcW w:w="1467" w:type="pct"/>
            <w:vMerge w:val="continue"/>
            <w:tcBorders>
              <w:left w:val="single" w:color="auto" w:sz="4" w:space="0"/>
              <w:bottom w:val="single" w:color="auto" w:sz="4" w:space="0"/>
              <w:right w:val="nil"/>
            </w:tcBorders>
            <w:vAlign w:val="center"/>
          </w:tcPr>
          <w:p w14:paraId="2F5278AC">
            <w:pPr>
              <w:pStyle w:val="44"/>
              <w:bidi w:val="0"/>
              <w:rPr>
                <w:rFonts w:hint="default" w:ascii="Times New Roman" w:hAnsi="Times New Roman" w:cs="Times New Roman"/>
                <w:color w:val="auto"/>
                <w:highlight w:val="none"/>
                <w:lang w:val="zh-CN"/>
              </w:rPr>
            </w:pPr>
          </w:p>
        </w:tc>
      </w:tr>
      <w:tr w14:paraId="4B24BE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544" w:type="pct"/>
            <w:vMerge w:val="restart"/>
            <w:tcBorders>
              <w:top w:val="single" w:color="auto" w:sz="4" w:space="0"/>
              <w:left w:val="nil"/>
              <w:bottom w:val="single" w:color="auto" w:sz="4" w:space="0"/>
              <w:right w:val="single" w:color="auto" w:sz="4" w:space="0"/>
            </w:tcBorders>
            <w:vAlign w:val="center"/>
          </w:tcPr>
          <w:p w14:paraId="132107B0">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声环境</w:t>
            </w:r>
          </w:p>
        </w:tc>
        <w:tc>
          <w:tcPr>
            <w:tcW w:w="1454" w:type="pct"/>
            <w:tcBorders>
              <w:top w:val="single" w:color="auto" w:sz="4" w:space="0"/>
              <w:left w:val="single" w:color="auto" w:sz="4" w:space="0"/>
              <w:bottom w:val="single" w:color="auto" w:sz="4" w:space="0"/>
              <w:right w:val="single" w:color="auto" w:sz="4" w:space="0"/>
            </w:tcBorders>
            <w:vAlign w:val="center"/>
          </w:tcPr>
          <w:p w14:paraId="7530A41B">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现状调查</w:t>
            </w:r>
          </w:p>
        </w:tc>
        <w:tc>
          <w:tcPr>
            <w:tcW w:w="1533" w:type="pct"/>
            <w:vMerge w:val="restart"/>
            <w:tcBorders>
              <w:top w:val="single" w:color="auto" w:sz="4" w:space="0"/>
              <w:left w:val="single" w:color="auto" w:sz="4" w:space="0"/>
              <w:bottom w:val="single" w:color="auto" w:sz="4" w:space="0"/>
              <w:right w:val="nil"/>
            </w:tcBorders>
            <w:vAlign w:val="center"/>
          </w:tcPr>
          <w:p w14:paraId="3DF29FF1">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厂界200m范围</w:t>
            </w:r>
          </w:p>
        </w:tc>
        <w:tc>
          <w:tcPr>
            <w:tcW w:w="1467" w:type="pct"/>
            <w:vMerge w:val="restart"/>
            <w:tcBorders>
              <w:top w:val="single" w:color="auto" w:sz="4" w:space="0"/>
              <w:left w:val="single" w:color="auto" w:sz="4" w:space="0"/>
              <w:right w:val="nil"/>
            </w:tcBorders>
            <w:vAlign w:val="center"/>
          </w:tcPr>
          <w:p w14:paraId="498EDD12">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en-US" w:eastAsia="zh-CN"/>
              </w:rPr>
              <w:t>边界</w:t>
            </w:r>
            <w:r>
              <w:rPr>
                <w:rFonts w:hint="default" w:ascii="Times New Roman" w:hAnsi="Times New Roman" w:cs="Times New Roman"/>
                <w:color w:val="auto"/>
                <w:highlight w:val="none"/>
                <w:lang w:val="zh-CN" w:eastAsia="zh-CN"/>
              </w:rPr>
              <w:t>外</w:t>
            </w:r>
            <w:r>
              <w:rPr>
                <w:rFonts w:hint="default" w:ascii="Times New Roman" w:hAnsi="Times New Roman" w:cs="Times New Roman"/>
                <w:color w:val="auto"/>
                <w:highlight w:val="none"/>
                <w:lang w:val="en-US" w:eastAsia="zh-CN"/>
              </w:rPr>
              <w:t>200</w:t>
            </w:r>
            <w:r>
              <w:rPr>
                <w:rFonts w:hint="default" w:ascii="Times New Roman" w:hAnsi="Times New Roman" w:cs="Times New Roman"/>
                <w:color w:val="auto"/>
                <w:highlight w:val="none"/>
                <w:lang w:val="zh-CN" w:eastAsia="zh-CN"/>
              </w:rPr>
              <w:t>米范围内</w:t>
            </w:r>
          </w:p>
        </w:tc>
      </w:tr>
      <w:tr w14:paraId="0500F0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3" w:hRule="atLeast"/>
        </w:trPr>
        <w:tc>
          <w:tcPr>
            <w:tcW w:w="544" w:type="pct"/>
            <w:vMerge w:val="continue"/>
            <w:tcBorders>
              <w:top w:val="single" w:color="auto" w:sz="4" w:space="0"/>
              <w:left w:val="nil"/>
              <w:bottom w:val="single" w:color="auto" w:sz="4" w:space="0"/>
              <w:right w:val="single" w:color="auto" w:sz="4" w:space="0"/>
            </w:tcBorders>
            <w:vAlign w:val="center"/>
          </w:tcPr>
          <w:p w14:paraId="234F0D10">
            <w:pPr>
              <w:pStyle w:val="44"/>
              <w:bidi w:val="0"/>
              <w:rPr>
                <w:rFonts w:hint="default" w:ascii="Times New Roman" w:hAnsi="Times New Roman" w:cs="Times New Roman"/>
                <w:color w:val="auto"/>
                <w:highlight w:val="none"/>
                <w:lang w:val="zh-CN"/>
              </w:rPr>
            </w:pPr>
          </w:p>
        </w:tc>
        <w:tc>
          <w:tcPr>
            <w:tcW w:w="1454" w:type="pct"/>
            <w:tcBorders>
              <w:top w:val="single" w:color="auto" w:sz="4" w:space="0"/>
              <w:left w:val="single" w:color="auto" w:sz="4" w:space="0"/>
              <w:bottom w:val="single" w:color="auto" w:sz="4" w:space="0"/>
              <w:right w:val="single" w:color="auto" w:sz="4" w:space="0"/>
            </w:tcBorders>
            <w:vAlign w:val="center"/>
          </w:tcPr>
          <w:p w14:paraId="2AB4F26F">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影响分析</w:t>
            </w:r>
          </w:p>
        </w:tc>
        <w:tc>
          <w:tcPr>
            <w:tcW w:w="1533" w:type="pct"/>
            <w:vMerge w:val="continue"/>
            <w:tcBorders>
              <w:top w:val="single" w:color="auto" w:sz="4" w:space="0"/>
              <w:left w:val="single" w:color="auto" w:sz="4" w:space="0"/>
              <w:bottom w:val="single" w:color="auto" w:sz="4" w:space="0"/>
              <w:right w:val="nil"/>
            </w:tcBorders>
            <w:vAlign w:val="center"/>
          </w:tcPr>
          <w:p w14:paraId="0043BE13">
            <w:pPr>
              <w:pStyle w:val="44"/>
              <w:bidi w:val="0"/>
              <w:rPr>
                <w:rFonts w:hint="default" w:ascii="Times New Roman" w:hAnsi="Times New Roman" w:cs="Times New Roman"/>
                <w:color w:val="auto"/>
                <w:highlight w:val="none"/>
                <w:lang w:val="zh-CN"/>
              </w:rPr>
            </w:pPr>
          </w:p>
        </w:tc>
        <w:tc>
          <w:tcPr>
            <w:tcW w:w="1467" w:type="pct"/>
            <w:vMerge w:val="continue"/>
            <w:tcBorders>
              <w:left w:val="single" w:color="auto" w:sz="4" w:space="0"/>
              <w:bottom w:val="single" w:color="auto" w:sz="4" w:space="0"/>
              <w:right w:val="nil"/>
            </w:tcBorders>
            <w:vAlign w:val="center"/>
          </w:tcPr>
          <w:p w14:paraId="04303699">
            <w:pPr>
              <w:pStyle w:val="44"/>
              <w:bidi w:val="0"/>
              <w:rPr>
                <w:rFonts w:hint="default" w:ascii="Times New Roman" w:hAnsi="Times New Roman" w:cs="Times New Roman"/>
                <w:color w:val="auto"/>
                <w:highlight w:val="none"/>
                <w:lang w:val="zh-CN"/>
              </w:rPr>
            </w:pPr>
          </w:p>
        </w:tc>
      </w:tr>
      <w:tr w14:paraId="37A906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9" w:hRule="atLeast"/>
        </w:trPr>
        <w:tc>
          <w:tcPr>
            <w:tcW w:w="544" w:type="pct"/>
            <w:vMerge w:val="restart"/>
            <w:tcBorders>
              <w:top w:val="single" w:color="auto" w:sz="4" w:space="0"/>
              <w:left w:val="nil"/>
              <w:bottom w:val="single" w:color="auto" w:sz="4" w:space="0"/>
              <w:right w:val="single" w:color="auto" w:sz="4" w:space="0"/>
            </w:tcBorders>
            <w:vAlign w:val="center"/>
          </w:tcPr>
          <w:p w14:paraId="385E6C28">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地下水环境</w:t>
            </w:r>
          </w:p>
        </w:tc>
        <w:tc>
          <w:tcPr>
            <w:tcW w:w="1454" w:type="pct"/>
            <w:tcBorders>
              <w:top w:val="single" w:color="auto" w:sz="4" w:space="0"/>
              <w:left w:val="single" w:color="auto" w:sz="4" w:space="0"/>
              <w:bottom w:val="single" w:color="auto" w:sz="4" w:space="0"/>
              <w:right w:val="single" w:color="auto" w:sz="4" w:space="0"/>
            </w:tcBorders>
            <w:vAlign w:val="center"/>
          </w:tcPr>
          <w:p w14:paraId="1967FC8C">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现状调查</w:t>
            </w:r>
          </w:p>
        </w:tc>
        <w:tc>
          <w:tcPr>
            <w:tcW w:w="1533" w:type="pct"/>
            <w:vMerge w:val="restart"/>
            <w:tcBorders>
              <w:top w:val="single" w:color="auto" w:sz="4" w:space="0"/>
              <w:left w:val="single" w:color="auto" w:sz="4" w:space="0"/>
              <w:bottom w:val="single" w:color="auto" w:sz="4" w:space="0"/>
              <w:right w:val="nil"/>
            </w:tcBorders>
            <w:vAlign w:val="center"/>
          </w:tcPr>
          <w:p w14:paraId="3200253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场地上游</w:t>
            </w:r>
            <w:r>
              <w:rPr>
                <w:rFonts w:hint="default" w:ascii="Times New Roman" w:hAnsi="Times New Roman" w:cs="Times New Roman"/>
                <w:color w:val="auto"/>
                <w:highlight w:val="none"/>
                <w:lang w:val="en-US" w:eastAsia="zh-CN"/>
              </w:rPr>
              <w:t>至城子河</w:t>
            </w:r>
            <w:r>
              <w:rPr>
                <w:rFonts w:hint="default" w:ascii="Times New Roman" w:hAnsi="Times New Roman" w:cs="Times New Roman"/>
                <w:color w:val="auto"/>
                <w:highlight w:val="none"/>
              </w:rPr>
              <w:t>、下游至</w:t>
            </w:r>
            <w:r>
              <w:rPr>
                <w:rFonts w:hint="default" w:ascii="Times New Roman" w:hAnsi="Times New Roman" w:cs="Times New Roman"/>
                <w:color w:val="auto"/>
                <w:highlight w:val="none"/>
                <w:lang w:val="en-US" w:eastAsia="zh-CN"/>
              </w:rPr>
              <w:t>2500m</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西侧至1000m，</w:t>
            </w:r>
            <w:r>
              <w:rPr>
                <w:rFonts w:hint="default" w:ascii="Times New Roman" w:hAnsi="Times New Roman" w:cs="Times New Roman"/>
                <w:color w:val="auto"/>
                <w:highlight w:val="none"/>
              </w:rPr>
              <w:t>东侧至</w:t>
            </w:r>
            <w:r>
              <w:rPr>
                <w:rFonts w:hint="default" w:ascii="Times New Roman" w:hAnsi="Times New Roman" w:cs="Times New Roman"/>
                <w:color w:val="auto"/>
                <w:highlight w:val="none"/>
                <w:lang w:val="en-US" w:eastAsia="zh-CN"/>
              </w:rPr>
              <w:t>城子河</w:t>
            </w:r>
            <w:r>
              <w:rPr>
                <w:rFonts w:hint="default" w:ascii="Times New Roman" w:hAnsi="Times New Roman" w:cs="Times New Roman"/>
                <w:color w:val="auto"/>
                <w:highlight w:val="none"/>
              </w:rPr>
              <w:t>，面积</w:t>
            </w:r>
            <w:r>
              <w:rPr>
                <w:rFonts w:hint="default" w:ascii="Times New Roman" w:hAnsi="Times New Roman" w:cs="Times New Roman"/>
                <w:color w:val="auto"/>
                <w:highlight w:val="none"/>
                <w:lang w:val="en-US" w:eastAsia="zh-CN"/>
              </w:rPr>
              <w:t>2.8</w:t>
            </w:r>
            <w:r>
              <w:rPr>
                <w:rFonts w:hint="default" w:ascii="Times New Roman" w:hAnsi="Times New Roman" w:cs="Times New Roman"/>
                <w:color w:val="auto"/>
                <w:highlight w:val="none"/>
              </w:rPr>
              <w:t>km</w:t>
            </w:r>
            <w:r>
              <w:rPr>
                <w:rFonts w:hint="default" w:ascii="Times New Roman" w:hAnsi="Times New Roman" w:cs="Times New Roman"/>
                <w:color w:val="auto"/>
                <w:highlight w:val="none"/>
                <w:vertAlign w:val="superscript"/>
              </w:rPr>
              <w:t>2</w:t>
            </w:r>
          </w:p>
        </w:tc>
        <w:tc>
          <w:tcPr>
            <w:tcW w:w="1467" w:type="pct"/>
            <w:vMerge w:val="restart"/>
            <w:tcBorders>
              <w:top w:val="single" w:color="auto" w:sz="4" w:space="0"/>
              <w:left w:val="single" w:color="auto" w:sz="4" w:space="0"/>
              <w:right w:val="nil"/>
            </w:tcBorders>
            <w:vAlign w:val="center"/>
          </w:tcPr>
          <w:p w14:paraId="484C7FF5">
            <w:pPr>
              <w:pStyle w:val="44"/>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tc>
      </w:tr>
      <w:tr w14:paraId="212B39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3" w:hRule="atLeast"/>
        </w:trPr>
        <w:tc>
          <w:tcPr>
            <w:tcW w:w="544" w:type="pct"/>
            <w:vMerge w:val="continue"/>
            <w:tcBorders>
              <w:top w:val="single" w:color="auto" w:sz="4" w:space="0"/>
              <w:left w:val="nil"/>
              <w:bottom w:val="single" w:color="auto" w:sz="4" w:space="0"/>
              <w:right w:val="single" w:color="auto" w:sz="4" w:space="0"/>
            </w:tcBorders>
            <w:vAlign w:val="center"/>
          </w:tcPr>
          <w:p w14:paraId="2613A1EB">
            <w:pPr>
              <w:pStyle w:val="44"/>
              <w:bidi w:val="0"/>
              <w:rPr>
                <w:rFonts w:hint="default" w:ascii="Times New Roman" w:hAnsi="Times New Roman" w:cs="Times New Roman"/>
                <w:color w:val="auto"/>
                <w:highlight w:val="none"/>
                <w:lang w:val="zh-CN"/>
              </w:rPr>
            </w:pPr>
          </w:p>
        </w:tc>
        <w:tc>
          <w:tcPr>
            <w:tcW w:w="1454" w:type="pct"/>
            <w:tcBorders>
              <w:top w:val="single" w:color="auto" w:sz="4" w:space="0"/>
              <w:left w:val="single" w:color="auto" w:sz="4" w:space="0"/>
              <w:bottom w:val="single" w:color="auto" w:sz="4" w:space="0"/>
              <w:right w:val="single" w:color="auto" w:sz="4" w:space="0"/>
            </w:tcBorders>
            <w:vAlign w:val="center"/>
          </w:tcPr>
          <w:p w14:paraId="5A3778B4">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影响分析</w:t>
            </w:r>
          </w:p>
        </w:tc>
        <w:tc>
          <w:tcPr>
            <w:tcW w:w="1533" w:type="pct"/>
            <w:vMerge w:val="continue"/>
            <w:tcBorders>
              <w:top w:val="single" w:color="auto" w:sz="4" w:space="0"/>
              <w:left w:val="single" w:color="auto" w:sz="4" w:space="0"/>
              <w:bottom w:val="single" w:color="auto" w:sz="4" w:space="0"/>
              <w:right w:val="nil"/>
            </w:tcBorders>
            <w:vAlign w:val="center"/>
          </w:tcPr>
          <w:p w14:paraId="36CA5CA7">
            <w:pPr>
              <w:pStyle w:val="44"/>
              <w:bidi w:val="0"/>
              <w:rPr>
                <w:rFonts w:hint="default" w:ascii="Times New Roman" w:hAnsi="Times New Roman" w:cs="Times New Roman"/>
                <w:color w:val="auto"/>
                <w:highlight w:val="none"/>
              </w:rPr>
            </w:pPr>
          </w:p>
        </w:tc>
        <w:tc>
          <w:tcPr>
            <w:tcW w:w="1467" w:type="pct"/>
            <w:vMerge w:val="continue"/>
            <w:tcBorders>
              <w:left w:val="single" w:color="auto" w:sz="4" w:space="0"/>
              <w:bottom w:val="single" w:color="auto" w:sz="4" w:space="0"/>
              <w:right w:val="nil"/>
            </w:tcBorders>
            <w:vAlign w:val="center"/>
          </w:tcPr>
          <w:p w14:paraId="3A41841D">
            <w:pPr>
              <w:pStyle w:val="44"/>
              <w:bidi w:val="0"/>
              <w:rPr>
                <w:rFonts w:hint="default" w:ascii="Times New Roman" w:hAnsi="Times New Roman" w:cs="Times New Roman"/>
                <w:color w:val="auto"/>
                <w:highlight w:val="none"/>
              </w:rPr>
            </w:pPr>
          </w:p>
        </w:tc>
      </w:tr>
      <w:tr w14:paraId="5C26EB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7" w:hRule="atLeast"/>
        </w:trPr>
        <w:tc>
          <w:tcPr>
            <w:tcW w:w="544" w:type="pct"/>
            <w:vMerge w:val="restart"/>
            <w:tcBorders>
              <w:top w:val="single" w:color="auto" w:sz="4" w:space="0"/>
              <w:left w:val="nil"/>
              <w:bottom w:val="single" w:color="auto" w:sz="4" w:space="0"/>
              <w:right w:val="single" w:color="auto" w:sz="4" w:space="0"/>
            </w:tcBorders>
            <w:vAlign w:val="center"/>
          </w:tcPr>
          <w:p w14:paraId="2ED89B97">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生态</w:t>
            </w:r>
          </w:p>
          <w:p w14:paraId="2555AFE2">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环境</w:t>
            </w:r>
          </w:p>
        </w:tc>
        <w:tc>
          <w:tcPr>
            <w:tcW w:w="1454" w:type="pct"/>
            <w:tcBorders>
              <w:top w:val="single" w:color="auto" w:sz="4" w:space="0"/>
              <w:left w:val="single" w:color="auto" w:sz="4" w:space="0"/>
              <w:bottom w:val="single" w:color="auto" w:sz="4" w:space="0"/>
              <w:right w:val="single" w:color="auto" w:sz="4" w:space="0"/>
            </w:tcBorders>
            <w:vAlign w:val="center"/>
          </w:tcPr>
          <w:p w14:paraId="634942D9">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现状调查</w:t>
            </w:r>
          </w:p>
        </w:tc>
        <w:tc>
          <w:tcPr>
            <w:tcW w:w="1533" w:type="pct"/>
            <w:vMerge w:val="restart"/>
            <w:tcBorders>
              <w:top w:val="single" w:color="auto" w:sz="4" w:space="0"/>
              <w:left w:val="single" w:color="auto" w:sz="4" w:space="0"/>
              <w:bottom w:val="single" w:color="auto" w:sz="4" w:space="0"/>
              <w:right w:val="nil"/>
            </w:tcBorders>
            <w:vAlign w:val="center"/>
          </w:tcPr>
          <w:p w14:paraId="7FCEA4E7">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en-US" w:eastAsia="zh-CN"/>
              </w:rPr>
              <w:t>边</w:t>
            </w:r>
            <w:r>
              <w:rPr>
                <w:rFonts w:hint="default" w:ascii="Times New Roman" w:hAnsi="Times New Roman" w:cs="Times New Roman"/>
                <w:color w:val="auto"/>
                <w:highlight w:val="none"/>
                <w:lang w:val="zh-CN"/>
              </w:rPr>
              <w:t>界外500m范围</w:t>
            </w:r>
          </w:p>
        </w:tc>
        <w:tc>
          <w:tcPr>
            <w:tcW w:w="1467" w:type="pct"/>
            <w:vMerge w:val="restart"/>
            <w:tcBorders>
              <w:top w:val="single" w:color="auto" w:sz="4" w:space="0"/>
              <w:left w:val="single" w:color="auto" w:sz="4" w:space="0"/>
              <w:right w:val="nil"/>
            </w:tcBorders>
            <w:vAlign w:val="center"/>
          </w:tcPr>
          <w:p w14:paraId="76C0C50E">
            <w:pPr>
              <w:pStyle w:val="44"/>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边</w:t>
            </w:r>
            <w:r>
              <w:rPr>
                <w:rFonts w:hint="default" w:ascii="Times New Roman" w:hAnsi="Times New Roman" w:cs="Times New Roman"/>
                <w:color w:val="auto"/>
                <w:highlight w:val="none"/>
                <w:lang w:val="zh-CN"/>
              </w:rPr>
              <w:t>界外500m范围</w:t>
            </w:r>
          </w:p>
        </w:tc>
      </w:tr>
      <w:tr w14:paraId="02FEB5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5" w:hRule="atLeast"/>
        </w:trPr>
        <w:tc>
          <w:tcPr>
            <w:tcW w:w="544" w:type="pct"/>
            <w:vMerge w:val="continue"/>
            <w:tcBorders>
              <w:top w:val="single" w:color="auto" w:sz="4" w:space="0"/>
              <w:left w:val="nil"/>
              <w:bottom w:val="single" w:color="auto" w:sz="4" w:space="0"/>
              <w:right w:val="single" w:color="auto" w:sz="4" w:space="0"/>
            </w:tcBorders>
            <w:vAlign w:val="center"/>
          </w:tcPr>
          <w:p w14:paraId="4F169899">
            <w:pPr>
              <w:pStyle w:val="44"/>
              <w:bidi w:val="0"/>
              <w:rPr>
                <w:rFonts w:hint="default" w:ascii="Times New Roman" w:hAnsi="Times New Roman" w:cs="Times New Roman"/>
                <w:color w:val="auto"/>
                <w:highlight w:val="none"/>
                <w:lang w:val="zh-CN"/>
              </w:rPr>
            </w:pPr>
          </w:p>
        </w:tc>
        <w:tc>
          <w:tcPr>
            <w:tcW w:w="1454" w:type="pct"/>
            <w:tcBorders>
              <w:top w:val="single" w:color="auto" w:sz="4" w:space="0"/>
              <w:left w:val="single" w:color="auto" w:sz="4" w:space="0"/>
              <w:bottom w:val="single" w:color="auto" w:sz="4" w:space="0"/>
              <w:right w:val="single" w:color="auto" w:sz="4" w:space="0"/>
            </w:tcBorders>
            <w:vAlign w:val="center"/>
          </w:tcPr>
          <w:p w14:paraId="30E91839">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影响分析</w:t>
            </w:r>
          </w:p>
        </w:tc>
        <w:tc>
          <w:tcPr>
            <w:tcW w:w="1533" w:type="pct"/>
            <w:vMerge w:val="continue"/>
            <w:tcBorders>
              <w:top w:val="single" w:color="auto" w:sz="4" w:space="0"/>
              <w:left w:val="single" w:color="auto" w:sz="4" w:space="0"/>
              <w:bottom w:val="single" w:color="auto" w:sz="4" w:space="0"/>
              <w:right w:val="nil"/>
            </w:tcBorders>
            <w:vAlign w:val="center"/>
          </w:tcPr>
          <w:p w14:paraId="03F6BE7C">
            <w:pPr>
              <w:pStyle w:val="44"/>
              <w:bidi w:val="0"/>
              <w:rPr>
                <w:rFonts w:hint="default" w:ascii="Times New Roman" w:hAnsi="Times New Roman" w:cs="Times New Roman"/>
                <w:color w:val="auto"/>
                <w:highlight w:val="none"/>
                <w:lang w:val="zh-CN"/>
              </w:rPr>
            </w:pPr>
          </w:p>
        </w:tc>
        <w:tc>
          <w:tcPr>
            <w:tcW w:w="1467" w:type="pct"/>
            <w:vMerge w:val="continue"/>
            <w:tcBorders>
              <w:left w:val="single" w:color="auto" w:sz="4" w:space="0"/>
              <w:bottom w:val="single" w:color="auto" w:sz="4" w:space="0"/>
              <w:right w:val="nil"/>
            </w:tcBorders>
            <w:vAlign w:val="center"/>
          </w:tcPr>
          <w:p w14:paraId="501DC804">
            <w:pPr>
              <w:pStyle w:val="44"/>
              <w:bidi w:val="0"/>
              <w:rPr>
                <w:rFonts w:hint="default" w:ascii="Times New Roman" w:hAnsi="Times New Roman" w:cs="Times New Roman"/>
                <w:color w:val="auto"/>
                <w:highlight w:val="none"/>
                <w:lang w:val="zh-CN"/>
              </w:rPr>
            </w:pPr>
          </w:p>
        </w:tc>
      </w:tr>
      <w:tr w14:paraId="6F9234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3" w:hRule="atLeast"/>
        </w:trPr>
        <w:tc>
          <w:tcPr>
            <w:tcW w:w="544" w:type="pct"/>
            <w:vMerge w:val="restart"/>
            <w:tcBorders>
              <w:top w:val="single" w:color="auto" w:sz="4" w:space="0"/>
              <w:left w:val="nil"/>
              <w:bottom w:val="single" w:color="auto" w:sz="12" w:space="0"/>
              <w:right w:val="single" w:color="auto" w:sz="4" w:space="0"/>
            </w:tcBorders>
            <w:vAlign w:val="center"/>
          </w:tcPr>
          <w:p w14:paraId="72811731">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土壤</w:t>
            </w:r>
          </w:p>
          <w:p w14:paraId="22C7C102">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环境</w:t>
            </w:r>
          </w:p>
        </w:tc>
        <w:tc>
          <w:tcPr>
            <w:tcW w:w="1454" w:type="pct"/>
            <w:tcBorders>
              <w:top w:val="single" w:color="auto" w:sz="4" w:space="0"/>
              <w:left w:val="single" w:color="auto" w:sz="4" w:space="0"/>
              <w:bottom w:val="single" w:color="auto" w:sz="4" w:space="0"/>
              <w:right w:val="single" w:color="auto" w:sz="4" w:space="0"/>
            </w:tcBorders>
            <w:vAlign w:val="center"/>
          </w:tcPr>
          <w:p w14:paraId="64443E05">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现状调查</w:t>
            </w:r>
          </w:p>
        </w:tc>
        <w:tc>
          <w:tcPr>
            <w:tcW w:w="1533" w:type="pct"/>
            <w:vMerge w:val="restart"/>
            <w:tcBorders>
              <w:top w:val="single" w:color="auto" w:sz="4" w:space="0"/>
              <w:left w:val="single" w:color="auto" w:sz="4" w:space="0"/>
              <w:bottom w:val="single" w:color="auto" w:sz="12" w:space="0"/>
              <w:right w:val="nil"/>
            </w:tcBorders>
            <w:vAlign w:val="center"/>
          </w:tcPr>
          <w:p w14:paraId="53240AD0">
            <w:pPr>
              <w:pStyle w:val="44"/>
              <w:bidi w:val="0"/>
              <w:rPr>
                <w:rFonts w:hint="default" w:ascii="Times New Roman" w:hAnsi="Times New Roman" w:cs="Times New Roman"/>
                <w:color w:val="auto"/>
                <w:highlight w:val="none"/>
                <w:lang w:val="zh-CN"/>
              </w:rPr>
            </w:pPr>
            <w:bookmarkStart w:id="133" w:name="_Hlk69724065"/>
            <w:r>
              <w:rPr>
                <w:rFonts w:hint="default" w:ascii="Times New Roman" w:hAnsi="Times New Roman" w:cs="Times New Roman"/>
                <w:color w:val="auto"/>
                <w:highlight w:val="none"/>
              </w:rPr>
              <w:t>占地范围内及占地范围外200m范围内</w:t>
            </w:r>
            <w:bookmarkEnd w:id="133"/>
          </w:p>
        </w:tc>
        <w:tc>
          <w:tcPr>
            <w:tcW w:w="1467" w:type="pct"/>
            <w:vMerge w:val="restart"/>
            <w:tcBorders>
              <w:top w:val="single" w:color="auto" w:sz="4" w:space="0"/>
              <w:left w:val="single" w:color="auto" w:sz="4" w:space="0"/>
              <w:right w:val="nil"/>
            </w:tcBorders>
            <w:vAlign w:val="center"/>
          </w:tcPr>
          <w:p w14:paraId="273A5626">
            <w:pPr>
              <w:pStyle w:val="44"/>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tc>
      </w:tr>
      <w:tr w14:paraId="4C7640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atLeast"/>
        </w:trPr>
        <w:tc>
          <w:tcPr>
            <w:tcW w:w="544" w:type="pct"/>
            <w:vMerge w:val="continue"/>
            <w:tcBorders>
              <w:top w:val="single" w:color="auto" w:sz="4" w:space="0"/>
              <w:left w:val="nil"/>
              <w:bottom w:val="single" w:color="auto" w:sz="12" w:space="0"/>
              <w:right w:val="single" w:color="auto" w:sz="4" w:space="0"/>
            </w:tcBorders>
            <w:vAlign w:val="center"/>
          </w:tcPr>
          <w:p w14:paraId="5B608DC5">
            <w:pPr>
              <w:pStyle w:val="44"/>
              <w:bidi w:val="0"/>
              <w:rPr>
                <w:rFonts w:hint="default" w:ascii="Times New Roman" w:hAnsi="Times New Roman" w:cs="Times New Roman"/>
                <w:color w:val="auto"/>
                <w:highlight w:val="none"/>
                <w:lang w:val="zh-CN"/>
              </w:rPr>
            </w:pPr>
          </w:p>
        </w:tc>
        <w:tc>
          <w:tcPr>
            <w:tcW w:w="1454" w:type="pct"/>
            <w:tcBorders>
              <w:top w:val="single" w:color="auto" w:sz="4" w:space="0"/>
              <w:left w:val="single" w:color="auto" w:sz="4" w:space="0"/>
              <w:bottom w:val="single" w:color="auto" w:sz="12" w:space="0"/>
              <w:right w:val="single" w:color="auto" w:sz="4" w:space="0"/>
            </w:tcBorders>
            <w:vAlign w:val="center"/>
          </w:tcPr>
          <w:p w14:paraId="222BA72B">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影响分析</w:t>
            </w:r>
          </w:p>
        </w:tc>
        <w:tc>
          <w:tcPr>
            <w:tcW w:w="1533" w:type="pct"/>
            <w:vMerge w:val="continue"/>
            <w:tcBorders>
              <w:top w:val="single" w:color="auto" w:sz="4" w:space="0"/>
              <w:left w:val="single" w:color="auto" w:sz="4" w:space="0"/>
              <w:bottom w:val="single" w:color="auto" w:sz="12" w:space="0"/>
              <w:right w:val="nil"/>
            </w:tcBorders>
            <w:vAlign w:val="center"/>
          </w:tcPr>
          <w:p w14:paraId="735B7AFD">
            <w:pPr>
              <w:pStyle w:val="44"/>
              <w:bidi w:val="0"/>
              <w:rPr>
                <w:rFonts w:hint="default" w:ascii="Times New Roman" w:hAnsi="Times New Roman" w:cs="Times New Roman"/>
                <w:color w:val="auto"/>
                <w:highlight w:val="none"/>
                <w:lang w:val="zh-CN"/>
              </w:rPr>
            </w:pPr>
          </w:p>
        </w:tc>
        <w:tc>
          <w:tcPr>
            <w:tcW w:w="1467" w:type="pct"/>
            <w:vMerge w:val="continue"/>
            <w:tcBorders>
              <w:left w:val="single" w:color="auto" w:sz="4" w:space="0"/>
              <w:bottom w:val="single" w:color="auto" w:sz="12" w:space="0"/>
              <w:right w:val="nil"/>
            </w:tcBorders>
            <w:vAlign w:val="center"/>
          </w:tcPr>
          <w:p w14:paraId="49C57DB2">
            <w:pPr>
              <w:pStyle w:val="44"/>
              <w:bidi w:val="0"/>
              <w:rPr>
                <w:rFonts w:hint="default" w:ascii="Times New Roman" w:hAnsi="Times New Roman" w:cs="Times New Roman"/>
                <w:color w:val="auto"/>
                <w:highlight w:val="none"/>
                <w:lang w:val="zh-CN"/>
              </w:rPr>
            </w:pPr>
          </w:p>
        </w:tc>
      </w:tr>
    </w:tbl>
    <w:p w14:paraId="51A29752">
      <w:pPr>
        <w:pStyle w:val="27"/>
        <w:bidi w:val="0"/>
        <w:rPr>
          <w:rFonts w:hint="default" w:ascii="Times New Roman" w:hAnsi="Times New Roman" w:cs="Times New Roman"/>
          <w:color w:val="auto"/>
          <w:highlight w:val="none"/>
          <w:lang w:val="zh-CN"/>
        </w:rPr>
      </w:pPr>
    </w:p>
    <w:p w14:paraId="14252ADE">
      <w:pPr>
        <w:pStyle w:val="27"/>
        <w:bidi w:val="0"/>
        <w:rPr>
          <w:rFonts w:hint="default" w:ascii="Times New Roman" w:hAnsi="Times New Roman" w:cs="Times New Roman"/>
          <w:color w:val="auto"/>
          <w:highlight w:val="none"/>
          <w:lang w:val="zh-CN"/>
        </w:rPr>
      </w:pPr>
    </w:p>
    <w:p w14:paraId="2B090F1D">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表2-7-2运输路线评价范围表</w:t>
      </w:r>
    </w:p>
    <w:tbl>
      <w:tblPr>
        <w:tblStyle w:val="2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19"/>
        <w:gridCol w:w="1164"/>
        <w:gridCol w:w="1744"/>
        <w:gridCol w:w="4595"/>
      </w:tblGrid>
      <w:tr w14:paraId="1F1F91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281" w:type="pct"/>
            <w:gridSpan w:val="2"/>
            <w:tcBorders>
              <w:top w:val="single" w:color="auto" w:sz="12" w:space="0"/>
              <w:left w:val="nil"/>
              <w:bottom w:val="single" w:color="auto" w:sz="4" w:space="0"/>
              <w:right w:val="single" w:color="auto" w:sz="4" w:space="0"/>
            </w:tcBorders>
            <w:vAlign w:val="center"/>
          </w:tcPr>
          <w:p w14:paraId="15959D82">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项目</w:t>
            </w:r>
          </w:p>
        </w:tc>
        <w:tc>
          <w:tcPr>
            <w:tcW w:w="1023" w:type="pct"/>
            <w:tcBorders>
              <w:top w:val="single" w:color="auto" w:sz="12" w:space="0"/>
              <w:left w:val="single" w:color="auto" w:sz="4" w:space="0"/>
              <w:bottom w:val="single" w:color="auto" w:sz="4" w:space="0"/>
              <w:right w:val="single" w:color="auto" w:sz="4" w:space="0"/>
            </w:tcBorders>
            <w:vAlign w:val="center"/>
          </w:tcPr>
          <w:p w14:paraId="27C85321">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评价区域</w:t>
            </w:r>
          </w:p>
        </w:tc>
        <w:tc>
          <w:tcPr>
            <w:tcW w:w="2696" w:type="pct"/>
            <w:tcBorders>
              <w:top w:val="single" w:color="auto" w:sz="12" w:space="0"/>
              <w:left w:val="single" w:color="auto" w:sz="4" w:space="0"/>
              <w:bottom w:val="single" w:color="auto" w:sz="4" w:space="0"/>
              <w:right w:val="nil"/>
            </w:tcBorders>
            <w:vAlign w:val="center"/>
          </w:tcPr>
          <w:p w14:paraId="4B29D6BB">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评价范围</w:t>
            </w:r>
          </w:p>
        </w:tc>
      </w:tr>
      <w:tr w14:paraId="64F685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598" w:type="pct"/>
            <w:vMerge w:val="restart"/>
            <w:tcBorders>
              <w:top w:val="single" w:color="auto" w:sz="4" w:space="0"/>
              <w:left w:val="nil"/>
              <w:bottom w:val="single" w:color="auto" w:sz="4" w:space="0"/>
              <w:right w:val="single" w:color="auto" w:sz="4" w:space="0"/>
            </w:tcBorders>
            <w:vAlign w:val="center"/>
          </w:tcPr>
          <w:p w14:paraId="25D97EEE">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环境</w:t>
            </w:r>
          </w:p>
          <w:p w14:paraId="19119C55">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空气</w:t>
            </w:r>
          </w:p>
        </w:tc>
        <w:tc>
          <w:tcPr>
            <w:tcW w:w="683" w:type="pct"/>
            <w:tcBorders>
              <w:top w:val="single" w:color="auto" w:sz="4" w:space="0"/>
              <w:left w:val="single" w:color="auto" w:sz="4" w:space="0"/>
              <w:bottom w:val="single" w:color="auto" w:sz="4" w:space="0"/>
              <w:right w:val="single" w:color="auto" w:sz="4" w:space="0"/>
            </w:tcBorders>
            <w:vAlign w:val="center"/>
          </w:tcPr>
          <w:p w14:paraId="53A71DB4">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现状调查</w:t>
            </w:r>
          </w:p>
        </w:tc>
        <w:tc>
          <w:tcPr>
            <w:tcW w:w="1023" w:type="pct"/>
            <w:vMerge w:val="restart"/>
            <w:tcBorders>
              <w:top w:val="single" w:color="auto" w:sz="4" w:space="0"/>
              <w:left w:val="single" w:color="auto" w:sz="4" w:space="0"/>
              <w:bottom w:val="single" w:color="auto" w:sz="4" w:space="0"/>
              <w:right w:val="single" w:color="auto" w:sz="4" w:space="0"/>
            </w:tcBorders>
            <w:vAlign w:val="center"/>
          </w:tcPr>
          <w:p w14:paraId="4D2B5E67">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运输路线两侧</w:t>
            </w:r>
          </w:p>
        </w:tc>
        <w:tc>
          <w:tcPr>
            <w:tcW w:w="2696" w:type="pct"/>
            <w:vMerge w:val="restart"/>
            <w:tcBorders>
              <w:top w:val="single" w:color="auto" w:sz="4" w:space="0"/>
              <w:left w:val="single" w:color="auto" w:sz="4" w:space="0"/>
              <w:bottom w:val="single" w:color="auto" w:sz="4" w:space="0"/>
              <w:right w:val="nil"/>
            </w:tcBorders>
            <w:vAlign w:val="center"/>
          </w:tcPr>
          <w:p w14:paraId="13D1715C">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运输道路中心线两侧200m范围内</w:t>
            </w:r>
          </w:p>
        </w:tc>
      </w:tr>
      <w:tr w14:paraId="213E69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0" w:type="auto"/>
            <w:vMerge w:val="continue"/>
            <w:tcBorders>
              <w:top w:val="single" w:color="auto" w:sz="4" w:space="0"/>
              <w:left w:val="nil"/>
              <w:bottom w:val="single" w:color="auto" w:sz="4" w:space="0"/>
              <w:right w:val="single" w:color="auto" w:sz="4" w:space="0"/>
            </w:tcBorders>
            <w:vAlign w:val="center"/>
          </w:tcPr>
          <w:p w14:paraId="605A36A2">
            <w:pPr>
              <w:pStyle w:val="44"/>
              <w:bidi w:val="0"/>
              <w:rPr>
                <w:rFonts w:hint="default" w:ascii="Times New Roman" w:hAnsi="Times New Roman" w:cs="Times New Roman"/>
                <w:color w:val="auto"/>
                <w:highlight w:val="none"/>
                <w:lang w:val="zh-CN"/>
              </w:rPr>
            </w:pPr>
          </w:p>
        </w:tc>
        <w:tc>
          <w:tcPr>
            <w:tcW w:w="683" w:type="pct"/>
            <w:tcBorders>
              <w:top w:val="single" w:color="auto" w:sz="4" w:space="0"/>
              <w:left w:val="single" w:color="auto" w:sz="4" w:space="0"/>
              <w:bottom w:val="single" w:color="auto" w:sz="4" w:space="0"/>
              <w:right w:val="single" w:color="auto" w:sz="4" w:space="0"/>
            </w:tcBorders>
            <w:vAlign w:val="center"/>
          </w:tcPr>
          <w:p w14:paraId="7FEEBD90">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影响分析</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04EB3FEB">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4" w:space="0"/>
              <w:right w:val="nil"/>
            </w:tcBorders>
            <w:vAlign w:val="center"/>
          </w:tcPr>
          <w:p w14:paraId="4FFFBE90">
            <w:pPr>
              <w:pStyle w:val="44"/>
              <w:bidi w:val="0"/>
              <w:rPr>
                <w:rFonts w:hint="default" w:ascii="Times New Roman" w:hAnsi="Times New Roman" w:cs="Times New Roman"/>
                <w:color w:val="auto"/>
                <w:highlight w:val="none"/>
                <w:lang w:val="zh-CN"/>
              </w:rPr>
            </w:pPr>
          </w:p>
        </w:tc>
      </w:tr>
      <w:tr w14:paraId="1C4532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598" w:type="pct"/>
            <w:vMerge w:val="restart"/>
            <w:tcBorders>
              <w:top w:val="single" w:color="auto" w:sz="4" w:space="0"/>
              <w:left w:val="nil"/>
              <w:bottom w:val="single" w:color="auto" w:sz="12" w:space="0"/>
              <w:right w:val="single" w:color="auto" w:sz="4" w:space="0"/>
            </w:tcBorders>
            <w:vAlign w:val="center"/>
          </w:tcPr>
          <w:p w14:paraId="7270FF8E">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声环境</w:t>
            </w:r>
          </w:p>
        </w:tc>
        <w:tc>
          <w:tcPr>
            <w:tcW w:w="683" w:type="pct"/>
            <w:tcBorders>
              <w:top w:val="single" w:color="auto" w:sz="4" w:space="0"/>
              <w:left w:val="single" w:color="auto" w:sz="4" w:space="0"/>
              <w:bottom w:val="single" w:color="auto" w:sz="4" w:space="0"/>
              <w:right w:val="single" w:color="auto" w:sz="4" w:space="0"/>
            </w:tcBorders>
            <w:vAlign w:val="center"/>
          </w:tcPr>
          <w:p w14:paraId="7408DF79">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现状调查</w:t>
            </w:r>
          </w:p>
        </w:tc>
        <w:tc>
          <w:tcPr>
            <w:tcW w:w="1023" w:type="pct"/>
            <w:vMerge w:val="restart"/>
            <w:tcBorders>
              <w:top w:val="single" w:color="auto" w:sz="4" w:space="0"/>
              <w:left w:val="single" w:color="auto" w:sz="4" w:space="0"/>
              <w:bottom w:val="single" w:color="auto" w:sz="12" w:space="0"/>
              <w:right w:val="single" w:color="auto" w:sz="4" w:space="0"/>
            </w:tcBorders>
            <w:vAlign w:val="center"/>
          </w:tcPr>
          <w:p w14:paraId="13720C96">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运输路线两侧</w:t>
            </w:r>
          </w:p>
        </w:tc>
        <w:tc>
          <w:tcPr>
            <w:tcW w:w="2696" w:type="pct"/>
            <w:vMerge w:val="restart"/>
            <w:tcBorders>
              <w:top w:val="single" w:color="auto" w:sz="4" w:space="0"/>
              <w:left w:val="single" w:color="auto" w:sz="4" w:space="0"/>
              <w:bottom w:val="single" w:color="auto" w:sz="12" w:space="0"/>
              <w:right w:val="nil"/>
            </w:tcBorders>
            <w:vAlign w:val="center"/>
          </w:tcPr>
          <w:p w14:paraId="19599210">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运输道路中心线两侧200m范围内</w:t>
            </w:r>
          </w:p>
        </w:tc>
      </w:tr>
      <w:tr w14:paraId="204412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0" w:hRule="atLeast"/>
        </w:trPr>
        <w:tc>
          <w:tcPr>
            <w:tcW w:w="0" w:type="auto"/>
            <w:vMerge w:val="continue"/>
            <w:tcBorders>
              <w:top w:val="single" w:color="auto" w:sz="4" w:space="0"/>
              <w:left w:val="nil"/>
              <w:bottom w:val="single" w:color="auto" w:sz="12" w:space="0"/>
              <w:right w:val="single" w:color="auto" w:sz="4" w:space="0"/>
            </w:tcBorders>
            <w:vAlign w:val="center"/>
          </w:tcPr>
          <w:p w14:paraId="25BAA4C9">
            <w:pPr>
              <w:pStyle w:val="44"/>
              <w:bidi w:val="0"/>
              <w:rPr>
                <w:rFonts w:hint="default" w:ascii="Times New Roman" w:hAnsi="Times New Roman" w:cs="Times New Roman"/>
                <w:color w:val="auto"/>
                <w:highlight w:val="none"/>
                <w:lang w:val="zh-CN"/>
              </w:rPr>
            </w:pPr>
          </w:p>
        </w:tc>
        <w:tc>
          <w:tcPr>
            <w:tcW w:w="683" w:type="pct"/>
            <w:tcBorders>
              <w:top w:val="single" w:color="auto" w:sz="4" w:space="0"/>
              <w:left w:val="single" w:color="auto" w:sz="4" w:space="0"/>
              <w:bottom w:val="single" w:color="auto" w:sz="12" w:space="0"/>
              <w:right w:val="single" w:color="auto" w:sz="4" w:space="0"/>
            </w:tcBorders>
            <w:vAlign w:val="center"/>
          </w:tcPr>
          <w:p w14:paraId="04508359">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影响分析</w:t>
            </w:r>
          </w:p>
        </w:tc>
        <w:tc>
          <w:tcPr>
            <w:tcW w:w="0" w:type="auto"/>
            <w:vMerge w:val="continue"/>
            <w:tcBorders>
              <w:top w:val="single" w:color="auto" w:sz="4" w:space="0"/>
              <w:left w:val="single" w:color="auto" w:sz="4" w:space="0"/>
              <w:bottom w:val="single" w:color="auto" w:sz="12" w:space="0"/>
              <w:right w:val="single" w:color="auto" w:sz="4" w:space="0"/>
            </w:tcBorders>
            <w:vAlign w:val="center"/>
          </w:tcPr>
          <w:p w14:paraId="1FCB9605">
            <w:pPr>
              <w:pStyle w:val="44"/>
              <w:bidi w:val="0"/>
              <w:rPr>
                <w:rFonts w:hint="default" w:ascii="Times New Roman" w:hAnsi="Times New Roman" w:cs="Times New Roman"/>
                <w:color w:val="auto"/>
                <w:highlight w:val="none"/>
                <w:lang w:val="zh-CN"/>
              </w:rPr>
            </w:pPr>
          </w:p>
        </w:tc>
        <w:tc>
          <w:tcPr>
            <w:tcW w:w="0" w:type="auto"/>
            <w:vMerge w:val="continue"/>
            <w:tcBorders>
              <w:top w:val="single" w:color="auto" w:sz="4" w:space="0"/>
              <w:left w:val="single" w:color="auto" w:sz="4" w:space="0"/>
              <w:bottom w:val="single" w:color="auto" w:sz="12" w:space="0"/>
              <w:right w:val="nil"/>
            </w:tcBorders>
            <w:vAlign w:val="center"/>
          </w:tcPr>
          <w:p w14:paraId="6047097E">
            <w:pPr>
              <w:pStyle w:val="44"/>
              <w:bidi w:val="0"/>
              <w:rPr>
                <w:rFonts w:hint="default" w:ascii="Times New Roman" w:hAnsi="Times New Roman" w:cs="Times New Roman"/>
                <w:color w:val="auto"/>
                <w:highlight w:val="none"/>
                <w:lang w:val="zh-CN"/>
              </w:rPr>
            </w:pPr>
          </w:p>
        </w:tc>
      </w:tr>
    </w:tbl>
    <w:p w14:paraId="6E78FA71">
      <w:pPr>
        <w:pStyle w:val="39"/>
        <w:rPr>
          <w:rFonts w:hint="default" w:ascii="Times New Roman" w:hAnsi="Times New Roman" w:cs="Times New Roman"/>
          <w:color w:val="auto"/>
          <w:highlight w:val="none"/>
        </w:rPr>
      </w:pPr>
      <w:bookmarkStart w:id="134" w:name="_Toc6723"/>
      <w:r>
        <w:rPr>
          <w:rFonts w:hint="default" w:ascii="Times New Roman" w:hAnsi="Times New Roman" w:cs="Times New Roman"/>
          <w:color w:val="auto"/>
          <w:highlight w:val="none"/>
        </w:rPr>
        <w:t>2.7.2评价时段</w:t>
      </w:r>
      <w:bookmarkEnd w:id="131"/>
      <w:bookmarkEnd w:id="132"/>
      <w:bookmarkEnd w:id="134"/>
    </w:p>
    <w:p w14:paraId="0797A9B0">
      <w:pPr>
        <w:pStyle w:val="25"/>
        <w:bidi w:val="0"/>
        <w:rPr>
          <w:rFonts w:hint="default" w:ascii="Times New Roman" w:hAnsi="Times New Roman" w:cs="Times New Roman"/>
          <w:color w:val="auto"/>
          <w:highlight w:val="none"/>
        </w:rPr>
      </w:pPr>
      <w:bookmarkStart w:id="135" w:name="_Toc119316794"/>
      <w:bookmarkStart w:id="136" w:name="_Toc18767"/>
      <w:bookmarkStart w:id="137" w:name="_Toc5418"/>
      <w:bookmarkStart w:id="138" w:name="_Toc152926813"/>
      <w:r>
        <w:rPr>
          <w:rFonts w:hint="default" w:ascii="Times New Roman" w:hAnsi="Times New Roman" w:cs="Times New Roman"/>
          <w:color w:val="auto"/>
          <w:highlight w:val="none"/>
        </w:rPr>
        <w:t>评价时段为施工期、生态恢复期。由于施工期对周围环境影响较小，并且为短期影响，因此施工期只作影响分析；生态恢复期主要为土地复垦，因此生态恢复期作简要影响分析；因此本评价以</w:t>
      </w:r>
      <w:r>
        <w:rPr>
          <w:rFonts w:hint="default" w:ascii="Times New Roman" w:hAnsi="Times New Roman" w:cs="Times New Roman"/>
          <w:color w:val="auto"/>
          <w:highlight w:val="none"/>
          <w:lang w:val="en-US" w:eastAsia="zh-CN"/>
        </w:rPr>
        <w:t>施工期</w:t>
      </w:r>
      <w:r>
        <w:rPr>
          <w:rFonts w:hint="default" w:ascii="Times New Roman" w:hAnsi="Times New Roman" w:cs="Times New Roman"/>
          <w:color w:val="auto"/>
          <w:highlight w:val="none"/>
        </w:rPr>
        <w:t>为重点评价时段。</w:t>
      </w:r>
    </w:p>
    <w:p w14:paraId="79243630">
      <w:pPr>
        <w:pStyle w:val="41"/>
        <w:rPr>
          <w:rFonts w:hint="default" w:ascii="Times New Roman" w:hAnsi="Times New Roman" w:cs="Times New Roman"/>
          <w:color w:val="auto"/>
          <w:highlight w:val="none"/>
        </w:rPr>
      </w:pPr>
      <w:r>
        <w:rPr>
          <w:rFonts w:hint="default" w:ascii="Times New Roman" w:hAnsi="Times New Roman" w:cs="Times New Roman"/>
          <w:color w:val="auto"/>
          <w:highlight w:val="none"/>
        </w:rPr>
        <w:t>2.8污染控制与环境保护目标</w:t>
      </w:r>
      <w:bookmarkEnd w:id="135"/>
      <w:bookmarkEnd w:id="136"/>
      <w:bookmarkEnd w:id="137"/>
      <w:bookmarkEnd w:id="138"/>
    </w:p>
    <w:p w14:paraId="7D3FB616">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本项目环境敏感目标见下表，保护目标分布图见图2-8-1</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2-8-</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w:t>
      </w:r>
    </w:p>
    <w:p w14:paraId="10396481">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表2-8-1环境空气保护目标</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83"/>
        <w:gridCol w:w="1459"/>
        <w:gridCol w:w="1355"/>
        <w:gridCol w:w="907"/>
        <w:gridCol w:w="665"/>
        <w:gridCol w:w="992"/>
        <w:gridCol w:w="844"/>
        <w:gridCol w:w="917"/>
      </w:tblGrid>
      <w:tr w14:paraId="32A3BD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812" w:type="pct"/>
            <w:vMerge w:val="restart"/>
            <w:vAlign w:val="center"/>
          </w:tcPr>
          <w:p w14:paraId="04D15BBE">
            <w:pPr>
              <w:pStyle w:val="44"/>
              <w:bidi w:val="0"/>
              <w:rPr>
                <w:rFonts w:hint="default" w:ascii="Times New Roman" w:hAnsi="Times New Roman" w:cs="Times New Roman"/>
                <w:color w:val="auto"/>
              </w:rPr>
            </w:pPr>
            <w:r>
              <w:rPr>
                <w:rFonts w:hint="default" w:ascii="Times New Roman" w:hAnsi="Times New Roman" w:cs="Times New Roman"/>
                <w:color w:val="auto"/>
              </w:rPr>
              <w:t>名称</w:t>
            </w:r>
          </w:p>
        </w:tc>
        <w:tc>
          <w:tcPr>
            <w:tcW w:w="1651" w:type="pct"/>
            <w:gridSpan w:val="2"/>
            <w:vAlign w:val="center"/>
          </w:tcPr>
          <w:p w14:paraId="6EB9484F">
            <w:pPr>
              <w:pStyle w:val="44"/>
              <w:bidi w:val="0"/>
              <w:rPr>
                <w:rFonts w:hint="default" w:ascii="Times New Roman" w:hAnsi="Times New Roman" w:cs="Times New Roman"/>
                <w:color w:val="auto"/>
              </w:rPr>
            </w:pPr>
            <w:r>
              <w:rPr>
                <w:rFonts w:hint="default" w:ascii="Times New Roman" w:hAnsi="Times New Roman" w:cs="Times New Roman"/>
                <w:color w:val="auto"/>
              </w:rPr>
              <w:t>坐标/°</w:t>
            </w:r>
          </w:p>
        </w:tc>
        <w:tc>
          <w:tcPr>
            <w:tcW w:w="532" w:type="pct"/>
            <w:vMerge w:val="restart"/>
            <w:vAlign w:val="center"/>
          </w:tcPr>
          <w:p w14:paraId="5517F90E">
            <w:pPr>
              <w:pStyle w:val="44"/>
              <w:bidi w:val="0"/>
              <w:rPr>
                <w:rFonts w:hint="default" w:ascii="Times New Roman" w:hAnsi="Times New Roman" w:cs="Times New Roman"/>
                <w:color w:val="auto"/>
              </w:rPr>
            </w:pPr>
            <w:r>
              <w:rPr>
                <w:rFonts w:hint="default" w:ascii="Times New Roman" w:hAnsi="Times New Roman" w:cs="Times New Roman"/>
                <w:color w:val="auto"/>
              </w:rPr>
              <w:t>保护对象</w:t>
            </w:r>
          </w:p>
        </w:tc>
        <w:tc>
          <w:tcPr>
            <w:tcW w:w="390" w:type="pct"/>
            <w:vMerge w:val="restart"/>
            <w:vAlign w:val="center"/>
          </w:tcPr>
          <w:p w14:paraId="13BA7FC1">
            <w:pPr>
              <w:pStyle w:val="44"/>
              <w:bidi w:val="0"/>
              <w:rPr>
                <w:rFonts w:hint="default" w:ascii="Times New Roman" w:hAnsi="Times New Roman" w:cs="Times New Roman"/>
                <w:color w:val="auto"/>
              </w:rPr>
            </w:pPr>
            <w:r>
              <w:rPr>
                <w:rFonts w:hint="default" w:ascii="Times New Roman" w:hAnsi="Times New Roman" w:cs="Times New Roman"/>
                <w:color w:val="auto"/>
              </w:rPr>
              <w:t>保护内容</w:t>
            </w:r>
          </w:p>
        </w:tc>
        <w:tc>
          <w:tcPr>
            <w:tcW w:w="582" w:type="pct"/>
            <w:vMerge w:val="restart"/>
            <w:vAlign w:val="center"/>
          </w:tcPr>
          <w:p w14:paraId="74C3D7A4">
            <w:pPr>
              <w:pStyle w:val="44"/>
              <w:bidi w:val="0"/>
              <w:rPr>
                <w:rFonts w:hint="default" w:ascii="Times New Roman" w:hAnsi="Times New Roman" w:cs="Times New Roman"/>
                <w:color w:val="auto"/>
              </w:rPr>
            </w:pPr>
            <w:r>
              <w:rPr>
                <w:rFonts w:hint="default" w:ascii="Times New Roman" w:hAnsi="Times New Roman" w:cs="Times New Roman"/>
                <w:color w:val="auto"/>
              </w:rPr>
              <w:t>环境</w:t>
            </w:r>
          </w:p>
          <w:p w14:paraId="1834A831">
            <w:pPr>
              <w:pStyle w:val="44"/>
              <w:bidi w:val="0"/>
              <w:rPr>
                <w:rFonts w:hint="default" w:ascii="Times New Roman" w:hAnsi="Times New Roman" w:cs="Times New Roman"/>
                <w:color w:val="auto"/>
              </w:rPr>
            </w:pPr>
            <w:r>
              <w:rPr>
                <w:rFonts w:hint="default" w:ascii="Times New Roman" w:hAnsi="Times New Roman" w:cs="Times New Roman"/>
                <w:color w:val="auto"/>
              </w:rPr>
              <w:t>功能区</w:t>
            </w:r>
          </w:p>
        </w:tc>
        <w:tc>
          <w:tcPr>
            <w:tcW w:w="495" w:type="pct"/>
            <w:vMerge w:val="restart"/>
            <w:vAlign w:val="center"/>
          </w:tcPr>
          <w:p w14:paraId="37250BC9">
            <w:pPr>
              <w:pStyle w:val="44"/>
              <w:bidi w:val="0"/>
              <w:rPr>
                <w:rFonts w:hint="default" w:ascii="Times New Roman" w:hAnsi="Times New Roman" w:cs="Times New Roman"/>
                <w:color w:val="auto"/>
              </w:rPr>
            </w:pPr>
            <w:r>
              <w:rPr>
                <w:rFonts w:hint="default" w:ascii="Times New Roman" w:hAnsi="Times New Roman" w:cs="Times New Roman"/>
                <w:color w:val="auto"/>
              </w:rPr>
              <w:t>相对厂址方位</w:t>
            </w:r>
          </w:p>
        </w:tc>
        <w:tc>
          <w:tcPr>
            <w:tcW w:w="536" w:type="pct"/>
            <w:vMerge w:val="restart"/>
            <w:vAlign w:val="center"/>
          </w:tcPr>
          <w:p w14:paraId="2341E966">
            <w:pPr>
              <w:pStyle w:val="44"/>
              <w:bidi w:val="0"/>
              <w:rPr>
                <w:rFonts w:hint="default" w:ascii="Times New Roman" w:hAnsi="Times New Roman" w:cs="Times New Roman"/>
                <w:color w:val="auto"/>
              </w:rPr>
            </w:pPr>
            <w:r>
              <w:rPr>
                <w:rFonts w:hint="default" w:ascii="Times New Roman" w:hAnsi="Times New Roman" w:cs="Times New Roman"/>
                <w:color w:val="auto"/>
              </w:rPr>
              <w:t>相对厂界距离</w:t>
            </w:r>
          </w:p>
        </w:tc>
      </w:tr>
      <w:tr w14:paraId="5A3BC1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3" w:hRule="atLeast"/>
          <w:jc w:val="center"/>
        </w:trPr>
        <w:tc>
          <w:tcPr>
            <w:tcW w:w="812" w:type="pct"/>
            <w:vMerge w:val="continue"/>
            <w:vAlign w:val="center"/>
          </w:tcPr>
          <w:p w14:paraId="4EABBFB6">
            <w:pPr>
              <w:pStyle w:val="44"/>
              <w:bidi w:val="0"/>
              <w:rPr>
                <w:rFonts w:hint="default" w:ascii="Times New Roman" w:hAnsi="Times New Roman" w:cs="Times New Roman"/>
                <w:color w:val="auto"/>
              </w:rPr>
            </w:pPr>
          </w:p>
        </w:tc>
        <w:tc>
          <w:tcPr>
            <w:tcW w:w="856" w:type="pct"/>
            <w:vAlign w:val="center"/>
          </w:tcPr>
          <w:p w14:paraId="2DE67BC4">
            <w:pPr>
              <w:pStyle w:val="44"/>
              <w:bidi w:val="0"/>
              <w:rPr>
                <w:rFonts w:hint="default" w:ascii="Times New Roman" w:hAnsi="Times New Roman" w:cs="Times New Roman"/>
                <w:color w:val="auto"/>
              </w:rPr>
            </w:pPr>
            <w:r>
              <w:rPr>
                <w:rFonts w:hint="default" w:ascii="Times New Roman" w:hAnsi="Times New Roman" w:cs="Times New Roman"/>
                <w:color w:val="auto"/>
              </w:rPr>
              <w:t>经度</w:t>
            </w:r>
          </w:p>
        </w:tc>
        <w:tc>
          <w:tcPr>
            <w:tcW w:w="795" w:type="pct"/>
            <w:vAlign w:val="center"/>
          </w:tcPr>
          <w:p w14:paraId="7E26CF16">
            <w:pPr>
              <w:pStyle w:val="44"/>
              <w:bidi w:val="0"/>
              <w:rPr>
                <w:rFonts w:hint="default" w:ascii="Times New Roman" w:hAnsi="Times New Roman" w:cs="Times New Roman"/>
                <w:color w:val="auto"/>
              </w:rPr>
            </w:pPr>
            <w:r>
              <w:rPr>
                <w:rFonts w:hint="default" w:ascii="Times New Roman" w:hAnsi="Times New Roman" w:cs="Times New Roman"/>
                <w:color w:val="auto"/>
              </w:rPr>
              <w:t>纬度</w:t>
            </w:r>
          </w:p>
        </w:tc>
        <w:tc>
          <w:tcPr>
            <w:tcW w:w="532" w:type="pct"/>
            <w:vMerge w:val="continue"/>
            <w:vAlign w:val="center"/>
          </w:tcPr>
          <w:p w14:paraId="31E38ABC">
            <w:pPr>
              <w:pStyle w:val="44"/>
              <w:bidi w:val="0"/>
              <w:rPr>
                <w:rFonts w:hint="default" w:ascii="Times New Roman" w:hAnsi="Times New Roman" w:cs="Times New Roman"/>
                <w:color w:val="auto"/>
              </w:rPr>
            </w:pPr>
          </w:p>
        </w:tc>
        <w:tc>
          <w:tcPr>
            <w:tcW w:w="390" w:type="pct"/>
            <w:vMerge w:val="continue"/>
            <w:vAlign w:val="center"/>
          </w:tcPr>
          <w:p w14:paraId="014E1F00">
            <w:pPr>
              <w:pStyle w:val="44"/>
              <w:bidi w:val="0"/>
              <w:rPr>
                <w:rFonts w:hint="default" w:ascii="Times New Roman" w:hAnsi="Times New Roman" w:cs="Times New Roman"/>
                <w:color w:val="auto"/>
              </w:rPr>
            </w:pPr>
          </w:p>
        </w:tc>
        <w:tc>
          <w:tcPr>
            <w:tcW w:w="582" w:type="pct"/>
            <w:vMerge w:val="continue"/>
            <w:vAlign w:val="center"/>
          </w:tcPr>
          <w:p w14:paraId="2D07E82A">
            <w:pPr>
              <w:pStyle w:val="44"/>
              <w:bidi w:val="0"/>
              <w:rPr>
                <w:rFonts w:hint="default" w:ascii="Times New Roman" w:hAnsi="Times New Roman" w:cs="Times New Roman"/>
                <w:color w:val="auto"/>
              </w:rPr>
            </w:pPr>
          </w:p>
        </w:tc>
        <w:tc>
          <w:tcPr>
            <w:tcW w:w="495" w:type="pct"/>
            <w:vMerge w:val="continue"/>
            <w:vAlign w:val="center"/>
          </w:tcPr>
          <w:p w14:paraId="236270B2">
            <w:pPr>
              <w:pStyle w:val="44"/>
              <w:bidi w:val="0"/>
              <w:rPr>
                <w:rFonts w:hint="default" w:ascii="Times New Roman" w:hAnsi="Times New Roman" w:cs="Times New Roman"/>
                <w:color w:val="auto"/>
              </w:rPr>
            </w:pPr>
          </w:p>
        </w:tc>
        <w:tc>
          <w:tcPr>
            <w:tcW w:w="536" w:type="pct"/>
            <w:vMerge w:val="continue"/>
            <w:vAlign w:val="center"/>
          </w:tcPr>
          <w:p w14:paraId="128A2F0D">
            <w:pPr>
              <w:pStyle w:val="44"/>
              <w:bidi w:val="0"/>
              <w:rPr>
                <w:rFonts w:hint="default" w:ascii="Times New Roman" w:hAnsi="Times New Roman" w:cs="Times New Roman"/>
                <w:color w:val="auto"/>
              </w:rPr>
            </w:pPr>
          </w:p>
        </w:tc>
      </w:tr>
      <w:tr w14:paraId="5705CE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3" w:hRule="atLeast"/>
          <w:jc w:val="center"/>
        </w:trPr>
        <w:tc>
          <w:tcPr>
            <w:tcW w:w="5000" w:type="pct"/>
            <w:gridSpan w:val="8"/>
            <w:vAlign w:val="center"/>
          </w:tcPr>
          <w:p w14:paraId="2C7AE62C">
            <w:pPr>
              <w:pStyle w:val="44"/>
              <w:bidi w:val="0"/>
              <w:rPr>
                <w:rFonts w:hint="default" w:ascii="Times New Roman" w:hAnsi="Times New Roman" w:cs="Times New Roman"/>
                <w:color w:val="auto"/>
                <w:lang w:val="en-US" w:eastAsia="zh-CN"/>
              </w:rPr>
            </w:pPr>
            <w:bookmarkStart w:id="139" w:name="_Hlk148706924"/>
            <w:r>
              <w:rPr>
                <w:rFonts w:hint="default" w:ascii="Times New Roman" w:hAnsi="Times New Roman" w:cs="Times New Roman"/>
                <w:color w:val="auto"/>
                <w:lang w:val="en-US" w:eastAsia="zh-CN"/>
              </w:rPr>
              <w:t>2#项目区</w:t>
            </w:r>
          </w:p>
        </w:tc>
      </w:tr>
      <w:tr w14:paraId="1DFD3A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812" w:type="pct"/>
            <w:vAlign w:val="center"/>
          </w:tcPr>
          <w:p w14:paraId="41776D0A">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西沟屯</w:t>
            </w:r>
          </w:p>
        </w:tc>
        <w:tc>
          <w:tcPr>
            <w:tcW w:w="856" w:type="pct"/>
            <w:vAlign w:val="center"/>
          </w:tcPr>
          <w:p w14:paraId="1D9EE7E9">
            <w:pPr>
              <w:pStyle w:val="44"/>
              <w:bidi w:val="0"/>
              <w:rPr>
                <w:rFonts w:hint="default" w:ascii="Times New Roman" w:hAnsi="Times New Roman" w:cs="Times New Roman"/>
                <w:color w:val="auto"/>
              </w:rPr>
            </w:pPr>
            <w:r>
              <w:rPr>
                <w:rFonts w:hint="default" w:ascii="Times New Roman" w:hAnsi="Times New Roman" w:cs="Times New Roman"/>
                <w:color w:val="auto"/>
              </w:rPr>
              <w:t>131.02269976</w:t>
            </w:r>
          </w:p>
        </w:tc>
        <w:tc>
          <w:tcPr>
            <w:tcW w:w="795" w:type="pct"/>
            <w:vAlign w:val="center"/>
          </w:tcPr>
          <w:p w14:paraId="74338FDC">
            <w:pPr>
              <w:pStyle w:val="44"/>
              <w:bidi w:val="0"/>
              <w:rPr>
                <w:rFonts w:hint="default" w:ascii="Times New Roman" w:hAnsi="Times New Roman" w:cs="Times New Roman"/>
                <w:color w:val="auto"/>
              </w:rPr>
            </w:pPr>
            <w:r>
              <w:rPr>
                <w:rFonts w:hint="default" w:ascii="Times New Roman" w:hAnsi="Times New Roman" w:cs="Times New Roman"/>
                <w:color w:val="auto"/>
              </w:rPr>
              <w:t>45.41232863</w:t>
            </w:r>
          </w:p>
        </w:tc>
        <w:tc>
          <w:tcPr>
            <w:tcW w:w="532" w:type="pct"/>
            <w:vMerge w:val="restart"/>
            <w:vAlign w:val="center"/>
          </w:tcPr>
          <w:p w14:paraId="7922F04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居民</w:t>
            </w:r>
          </w:p>
        </w:tc>
        <w:tc>
          <w:tcPr>
            <w:tcW w:w="390" w:type="pct"/>
            <w:vMerge w:val="restart"/>
            <w:vAlign w:val="center"/>
          </w:tcPr>
          <w:p w14:paraId="4C69535F">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环境空气</w:t>
            </w:r>
          </w:p>
        </w:tc>
        <w:tc>
          <w:tcPr>
            <w:tcW w:w="582" w:type="pct"/>
            <w:vMerge w:val="restart"/>
            <w:vAlign w:val="center"/>
          </w:tcPr>
          <w:p w14:paraId="7FB0538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二类区</w:t>
            </w:r>
          </w:p>
        </w:tc>
        <w:tc>
          <w:tcPr>
            <w:tcW w:w="495" w:type="pct"/>
            <w:vAlign w:val="center"/>
          </w:tcPr>
          <w:p w14:paraId="2A81511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N</w:t>
            </w:r>
          </w:p>
        </w:tc>
        <w:tc>
          <w:tcPr>
            <w:tcW w:w="536" w:type="pct"/>
            <w:vAlign w:val="center"/>
          </w:tcPr>
          <w:p w14:paraId="3E109A53">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210m</w:t>
            </w:r>
          </w:p>
        </w:tc>
      </w:tr>
      <w:tr w14:paraId="4E5677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812" w:type="pct"/>
            <w:vAlign w:val="center"/>
          </w:tcPr>
          <w:p w14:paraId="16AB742E">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城海村</w:t>
            </w:r>
          </w:p>
        </w:tc>
        <w:tc>
          <w:tcPr>
            <w:tcW w:w="856" w:type="pct"/>
            <w:vAlign w:val="center"/>
          </w:tcPr>
          <w:p w14:paraId="4A94D609">
            <w:pPr>
              <w:pStyle w:val="44"/>
              <w:bidi w:val="0"/>
              <w:rPr>
                <w:rFonts w:hint="default" w:ascii="Times New Roman" w:hAnsi="Times New Roman" w:cs="Times New Roman"/>
                <w:color w:val="auto"/>
              </w:rPr>
            </w:pPr>
            <w:r>
              <w:rPr>
                <w:rFonts w:hint="default" w:ascii="Times New Roman" w:hAnsi="Times New Roman" w:cs="Times New Roman"/>
                <w:color w:val="auto"/>
              </w:rPr>
              <w:t>131.02300054</w:t>
            </w:r>
          </w:p>
        </w:tc>
        <w:tc>
          <w:tcPr>
            <w:tcW w:w="795" w:type="pct"/>
            <w:vAlign w:val="center"/>
          </w:tcPr>
          <w:p w14:paraId="4AE4027E">
            <w:pPr>
              <w:pStyle w:val="44"/>
              <w:bidi w:val="0"/>
              <w:rPr>
                <w:rFonts w:hint="default" w:ascii="Times New Roman" w:hAnsi="Times New Roman" w:cs="Times New Roman"/>
                <w:color w:val="auto"/>
              </w:rPr>
            </w:pPr>
            <w:r>
              <w:rPr>
                <w:rFonts w:hint="default" w:ascii="Times New Roman" w:hAnsi="Times New Roman" w:cs="Times New Roman"/>
                <w:color w:val="auto"/>
              </w:rPr>
              <w:t>45.40708686</w:t>
            </w:r>
          </w:p>
        </w:tc>
        <w:tc>
          <w:tcPr>
            <w:tcW w:w="532" w:type="pct"/>
            <w:vMerge w:val="continue"/>
            <w:vAlign w:val="center"/>
          </w:tcPr>
          <w:p w14:paraId="284072D8">
            <w:pPr>
              <w:pStyle w:val="44"/>
              <w:bidi w:val="0"/>
              <w:rPr>
                <w:rFonts w:hint="default" w:ascii="Times New Roman" w:hAnsi="Times New Roman" w:cs="Times New Roman"/>
                <w:color w:val="auto"/>
              </w:rPr>
            </w:pPr>
          </w:p>
        </w:tc>
        <w:tc>
          <w:tcPr>
            <w:tcW w:w="390" w:type="pct"/>
            <w:vMerge w:val="continue"/>
            <w:vAlign w:val="center"/>
          </w:tcPr>
          <w:p w14:paraId="4B827E7E">
            <w:pPr>
              <w:pStyle w:val="44"/>
              <w:bidi w:val="0"/>
              <w:rPr>
                <w:rFonts w:hint="default" w:ascii="Times New Roman" w:hAnsi="Times New Roman" w:cs="Times New Roman"/>
                <w:color w:val="auto"/>
              </w:rPr>
            </w:pPr>
          </w:p>
        </w:tc>
        <w:tc>
          <w:tcPr>
            <w:tcW w:w="582" w:type="pct"/>
            <w:vMerge w:val="continue"/>
            <w:vAlign w:val="center"/>
          </w:tcPr>
          <w:p w14:paraId="683B8030">
            <w:pPr>
              <w:pStyle w:val="44"/>
              <w:bidi w:val="0"/>
              <w:rPr>
                <w:rFonts w:hint="default" w:ascii="Times New Roman" w:hAnsi="Times New Roman" w:cs="Times New Roman"/>
                <w:color w:val="auto"/>
              </w:rPr>
            </w:pPr>
          </w:p>
        </w:tc>
        <w:tc>
          <w:tcPr>
            <w:tcW w:w="495" w:type="pct"/>
            <w:vAlign w:val="center"/>
          </w:tcPr>
          <w:p w14:paraId="4DB1982A">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E</w:t>
            </w:r>
          </w:p>
        </w:tc>
        <w:tc>
          <w:tcPr>
            <w:tcW w:w="536" w:type="pct"/>
            <w:vAlign w:val="center"/>
          </w:tcPr>
          <w:p w14:paraId="31275E39">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100m</w:t>
            </w:r>
          </w:p>
        </w:tc>
      </w:tr>
      <w:tr w14:paraId="26154E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12" w:type="pct"/>
            <w:vAlign w:val="center"/>
          </w:tcPr>
          <w:p w14:paraId="663F4EDC">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东沟屯</w:t>
            </w:r>
          </w:p>
        </w:tc>
        <w:tc>
          <w:tcPr>
            <w:tcW w:w="856" w:type="pct"/>
            <w:vAlign w:val="center"/>
          </w:tcPr>
          <w:p w14:paraId="25C14822">
            <w:pPr>
              <w:pStyle w:val="44"/>
              <w:bidi w:val="0"/>
              <w:rPr>
                <w:rFonts w:hint="default" w:ascii="Times New Roman" w:hAnsi="Times New Roman" w:cs="Times New Roman"/>
                <w:color w:val="auto"/>
              </w:rPr>
            </w:pPr>
            <w:r>
              <w:rPr>
                <w:rFonts w:hint="default" w:ascii="Times New Roman" w:hAnsi="Times New Roman" w:cs="Times New Roman"/>
                <w:color w:val="auto"/>
              </w:rPr>
              <w:t>131.04325559</w:t>
            </w:r>
          </w:p>
        </w:tc>
        <w:tc>
          <w:tcPr>
            <w:tcW w:w="795" w:type="pct"/>
            <w:vAlign w:val="center"/>
          </w:tcPr>
          <w:p w14:paraId="02F8FDA6">
            <w:pPr>
              <w:pStyle w:val="44"/>
              <w:bidi w:val="0"/>
              <w:rPr>
                <w:rFonts w:hint="default" w:ascii="Times New Roman" w:hAnsi="Times New Roman" w:cs="Times New Roman"/>
                <w:color w:val="auto"/>
              </w:rPr>
            </w:pPr>
            <w:r>
              <w:rPr>
                <w:rFonts w:hint="default" w:ascii="Times New Roman" w:hAnsi="Times New Roman" w:cs="Times New Roman"/>
                <w:color w:val="auto"/>
              </w:rPr>
              <w:t>45.39014569</w:t>
            </w:r>
          </w:p>
        </w:tc>
        <w:tc>
          <w:tcPr>
            <w:tcW w:w="532" w:type="pct"/>
            <w:vMerge w:val="continue"/>
            <w:vAlign w:val="center"/>
          </w:tcPr>
          <w:p w14:paraId="25276CBF">
            <w:pPr>
              <w:pStyle w:val="44"/>
              <w:bidi w:val="0"/>
              <w:rPr>
                <w:rFonts w:hint="default" w:ascii="Times New Roman" w:hAnsi="Times New Roman" w:cs="Times New Roman"/>
                <w:color w:val="auto"/>
              </w:rPr>
            </w:pPr>
          </w:p>
        </w:tc>
        <w:tc>
          <w:tcPr>
            <w:tcW w:w="390" w:type="pct"/>
            <w:vMerge w:val="continue"/>
            <w:vAlign w:val="center"/>
          </w:tcPr>
          <w:p w14:paraId="7483B201">
            <w:pPr>
              <w:pStyle w:val="44"/>
              <w:bidi w:val="0"/>
              <w:rPr>
                <w:rFonts w:hint="default" w:ascii="Times New Roman" w:hAnsi="Times New Roman" w:cs="Times New Roman"/>
                <w:color w:val="auto"/>
              </w:rPr>
            </w:pPr>
          </w:p>
        </w:tc>
        <w:tc>
          <w:tcPr>
            <w:tcW w:w="582" w:type="pct"/>
            <w:vMerge w:val="continue"/>
            <w:vAlign w:val="center"/>
          </w:tcPr>
          <w:p w14:paraId="7B50C04E">
            <w:pPr>
              <w:pStyle w:val="44"/>
              <w:bidi w:val="0"/>
              <w:rPr>
                <w:rFonts w:hint="default" w:ascii="Times New Roman" w:hAnsi="Times New Roman" w:cs="Times New Roman"/>
                <w:color w:val="auto"/>
              </w:rPr>
            </w:pPr>
          </w:p>
        </w:tc>
        <w:tc>
          <w:tcPr>
            <w:tcW w:w="495" w:type="pct"/>
            <w:vAlign w:val="center"/>
          </w:tcPr>
          <w:p w14:paraId="63EE588F">
            <w:pPr>
              <w:pStyle w:val="44"/>
              <w:bidi w:val="0"/>
              <w:rPr>
                <w:rFonts w:hint="default" w:ascii="Times New Roman" w:hAnsi="Times New Roman" w:cs="Times New Roman"/>
                <w:color w:val="auto"/>
              </w:rPr>
            </w:pPr>
            <w:bookmarkStart w:id="140" w:name="OLE_LINK22"/>
            <w:r>
              <w:rPr>
                <w:rFonts w:hint="default" w:ascii="Times New Roman" w:hAnsi="Times New Roman" w:cs="Times New Roman"/>
                <w:color w:val="auto"/>
                <w:lang w:val="en-US" w:eastAsia="zh-CN"/>
              </w:rPr>
              <w:t>SE</w:t>
            </w:r>
            <w:bookmarkEnd w:id="140"/>
          </w:p>
        </w:tc>
        <w:tc>
          <w:tcPr>
            <w:tcW w:w="536" w:type="pct"/>
            <w:vAlign w:val="center"/>
          </w:tcPr>
          <w:p w14:paraId="49C85943">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2400m</w:t>
            </w:r>
          </w:p>
        </w:tc>
      </w:tr>
      <w:tr w14:paraId="684F61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5000" w:type="pct"/>
            <w:gridSpan w:val="8"/>
            <w:vAlign w:val="center"/>
          </w:tcPr>
          <w:p w14:paraId="536B6230">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14#项目区</w:t>
            </w:r>
          </w:p>
        </w:tc>
      </w:tr>
      <w:tr w14:paraId="5BEFB5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812" w:type="pct"/>
            <w:vAlign w:val="center"/>
          </w:tcPr>
          <w:p w14:paraId="619D0213">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城东一队</w:t>
            </w:r>
          </w:p>
        </w:tc>
        <w:tc>
          <w:tcPr>
            <w:tcW w:w="856" w:type="pct"/>
            <w:vAlign w:val="center"/>
          </w:tcPr>
          <w:p w14:paraId="3DF21AB5">
            <w:pPr>
              <w:pStyle w:val="44"/>
              <w:bidi w:val="0"/>
              <w:rPr>
                <w:rFonts w:hint="default" w:ascii="Times New Roman" w:hAnsi="Times New Roman" w:cs="Times New Roman"/>
                <w:color w:val="auto"/>
              </w:rPr>
            </w:pPr>
            <w:r>
              <w:rPr>
                <w:rFonts w:hint="default" w:ascii="Times New Roman" w:hAnsi="Times New Roman" w:cs="Times New Roman"/>
                <w:color w:val="auto"/>
              </w:rPr>
              <w:t>131.01329418</w:t>
            </w:r>
          </w:p>
        </w:tc>
        <w:tc>
          <w:tcPr>
            <w:tcW w:w="795" w:type="pct"/>
            <w:vAlign w:val="center"/>
          </w:tcPr>
          <w:p w14:paraId="2C9EA89F">
            <w:pPr>
              <w:pStyle w:val="44"/>
              <w:bidi w:val="0"/>
              <w:rPr>
                <w:rFonts w:hint="default" w:ascii="Times New Roman" w:hAnsi="Times New Roman" w:cs="Times New Roman"/>
                <w:color w:val="auto"/>
              </w:rPr>
            </w:pPr>
            <w:r>
              <w:rPr>
                <w:rFonts w:hint="default" w:ascii="Times New Roman" w:hAnsi="Times New Roman" w:cs="Times New Roman"/>
                <w:color w:val="auto"/>
              </w:rPr>
              <w:t>45.38113844</w:t>
            </w:r>
          </w:p>
        </w:tc>
        <w:tc>
          <w:tcPr>
            <w:tcW w:w="532" w:type="pct"/>
            <w:shd w:val="clear" w:color="auto" w:fill="auto"/>
            <w:vAlign w:val="center"/>
          </w:tcPr>
          <w:p w14:paraId="05D8B6B9">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居民</w:t>
            </w:r>
          </w:p>
        </w:tc>
        <w:tc>
          <w:tcPr>
            <w:tcW w:w="390" w:type="pct"/>
            <w:shd w:val="clear" w:color="auto" w:fill="auto"/>
            <w:vAlign w:val="center"/>
          </w:tcPr>
          <w:p w14:paraId="302A55B5">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环境空气</w:t>
            </w:r>
          </w:p>
        </w:tc>
        <w:tc>
          <w:tcPr>
            <w:tcW w:w="582" w:type="pct"/>
            <w:shd w:val="clear" w:color="auto" w:fill="auto"/>
            <w:vAlign w:val="center"/>
          </w:tcPr>
          <w:p w14:paraId="0BA20F8F">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二类区</w:t>
            </w:r>
          </w:p>
        </w:tc>
        <w:tc>
          <w:tcPr>
            <w:tcW w:w="495" w:type="pct"/>
            <w:vAlign w:val="center"/>
          </w:tcPr>
          <w:p w14:paraId="6D2CCC1C">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SW</w:t>
            </w:r>
          </w:p>
        </w:tc>
        <w:tc>
          <w:tcPr>
            <w:tcW w:w="536" w:type="pct"/>
            <w:vAlign w:val="center"/>
          </w:tcPr>
          <w:p w14:paraId="7756BD1D">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150m</w:t>
            </w:r>
          </w:p>
        </w:tc>
      </w:tr>
      <w:tr w14:paraId="099F7C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5000" w:type="pct"/>
            <w:gridSpan w:val="8"/>
            <w:vAlign w:val="center"/>
          </w:tcPr>
          <w:p w14:paraId="2031049A">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15#项目区</w:t>
            </w:r>
          </w:p>
        </w:tc>
      </w:tr>
      <w:tr w14:paraId="095640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812" w:type="pct"/>
            <w:shd w:val="clear" w:color="auto" w:fill="auto"/>
            <w:vAlign w:val="center"/>
          </w:tcPr>
          <w:p w14:paraId="75228ACA">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城东一队</w:t>
            </w:r>
          </w:p>
        </w:tc>
        <w:tc>
          <w:tcPr>
            <w:tcW w:w="856" w:type="pct"/>
            <w:shd w:val="clear" w:color="auto" w:fill="auto"/>
            <w:vAlign w:val="center"/>
          </w:tcPr>
          <w:p w14:paraId="26DCC9FC">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131.01329418</w:t>
            </w:r>
          </w:p>
        </w:tc>
        <w:tc>
          <w:tcPr>
            <w:tcW w:w="795" w:type="pct"/>
            <w:shd w:val="clear" w:color="auto" w:fill="auto"/>
            <w:vAlign w:val="center"/>
          </w:tcPr>
          <w:p w14:paraId="6A934DC6">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45.38113844</w:t>
            </w:r>
          </w:p>
        </w:tc>
        <w:tc>
          <w:tcPr>
            <w:tcW w:w="532" w:type="pct"/>
            <w:shd w:val="clear" w:color="auto" w:fill="auto"/>
            <w:vAlign w:val="center"/>
          </w:tcPr>
          <w:p w14:paraId="301B9E1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居民</w:t>
            </w:r>
          </w:p>
        </w:tc>
        <w:tc>
          <w:tcPr>
            <w:tcW w:w="390" w:type="pct"/>
            <w:shd w:val="clear" w:color="auto" w:fill="auto"/>
            <w:vAlign w:val="center"/>
          </w:tcPr>
          <w:p w14:paraId="689F598D">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环境空气</w:t>
            </w:r>
          </w:p>
        </w:tc>
        <w:tc>
          <w:tcPr>
            <w:tcW w:w="582" w:type="pct"/>
            <w:shd w:val="clear" w:color="auto" w:fill="auto"/>
            <w:vAlign w:val="center"/>
          </w:tcPr>
          <w:p w14:paraId="625108F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二类区</w:t>
            </w:r>
          </w:p>
        </w:tc>
        <w:tc>
          <w:tcPr>
            <w:tcW w:w="495" w:type="pct"/>
            <w:vAlign w:val="center"/>
          </w:tcPr>
          <w:p w14:paraId="41FE2342">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S</w:t>
            </w:r>
          </w:p>
        </w:tc>
        <w:tc>
          <w:tcPr>
            <w:tcW w:w="536" w:type="pct"/>
            <w:vAlign w:val="center"/>
          </w:tcPr>
          <w:p w14:paraId="427716F8">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160m</w:t>
            </w:r>
          </w:p>
        </w:tc>
      </w:tr>
      <w:tr w14:paraId="740EF7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5000" w:type="pct"/>
            <w:gridSpan w:val="8"/>
            <w:vAlign w:val="center"/>
          </w:tcPr>
          <w:p w14:paraId="2E5EF85F">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16#项目区</w:t>
            </w:r>
          </w:p>
        </w:tc>
      </w:tr>
      <w:tr w14:paraId="129045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812" w:type="pct"/>
            <w:shd w:val="clear" w:color="auto" w:fill="auto"/>
            <w:vAlign w:val="center"/>
          </w:tcPr>
          <w:p w14:paraId="773721FE">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城东一队</w:t>
            </w:r>
          </w:p>
        </w:tc>
        <w:tc>
          <w:tcPr>
            <w:tcW w:w="856" w:type="pct"/>
            <w:shd w:val="clear" w:color="auto" w:fill="auto"/>
            <w:vAlign w:val="center"/>
          </w:tcPr>
          <w:p w14:paraId="3BC8D0BF">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131.01329418</w:t>
            </w:r>
          </w:p>
        </w:tc>
        <w:tc>
          <w:tcPr>
            <w:tcW w:w="795" w:type="pct"/>
            <w:shd w:val="clear" w:color="auto" w:fill="auto"/>
            <w:vAlign w:val="center"/>
          </w:tcPr>
          <w:p w14:paraId="7E946E93">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45.38113844</w:t>
            </w:r>
          </w:p>
        </w:tc>
        <w:tc>
          <w:tcPr>
            <w:tcW w:w="532" w:type="pct"/>
            <w:shd w:val="clear" w:color="auto" w:fill="auto"/>
            <w:vAlign w:val="center"/>
          </w:tcPr>
          <w:p w14:paraId="01E9ED2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居民</w:t>
            </w:r>
          </w:p>
        </w:tc>
        <w:tc>
          <w:tcPr>
            <w:tcW w:w="390" w:type="pct"/>
            <w:shd w:val="clear" w:color="auto" w:fill="auto"/>
            <w:vAlign w:val="center"/>
          </w:tcPr>
          <w:p w14:paraId="213EE1F0">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环境空气</w:t>
            </w:r>
          </w:p>
        </w:tc>
        <w:tc>
          <w:tcPr>
            <w:tcW w:w="582" w:type="pct"/>
            <w:shd w:val="clear" w:color="auto" w:fill="auto"/>
            <w:vAlign w:val="center"/>
          </w:tcPr>
          <w:p w14:paraId="22D8F384">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二类区</w:t>
            </w:r>
          </w:p>
        </w:tc>
        <w:tc>
          <w:tcPr>
            <w:tcW w:w="495" w:type="pct"/>
            <w:vAlign w:val="center"/>
          </w:tcPr>
          <w:p w14:paraId="1CB27D0E">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NW</w:t>
            </w:r>
          </w:p>
        </w:tc>
        <w:tc>
          <w:tcPr>
            <w:tcW w:w="536" w:type="pct"/>
            <w:vAlign w:val="center"/>
          </w:tcPr>
          <w:p w14:paraId="2EE90102">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180m</w:t>
            </w:r>
          </w:p>
        </w:tc>
      </w:tr>
      <w:tr w14:paraId="6EFBC9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5000" w:type="pct"/>
            <w:gridSpan w:val="8"/>
            <w:vAlign w:val="center"/>
          </w:tcPr>
          <w:p w14:paraId="14C3C5B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21#项目区</w:t>
            </w:r>
          </w:p>
        </w:tc>
      </w:tr>
      <w:tr w14:paraId="67577B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812" w:type="pct"/>
            <w:vAlign w:val="center"/>
          </w:tcPr>
          <w:p w14:paraId="15BCDEF5">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856" w:type="pct"/>
            <w:vAlign w:val="center"/>
          </w:tcPr>
          <w:p w14:paraId="47DCBBCD">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795" w:type="pct"/>
            <w:vAlign w:val="center"/>
          </w:tcPr>
          <w:p w14:paraId="73D4446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532" w:type="pct"/>
            <w:vAlign w:val="center"/>
          </w:tcPr>
          <w:p w14:paraId="4817C1A0">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390" w:type="pct"/>
            <w:vAlign w:val="center"/>
          </w:tcPr>
          <w:p w14:paraId="3916E9AC">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582" w:type="pct"/>
            <w:vAlign w:val="center"/>
          </w:tcPr>
          <w:p w14:paraId="2E6605AE">
            <w:pPr>
              <w:pStyle w:val="44"/>
              <w:bidi w:val="0"/>
              <w:rPr>
                <w:rFonts w:hint="default" w:ascii="Times New Roman" w:hAnsi="Times New Roman" w:cs="Times New Roman"/>
                <w:color w:val="auto"/>
              </w:rPr>
            </w:pPr>
          </w:p>
        </w:tc>
        <w:tc>
          <w:tcPr>
            <w:tcW w:w="495" w:type="pct"/>
            <w:vAlign w:val="center"/>
          </w:tcPr>
          <w:p w14:paraId="4D4CC016">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536" w:type="pct"/>
            <w:vAlign w:val="center"/>
          </w:tcPr>
          <w:p w14:paraId="79C4862A">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r>
      <w:tr w14:paraId="311795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5000" w:type="pct"/>
            <w:gridSpan w:val="8"/>
            <w:vAlign w:val="center"/>
          </w:tcPr>
          <w:p w14:paraId="38FF5AE8">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25#项目区</w:t>
            </w:r>
          </w:p>
        </w:tc>
      </w:tr>
      <w:tr w14:paraId="2E1A99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812" w:type="pct"/>
            <w:vAlign w:val="center"/>
          </w:tcPr>
          <w:p w14:paraId="4642D52C">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正阳六队</w:t>
            </w:r>
          </w:p>
        </w:tc>
        <w:tc>
          <w:tcPr>
            <w:tcW w:w="856" w:type="pct"/>
            <w:vAlign w:val="center"/>
          </w:tcPr>
          <w:p w14:paraId="4E2A02D0">
            <w:pPr>
              <w:pStyle w:val="44"/>
              <w:bidi w:val="0"/>
              <w:rPr>
                <w:rFonts w:hint="default" w:ascii="Times New Roman" w:hAnsi="Times New Roman" w:cs="Times New Roman"/>
                <w:color w:val="auto"/>
              </w:rPr>
            </w:pPr>
            <w:r>
              <w:rPr>
                <w:rFonts w:hint="default" w:ascii="Times New Roman" w:hAnsi="Times New Roman" w:cs="Times New Roman"/>
                <w:color w:val="auto"/>
              </w:rPr>
              <w:t>131.04913263</w:t>
            </w:r>
          </w:p>
        </w:tc>
        <w:tc>
          <w:tcPr>
            <w:tcW w:w="795" w:type="pct"/>
            <w:vAlign w:val="center"/>
          </w:tcPr>
          <w:p w14:paraId="4A0BF739">
            <w:pPr>
              <w:pStyle w:val="44"/>
              <w:bidi w:val="0"/>
              <w:rPr>
                <w:rFonts w:hint="default" w:ascii="Times New Roman" w:hAnsi="Times New Roman" w:cs="Times New Roman"/>
                <w:color w:val="auto"/>
              </w:rPr>
            </w:pPr>
            <w:r>
              <w:rPr>
                <w:rFonts w:hint="default" w:ascii="Times New Roman" w:hAnsi="Times New Roman" w:cs="Times New Roman"/>
                <w:color w:val="auto"/>
              </w:rPr>
              <w:t>45.37051946</w:t>
            </w:r>
          </w:p>
        </w:tc>
        <w:tc>
          <w:tcPr>
            <w:tcW w:w="532" w:type="pct"/>
            <w:shd w:val="clear" w:color="auto" w:fill="auto"/>
            <w:vAlign w:val="center"/>
          </w:tcPr>
          <w:p w14:paraId="0325F168">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居民</w:t>
            </w:r>
          </w:p>
        </w:tc>
        <w:tc>
          <w:tcPr>
            <w:tcW w:w="390" w:type="pct"/>
            <w:shd w:val="clear" w:color="auto" w:fill="auto"/>
            <w:vAlign w:val="center"/>
          </w:tcPr>
          <w:p w14:paraId="58970CC9">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环境空气</w:t>
            </w:r>
          </w:p>
        </w:tc>
        <w:tc>
          <w:tcPr>
            <w:tcW w:w="582" w:type="pct"/>
            <w:shd w:val="clear" w:color="auto" w:fill="auto"/>
            <w:vAlign w:val="center"/>
          </w:tcPr>
          <w:p w14:paraId="25588924">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二类区</w:t>
            </w:r>
          </w:p>
        </w:tc>
        <w:tc>
          <w:tcPr>
            <w:tcW w:w="495" w:type="pct"/>
            <w:vAlign w:val="center"/>
          </w:tcPr>
          <w:p w14:paraId="194A1CA0">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NW</w:t>
            </w:r>
          </w:p>
        </w:tc>
        <w:tc>
          <w:tcPr>
            <w:tcW w:w="536" w:type="pct"/>
            <w:vAlign w:val="center"/>
          </w:tcPr>
          <w:p w14:paraId="0A8E27B4">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100m</w:t>
            </w:r>
          </w:p>
        </w:tc>
      </w:tr>
      <w:tr w14:paraId="57BCF9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812" w:type="pct"/>
            <w:vAlign w:val="center"/>
          </w:tcPr>
          <w:p w14:paraId="01F2CE12">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正阳村</w:t>
            </w:r>
          </w:p>
        </w:tc>
        <w:tc>
          <w:tcPr>
            <w:tcW w:w="856" w:type="pct"/>
            <w:vAlign w:val="center"/>
          </w:tcPr>
          <w:p w14:paraId="35166CBC">
            <w:pPr>
              <w:pStyle w:val="44"/>
              <w:bidi w:val="0"/>
              <w:rPr>
                <w:rFonts w:hint="default" w:ascii="Times New Roman" w:hAnsi="Times New Roman" w:cs="Times New Roman"/>
                <w:color w:val="auto"/>
              </w:rPr>
            </w:pPr>
            <w:r>
              <w:rPr>
                <w:rFonts w:hint="default" w:ascii="Times New Roman" w:hAnsi="Times New Roman" w:cs="Times New Roman"/>
                <w:color w:val="auto"/>
              </w:rPr>
              <w:t>131.05994201</w:t>
            </w:r>
          </w:p>
        </w:tc>
        <w:tc>
          <w:tcPr>
            <w:tcW w:w="795" w:type="pct"/>
            <w:vAlign w:val="center"/>
          </w:tcPr>
          <w:p w14:paraId="0E7C34DB">
            <w:pPr>
              <w:pStyle w:val="44"/>
              <w:bidi w:val="0"/>
              <w:rPr>
                <w:rFonts w:hint="default" w:ascii="Times New Roman" w:hAnsi="Times New Roman" w:cs="Times New Roman"/>
                <w:color w:val="auto"/>
              </w:rPr>
            </w:pPr>
            <w:r>
              <w:rPr>
                <w:rFonts w:hint="default" w:ascii="Times New Roman" w:hAnsi="Times New Roman" w:cs="Times New Roman"/>
                <w:color w:val="auto"/>
              </w:rPr>
              <w:t>45.36834185</w:t>
            </w:r>
          </w:p>
        </w:tc>
        <w:tc>
          <w:tcPr>
            <w:tcW w:w="532" w:type="pct"/>
            <w:shd w:val="clear" w:color="auto" w:fill="auto"/>
            <w:vAlign w:val="center"/>
          </w:tcPr>
          <w:p w14:paraId="48AA95D8">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居民</w:t>
            </w:r>
          </w:p>
        </w:tc>
        <w:tc>
          <w:tcPr>
            <w:tcW w:w="390" w:type="pct"/>
            <w:shd w:val="clear" w:color="auto" w:fill="auto"/>
            <w:vAlign w:val="center"/>
          </w:tcPr>
          <w:p w14:paraId="428F6B3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环境空气</w:t>
            </w:r>
          </w:p>
        </w:tc>
        <w:tc>
          <w:tcPr>
            <w:tcW w:w="582" w:type="pct"/>
            <w:shd w:val="clear" w:color="auto" w:fill="auto"/>
            <w:vAlign w:val="center"/>
          </w:tcPr>
          <w:p w14:paraId="2E735089">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二类区</w:t>
            </w:r>
          </w:p>
        </w:tc>
        <w:tc>
          <w:tcPr>
            <w:tcW w:w="495" w:type="pct"/>
            <w:vAlign w:val="center"/>
          </w:tcPr>
          <w:p w14:paraId="341B5713">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SE</w:t>
            </w:r>
          </w:p>
        </w:tc>
        <w:tc>
          <w:tcPr>
            <w:tcW w:w="536" w:type="pct"/>
            <w:vAlign w:val="center"/>
          </w:tcPr>
          <w:p w14:paraId="748990B6">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390m</w:t>
            </w:r>
          </w:p>
        </w:tc>
      </w:tr>
      <w:tr w14:paraId="7C1DA1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5000" w:type="pct"/>
            <w:gridSpan w:val="8"/>
            <w:vAlign w:val="center"/>
          </w:tcPr>
          <w:p w14:paraId="68F4B46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31#项目区</w:t>
            </w:r>
          </w:p>
        </w:tc>
      </w:tr>
      <w:tr w14:paraId="08B5D8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812" w:type="pct"/>
            <w:vAlign w:val="center"/>
          </w:tcPr>
          <w:p w14:paraId="6BBB12A9">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新成四队</w:t>
            </w:r>
          </w:p>
        </w:tc>
        <w:tc>
          <w:tcPr>
            <w:tcW w:w="856" w:type="pct"/>
            <w:vAlign w:val="center"/>
          </w:tcPr>
          <w:p w14:paraId="520CD65A">
            <w:pPr>
              <w:pStyle w:val="44"/>
              <w:bidi w:val="0"/>
              <w:rPr>
                <w:rFonts w:hint="default" w:ascii="Times New Roman" w:hAnsi="Times New Roman" w:cs="Times New Roman"/>
                <w:color w:val="auto"/>
              </w:rPr>
            </w:pPr>
            <w:r>
              <w:rPr>
                <w:rFonts w:hint="default" w:ascii="Times New Roman" w:hAnsi="Times New Roman" w:cs="Times New Roman"/>
                <w:color w:val="auto"/>
              </w:rPr>
              <w:t>130.94150063</w:t>
            </w:r>
          </w:p>
        </w:tc>
        <w:tc>
          <w:tcPr>
            <w:tcW w:w="795" w:type="pct"/>
            <w:vAlign w:val="center"/>
          </w:tcPr>
          <w:p w14:paraId="0D2ABD42">
            <w:pPr>
              <w:pStyle w:val="44"/>
              <w:bidi w:val="0"/>
              <w:rPr>
                <w:rFonts w:hint="default" w:ascii="Times New Roman" w:hAnsi="Times New Roman" w:cs="Times New Roman"/>
                <w:color w:val="auto"/>
              </w:rPr>
            </w:pPr>
            <w:r>
              <w:rPr>
                <w:rFonts w:hint="default" w:ascii="Times New Roman" w:hAnsi="Times New Roman" w:cs="Times New Roman"/>
                <w:color w:val="auto"/>
              </w:rPr>
              <w:t>45.34353327</w:t>
            </w:r>
          </w:p>
        </w:tc>
        <w:tc>
          <w:tcPr>
            <w:tcW w:w="532" w:type="pct"/>
            <w:shd w:val="clear" w:color="auto" w:fill="auto"/>
            <w:vAlign w:val="center"/>
          </w:tcPr>
          <w:p w14:paraId="0BBDAED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居民</w:t>
            </w:r>
          </w:p>
        </w:tc>
        <w:tc>
          <w:tcPr>
            <w:tcW w:w="390" w:type="pct"/>
            <w:shd w:val="clear" w:color="auto" w:fill="auto"/>
            <w:vAlign w:val="center"/>
          </w:tcPr>
          <w:p w14:paraId="39A9411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环境空气</w:t>
            </w:r>
          </w:p>
        </w:tc>
        <w:tc>
          <w:tcPr>
            <w:tcW w:w="582" w:type="pct"/>
            <w:shd w:val="clear" w:color="auto" w:fill="auto"/>
            <w:vAlign w:val="center"/>
          </w:tcPr>
          <w:p w14:paraId="4C716786">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二类区</w:t>
            </w:r>
          </w:p>
        </w:tc>
        <w:tc>
          <w:tcPr>
            <w:tcW w:w="495" w:type="pct"/>
            <w:vAlign w:val="center"/>
          </w:tcPr>
          <w:p w14:paraId="1CC4734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NW</w:t>
            </w:r>
          </w:p>
        </w:tc>
        <w:tc>
          <w:tcPr>
            <w:tcW w:w="536" w:type="pct"/>
            <w:vAlign w:val="center"/>
          </w:tcPr>
          <w:p w14:paraId="200FA0C5">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60m</w:t>
            </w:r>
          </w:p>
        </w:tc>
      </w:tr>
      <w:tr w14:paraId="4C5494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5000" w:type="pct"/>
            <w:gridSpan w:val="8"/>
            <w:vAlign w:val="center"/>
          </w:tcPr>
          <w:p w14:paraId="7E6EEBA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41#项目区</w:t>
            </w:r>
          </w:p>
        </w:tc>
      </w:tr>
      <w:tr w14:paraId="1A2CAD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812" w:type="pct"/>
            <w:vAlign w:val="center"/>
          </w:tcPr>
          <w:p w14:paraId="47AF660F">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白石村</w:t>
            </w:r>
          </w:p>
        </w:tc>
        <w:tc>
          <w:tcPr>
            <w:tcW w:w="856" w:type="pct"/>
            <w:vAlign w:val="center"/>
          </w:tcPr>
          <w:p w14:paraId="5281FEF4">
            <w:pPr>
              <w:pStyle w:val="44"/>
              <w:bidi w:val="0"/>
              <w:rPr>
                <w:rFonts w:hint="default" w:ascii="Times New Roman" w:hAnsi="Times New Roman" w:cs="Times New Roman"/>
                <w:color w:val="auto"/>
              </w:rPr>
            </w:pPr>
            <w:r>
              <w:rPr>
                <w:rFonts w:hint="default" w:ascii="Times New Roman" w:hAnsi="Times New Roman" w:cs="Times New Roman"/>
                <w:color w:val="auto"/>
              </w:rPr>
              <w:t>130.98741938</w:t>
            </w:r>
          </w:p>
        </w:tc>
        <w:tc>
          <w:tcPr>
            <w:tcW w:w="795" w:type="pct"/>
            <w:vAlign w:val="center"/>
          </w:tcPr>
          <w:p w14:paraId="7DA59652">
            <w:pPr>
              <w:pStyle w:val="44"/>
              <w:bidi w:val="0"/>
              <w:rPr>
                <w:rFonts w:hint="default" w:ascii="Times New Roman" w:hAnsi="Times New Roman" w:cs="Times New Roman"/>
                <w:color w:val="auto"/>
              </w:rPr>
            </w:pPr>
            <w:r>
              <w:rPr>
                <w:rFonts w:hint="default" w:ascii="Times New Roman" w:hAnsi="Times New Roman" w:cs="Times New Roman"/>
                <w:color w:val="auto"/>
              </w:rPr>
              <w:t>45.35877857</w:t>
            </w:r>
          </w:p>
        </w:tc>
        <w:tc>
          <w:tcPr>
            <w:tcW w:w="532" w:type="pct"/>
            <w:shd w:val="clear" w:color="auto" w:fill="auto"/>
            <w:vAlign w:val="center"/>
          </w:tcPr>
          <w:p w14:paraId="15042CF2">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居民</w:t>
            </w:r>
          </w:p>
        </w:tc>
        <w:tc>
          <w:tcPr>
            <w:tcW w:w="390" w:type="pct"/>
            <w:shd w:val="clear" w:color="auto" w:fill="auto"/>
            <w:vAlign w:val="center"/>
          </w:tcPr>
          <w:p w14:paraId="4FA1DAD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环境空气</w:t>
            </w:r>
          </w:p>
        </w:tc>
        <w:tc>
          <w:tcPr>
            <w:tcW w:w="582" w:type="pct"/>
            <w:shd w:val="clear" w:color="auto" w:fill="auto"/>
            <w:vAlign w:val="center"/>
          </w:tcPr>
          <w:p w14:paraId="58476668">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二类区</w:t>
            </w:r>
          </w:p>
        </w:tc>
        <w:tc>
          <w:tcPr>
            <w:tcW w:w="495" w:type="pct"/>
            <w:shd w:val="clear" w:color="auto" w:fill="auto"/>
            <w:vAlign w:val="center"/>
          </w:tcPr>
          <w:p w14:paraId="45B51EC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NW</w:t>
            </w:r>
          </w:p>
        </w:tc>
        <w:tc>
          <w:tcPr>
            <w:tcW w:w="536" w:type="pct"/>
            <w:vAlign w:val="center"/>
          </w:tcPr>
          <w:p w14:paraId="350E6A53">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140m</w:t>
            </w:r>
          </w:p>
        </w:tc>
      </w:tr>
      <w:tr w14:paraId="5654C2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5000" w:type="pct"/>
            <w:gridSpan w:val="8"/>
            <w:vAlign w:val="center"/>
          </w:tcPr>
          <w:p w14:paraId="2CB27B94">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45#项目区</w:t>
            </w:r>
          </w:p>
        </w:tc>
      </w:tr>
      <w:tr w14:paraId="52D25C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812" w:type="pct"/>
            <w:shd w:val="clear" w:color="auto" w:fill="auto"/>
            <w:vAlign w:val="center"/>
          </w:tcPr>
          <w:p w14:paraId="30A4819D">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856" w:type="pct"/>
            <w:shd w:val="clear" w:color="auto" w:fill="auto"/>
            <w:vAlign w:val="center"/>
          </w:tcPr>
          <w:p w14:paraId="6134485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795" w:type="pct"/>
            <w:shd w:val="clear" w:color="auto" w:fill="auto"/>
            <w:vAlign w:val="center"/>
          </w:tcPr>
          <w:p w14:paraId="7A392C44">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532" w:type="pct"/>
            <w:shd w:val="clear" w:color="auto" w:fill="auto"/>
            <w:vAlign w:val="center"/>
          </w:tcPr>
          <w:p w14:paraId="33FE1F22">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390" w:type="pct"/>
            <w:shd w:val="clear" w:color="auto" w:fill="auto"/>
            <w:vAlign w:val="center"/>
          </w:tcPr>
          <w:p w14:paraId="4F6A1878">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582" w:type="pct"/>
            <w:shd w:val="clear" w:color="auto" w:fill="auto"/>
            <w:vAlign w:val="center"/>
          </w:tcPr>
          <w:p w14:paraId="2428591A">
            <w:pPr>
              <w:pStyle w:val="44"/>
              <w:bidi w:val="0"/>
              <w:rPr>
                <w:rFonts w:hint="default" w:ascii="Times New Roman" w:hAnsi="Times New Roman" w:cs="Times New Roman"/>
                <w:color w:val="auto"/>
                <w:lang w:val="en-US" w:eastAsia="zh-CN"/>
              </w:rPr>
            </w:pPr>
          </w:p>
        </w:tc>
        <w:tc>
          <w:tcPr>
            <w:tcW w:w="495" w:type="pct"/>
            <w:shd w:val="clear" w:color="auto" w:fill="auto"/>
            <w:vAlign w:val="center"/>
          </w:tcPr>
          <w:p w14:paraId="5029D678">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536" w:type="pct"/>
            <w:shd w:val="clear" w:color="auto" w:fill="auto"/>
            <w:vAlign w:val="center"/>
          </w:tcPr>
          <w:p w14:paraId="69209810">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r>
      <w:tr w14:paraId="6A54A8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5000" w:type="pct"/>
            <w:gridSpan w:val="8"/>
            <w:vAlign w:val="center"/>
          </w:tcPr>
          <w:p w14:paraId="6EE4953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47#项目区</w:t>
            </w:r>
          </w:p>
        </w:tc>
      </w:tr>
      <w:tr w14:paraId="2AB22B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812" w:type="pct"/>
            <w:shd w:val="clear" w:color="auto" w:fill="auto"/>
            <w:vAlign w:val="center"/>
          </w:tcPr>
          <w:p w14:paraId="134472C2">
            <w:pPr>
              <w:pStyle w:val="44"/>
              <w:bidi w:val="0"/>
              <w:rPr>
                <w:rFonts w:hint="default" w:ascii="Times New Roman" w:hAnsi="Times New Roman" w:cs="Times New Roman"/>
                <w:color w:val="auto"/>
                <w:lang w:val="en-US" w:eastAsia="zh-CN"/>
              </w:rPr>
            </w:pPr>
            <w:bookmarkStart w:id="141" w:name="OLE_LINK23" w:colFirst="6" w:colLast="7"/>
            <w:r>
              <w:rPr>
                <w:rFonts w:hint="default" w:ascii="Times New Roman" w:hAnsi="Times New Roman" w:cs="Times New Roman"/>
                <w:color w:val="auto"/>
                <w:lang w:val="en-US" w:eastAsia="zh-CN"/>
              </w:rPr>
              <w:t>新成四队</w:t>
            </w:r>
          </w:p>
        </w:tc>
        <w:tc>
          <w:tcPr>
            <w:tcW w:w="856" w:type="pct"/>
            <w:shd w:val="clear" w:color="auto" w:fill="auto"/>
            <w:vAlign w:val="center"/>
          </w:tcPr>
          <w:p w14:paraId="78932172">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130.94150063</w:t>
            </w:r>
          </w:p>
        </w:tc>
        <w:tc>
          <w:tcPr>
            <w:tcW w:w="795" w:type="pct"/>
            <w:shd w:val="clear" w:color="auto" w:fill="auto"/>
            <w:vAlign w:val="center"/>
          </w:tcPr>
          <w:p w14:paraId="130D2EE0">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45.34353327</w:t>
            </w:r>
          </w:p>
        </w:tc>
        <w:tc>
          <w:tcPr>
            <w:tcW w:w="532" w:type="pct"/>
            <w:shd w:val="clear" w:color="auto" w:fill="auto"/>
            <w:vAlign w:val="center"/>
          </w:tcPr>
          <w:p w14:paraId="2595F3AE">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居民</w:t>
            </w:r>
          </w:p>
        </w:tc>
        <w:tc>
          <w:tcPr>
            <w:tcW w:w="390" w:type="pct"/>
            <w:shd w:val="clear" w:color="auto" w:fill="auto"/>
            <w:vAlign w:val="center"/>
          </w:tcPr>
          <w:p w14:paraId="13FADE53">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环境空气</w:t>
            </w:r>
          </w:p>
        </w:tc>
        <w:tc>
          <w:tcPr>
            <w:tcW w:w="582" w:type="pct"/>
            <w:shd w:val="clear" w:color="auto" w:fill="auto"/>
            <w:vAlign w:val="center"/>
          </w:tcPr>
          <w:p w14:paraId="6B25F48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二类区</w:t>
            </w:r>
          </w:p>
        </w:tc>
        <w:tc>
          <w:tcPr>
            <w:tcW w:w="495" w:type="pct"/>
            <w:shd w:val="clear" w:color="auto" w:fill="auto"/>
            <w:vAlign w:val="center"/>
          </w:tcPr>
          <w:p w14:paraId="22F5C45C">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S</w:t>
            </w:r>
          </w:p>
        </w:tc>
        <w:tc>
          <w:tcPr>
            <w:tcW w:w="536" w:type="pct"/>
            <w:shd w:val="clear" w:color="auto" w:fill="auto"/>
            <w:vAlign w:val="center"/>
          </w:tcPr>
          <w:p w14:paraId="3D1BA8B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120m</w:t>
            </w:r>
          </w:p>
        </w:tc>
      </w:tr>
      <w:bookmarkEnd w:id="141"/>
      <w:tr w14:paraId="487B7C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00" w:type="pct"/>
            <w:gridSpan w:val="8"/>
            <w:vAlign w:val="center"/>
          </w:tcPr>
          <w:p w14:paraId="4B38ECAA">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59#项目区</w:t>
            </w:r>
          </w:p>
        </w:tc>
      </w:tr>
      <w:tr w14:paraId="094BB1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812" w:type="pct"/>
            <w:shd w:val="clear" w:color="auto" w:fill="auto"/>
            <w:vAlign w:val="center"/>
          </w:tcPr>
          <w:p w14:paraId="6652F07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856" w:type="pct"/>
            <w:shd w:val="clear" w:color="auto" w:fill="auto"/>
            <w:vAlign w:val="center"/>
          </w:tcPr>
          <w:p w14:paraId="53B787A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795" w:type="pct"/>
            <w:shd w:val="clear" w:color="auto" w:fill="auto"/>
            <w:vAlign w:val="center"/>
          </w:tcPr>
          <w:p w14:paraId="0328EAE8">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532" w:type="pct"/>
            <w:shd w:val="clear" w:color="auto" w:fill="auto"/>
            <w:vAlign w:val="center"/>
          </w:tcPr>
          <w:p w14:paraId="79ACE37D">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390" w:type="pct"/>
            <w:shd w:val="clear" w:color="auto" w:fill="auto"/>
            <w:vAlign w:val="center"/>
          </w:tcPr>
          <w:p w14:paraId="590FE2CA">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582" w:type="pct"/>
            <w:shd w:val="clear" w:color="auto" w:fill="auto"/>
            <w:vAlign w:val="center"/>
          </w:tcPr>
          <w:p w14:paraId="74FBCF0E">
            <w:pPr>
              <w:pStyle w:val="44"/>
              <w:bidi w:val="0"/>
              <w:rPr>
                <w:rFonts w:hint="default" w:ascii="Times New Roman" w:hAnsi="Times New Roman" w:cs="Times New Roman"/>
                <w:color w:val="auto"/>
                <w:lang w:val="en-US" w:eastAsia="zh-CN"/>
              </w:rPr>
            </w:pPr>
          </w:p>
        </w:tc>
        <w:tc>
          <w:tcPr>
            <w:tcW w:w="495" w:type="pct"/>
            <w:shd w:val="clear" w:color="auto" w:fill="auto"/>
            <w:vAlign w:val="center"/>
          </w:tcPr>
          <w:p w14:paraId="0CCE8133">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536" w:type="pct"/>
            <w:shd w:val="clear" w:color="auto" w:fill="auto"/>
            <w:vAlign w:val="center"/>
          </w:tcPr>
          <w:p w14:paraId="222BA97F">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r>
      <w:tr w14:paraId="745CB7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5000" w:type="pct"/>
            <w:gridSpan w:val="8"/>
            <w:vAlign w:val="center"/>
          </w:tcPr>
          <w:p w14:paraId="07733FFA">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60#项目区</w:t>
            </w:r>
          </w:p>
        </w:tc>
      </w:tr>
      <w:tr w14:paraId="5EE4E2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812" w:type="pct"/>
            <w:shd w:val="clear" w:color="auto" w:fill="auto"/>
            <w:vAlign w:val="center"/>
          </w:tcPr>
          <w:p w14:paraId="57BD0258">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东沟屯</w:t>
            </w:r>
          </w:p>
        </w:tc>
        <w:tc>
          <w:tcPr>
            <w:tcW w:w="856" w:type="pct"/>
            <w:shd w:val="clear" w:color="auto" w:fill="auto"/>
            <w:vAlign w:val="center"/>
          </w:tcPr>
          <w:p w14:paraId="0D16C3DE">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131.04325559</w:t>
            </w:r>
          </w:p>
        </w:tc>
        <w:tc>
          <w:tcPr>
            <w:tcW w:w="795" w:type="pct"/>
            <w:shd w:val="clear" w:color="auto" w:fill="auto"/>
            <w:vAlign w:val="center"/>
          </w:tcPr>
          <w:p w14:paraId="1B966929">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45.39014569</w:t>
            </w:r>
          </w:p>
        </w:tc>
        <w:tc>
          <w:tcPr>
            <w:tcW w:w="532" w:type="pct"/>
            <w:shd w:val="clear" w:color="auto" w:fill="auto"/>
            <w:vAlign w:val="center"/>
          </w:tcPr>
          <w:p w14:paraId="19AE0880">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居民</w:t>
            </w:r>
          </w:p>
        </w:tc>
        <w:tc>
          <w:tcPr>
            <w:tcW w:w="390" w:type="pct"/>
            <w:shd w:val="clear" w:color="auto" w:fill="auto"/>
            <w:vAlign w:val="center"/>
          </w:tcPr>
          <w:p w14:paraId="7F1F352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环境空气</w:t>
            </w:r>
          </w:p>
        </w:tc>
        <w:tc>
          <w:tcPr>
            <w:tcW w:w="582" w:type="pct"/>
            <w:shd w:val="clear" w:color="auto" w:fill="auto"/>
            <w:vAlign w:val="center"/>
          </w:tcPr>
          <w:p w14:paraId="08726108">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二类区</w:t>
            </w:r>
          </w:p>
        </w:tc>
        <w:tc>
          <w:tcPr>
            <w:tcW w:w="495" w:type="pct"/>
            <w:vAlign w:val="center"/>
          </w:tcPr>
          <w:p w14:paraId="55CE01D4">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w:t>
            </w:r>
          </w:p>
        </w:tc>
        <w:tc>
          <w:tcPr>
            <w:tcW w:w="536" w:type="pct"/>
            <w:vAlign w:val="center"/>
          </w:tcPr>
          <w:p w14:paraId="2C743B4E">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370m</w:t>
            </w:r>
          </w:p>
        </w:tc>
      </w:tr>
      <w:bookmarkEnd w:id="139"/>
    </w:tbl>
    <w:p w14:paraId="317D33BF">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表2-8-2</w:t>
      </w:r>
      <w:r>
        <w:rPr>
          <w:rFonts w:hint="default" w:ascii="Times New Roman" w:hAnsi="Times New Roman" w:cs="Times New Roman"/>
          <w:color w:val="auto"/>
          <w:highlight w:val="none"/>
          <w:lang w:val="en-US" w:eastAsia="zh-CN"/>
        </w:rPr>
        <w:t xml:space="preserve">  噪声敏感目标一览表</w:t>
      </w:r>
    </w:p>
    <w:tbl>
      <w:tblPr>
        <w:tblStyle w:val="20"/>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71"/>
        <w:gridCol w:w="1444"/>
        <w:gridCol w:w="1582"/>
        <w:gridCol w:w="1158"/>
        <w:gridCol w:w="1169"/>
        <w:gridCol w:w="1593"/>
      </w:tblGrid>
      <w:tr w14:paraId="516106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3" w:hRule="atLeast"/>
          <w:tblHeader/>
          <w:jc w:val="center"/>
        </w:trPr>
        <w:tc>
          <w:tcPr>
            <w:tcW w:w="922" w:type="pct"/>
            <w:vMerge w:val="restart"/>
            <w:noWrap w:val="0"/>
            <w:vAlign w:val="center"/>
          </w:tcPr>
          <w:p w14:paraId="5C41704A">
            <w:pPr>
              <w:pStyle w:val="44"/>
              <w:bidi w:val="0"/>
              <w:rPr>
                <w:rFonts w:hint="default" w:ascii="Times New Roman" w:hAnsi="Times New Roman" w:cs="Times New Roman"/>
                <w:color w:val="auto"/>
              </w:rPr>
            </w:pPr>
            <w:r>
              <w:rPr>
                <w:rFonts w:hint="default" w:ascii="Times New Roman" w:hAnsi="Times New Roman" w:cs="Times New Roman"/>
                <w:color w:val="auto"/>
              </w:rPr>
              <w:t>名称</w:t>
            </w:r>
          </w:p>
        </w:tc>
        <w:tc>
          <w:tcPr>
            <w:tcW w:w="848" w:type="pct"/>
            <w:vMerge w:val="restart"/>
            <w:noWrap w:val="0"/>
            <w:vAlign w:val="center"/>
          </w:tcPr>
          <w:p w14:paraId="135E66CD">
            <w:pPr>
              <w:pStyle w:val="44"/>
              <w:bidi w:val="0"/>
              <w:rPr>
                <w:rFonts w:hint="default" w:ascii="Times New Roman" w:hAnsi="Times New Roman" w:cs="Times New Roman"/>
                <w:color w:val="auto"/>
              </w:rPr>
            </w:pPr>
            <w:r>
              <w:rPr>
                <w:rFonts w:hint="default" w:ascii="Times New Roman" w:hAnsi="Times New Roman" w:cs="Times New Roman"/>
                <w:color w:val="auto"/>
              </w:rPr>
              <w:t>保护对象</w:t>
            </w:r>
          </w:p>
        </w:tc>
        <w:tc>
          <w:tcPr>
            <w:tcW w:w="929" w:type="pct"/>
            <w:vMerge w:val="restart"/>
            <w:noWrap w:val="0"/>
            <w:vAlign w:val="center"/>
          </w:tcPr>
          <w:p w14:paraId="7695E255">
            <w:pPr>
              <w:pStyle w:val="44"/>
              <w:bidi w:val="0"/>
              <w:rPr>
                <w:rFonts w:hint="default" w:ascii="Times New Roman" w:hAnsi="Times New Roman" w:cs="Times New Roman"/>
                <w:color w:val="auto"/>
              </w:rPr>
            </w:pPr>
            <w:r>
              <w:rPr>
                <w:rFonts w:hint="default" w:ascii="Times New Roman" w:hAnsi="Times New Roman" w:cs="Times New Roman"/>
                <w:color w:val="auto"/>
              </w:rPr>
              <w:t>保护内容</w:t>
            </w:r>
          </w:p>
        </w:tc>
        <w:tc>
          <w:tcPr>
            <w:tcW w:w="680" w:type="pct"/>
            <w:vMerge w:val="restart"/>
            <w:noWrap w:val="0"/>
            <w:vAlign w:val="center"/>
          </w:tcPr>
          <w:p w14:paraId="3E0DBA90">
            <w:pPr>
              <w:pStyle w:val="44"/>
              <w:bidi w:val="0"/>
              <w:rPr>
                <w:rFonts w:hint="default" w:ascii="Times New Roman" w:hAnsi="Times New Roman" w:cs="Times New Roman"/>
                <w:color w:val="auto"/>
              </w:rPr>
            </w:pPr>
            <w:r>
              <w:rPr>
                <w:rFonts w:hint="default" w:ascii="Times New Roman" w:hAnsi="Times New Roman" w:cs="Times New Roman"/>
                <w:color w:val="auto"/>
              </w:rPr>
              <w:t>环境功能区</w:t>
            </w:r>
          </w:p>
        </w:tc>
        <w:tc>
          <w:tcPr>
            <w:tcW w:w="686" w:type="pct"/>
            <w:vMerge w:val="restart"/>
            <w:noWrap w:val="0"/>
            <w:vAlign w:val="center"/>
          </w:tcPr>
          <w:p w14:paraId="46F4ACC8">
            <w:pPr>
              <w:pStyle w:val="44"/>
              <w:bidi w:val="0"/>
              <w:rPr>
                <w:rFonts w:hint="default" w:ascii="Times New Roman" w:hAnsi="Times New Roman" w:cs="Times New Roman"/>
                <w:color w:val="auto"/>
              </w:rPr>
            </w:pPr>
            <w:r>
              <w:rPr>
                <w:rFonts w:hint="default" w:ascii="Times New Roman" w:hAnsi="Times New Roman" w:cs="Times New Roman"/>
                <w:color w:val="auto"/>
              </w:rPr>
              <w:t>相对厂址方位</w:t>
            </w:r>
          </w:p>
        </w:tc>
        <w:tc>
          <w:tcPr>
            <w:tcW w:w="933" w:type="pct"/>
            <w:vMerge w:val="restart"/>
            <w:noWrap w:val="0"/>
            <w:vAlign w:val="center"/>
          </w:tcPr>
          <w:p w14:paraId="0D36FFA6">
            <w:pPr>
              <w:pStyle w:val="44"/>
              <w:bidi w:val="0"/>
              <w:rPr>
                <w:rFonts w:hint="default" w:ascii="Times New Roman" w:hAnsi="Times New Roman" w:cs="Times New Roman"/>
                <w:color w:val="auto"/>
              </w:rPr>
            </w:pPr>
            <w:r>
              <w:rPr>
                <w:rFonts w:hint="default" w:ascii="Times New Roman" w:hAnsi="Times New Roman" w:cs="Times New Roman"/>
                <w:color w:val="auto"/>
              </w:rPr>
              <w:t>相对厂界距离m</w:t>
            </w:r>
          </w:p>
        </w:tc>
      </w:tr>
      <w:tr w14:paraId="15507A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6" w:hRule="atLeast"/>
          <w:tblHeader/>
          <w:jc w:val="center"/>
        </w:trPr>
        <w:tc>
          <w:tcPr>
            <w:tcW w:w="922" w:type="pct"/>
            <w:vMerge w:val="continue"/>
            <w:noWrap w:val="0"/>
            <w:vAlign w:val="center"/>
          </w:tcPr>
          <w:p w14:paraId="12969EE2">
            <w:pPr>
              <w:pStyle w:val="44"/>
              <w:bidi w:val="0"/>
              <w:rPr>
                <w:rFonts w:hint="default" w:ascii="Times New Roman" w:hAnsi="Times New Roman" w:cs="Times New Roman"/>
                <w:color w:val="auto"/>
              </w:rPr>
            </w:pPr>
          </w:p>
        </w:tc>
        <w:tc>
          <w:tcPr>
            <w:tcW w:w="848" w:type="pct"/>
            <w:vMerge w:val="continue"/>
            <w:noWrap w:val="0"/>
            <w:vAlign w:val="center"/>
          </w:tcPr>
          <w:p w14:paraId="0832CAF3">
            <w:pPr>
              <w:pStyle w:val="44"/>
              <w:bidi w:val="0"/>
              <w:rPr>
                <w:rFonts w:hint="default" w:ascii="Times New Roman" w:hAnsi="Times New Roman" w:cs="Times New Roman"/>
                <w:color w:val="auto"/>
              </w:rPr>
            </w:pPr>
          </w:p>
        </w:tc>
        <w:tc>
          <w:tcPr>
            <w:tcW w:w="929" w:type="pct"/>
            <w:vMerge w:val="continue"/>
            <w:noWrap w:val="0"/>
            <w:vAlign w:val="center"/>
          </w:tcPr>
          <w:p w14:paraId="75569834">
            <w:pPr>
              <w:pStyle w:val="44"/>
              <w:bidi w:val="0"/>
              <w:rPr>
                <w:rFonts w:hint="default" w:ascii="Times New Roman" w:hAnsi="Times New Roman" w:cs="Times New Roman"/>
                <w:color w:val="auto"/>
              </w:rPr>
            </w:pPr>
          </w:p>
        </w:tc>
        <w:tc>
          <w:tcPr>
            <w:tcW w:w="680" w:type="pct"/>
            <w:vMerge w:val="continue"/>
            <w:noWrap w:val="0"/>
            <w:vAlign w:val="center"/>
          </w:tcPr>
          <w:p w14:paraId="4CB184CF">
            <w:pPr>
              <w:pStyle w:val="44"/>
              <w:bidi w:val="0"/>
              <w:rPr>
                <w:rFonts w:hint="default" w:ascii="Times New Roman" w:hAnsi="Times New Roman" w:cs="Times New Roman"/>
                <w:color w:val="auto"/>
              </w:rPr>
            </w:pPr>
          </w:p>
        </w:tc>
        <w:tc>
          <w:tcPr>
            <w:tcW w:w="686" w:type="pct"/>
            <w:vMerge w:val="continue"/>
            <w:noWrap w:val="0"/>
            <w:vAlign w:val="center"/>
          </w:tcPr>
          <w:p w14:paraId="3EC46803">
            <w:pPr>
              <w:pStyle w:val="44"/>
              <w:bidi w:val="0"/>
              <w:rPr>
                <w:rFonts w:hint="default" w:ascii="Times New Roman" w:hAnsi="Times New Roman" w:cs="Times New Roman"/>
                <w:color w:val="auto"/>
              </w:rPr>
            </w:pPr>
          </w:p>
        </w:tc>
        <w:tc>
          <w:tcPr>
            <w:tcW w:w="933" w:type="pct"/>
            <w:vMerge w:val="continue"/>
            <w:noWrap w:val="0"/>
            <w:vAlign w:val="center"/>
          </w:tcPr>
          <w:p w14:paraId="05C7EE31">
            <w:pPr>
              <w:pStyle w:val="44"/>
              <w:bidi w:val="0"/>
              <w:rPr>
                <w:rFonts w:hint="default" w:ascii="Times New Roman" w:hAnsi="Times New Roman" w:cs="Times New Roman"/>
                <w:color w:val="auto"/>
              </w:rPr>
            </w:pPr>
          </w:p>
        </w:tc>
      </w:tr>
      <w:tr w14:paraId="0378C4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6" w:hRule="atLeast"/>
          <w:tblHeader/>
          <w:jc w:val="center"/>
        </w:trPr>
        <w:tc>
          <w:tcPr>
            <w:tcW w:w="5000" w:type="pct"/>
            <w:gridSpan w:val="6"/>
            <w:noWrap w:val="0"/>
            <w:vAlign w:val="center"/>
          </w:tcPr>
          <w:p w14:paraId="5EFAE858">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2#项目区</w:t>
            </w:r>
          </w:p>
        </w:tc>
      </w:tr>
      <w:tr w14:paraId="3B63B4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922" w:type="pct"/>
            <w:noWrap w:val="0"/>
            <w:vAlign w:val="center"/>
          </w:tcPr>
          <w:p w14:paraId="63E7103D">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西沟屯</w:t>
            </w:r>
          </w:p>
        </w:tc>
        <w:tc>
          <w:tcPr>
            <w:tcW w:w="848" w:type="pct"/>
            <w:vMerge w:val="restart"/>
            <w:noWrap w:val="0"/>
            <w:vAlign w:val="center"/>
          </w:tcPr>
          <w:p w14:paraId="02891153">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居民</w:t>
            </w:r>
          </w:p>
        </w:tc>
        <w:tc>
          <w:tcPr>
            <w:tcW w:w="929" w:type="pct"/>
            <w:vMerge w:val="restart"/>
            <w:noWrap w:val="0"/>
            <w:vAlign w:val="center"/>
          </w:tcPr>
          <w:p w14:paraId="55980F10">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声环境</w:t>
            </w:r>
          </w:p>
        </w:tc>
        <w:tc>
          <w:tcPr>
            <w:tcW w:w="680" w:type="pct"/>
            <w:vMerge w:val="restart"/>
            <w:noWrap w:val="0"/>
            <w:vAlign w:val="center"/>
          </w:tcPr>
          <w:p w14:paraId="33B282F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1类区</w:t>
            </w:r>
          </w:p>
        </w:tc>
        <w:tc>
          <w:tcPr>
            <w:tcW w:w="686" w:type="pct"/>
            <w:noWrap w:val="0"/>
            <w:vAlign w:val="center"/>
          </w:tcPr>
          <w:p w14:paraId="4A87FC5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N</w:t>
            </w:r>
          </w:p>
        </w:tc>
        <w:tc>
          <w:tcPr>
            <w:tcW w:w="933" w:type="pct"/>
            <w:noWrap w:val="0"/>
            <w:vAlign w:val="center"/>
          </w:tcPr>
          <w:p w14:paraId="377D6E2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210m</w:t>
            </w:r>
          </w:p>
        </w:tc>
      </w:tr>
      <w:tr w14:paraId="139728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922" w:type="pct"/>
            <w:noWrap w:val="0"/>
            <w:vAlign w:val="center"/>
          </w:tcPr>
          <w:p w14:paraId="0F17578D">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城海村</w:t>
            </w:r>
          </w:p>
        </w:tc>
        <w:tc>
          <w:tcPr>
            <w:tcW w:w="848" w:type="pct"/>
            <w:vMerge w:val="continue"/>
            <w:noWrap w:val="0"/>
            <w:vAlign w:val="center"/>
          </w:tcPr>
          <w:p w14:paraId="279C7AF8">
            <w:pPr>
              <w:pStyle w:val="44"/>
              <w:bidi w:val="0"/>
              <w:rPr>
                <w:rFonts w:hint="default" w:ascii="Times New Roman" w:hAnsi="Times New Roman" w:cs="Times New Roman"/>
                <w:color w:val="auto"/>
              </w:rPr>
            </w:pPr>
          </w:p>
        </w:tc>
        <w:tc>
          <w:tcPr>
            <w:tcW w:w="929" w:type="pct"/>
            <w:vMerge w:val="continue"/>
            <w:noWrap w:val="0"/>
            <w:vAlign w:val="center"/>
          </w:tcPr>
          <w:p w14:paraId="48F94EE9">
            <w:pPr>
              <w:pStyle w:val="44"/>
              <w:bidi w:val="0"/>
              <w:rPr>
                <w:rFonts w:hint="default" w:ascii="Times New Roman" w:hAnsi="Times New Roman" w:cs="Times New Roman"/>
                <w:color w:val="auto"/>
              </w:rPr>
            </w:pPr>
          </w:p>
        </w:tc>
        <w:tc>
          <w:tcPr>
            <w:tcW w:w="680" w:type="pct"/>
            <w:vMerge w:val="continue"/>
            <w:noWrap w:val="0"/>
            <w:vAlign w:val="center"/>
          </w:tcPr>
          <w:p w14:paraId="4DFE48E0">
            <w:pPr>
              <w:pStyle w:val="44"/>
              <w:bidi w:val="0"/>
              <w:rPr>
                <w:rFonts w:hint="default" w:ascii="Times New Roman" w:hAnsi="Times New Roman" w:cs="Times New Roman"/>
                <w:color w:val="auto"/>
              </w:rPr>
            </w:pPr>
          </w:p>
        </w:tc>
        <w:tc>
          <w:tcPr>
            <w:tcW w:w="686" w:type="pct"/>
            <w:noWrap w:val="0"/>
            <w:vAlign w:val="center"/>
          </w:tcPr>
          <w:p w14:paraId="725C991D">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E</w:t>
            </w:r>
          </w:p>
        </w:tc>
        <w:tc>
          <w:tcPr>
            <w:tcW w:w="933" w:type="pct"/>
            <w:noWrap w:val="0"/>
            <w:vAlign w:val="center"/>
          </w:tcPr>
          <w:p w14:paraId="1E301FBE">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100m</w:t>
            </w:r>
          </w:p>
        </w:tc>
      </w:tr>
      <w:tr w14:paraId="424061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8" w:hRule="atLeast"/>
          <w:jc w:val="center"/>
        </w:trPr>
        <w:tc>
          <w:tcPr>
            <w:tcW w:w="5000" w:type="pct"/>
            <w:gridSpan w:val="6"/>
            <w:noWrap w:val="0"/>
            <w:vAlign w:val="center"/>
          </w:tcPr>
          <w:p w14:paraId="3997EE42">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14#项目区</w:t>
            </w:r>
          </w:p>
        </w:tc>
      </w:tr>
      <w:tr w14:paraId="42DDA8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922" w:type="pct"/>
            <w:noWrap w:val="0"/>
            <w:vAlign w:val="center"/>
          </w:tcPr>
          <w:p w14:paraId="64837ECC">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城东一队</w:t>
            </w:r>
          </w:p>
        </w:tc>
        <w:tc>
          <w:tcPr>
            <w:tcW w:w="848" w:type="pct"/>
            <w:shd w:val="clear" w:color="auto" w:fill="auto"/>
            <w:noWrap w:val="0"/>
            <w:vAlign w:val="center"/>
          </w:tcPr>
          <w:p w14:paraId="1B2ABC76">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居民</w:t>
            </w:r>
          </w:p>
        </w:tc>
        <w:tc>
          <w:tcPr>
            <w:tcW w:w="929" w:type="pct"/>
            <w:shd w:val="clear" w:color="auto" w:fill="auto"/>
            <w:noWrap w:val="0"/>
            <w:vAlign w:val="center"/>
          </w:tcPr>
          <w:p w14:paraId="4470301F">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声环境</w:t>
            </w:r>
          </w:p>
        </w:tc>
        <w:tc>
          <w:tcPr>
            <w:tcW w:w="680" w:type="pct"/>
            <w:shd w:val="clear" w:color="auto" w:fill="auto"/>
            <w:noWrap w:val="0"/>
            <w:vAlign w:val="center"/>
          </w:tcPr>
          <w:p w14:paraId="462A217C">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1类区</w:t>
            </w:r>
          </w:p>
        </w:tc>
        <w:tc>
          <w:tcPr>
            <w:tcW w:w="686" w:type="pct"/>
            <w:noWrap w:val="0"/>
            <w:vAlign w:val="center"/>
          </w:tcPr>
          <w:p w14:paraId="3C13E43F">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SW</w:t>
            </w:r>
          </w:p>
        </w:tc>
        <w:tc>
          <w:tcPr>
            <w:tcW w:w="933" w:type="pct"/>
            <w:noWrap w:val="0"/>
            <w:vAlign w:val="center"/>
          </w:tcPr>
          <w:p w14:paraId="21CA63C6">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150m</w:t>
            </w:r>
          </w:p>
        </w:tc>
      </w:tr>
      <w:tr w14:paraId="001992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5000" w:type="pct"/>
            <w:gridSpan w:val="6"/>
            <w:noWrap w:val="0"/>
            <w:vAlign w:val="center"/>
          </w:tcPr>
          <w:p w14:paraId="42DF7536">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15#项目区</w:t>
            </w:r>
          </w:p>
        </w:tc>
      </w:tr>
      <w:tr w14:paraId="3FB6AE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922" w:type="pct"/>
            <w:shd w:val="clear" w:color="auto" w:fill="auto"/>
            <w:noWrap w:val="0"/>
            <w:vAlign w:val="center"/>
          </w:tcPr>
          <w:p w14:paraId="45230576">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城东一队</w:t>
            </w:r>
          </w:p>
        </w:tc>
        <w:tc>
          <w:tcPr>
            <w:tcW w:w="848" w:type="pct"/>
            <w:shd w:val="clear" w:color="auto" w:fill="auto"/>
            <w:noWrap w:val="0"/>
            <w:vAlign w:val="center"/>
          </w:tcPr>
          <w:p w14:paraId="2E43788D">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居民</w:t>
            </w:r>
          </w:p>
        </w:tc>
        <w:tc>
          <w:tcPr>
            <w:tcW w:w="929" w:type="pct"/>
            <w:shd w:val="clear" w:color="auto" w:fill="auto"/>
            <w:noWrap w:val="0"/>
            <w:vAlign w:val="center"/>
          </w:tcPr>
          <w:p w14:paraId="30501053">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声环境</w:t>
            </w:r>
          </w:p>
        </w:tc>
        <w:tc>
          <w:tcPr>
            <w:tcW w:w="680" w:type="pct"/>
            <w:shd w:val="clear" w:color="auto" w:fill="auto"/>
            <w:noWrap w:val="0"/>
            <w:vAlign w:val="center"/>
          </w:tcPr>
          <w:p w14:paraId="77282595">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1类区</w:t>
            </w:r>
          </w:p>
        </w:tc>
        <w:tc>
          <w:tcPr>
            <w:tcW w:w="686" w:type="pct"/>
            <w:shd w:val="clear" w:color="auto" w:fill="auto"/>
            <w:noWrap w:val="0"/>
            <w:vAlign w:val="center"/>
          </w:tcPr>
          <w:p w14:paraId="68B0F49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S</w:t>
            </w:r>
          </w:p>
        </w:tc>
        <w:tc>
          <w:tcPr>
            <w:tcW w:w="933" w:type="pct"/>
            <w:shd w:val="clear" w:color="auto" w:fill="auto"/>
            <w:noWrap w:val="0"/>
            <w:vAlign w:val="center"/>
          </w:tcPr>
          <w:p w14:paraId="4801AC5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160m</w:t>
            </w:r>
          </w:p>
        </w:tc>
      </w:tr>
      <w:tr w14:paraId="6D8364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5000" w:type="pct"/>
            <w:gridSpan w:val="6"/>
            <w:noWrap w:val="0"/>
            <w:vAlign w:val="center"/>
          </w:tcPr>
          <w:p w14:paraId="2823D8C9">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16#项目区</w:t>
            </w:r>
          </w:p>
        </w:tc>
      </w:tr>
      <w:tr w14:paraId="6784CE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922" w:type="pct"/>
            <w:shd w:val="clear" w:color="auto" w:fill="auto"/>
            <w:noWrap w:val="0"/>
            <w:vAlign w:val="center"/>
          </w:tcPr>
          <w:p w14:paraId="23B8E6F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城东一队</w:t>
            </w:r>
          </w:p>
        </w:tc>
        <w:tc>
          <w:tcPr>
            <w:tcW w:w="848" w:type="pct"/>
            <w:shd w:val="clear" w:color="auto" w:fill="auto"/>
            <w:noWrap w:val="0"/>
            <w:vAlign w:val="center"/>
          </w:tcPr>
          <w:p w14:paraId="3B9857BF">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居民</w:t>
            </w:r>
          </w:p>
        </w:tc>
        <w:tc>
          <w:tcPr>
            <w:tcW w:w="929" w:type="pct"/>
            <w:shd w:val="clear" w:color="auto" w:fill="auto"/>
            <w:noWrap w:val="0"/>
            <w:vAlign w:val="center"/>
          </w:tcPr>
          <w:p w14:paraId="0AC0B86A">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声环境</w:t>
            </w:r>
          </w:p>
        </w:tc>
        <w:tc>
          <w:tcPr>
            <w:tcW w:w="680" w:type="pct"/>
            <w:shd w:val="clear" w:color="auto" w:fill="auto"/>
            <w:noWrap w:val="0"/>
            <w:vAlign w:val="center"/>
          </w:tcPr>
          <w:p w14:paraId="3DF517F0">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1类区</w:t>
            </w:r>
          </w:p>
        </w:tc>
        <w:tc>
          <w:tcPr>
            <w:tcW w:w="686" w:type="pct"/>
            <w:shd w:val="clear" w:color="auto" w:fill="auto"/>
            <w:noWrap w:val="0"/>
            <w:vAlign w:val="center"/>
          </w:tcPr>
          <w:p w14:paraId="73A5CDBE">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NW</w:t>
            </w:r>
          </w:p>
        </w:tc>
        <w:tc>
          <w:tcPr>
            <w:tcW w:w="933" w:type="pct"/>
            <w:shd w:val="clear" w:color="auto" w:fill="auto"/>
            <w:noWrap w:val="0"/>
            <w:vAlign w:val="center"/>
          </w:tcPr>
          <w:p w14:paraId="77370DE3">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182m</w:t>
            </w:r>
          </w:p>
        </w:tc>
      </w:tr>
      <w:tr w14:paraId="320704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5000" w:type="pct"/>
            <w:gridSpan w:val="6"/>
            <w:noWrap w:val="0"/>
            <w:vAlign w:val="center"/>
          </w:tcPr>
          <w:p w14:paraId="315516D0">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25#项目区</w:t>
            </w:r>
          </w:p>
        </w:tc>
      </w:tr>
      <w:tr w14:paraId="714C47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922" w:type="pct"/>
            <w:noWrap w:val="0"/>
            <w:vAlign w:val="center"/>
          </w:tcPr>
          <w:p w14:paraId="1482719D">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正阳六队</w:t>
            </w:r>
          </w:p>
          <w:p w14:paraId="572AAC94">
            <w:pPr>
              <w:pStyle w:val="44"/>
              <w:bidi w:val="0"/>
              <w:rPr>
                <w:rFonts w:hint="default" w:ascii="Times New Roman" w:hAnsi="Times New Roman" w:cs="Times New Roman"/>
                <w:color w:val="auto"/>
                <w:lang w:eastAsia="zh-CN"/>
              </w:rPr>
            </w:pPr>
          </w:p>
        </w:tc>
        <w:tc>
          <w:tcPr>
            <w:tcW w:w="848" w:type="pct"/>
            <w:shd w:val="clear" w:color="auto" w:fill="auto"/>
            <w:noWrap w:val="0"/>
            <w:vAlign w:val="center"/>
          </w:tcPr>
          <w:p w14:paraId="2933F832">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居民</w:t>
            </w:r>
          </w:p>
        </w:tc>
        <w:tc>
          <w:tcPr>
            <w:tcW w:w="929" w:type="pct"/>
            <w:shd w:val="clear" w:color="auto" w:fill="auto"/>
            <w:noWrap w:val="0"/>
            <w:vAlign w:val="center"/>
          </w:tcPr>
          <w:p w14:paraId="1C465D8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声环境</w:t>
            </w:r>
          </w:p>
        </w:tc>
        <w:tc>
          <w:tcPr>
            <w:tcW w:w="680" w:type="pct"/>
            <w:shd w:val="clear" w:color="auto" w:fill="auto"/>
            <w:noWrap w:val="0"/>
            <w:vAlign w:val="center"/>
          </w:tcPr>
          <w:p w14:paraId="186B240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1类区</w:t>
            </w:r>
          </w:p>
        </w:tc>
        <w:tc>
          <w:tcPr>
            <w:tcW w:w="686" w:type="pct"/>
            <w:shd w:val="clear" w:color="auto" w:fill="auto"/>
            <w:noWrap w:val="0"/>
            <w:vAlign w:val="center"/>
          </w:tcPr>
          <w:p w14:paraId="59CCDAE0">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NW</w:t>
            </w:r>
          </w:p>
        </w:tc>
        <w:tc>
          <w:tcPr>
            <w:tcW w:w="933" w:type="pct"/>
            <w:shd w:val="clear" w:color="auto" w:fill="auto"/>
            <w:noWrap w:val="0"/>
            <w:vAlign w:val="center"/>
          </w:tcPr>
          <w:p w14:paraId="56101FDC">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100m</w:t>
            </w:r>
          </w:p>
        </w:tc>
      </w:tr>
      <w:tr w14:paraId="6CBA99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5000" w:type="pct"/>
            <w:gridSpan w:val="6"/>
            <w:noWrap w:val="0"/>
            <w:vAlign w:val="center"/>
          </w:tcPr>
          <w:p w14:paraId="2B974C89">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31#项目区</w:t>
            </w:r>
          </w:p>
        </w:tc>
      </w:tr>
      <w:tr w14:paraId="67671B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922" w:type="pct"/>
            <w:noWrap w:val="0"/>
            <w:vAlign w:val="center"/>
          </w:tcPr>
          <w:p w14:paraId="3282CFC1">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新成四队</w:t>
            </w:r>
          </w:p>
        </w:tc>
        <w:tc>
          <w:tcPr>
            <w:tcW w:w="848" w:type="pct"/>
            <w:shd w:val="clear" w:color="auto" w:fill="auto"/>
            <w:noWrap w:val="0"/>
            <w:vAlign w:val="center"/>
          </w:tcPr>
          <w:p w14:paraId="57B2013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居民</w:t>
            </w:r>
          </w:p>
        </w:tc>
        <w:tc>
          <w:tcPr>
            <w:tcW w:w="929" w:type="pct"/>
            <w:shd w:val="clear" w:color="auto" w:fill="auto"/>
            <w:noWrap w:val="0"/>
            <w:vAlign w:val="center"/>
          </w:tcPr>
          <w:p w14:paraId="4A3B4E3D">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声环境</w:t>
            </w:r>
          </w:p>
        </w:tc>
        <w:tc>
          <w:tcPr>
            <w:tcW w:w="680" w:type="pct"/>
            <w:shd w:val="clear" w:color="auto" w:fill="auto"/>
            <w:noWrap w:val="0"/>
            <w:vAlign w:val="center"/>
          </w:tcPr>
          <w:p w14:paraId="48F38A58">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1类区</w:t>
            </w:r>
          </w:p>
        </w:tc>
        <w:tc>
          <w:tcPr>
            <w:tcW w:w="686" w:type="pct"/>
            <w:noWrap w:val="0"/>
            <w:vAlign w:val="center"/>
          </w:tcPr>
          <w:p w14:paraId="164C96D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NW</w:t>
            </w:r>
          </w:p>
        </w:tc>
        <w:tc>
          <w:tcPr>
            <w:tcW w:w="933" w:type="pct"/>
            <w:noWrap w:val="0"/>
            <w:vAlign w:val="center"/>
          </w:tcPr>
          <w:p w14:paraId="5F1F9CB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60m</w:t>
            </w:r>
          </w:p>
        </w:tc>
      </w:tr>
      <w:tr w14:paraId="36C848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5000" w:type="pct"/>
            <w:gridSpan w:val="6"/>
            <w:noWrap w:val="0"/>
            <w:vAlign w:val="center"/>
          </w:tcPr>
          <w:p w14:paraId="413CBA44">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41#项目区</w:t>
            </w:r>
          </w:p>
        </w:tc>
      </w:tr>
      <w:tr w14:paraId="6BEAE6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922" w:type="pct"/>
            <w:noWrap w:val="0"/>
            <w:vAlign w:val="center"/>
          </w:tcPr>
          <w:p w14:paraId="4A5772ED">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白石村</w:t>
            </w:r>
          </w:p>
        </w:tc>
        <w:tc>
          <w:tcPr>
            <w:tcW w:w="848" w:type="pct"/>
            <w:shd w:val="clear" w:color="auto" w:fill="auto"/>
            <w:noWrap w:val="0"/>
            <w:vAlign w:val="center"/>
          </w:tcPr>
          <w:p w14:paraId="7ECFE7D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居民</w:t>
            </w:r>
          </w:p>
        </w:tc>
        <w:tc>
          <w:tcPr>
            <w:tcW w:w="929" w:type="pct"/>
            <w:shd w:val="clear" w:color="auto" w:fill="auto"/>
            <w:noWrap w:val="0"/>
            <w:vAlign w:val="center"/>
          </w:tcPr>
          <w:p w14:paraId="17C43D8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声环境</w:t>
            </w:r>
          </w:p>
        </w:tc>
        <w:tc>
          <w:tcPr>
            <w:tcW w:w="680" w:type="pct"/>
            <w:shd w:val="clear" w:color="auto" w:fill="auto"/>
            <w:noWrap w:val="0"/>
            <w:vAlign w:val="center"/>
          </w:tcPr>
          <w:p w14:paraId="69FB85B4">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1类区</w:t>
            </w:r>
          </w:p>
        </w:tc>
        <w:tc>
          <w:tcPr>
            <w:tcW w:w="686" w:type="pct"/>
            <w:shd w:val="clear" w:color="auto" w:fill="auto"/>
            <w:noWrap w:val="0"/>
            <w:vAlign w:val="center"/>
          </w:tcPr>
          <w:p w14:paraId="66EC881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NW</w:t>
            </w:r>
          </w:p>
        </w:tc>
        <w:tc>
          <w:tcPr>
            <w:tcW w:w="933" w:type="pct"/>
            <w:shd w:val="clear" w:color="auto" w:fill="auto"/>
            <w:noWrap w:val="0"/>
            <w:vAlign w:val="center"/>
          </w:tcPr>
          <w:p w14:paraId="66E5863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140m</w:t>
            </w:r>
          </w:p>
        </w:tc>
      </w:tr>
      <w:tr w14:paraId="516241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5000" w:type="pct"/>
            <w:gridSpan w:val="6"/>
            <w:noWrap w:val="0"/>
            <w:vAlign w:val="center"/>
          </w:tcPr>
          <w:p w14:paraId="0171BEF3">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47#项目区</w:t>
            </w:r>
          </w:p>
        </w:tc>
      </w:tr>
      <w:tr w14:paraId="5329CE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922" w:type="pct"/>
            <w:noWrap w:val="0"/>
            <w:vAlign w:val="center"/>
          </w:tcPr>
          <w:p w14:paraId="78D8CFE5">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新成四队</w:t>
            </w:r>
          </w:p>
        </w:tc>
        <w:tc>
          <w:tcPr>
            <w:tcW w:w="848" w:type="pct"/>
            <w:shd w:val="clear" w:color="auto" w:fill="auto"/>
            <w:noWrap w:val="0"/>
            <w:vAlign w:val="center"/>
          </w:tcPr>
          <w:p w14:paraId="6B33BC89">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居民</w:t>
            </w:r>
          </w:p>
        </w:tc>
        <w:tc>
          <w:tcPr>
            <w:tcW w:w="929" w:type="pct"/>
            <w:shd w:val="clear" w:color="auto" w:fill="auto"/>
            <w:noWrap w:val="0"/>
            <w:vAlign w:val="center"/>
          </w:tcPr>
          <w:p w14:paraId="708F643F">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声环境</w:t>
            </w:r>
          </w:p>
        </w:tc>
        <w:tc>
          <w:tcPr>
            <w:tcW w:w="680" w:type="pct"/>
            <w:shd w:val="clear" w:color="auto" w:fill="auto"/>
            <w:noWrap w:val="0"/>
            <w:vAlign w:val="center"/>
          </w:tcPr>
          <w:p w14:paraId="3324DBAE">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1类区</w:t>
            </w:r>
          </w:p>
        </w:tc>
        <w:tc>
          <w:tcPr>
            <w:tcW w:w="686" w:type="pct"/>
            <w:shd w:val="clear" w:color="auto" w:fill="auto"/>
            <w:noWrap w:val="0"/>
            <w:vAlign w:val="center"/>
          </w:tcPr>
          <w:p w14:paraId="4BA86F7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S</w:t>
            </w:r>
          </w:p>
        </w:tc>
        <w:tc>
          <w:tcPr>
            <w:tcW w:w="933" w:type="pct"/>
            <w:shd w:val="clear" w:color="auto" w:fill="auto"/>
            <w:noWrap w:val="0"/>
            <w:vAlign w:val="center"/>
          </w:tcPr>
          <w:p w14:paraId="7345941E">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120m</w:t>
            </w:r>
          </w:p>
        </w:tc>
      </w:tr>
    </w:tbl>
    <w:p w14:paraId="2423D86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表2-8-3  2#项目区</w:t>
      </w:r>
      <w:r>
        <w:rPr>
          <w:rFonts w:hint="default" w:ascii="Times New Roman" w:hAnsi="Times New Roman" w:cs="Times New Roman"/>
          <w:color w:val="auto"/>
          <w:highlight w:val="none"/>
        </w:rPr>
        <w:t>生态环境、土壤保护目标一览表</w:t>
      </w:r>
    </w:p>
    <w:tbl>
      <w:tblPr>
        <w:tblStyle w:val="20"/>
        <w:tblW w:w="5187"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0" w:type="dxa"/>
          <w:bottom w:w="0" w:type="dxa"/>
          <w:right w:w="0" w:type="dxa"/>
        </w:tblCellMar>
      </w:tblPr>
      <w:tblGrid>
        <w:gridCol w:w="786"/>
        <w:gridCol w:w="1760"/>
        <w:gridCol w:w="3376"/>
        <w:gridCol w:w="2695"/>
      </w:tblGrid>
      <w:tr w14:paraId="581F03B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58" w:hRule="atLeast"/>
          <w:jc w:val="center"/>
        </w:trPr>
        <w:tc>
          <w:tcPr>
            <w:tcW w:w="456" w:type="pct"/>
            <w:vAlign w:val="center"/>
          </w:tcPr>
          <w:p w14:paraId="0E32427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环境要素</w:t>
            </w:r>
          </w:p>
        </w:tc>
        <w:tc>
          <w:tcPr>
            <w:tcW w:w="1021" w:type="pct"/>
            <w:vAlign w:val="center"/>
          </w:tcPr>
          <w:p w14:paraId="392B73B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环境保护目标</w:t>
            </w:r>
          </w:p>
        </w:tc>
        <w:tc>
          <w:tcPr>
            <w:tcW w:w="1958" w:type="pct"/>
            <w:vAlign w:val="center"/>
          </w:tcPr>
          <w:p w14:paraId="53021F32">
            <w:pPr>
              <w:pStyle w:val="44"/>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2#项目</w:t>
            </w:r>
          </w:p>
        </w:tc>
        <w:tc>
          <w:tcPr>
            <w:tcW w:w="1563" w:type="pct"/>
            <w:vAlign w:val="center"/>
          </w:tcPr>
          <w:p w14:paraId="1373AF76">
            <w:pPr>
              <w:pStyle w:val="44"/>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其他项目区</w:t>
            </w:r>
          </w:p>
        </w:tc>
      </w:tr>
      <w:tr w14:paraId="14B3E58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688" w:hRule="atLeast"/>
          <w:jc w:val="center"/>
        </w:trPr>
        <w:tc>
          <w:tcPr>
            <w:tcW w:w="456" w:type="pct"/>
            <w:vAlign w:val="center"/>
          </w:tcPr>
          <w:p w14:paraId="38DEE9D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生态</w:t>
            </w:r>
          </w:p>
        </w:tc>
        <w:tc>
          <w:tcPr>
            <w:tcW w:w="1021" w:type="pct"/>
            <w:vAlign w:val="center"/>
          </w:tcPr>
          <w:p w14:paraId="5ABC91F9">
            <w:pPr>
              <w:pStyle w:val="44"/>
              <w:bidi w:val="0"/>
              <w:rPr>
                <w:rFonts w:hint="default" w:ascii="Times New Roman" w:hAnsi="Times New Roman" w:cs="Times New Roman"/>
                <w:color w:val="auto"/>
                <w:highlight w:val="none"/>
                <w:lang w:val="en-US"/>
              </w:rPr>
            </w:pPr>
            <w:r>
              <w:rPr>
                <w:rFonts w:hint="eastAsia" w:cs="Times New Roman"/>
                <w:color w:val="auto"/>
                <w:highlight w:val="none"/>
                <w:lang w:val="en-US" w:eastAsia="zh-CN"/>
              </w:rPr>
              <w:t>一般生态空间</w:t>
            </w:r>
          </w:p>
        </w:tc>
        <w:tc>
          <w:tcPr>
            <w:tcW w:w="1958" w:type="pct"/>
            <w:vAlign w:val="center"/>
          </w:tcPr>
          <w:p w14:paraId="0F38ED4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场地及四周</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00m的生态环境</w:t>
            </w:r>
          </w:p>
        </w:tc>
        <w:tc>
          <w:tcPr>
            <w:tcW w:w="1563" w:type="pct"/>
            <w:vAlign w:val="center"/>
          </w:tcPr>
          <w:p w14:paraId="15F28A64">
            <w:pPr>
              <w:pStyle w:val="44"/>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场地及四周</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00m的生态环境</w:t>
            </w:r>
          </w:p>
        </w:tc>
      </w:tr>
      <w:tr w14:paraId="5EFB351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688" w:hRule="atLeast"/>
          <w:jc w:val="center"/>
        </w:trPr>
        <w:tc>
          <w:tcPr>
            <w:tcW w:w="456" w:type="pct"/>
            <w:vAlign w:val="center"/>
          </w:tcPr>
          <w:p w14:paraId="54789B7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土壤</w:t>
            </w:r>
          </w:p>
        </w:tc>
        <w:tc>
          <w:tcPr>
            <w:tcW w:w="1021" w:type="pct"/>
            <w:vAlign w:val="center"/>
          </w:tcPr>
          <w:p w14:paraId="31F226DD">
            <w:pPr>
              <w:pStyle w:val="44"/>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林地、耕地</w:t>
            </w:r>
          </w:p>
        </w:tc>
        <w:tc>
          <w:tcPr>
            <w:tcW w:w="1958" w:type="pct"/>
            <w:vAlign w:val="center"/>
          </w:tcPr>
          <w:p w14:paraId="31C9A9F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场地内的土壤环境及厂界外200m范围内</w:t>
            </w:r>
          </w:p>
        </w:tc>
        <w:tc>
          <w:tcPr>
            <w:tcW w:w="1563" w:type="pct"/>
            <w:vAlign w:val="center"/>
          </w:tcPr>
          <w:p w14:paraId="2089BBED">
            <w:pPr>
              <w:pStyle w:val="44"/>
              <w:bidi w:val="0"/>
              <w:ind w:firstLine="0" w:firstLineChars="0"/>
              <w:rPr>
                <w:rFonts w:hint="eastAsia" w:ascii="Times New Roman" w:hAnsi="Times New Roman" w:eastAsia="宋体" w:cs="Times New Roman"/>
                <w:color w:val="auto"/>
                <w:highlight w:val="none"/>
                <w:lang w:eastAsia="zh-CN"/>
              </w:rPr>
            </w:pPr>
            <w:r>
              <w:rPr>
                <w:rFonts w:hint="eastAsia" w:cs="Times New Roman"/>
                <w:color w:val="auto"/>
                <w:highlight w:val="none"/>
                <w:lang w:val="en-US" w:eastAsia="zh-CN"/>
              </w:rPr>
              <w:t>/</w:t>
            </w:r>
          </w:p>
        </w:tc>
      </w:tr>
    </w:tbl>
    <w:p w14:paraId="4BC79F64">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表2-8-</w:t>
      </w:r>
      <w:r>
        <w:rPr>
          <w:rFonts w:hint="default" w:ascii="Times New Roman" w:hAnsi="Times New Roman" w:cs="Times New Roman"/>
          <w:color w:val="auto"/>
          <w:highlight w:val="none"/>
          <w:lang w:val="en-US" w:eastAsia="zh-CN"/>
        </w:rPr>
        <w:t>4</w:t>
      </w:r>
      <w:r>
        <w:rPr>
          <w:rFonts w:hint="eastAsia" w:cs="Times New Roman"/>
          <w:color w:val="auto"/>
          <w:highlight w:val="none"/>
          <w:lang w:val="en-US" w:eastAsia="zh-CN"/>
        </w:rPr>
        <w:t xml:space="preserve"> </w:t>
      </w:r>
      <w:r>
        <w:rPr>
          <w:rFonts w:hint="default" w:ascii="Times New Roman" w:hAnsi="Times New Roman" w:cs="Times New Roman"/>
          <w:color w:val="auto"/>
          <w:highlight w:val="none"/>
        </w:rPr>
        <w:t>地下水保护目标一览表</w:t>
      </w:r>
    </w:p>
    <w:tbl>
      <w:tblPr>
        <w:tblStyle w:val="20"/>
        <w:tblW w:w="4997" w:type="pct"/>
        <w:jc w:val="center"/>
        <w:tblBorders>
          <w:top w:val="single" w:color="auto" w:sz="12" w:space="0"/>
          <w:left w:val="none" w:color="auto" w:sz="0" w:space="0"/>
          <w:bottom w:val="single" w:color="auto" w:sz="12" w:space="0"/>
          <w:right w:val="none" w:color="auto" w:sz="0" w:space="0"/>
          <w:insideH w:val="none" w:color="auto" w:sz="4" w:space="0"/>
          <w:insideV w:val="none" w:color="auto" w:sz="4" w:space="0"/>
        </w:tblBorders>
        <w:tblLayout w:type="autofit"/>
        <w:tblCellMar>
          <w:top w:w="0" w:type="dxa"/>
          <w:left w:w="108" w:type="dxa"/>
          <w:bottom w:w="0" w:type="dxa"/>
          <w:right w:w="108" w:type="dxa"/>
        </w:tblCellMar>
      </w:tblPr>
      <w:tblGrid>
        <w:gridCol w:w="487"/>
        <w:gridCol w:w="688"/>
        <w:gridCol w:w="1632"/>
        <w:gridCol w:w="996"/>
        <w:gridCol w:w="928"/>
        <w:gridCol w:w="487"/>
        <w:gridCol w:w="758"/>
        <w:gridCol w:w="758"/>
        <w:gridCol w:w="623"/>
        <w:gridCol w:w="1165"/>
      </w:tblGrid>
      <w:tr w14:paraId="752C5E05">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00" w:hRule="atLeast"/>
          <w:jc w:val="center"/>
        </w:trPr>
        <w:tc>
          <w:tcPr>
            <w:tcW w:w="173" w:type="pct"/>
            <w:vMerge w:val="restart"/>
            <w:tcBorders>
              <w:bottom w:val="single" w:color="000000" w:sz="4" w:space="0"/>
              <w:right w:val="single" w:color="auto" w:sz="4" w:space="0"/>
            </w:tcBorders>
            <w:noWrap/>
            <w:vAlign w:val="center"/>
          </w:tcPr>
          <w:p w14:paraId="55D3F3E8">
            <w:pPr>
              <w:pStyle w:val="44"/>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766" w:type="pct"/>
            <w:vMerge w:val="restart"/>
            <w:tcBorders>
              <w:left w:val="single" w:color="auto" w:sz="4" w:space="0"/>
              <w:bottom w:val="single" w:color="000000" w:sz="4" w:space="0"/>
              <w:right w:val="single" w:color="auto" w:sz="4" w:space="0"/>
            </w:tcBorders>
            <w:noWrap/>
            <w:vAlign w:val="center"/>
          </w:tcPr>
          <w:p w14:paraId="30583AF5">
            <w:pPr>
              <w:pStyle w:val="44"/>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名称</w:t>
            </w:r>
          </w:p>
        </w:tc>
        <w:tc>
          <w:tcPr>
            <w:tcW w:w="527" w:type="pct"/>
            <w:vMerge w:val="restart"/>
            <w:tcBorders>
              <w:left w:val="nil"/>
              <w:right w:val="single" w:color="auto" w:sz="4" w:space="0"/>
            </w:tcBorders>
            <w:noWrap/>
            <w:vAlign w:val="center"/>
          </w:tcPr>
          <w:p w14:paraId="1B1C28AA">
            <w:pPr>
              <w:pStyle w:val="44"/>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距</w:t>
            </w:r>
            <w:r>
              <w:rPr>
                <w:rFonts w:hint="eastAsia" w:ascii="Times New Roman" w:hAnsi="Times New Roman" w:eastAsia="宋体" w:cs="Times New Roman"/>
                <w:color w:val="auto"/>
                <w:highlight w:val="none"/>
                <w:lang w:val="en-US" w:eastAsia="zh-CN"/>
              </w:rPr>
              <w:t>项目区</w:t>
            </w:r>
            <w:r>
              <w:rPr>
                <w:rFonts w:hint="eastAsia" w:ascii="Times New Roman" w:hAnsi="Times New Roman" w:eastAsia="宋体" w:cs="Times New Roman"/>
                <w:color w:val="auto"/>
                <w:highlight w:val="none"/>
              </w:rPr>
              <w:t>方位、距离(m)</w:t>
            </w:r>
          </w:p>
        </w:tc>
        <w:tc>
          <w:tcPr>
            <w:tcW w:w="959" w:type="pct"/>
            <w:gridSpan w:val="2"/>
            <w:tcBorders>
              <w:left w:val="nil"/>
              <w:bottom w:val="single" w:color="auto" w:sz="4" w:space="0"/>
              <w:right w:val="single" w:color="auto" w:sz="4" w:space="0"/>
            </w:tcBorders>
            <w:noWrap/>
            <w:vAlign w:val="center"/>
          </w:tcPr>
          <w:p w14:paraId="5A84A889">
            <w:pPr>
              <w:pStyle w:val="44"/>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坐标</w:t>
            </w:r>
          </w:p>
        </w:tc>
        <w:tc>
          <w:tcPr>
            <w:tcW w:w="173" w:type="pct"/>
            <w:vMerge w:val="restart"/>
            <w:tcBorders>
              <w:left w:val="single" w:color="auto" w:sz="4" w:space="0"/>
              <w:bottom w:val="single" w:color="000000" w:sz="4" w:space="0"/>
              <w:right w:val="single" w:color="auto" w:sz="4" w:space="0"/>
            </w:tcBorders>
            <w:noWrap/>
            <w:vAlign w:val="center"/>
          </w:tcPr>
          <w:p w14:paraId="24BE2A8E">
            <w:pPr>
              <w:pStyle w:val="44"/>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井深</w:t>
            </w:r>
          </w:p>
        </w:tc>
        <w:tc>
          <w:tcPr>
            <w:tcW w:w="321" w:type="pct"/>
            <w:vMerge w:val="restart"/>
            <w:tcBorders>
              <w:left w:val="single" w:color="auto" w:sz="4" w:space="0"/>
              <w:bottom w:val="single" w:color="000000" w:sz="4" w:space="0"/>
              <w:right w:val="single" w:color="auto" w:sz="4" w:space="0"/>
            </w:tcBorders>
            <w:noWrap/>
            <w:vAlign w:val="center"/>
          </w:tcPr>
          <w:p w14:paraId="755DB6AE">
            <w:pPr>
              <w:pStyle w:val="44"/>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水位埋深</w:t>
            </w:r>
          </w:p>
        </w:tc>
        <w:tc>
          <w:tcPr>
            <w:tcW w:w="474" w:type="pct"/>
            <w:vMerge w:val="restart"/>
            <w:tcBorders>
              <w:left w:val="single" w:color="auto" w:sz="4" w:space="0"/>
              <w:bottom w:val="single" w:color="000000" w:sz="4" w:space="0"/>
              <w:right w:val="single" w:color="auto" w:sz="4" w:space="0"/>
            </w:tcBorders>
            <w:noWrap/>
            <w:vAlign w:val="center"/>
          </w:tcPr>
          <w:p w14:paraId="7D7F78CD">
            <w:pPr>
              <w:pStyle w:val="44"/>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供水方式</w:t>
            </w:r>
          </w:p>
        </w:tc>
        <w:tc>
          <w:tcPr>
            <w:tcW w:w="1059" w:type="pct"/>
            <w:vMerge w:val="restart"/>
            <w:tcBorders>
              <w:left w:val="single" w:color="auto" w:sz="4" w:space="0"/>
              <w:bottom w:val="single" w:color="000000" w:sz="4" w:space="0"/>
              <w:right w:val="single" w:color="auto" w:sz="4" w:space="0"/>
            </w:tcBorders>
            <w:noWrap/>
            <w:vAlign w:val="center"/>
          </w:tcPr>
          <w:p w14:paraId="2EBDB00A">
            <w:pPr>
              <w:pStyle w:val="44"/>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含水层</w:t>
            </w:r>
          </w:p>
        </w:tc>
        <w:tc>
          <w:tcPr>
            <w:tcW w:w="544" w:type="pct"/>
            <w:vMerge w:val="restart"/>
            <w:tcBorders>
              <w:left w:val="single" w:color="auto" w:sz="4" w:space="0"/>
              <w:bottom w:val="single" w:color="000000" w:sz="4" w:space="0"/>
            </w:tcBorders>
            <w:noWrap/>
            <w:vAlign w:val="center"/>
          </w:tcPr>
          <w:p w14:paraId="714A601F">
            <w:pPr>
              <w:pStyle w:val="44"/>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备注</w:t>
            </w:r>
          </w:p>
        </w:tc>
      </w:tr>
      <w:tr w14:paraId="6FAFE874">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00" w:hRule="atLeast"/>
          <w:jc w:val="center"/>
        </w:trPr>
        <w:tc>
          <w:tcPr>
            <w:tcW w:w="173" w:type="pct"/>
            <w:vMerge w:val="continue"/>
            <w:tcBorders>
              <w:top w:val="single" w:color="auto" w:sz="4" w:space="0"/>
              <w:bottom w:val="single" w:color="000000" w:sz="4" w:space="0"/>
              <w:right w:val="single" w:color="auto" w:sz="4" w:space="0"/>
            </w:tcBorders>
            <w:noWrap w:val="0"/>
            <w:vAlign w:val="center"/>
          </w:tcPr>
          <w:p w14:paraId="3523FF04">
            <w:pPr>
              <w:pStyle w:val="44"/>
              <w:bidi w:val="0"/>
              <w:rPr>
                <w:rFonts w:hint="default" w:ascii="Times New Roman" w:hAnsi="Times New Roman" w:eastAsia="宋体" w:cs="Times New Roman"/>
                <w:color w:val="auto"/>
                <w:highlight w:val="none"/>
              </w:rPr>
            </w:pPr>
          </w:p>
        </w:tc>
        <w:tc>
          <w:tcPr>
            <w:tcW w:w="766" w:type="pct"/>
            <w:vMerge w:val="continue"/>
            <w:tcBorders>
              <w:top w:val="single" w:color="auto" w:sz="4" w:space="0"/>
              <w:left w:val="single" w:color="auto" w:sz="4" w:space="0"/>
              <w:bottom w:val="single" w:color="000000" w:sz="4" w:space="0"/>
              <w:right w:val="single" w:color="auto" w:sz="4" w:space="0"/>
            </w:tcBorders>
            <w:noWrap w:val="0"/>
            <w:vAlign w:val="center"/>
          </w:tcPr>
          <w:p w14:paraId="63F30393">
            <w:pPr>
              <w:pStyle w:val="44"/>
              <w:bidi w:val="0"/>
              <w:rPr>
                <w:rFonts w:hint="default" w:ascii="Times New Roman" w:hAnsi="Times New Roman" w:eastAsia="宋体" w:cs="Times New Roman"/>
                <w:color w:val="auto"/>
                <w:highlight w:val="none"/>
              </w:rPr>
            </w:pPr>
          </w:p>
        </w:tc>
        <w:tc>
          <w:tcPr>
            <w:tcW w:w="527" w:type="pct"/>
            <w:vMerge w:val="continue"/>
            <w:tcBorders>
              <w:left w:val="nil"/>
              <w:bottom w:val="single" w:color="auto" w:sz="4" w:space="0"/>
              <w:right w:val="single" w:color="auto" w:sz="4" w:space="0"/>
            </w:tcBorders>
            <w:noWrap/>
            <w:vAlign w:val="center"/>
          </w:tcPr>
          <w:p w14:paraId="4817731D">
            <w:pPr>
              <w:pStyle w:val="44"/>
              <w:bidi w:val="0"/>
              <w:rPr>
                <w:rFonts w:hint="default" w:ascii="Times New Roman" w:hAnsi="Times New Roman" w:eastAsia="宋体" w:cs="Times New Roman"/>
                <w:color w:val="auto"/>
                <w:highlight w:val="none"/>
                <w:lang w:val="en-US" w:eastAsia="zh-CN"/>
              </w:rPr>
            </w:pPr>
          </w:p>
        </w:tc>
        <w:tc>
          <w:tcPr>
            <w:tcW w:w="556" w:type="pct"/>
            <w:tcBorders>
              <w:top w:val="nil"/>
              <w:left w:val="nil"/>
              <w:bottom w:val="single" w:color="auto" w:sz="4" w:space="0"/>
              <w:right w:val="single" w:color="auto" w:sz="4" w:space="0"/>
            </w:tcBorders>
            <w:noWrap/>
            <w:vAlign w:val="center"/>
          </w:tcPr>
          <w:p w14:paraId="02CEE6C1">
            <w:pPr>
              <w:pStyle w:val="44"/>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E</w:t>
            </w:r>
          </w:p>
        </w:tc>
        <w:tc>
          <w:tcPr>
            <w:tcW w:w="402" w:type="pct"/>
            <w:tcBorders>
              <w:top w:val="nil"/>
              <w:left w:val="nil"/>
              <w:bottom w:val="single" w:color="auto" w:sz="4" w:space="0"/>
              <w:right w:val="single" w:color="auto" w:sz="4" w:space="0"/>
            </w:tcBorders>
            <w:noWrap/>
            <w:vAlign w:val="center"/>
          </w:tcPr>
          <w:p w14:paraId="22AAB844">
            <w:pPr>
              <w:pStyle w:val="44"/>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w:t>
            </w:r>
          </w:p>
        </w:tc>
        <w:tc>
          <w:tcPr>
            <w:tcW w:w="173" w:type="pct"/>
            <w:vMerge w:val="continue"/>
            <w:tcBorders>
              <w:top w:val="single" w:color="auto" w:sz="4" w:space="0"/>
              <w:left w:val="single" w:color="auto" w:sz="4" w:space="0"/>
              <w:bottom w:val="single" w:color="000000" w:sz="4" w:space="0"/>
              <w:right w:val="single" w:color="auto" w:sz="4" w:space="0"/>
            </w:tcBorders>
            <w:noWrap w:val="0"/>
            <w:vAlign w:val="center"/>
          </w:tcPr>
          <w:p w14:paraId="2C3008B1">
            <w:pPr>
              <w:pStyle w:val="44"/>
              <w:bidi w:val="0"/>
              <w:rPr>
                <w:rFonts w:hint="default" w:ascii="Times New Roman" w:hAnsi="Times New Roman" w:eastAsia="宋体" w:cs="Times New Roman"/>
                <w:color w:val="auto"/>
                <w:highlight w:val="none"/>
              </w:rPr>
            </w:pPr>
          </w:p>
        </w:tc>
        <w:tc>
          <w:tcPr>
            <w:tcW w:w="321" w:type="pct"/>
            <w:vMerge w:val="continue"/>
            <w:tcBorders>
              <w:top w:val="single" w:color="auto" w:sz="4" w:space="0"/>
              <w:left w:val="single" w:color="auto" w:sz="4" w:space="0"/>
              <w:bottom w:val="single" w:color="000000" w:sz="4" w:space="0"/>
              <w:right w:val="single" w:color="auto" w:sz="4" w:space="0"/>
            </w:tcBorders>
            <w:noWrap w:val="0"/>
            <w:vAlign w:val="center"/>
          </w:tcPr>
          <w:p w14:paraId="59240C3B">
            <w:pPr>
              <w:pStyle w:val="44"/>
              <w:bidi w:val="0"/>
              <w:rPr>
                <w:rFonts w:hint="default" w:ascii="Times New Roman" w:hAnsi="Times New Roman" w:eastAsia="宋体" w:cs="Times New Roman"/>
                <w:color w:val="auto"/>
                <w:highlight w:val="none"/>
              </w:rPr>
            </w:pPr>
          </w:p>
        </w:tc>
        <w:tc>
          <w:tcPr>
            <w:tcW w:w="474" w:type="pct"/>
            <w:vMerge w:val="continue"/>
            <w:tcBorders>
              <w:top w:val="single" w:color="auto" w:sz="4" w:space="0"/>
              <w:left w:val="single" w:color="auto" w:sz="4" w:space="0"/>
              <w:bottom w:val="single" w:color="000000" w:sz="4" w:space="0"/>
              <w:right w:val="single" w:color="auto" w:sz="4" w:space="0"/>
            </w:tcBorders>
            <w:noWrap w:val="0"/>
            <w:vAlign w:val="center"/>
          </w:tcPr>
          <w:p w14:paraId="124317B8">
            <w:pPr>
              <w:pStyle w:val="44"/>
              <w:bidi w:val="0"/>
              <w:rPr>
                <w:rFonts w:hint="default" w:ascii="Times New Roman" w:hAnsi="Times New Roman" w:eastAsia="宋体" w:cs="Times New Roman"/>
                <w:color w:val="auto"/>
                <w:highlight w:val="none"/>
              </w:rPr>
            </w:pPr>
          </w:p>
        </w:tc>
        <w:tc>
          <w:tcPr>
            <w:tcW w:w="1059" w:type="pct"/>
            <w:vMerge w:val="continue"/>
            <w:tcBorders>
              <w:top w:val="single" w:color="auto" w:sz="4" w:space="0"/>
              <w:left w:val="single" w:color="auto" w:sz="4" w:space="0"/>
              <w:bottom w:val="single" w:color="000000" w:sz="4" w:space="0"/>
              <w:right w:val="single" w:color="auto" w:sz="4" w:space="0"/>
            </w:tcBorders>
            <w:noWrap w:val="0"/>
            <w:vAlign w:val="center"/>
          </w:tcPr>
          <w:p w14:paraId="2896F19E">
            <w:pPr>
              <w:pStyle w:val="44"/>
              <w:bidi w:val="0"/>
              <w:rPr>
                <w:rFonts w:hint="default" w:ascii="Times New Roman" w:hAnsi="Times New Roman" w:eastAsia="宋体" w:cs="Times New Roman"/>
                <w:color w:val="auto"/>
                <w:highlight w:val="none"/>
              </w:rPr>
            </w:pPr>
          </w:p>
        </w:tc>
        <w:tc>
          <w:tcPr>
            <w:tcW w:w="544" w:type="pct"/>
            <w:vMerge w:val="continue"/>
            <w:tcBorders>
              <w:top w:val="single" w:color="auto" w:sz="4" w:space="0"/>
              <w:left w:val="single" w:color="auto" w:sz="4" w:space="0"/>
              <w:bottom w:val="single" w:color="000000" w:sz="4" w:space="0"/>
            </w:tcBorders>
            <w:noWrap w:val="0"/>
            <w:vAlign w:val="center"/>
          </w:tcPr>
          <w:p w14:paraId="335034E0">
            <w:pPr>
              <w:pStyle w:val="44"/>
              <w:bidi w:val="0"/>
              <w:rPr>
                <w:rFonts w:hint="default" w:ascii="Times New Roman" w:hAnsi="Times New Roman" w:eastAsia="宋体" w:cs="Times New Roman"/>
                <w:color w:val="auto"/>
                <w:highlight w:val="none"/>
              </w:rPr>
            </w:pPr>
          </w:p>
        </w:tc>
      </w:tr>
      <w:tr w14:paraId="2B784978">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00" w:hRule="atLeast"/>
          <w:jc w:val="center"/>
        </w:trPr>
        <w:tc>
          <w:tcPr>
            <w:tcW w:w="173" w:type="pct"/>
            <w:tcBorders>
              <w:top w:val="nil"/>
              <w:bottom w:val="single" w:color="auto" w:sz="4" w:space="0"/>
              <w:right w:val="single" w:color="auto" w:sz="4" w:space="0"/>
            </w:tcBorders>
            <w:noWrap/>
            <w:vAlign w:val="center"/>
          </w:tcPr>
          <w:p w14:paraId="0E4369E0">
            <w:pPr>
              <w:pStyle w:val="44"/>
              <w:bidi w:val="0"/>
              <w:rPr>
                <w:rFonts w:hint="eastAsia"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1</w:t>
            </w:r>
            <w:r>
              <w:rPr>
                <w:rFonts w:hint="eastAsia" w:ascii="Times New Roman" w:hAnsi="Times New Roman" w:eastAsia="宋体" w:cs="Times New Roman"/>
                <w:color w:val="auto"/>
                <w:highlight w:val="none"/>
                <w:lang w:val="en-US" w:eastAsia="zh-CN"/>
              </w:rPr>
              <w:t>#</w:t>
            </w:r>
          </w:p>
        </w:tc>
        <w:tc>
          <w:tcPr>
            <w:tcW w:w="947" w:type="dxa"/>
            <w:tcBorders>
              <w:top w:val="nil"/>
              <w:left w:val="nil"/>
              <w:bottom w:val="single" w:color="auto" w:sz="4" w:space="0"/>
              <w:right w:val="single" w:color="auto" w:sz="4" w:space="0"/>
            </w:tcBorders>
            <w:noWrap/>
            <w:vAlign w:val="center"/>
          </w:tcPr>
          <w:p w14:paraId="2896D377">
            <w:pPr>
              <w:pStyle w:val="44"/>
              <w:bidi w:val="0"/>
              <w:ind w:firstLine="0" w:firstLineChars="0"/>
              <w:rPr>
                <w:rFonts w:hint="default" w:ascii="Times New Roman" w:hAnsi="Times New Roman" w:eastAsia="宋体" w:cs="Times New Roman"/>
                <w:color w:val="auto"/>
                <w:highlight w:val="none"/>
              </w:rPr>
            </w:pPr>
            <w:r>
              <w:rPr>
                <w:rFonts w:hint="default" w:ascii="Times New Roman" w:hAnsi="Times New Roman" w:cs="Times New Roman"/>
                <w:color w:val="auto"/>
                <w:highlight w:val="none"/>
                <w:lang w:val="en-US" w:eastAsia="zh-CN"/>
              </w:rPr>
              <w:t>西沟屯</w:t>
            </w:r>
          </w:p>
        </w:tc>
        <w:tc>
          <w:tcPr>
            <w:tcW w:w="527" w:type="pct"/>
            <w:tcBorders>
              <w:top w:val="nil"/>
              <w:left w:val="nil"/>
              <w:bottom w:val="single" w:color="auto" w:sz="4" w:space="0"/>
              <w:right w:val="single" w:color="auto" w:sz="4" w:space="0"/>
            </w:tcBorders>
            <w:noWrap/>
            <w:vAlign w:val="center"/>
          </w:tcPr>
          <w:p w14:paraId="1B5CBB93">
            <w:pPr>
              <w:pStyle w:val="44"/>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N</w:t>
            </w:r>
            <w:r>
              <w:rPr>
                <w:rFonts w:hint="eastAsia" w:ascii="Times New Roman" w:hAnsi="Times New Roman" w:eastAsia="宋体" w:cs="Times New Roman"/>
                <w:color w:val="auto"/>
                <w:highlight w:val="none"/>
                <w:lang w:val="en-US" w:eastAsia="zh-CN"/>
              </w:rPr>
              <w:t xml:space="preserve">  280</w:t>
            </w:r>
          </w:p>
        </w:tc>
        <w:tc>
          <w:tcPr>
            <w:tcW w:w="556" w:type="pct"/>
            <w:tcBorders>
              <w:top w:val="nil"/>
              <w:left w:val="nil"/>
              <w:bottom w:val="single" w:color="auto" w:sz="4" w:space="0"/>
              <w:right w:val="single" w:color="auto" w:sz="4" w:space="0"/>
            </w:tcBorders>
            <w:noWrap/>
            <w:vAlign w:val="center"/>
          </w:tcPr>
          <w:p w14:paraId="1BB5070F">
            <w:pPr>
              <w:pStyle w:val="44"/>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131.02084592</w:t>
            </w:r>
          </w:p>
        </w:tc>
        <w:tc>
          <w:tcPr>
            <w:tcW w:w="402" w:type="pct"/>
            <w:tcBorders>
              <w:top w:val="nil"/>
              <w:left w:val="nil"/>
              <w:bottom w:val="single" w:color="auto" w:sz="4" w:space="0"/>
              <w:right w:val="single" w:color="auto" w:sz="4" w:space="0"/>
            </w:tcBorders>
            <w:noWrap/>
            <w:vAlign w:val="center"/>
          </w:tcPr>
          <w:p w14:paraId="734CC566">
            <w:pPr>
              <w:pStyle w:val="44"/>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45.41286548</w:t>
            </w:r>
          </w:p>
        </w:tc>
        <w:tc>
          <w:tcPr>
            <w:tcW w:w="173" w:type="pct"/>
            <w:tcBorders>
              <w:top w:val="nil"/>
              <w:left w:val="nil"/>
              <w:bottom w:val="single" w:color="auto" w:sz="4" w:space="0"/>
              <w:right w:val="single" w:color="auto" w:sz="4" w:space="0"/>
            </w:tcBorders>
            <w:noWrap/>
            <w:vAlign w:val="center"/>
          </w:tcPr>
          <w:p w14:paraId="1D6EFC77">
            <w:pPr>
              <w:pStyle w:val="44"/>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12</w:t>
            </w:r>
          </w:p>
        </w:tc>
        <w:tc>
          <w:tcPr>
            <w:tcW w:w="321" w:type="pct"/>
            <w:tcBorders>
              <w:top w:val="nil"/>
              <w:left w:val="nil"/>
              <w:bottom w:val="single" w:color="auto" w:sz="4" w:space="0"/>
              <w:right w:val="single" w:color="auto" w:sz="4" w:space="0"/>
            </w:tcBorders>
            <w:noWrap/>
            <w:vAlign w:val="center"/>
          </w:tcPr>
          <w:p w14:paraId="143D2531">
            <w:pPr>
              <w:pStyle w:val="44"/>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val="en-US" w:eastAsia="zh-CN"/>
              </w:rPr>
              <w:t>7</w:t>
            </w:r>
          </w:p>
        </w:tc>
        <w:tc>
          <w:tcPr>
            <w:tcW w:w="474" w:type="pct"/>
            <w:tcBorders>
              <w:top w:val="nil"/>
              <w:left w:val="nil"/>
              <w:bottom w:val="single" w:color="auto" w:sz="4" w:space="0"/>
              <w:right w:val="single" w:color="auto" w:sz="4" w:space="0"/>
            </w:tcBorders>
            <w:noWrap/>
            <w:vAlign w:val="center"/>
          </w:tcPr>
          <w:p w14:paraId="3D45816D">
            <w:pPr>
              <w:pStyle w:val="44"/>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泵吸</w:t>
            </w:r>
          </w:p>
        </w:tc>
        <w:tc>
          <w:tcPr>
            <w:tcW w:w="1059" w:type="pct"/>
            <w:tcBorders>
              <w:top w:val="nil"/>
              <w:left w:val="nil"/>
              <w:bottom w:val="single" w:color="auto" w:sz="4" w:space="0"/>
              <w:right w:val="single" w:color="auto" w:sz="4" w:space="0"/>
            </w:tcBorders>
            <w:noWrap/>
            <w:vAlign w:val="center"/>
          </w:tcPr>
          <w:p w14:paraId="2BC44AF6">
            <w:pPr>
              <w:pStyle w:val="44"/>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潜水</w:t>
            </w:r>
          </w:p>
        </w:tc>
        <w:tc>
          <w:tcPr>
            <w:tcW w:w="544" w:type="pct"/>
            <w:tcBorders>
              <w:top w:val="nil"/>
              <w:left w:val="nil"/>
              <w:bottom w:val="single" w:color="auto" w:sz="4" w:space="0"/>
            </w:tcBorders>
            <w:noWrap/>
            <w:vAlign w:val="center"/>
          </w:tcPr>
          <w:p w14:paraId="08F86475">
            <w:pPr>
              <w:pStyle w:val="44"/>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分散饮用水源井</w:t>
            </w:r>
          </w:p>
        </w:tc>
      </w:tr>
      <w:tr w14:paraId="7E64C786">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00" w:hRule="atLeast"/>
          <w:jc w:val="center"/>
        </w:trPr>
        <w:tc>
          <w:tcPr>
            <w:tcW w:w="173" w:type="pct"/>
            <w:tcBorders>
              <w:top w:val="nil"/>
              <w:bottom w:val="single" w:color="auto" w:sz="4" w:space="0"/>
              <w:right w:val="single" w:color="auto" w:sz="4" w:space="0"/>
            </w:tcBorders>
            <w:noWrap/>
            <w:vAlign w:val="center"/>
          </w:tcPr>
          <w:p w14:paraId="05163F1F">
            <w:pPr>
              <w:pStyle w:val="44"/>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w:t>
            </w:r>
          </w:p>
        </w:tc>
        <w:tc>
          <w:tcPr>
            <w:tcW w:w="947" w:type="dxa"/>
            <w:tcBorders>
              <w:top w:val="nil"/>
              <w:left w:val="nil"/>
              <w:bottom w:val="single" w:color="auto" w:sz="4" w:space="0"/>
              <w:right w:val="single" w:color="auto" w:sz="4" w:space="0"/>
            </w:tcBorders>
            <w:noWrap/>
            <w:vAlign w:val="center"/>
          </w:tcPr>
          <w:p w14:paraId="5486576F">
            <w:pPr>
              <w:pStyle w:val="44"/>
              <w:bidi w:val="0"/>
              <w:ind w:firstLine="0" w:firstLineChars="0"/>
              <w:rPr>
                <w:rFonts w:hint="eastAsia"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城海村</w:t>
            </w:r>
          </w:p>
        </w:tc>
        <w:tc>
          <w:tcPr>
            <w:tcW w:w="527" w:type="pct"/>
            <w:tcBorders>
              <w:top w:val="nil"/>
              <w:left w:val="nil"/>
              <w:bottom w:val="single" w:color="auto" w:sz="4" w:space="0"/>
              <w:right w:val="single" w:color="auto" w:sz="4" w:space="0"/>
            </w:tcBorders>
            <w:noWrap/>
            <w:vAlign w:val="center"/>
          </w:tcPr>
          <w:p w14:paraId="1A56BB39">
            <w:pPr>
              <w:pStyle w:val="44"/>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ES  180</w:t>
            </w:r>
          </w:p>
        </w:tc>
        <w:tc>
          <w:tcPr>
            <w:tcW w:w="556" w:type="pct"/>
            <w:tcBorders>
              <w:top w:val="nil"/>
              <w:left w:val="nil"/>
              <w:bottom w:val="single" w:color="auto" w:sz="4" w:space="0"/>
              <w:right w:val="single" w:color="auto" w:sz="4" w:space="0"/>
            </w:tcBorders>
            <w:noWrap/>
            <w:vAlign w:val="center"/>
          </w:tcPr>
          <w:p w14:paraId="27B4C948">
            <w:pPr>
              <w:pStyle w:val="44"/>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131.02274181</w:t>
            </w:r>
          </w:p>
        </w:tc>
        <w:tc>
          <w:tcPr>
            <w:tcW w:w="402" w:type="pct"/>
            <w:tcBorders>
              <w:top w:val="nil"/>
              <w:left w:val="nil"/>
              <w:bottom w:val="single" w:color="auto" w:sz="4" w:space="0"/>
              <w:right w:val="single" w:color="auto" w:sz="4" w:space="0"/>
            </w:tcBorders>
            <w:noWrap/>
            <w:vAlign w:val="center"/>
          </w:tcPr>
          <w:p w14:paraId="2C241CA5">
            <w:pPr>
              <w:pStyle w:val="44"/>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45.40684504</w:t>
            </w:r>
          </w:p>
        </w:tc>
        <w:tc>
          <w:tcPr>
            <w:tcW w:w="173" w:type="pct"/>
            <w:tcBorders>
              <w:top w:val="nil"/>
              <w:left w:val="nil"/>
              <w:bottom w:val="single" w:color="auto" w:sz="4" w:space="0"/>
              <w:right w:val="single" w:color="auto" w:sz="4" w:space="0"/>
            </w:tcBorders>
            <w:noWrap/>
            <w:vAlign w:val="center"/>
          </w:tcPr>
          <w:p w14:paraId="1F2BD85F">
            <w:pPr>
              <w:pStyle w:val="44"/>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32</w:t>
            </w:r>
          </w:p>
        </w:tc>
        <w:tc>
          <w:tcPr>
            <w:tcW w:w="321" w:type="pct"/>
            <w:tcBorders>
              <w:top w:val="nil"/>
              <w:left w:val="nil"/>
              <w:bottom w:val="single" w:color="auto" w:sz="4" w:space="0"/>
              <w:right w:val="single" w:color="auto" w:sz="4" w:space="0"/>
            </w:tcBorders>
            <w:noWrap/>
            <w:vAlign w:val="center"/>
          </w:tcPr>
          <w:p w14:paraId="6623E37A">
            <w:pPr>
              <w:pStyle w:val="44"/>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31</w:t>
            </w:r>
          </w:p>
        </w:tc>
        <w:tc>
          <w:tcPr>
            <w:tcW w:w="474" w:type="pct"/>
            <w:tcBorders>
              <w:top w:val="nil"/>
              <w:left w:val="nil"/>
              <w:bottom w:val="single" w:color="auto" w:sz="4" w:space="0"/>
              <w:right w:val="single" w:color="auto" w:sz="4" w:space="0"/>
            </w:tcBorders>
            <w:noWrap/>
            <w:vAlign w:val="center"/>
          </w:tcPr>
          <w:p w14:paraId="7DD2A11C">
            <w:pPr>
              <w:pStyle w:val="44"/>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泵吸</w:t>
            </w:r>
          </w:p>
        </w:tc>
        <w:tc>
          <w:tcPr>
            <w:tcW w:w="1059" w:type="pct"/>
            <w:tcBorders>
              <w:top w:val="nil"/>
              <w:left w:val="nil"/>
              <w:bottom w:val="single" w:color="auto" w:sz="4" w:space="0"/>
              <w:right w:val="single" w:color="auto" w:sz="4" w:space="0"/>
            </w:tcBorders>
            <w:noWrap/>
            <w:vAlign w:val="center"/>
          </w:tcPr>
          <w:p w14:paraId="2771BA2D">
            <w:pPr>
              <w:pStyle w:val="44"/>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val="en-US" w:eastAsia="zh-CN"/>
              </w:rPr>
              <w:t>潜水</w:t>
            </w:r>
          </w:p>
        </w:tc>
        <w:tc>
          <w:tcPr>
            <w:tcW w:w="544" w:type="pct"/>
            <w:tcBorders>
              <w:top w:val="nil"/>
              <w:left w:val="nil"/>
              <w:bottom w:val="single" w:color="auto" w:sz="4" w:space="0"/>
            </w:tcBorders>
            <w:noWrap/>
            <w:vAlign w:val="center"/>
          </w:tcPr>
          <w:p w14:paraId="713B6455">
            <w:pPr>
              <w:pStyle w:val="44"/>
              <w:bidi w:val="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分散饮用水源井</w:t>
            </w:r>
          </w:p>
        </w:tc>
      </w:tr>
    </w:tbl>
    <w:p w14:paraId="75C9DA90">
      <w:pPr>
        <w:pStyle w:val="27"/>
        <w:bidi w:val="0"/>
        <w:rPr>
          <w:rFonts w:hint="default" w:ascii="Times New Roman" w:hAnsi="Times New Roman" w:cs="Times New Roman"/>
          <w:color w:val="auto"/>
          <w:highlight w:val="none"/>
        </w:rPr>
      </w:pPr>
      <w:r>
        <w:rPr>
          <w:rFonts w:hint="eastAsia" w:cs="Times New Roman"/>
          <w:color w:val="auto"/>
          <w:highlight w:val="none"/>
          <w:lang w:val="en-US" w:eastAsia="zh-CN"/>
        </w:rPr>
        <w:t>表2-8-5</w:t>
      </w:r>
      <w:r>
        <w:rPr>
          <w:rFonts w:hint="default" w:ascii="Times New Roman" w:hAnsi="Times New Roman" w:cs="Times New Roman"/>
          <w:color w:val="auto"/>
          <w:highlight w:val="none"/>
        </w:rPr>
        <w:t>运输道路两侧环境保护目标一览表</w:t>
      </w:r>
    </w:p>
    <w:tbl>
      <w:tblPr>
        <w:tblStyle w:val="2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24"/>
        <w:gridCol w:w="1682"/>
        <w:gridCol w:w="754"/>
        <w:gridCol w:w="904"/>
        <w:gridCol w:w="1641"/>
        <w:gridCol w:w="2517"/>
      </w:tblGrid>
      <w:tr w14:paraId="04F7C0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5" w:hRule="atLeast"/>
        </w:trPr>
        <w:tc>
          <w:tcPr>
            <w:tcW w:w="601" w:type="pct"/>
            <w:vMerge w:val="restart"/>
            <w:vAlign w:val="center"/>
          </w:tcPr>
          <w:p w14:paraId="5BD2BF8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涉及环</w:t>
            </w:r>
          </w:p>
          <w:p w14:paraId="3F0B33C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境要素</w:t>
            </w:r>
          </w:p>
        </w:tc>
        <w:tc>
          <w:tcPr>
            <w:tcW w:w="986" w:type="pct"/>
            <w:vMerge w:val="restart"/>
            <w:vAlign w:val="center"/>
          </w:tcPr>
          <w:p w14:paraId="2BCF266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环境保</w:t>
            </w:r>
          </w:p>
          <w:p w14:paraId="4501ED1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护目标</w:t>
            </w:r>
          </w:p>
        </w:tc>
        <w:tc>
          <w:tcPr>
            <w:tcW w:w="972" w:type="pct"/>
            <w:gridSpan w:val="2"/>
            <w:vAlign w:val="center"/>
          </w:tcPr>
          <w:p w14:paraId="75F1DF8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相对道路位置</w:t>
            </w:r>
          </w:p>
        </w:tc>
        <w:tc>
          <w:tcPr>
            <w:tcW w:w="962" w:type="pct"/>
            <w:vMerge w:val="restart"/>
            <w:vAlign w:val="center"/>
          </w:tcPr>
          <w:p w14:paraId="5B1A0DA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主要保护对象</w:t>
            </w:r>
          </w:p>
        </w:tc>
        <w:tc>
          <w:tcPr>
            <w:tcW w:w="1476" w:type="pct"/>
            <w:vMerge w:val="restart"/>
            <w:vAlign w:val="center"/>
          </w:tcPr>
          <w:p w14:paraId="118A62A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保护内容</w:t>
            </w:r>
          </w:p>
        </w:tc>
      </w:tr>
      <w:tr w14:paraId="5A4BEB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5" w:hRule="atLeast"/>
        </w:trPr>
        <w:tc>
          <w:tcPr>
            <w:tcW w:w="601" w:type="pct"/>
            <w:vMerge w:val="continue"/>
            <w:vAlign w:val="center"/>
          </w:tcPr>
          <w:p w14:paraId="2FA345FB">
            <w:pPr>
              <w:pStyle w:val="44"/>
              <w:bidi w:val="0"/>
              <w:rPr>
                <w:rFonts w:hint="default" w:ascii="Times New Roman" w:hAnsi="Times New Roman" w:cs="Times New Roman"/>
                <w:color w:val="auto"/>
                <w:highlight w:val="none"/>
              </w:rPr>
            </w:pPr>
          </w:p>
        </w:tc>
        <w:tc>
          <w:tcPr>
            <w:tcW w:w="986" w:type="pct"/>
            <w:vMerge w:val="continue"/>
            <w:vAlign w:val="center"/>
          </w:tcPr>
          <w:p w14:paraId="25C076B7">
            <w:pPr>
              <w:pStyle w:val="44"/>
              <w:bidi w:val="0"/>
              <w:rPr>
                <w:rFonts w:hint="default" w:ascii="Times New Roman" w:hAnsi="Times New Roman" w:cs="Times New Roman"/>
                <w:color w:val="auto"/>
                <w:highlight w:val="none"/>
              </w:rPr>
            </w:pPr>
          </w:p>
        </w:tc>
        <w:tc>
          <w:tcPr>
            <w:tcW w:w="442" w:type="pct"/>
            <w:vAlign w:val="center"/>
          </w:tcPr>
          <w:p w14:paraId="63971DB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方位</w:t>
            </w:r>
          </w:p>
        </w:tc>
        <w:tc>
          <w:tcPr>
            <w:tcW w:w="530" w:type="pct"/>
            <w:vAlign w:val="center"/>
          </w:tcPr>
          <w:p w14:paraId="375C3AD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距离（m）</w:t>
            </w:r>
          </w:p>
        </w:tc>
        <w:tc>
          <w:tcPr>
            <w:tcW w:w="962" w:type="pct"/>
            <w:vMerge w:val="continue"/>
            <w:vAlign w:val="center"/>
          </w:tcPr>
          <w:p w14:paraId="684A34E0">
            <w:pPr>
              <w:pStyle w:val="44"/>
              <w:bidi w:val="0"/>
              <w:rPr>
                <w:rFonts w:hint="default" w:ascii="Times New Roman" w:hAnsi="Times New Roman" w:cs="Times New Roman"/>
                <w:color w:val="auto"/>
                <w:highlight w:val="none"/>
              </w:rPr>
            </w:pPr>
          </w:p>
        </w:tc>
        <w:tc>
          <w:tcPr>
            <w:tcW w:w="1476" w:type="pct"/>
            <w:vMerge w:val="continue"/>
            <w:vAlign w:val="center"/>
          </w:tcPr>
          <w:p w14:paraId="01DB6F5D">
            <w:pPr>
              <w:pStyle w:val="44"/>
              <w:bidi w:val="0"/>
              <w:rPr>
                <w:rFonts w:hint="default" w:ascii="Times New Roman" w:hAnsi="Times New Roman" w:cs="Times New Roman"/>
                <w:color w:val="auto"/>
                <w:highlight w:val="none"/>
              </w:rPr>
            </w:pPr>
          </w:p>
        </w:tc>
      </w:tr>
      <w:tr w14:paraId="7D3C51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0" w:hRule="atLeast"/>
        </w:trPr>
        <w:tc>
          <w:tcPr>
            <w:tcW w:w="601" w:type="pct"/>
            <w:vMerge w:val="restart"/>
            <w:vAlign w:val="center"/>
          </w:tcPr>
          <w:p w14:paraId="2D89CD2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运输路线声环境、大气环境</w:t>
            </w:r>
          </w:p>
        </w:tc>
        <w:tc>
          <w:tcPr>
            <w:tcW w:w="986" w:type="pct"/>
            <w:vAlign w:val="center"/>
          </w:tcPr>
          <w:p w14:paraId="1A903DAB">
            <w:pPr>
              <w:pStyle w:val="44"/>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城东一队</w:t>
            </w:r>
          </w:p>
        </w:tc>
        <w:tc>
          <w:tcPr>
            <w:tcW w:w="442" w:type="pct"/>
            <w:vAlign w:val="center"/>
          </w:tcPr>
          <w:p w14:paraId="2A9A7D33">
            <w:pPr>
              <w:pStyle w:val="44"/>
              <w:bidi w:val="0"/>
              <w:ind w:firstLine="0" w:firstLineChars="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W</w:t>
            </w:r>
          </w:p>
        </w:tc>
        <w:tc>
          <w:tcPr>
            <w:tcW w:w="530" w:type="pct"/>
            <w:vAlign w:val="center"/>
          </w:tcPr>
          <w:p w14:paraId="03C1CA39">
            <w:pPr>
              <w:pStyle w:val="44"/>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12</w:t>
            </w:r>
          </w:p>
        </w:tc>
        <w:tc>
          <w:tcPr>
            <w:tcW w:w="962" w:type="pct"/>
            <w:vMerge w:val="restart"/>
            <w:vAlign w:val="center"/>
          </w:tcPr>
          <w:p w14:paraId="3C77A52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农村地区中人群较集中的区域</w:t>
            </w:r>
          </w:p>
        </w:tc>
        <w:tc>
          <w:tcPr>
            <w:tcW w:w="1476" w:type="pct"/>
            <w:vMerge w:val="restart"/>
            <w:vAlign w:val="center"/>
          </w:tcPr>
          <w:p w14:paraId="5506B43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《声环境质量标准》（GB3096-2008）表1中1类标准、《环境空气质量标准》（GB3095-2012）及修改单二级标准</w:t>
            </w:r>
          </w:p>
        </w:tc>
      </w:tr>
      <w:tr w14:paraId="075FB0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5" w:hRule="atLeast"/>
        </w:trPr>
        <w:tc>
          <w:tcPr>
            <w:tcW w:w="601" w:type="pct"/>
            <w:vMerge w:val="continue"/>
            <w:vAlign w:val="center"/>
          </w:tcPr>
          <w:p w14:paraId="0E11C1E7">
            <w:pPr>
              <w:pStyle w:val="44"/>
              <w:bidi w:val="0"/>
              <w:rPr>
                <w:rFonts w:hint="default" w:ascii="Times New Roman" w:hAnsi="Times New Roman" w:cs="Times New Roman"/>
                <w:color w:val="auto"/>
                <w:highlight w:val="none"/>
              </w:rPr>
            </w:pPr>
            <w:bookmarkStart w:id="142" w:name="OLE_LINK24" w:colFirst="1" w:colLast="3"/>
          </w:p>
        </w:tc>
        <w:tc>
          <w:tcPr>
            <w:tcW w:w="986" w:type="pct"/>
            <w:vAlign w:val="center"/>
          </w:tcPr>
          <w:p w14:paraId="5A488492">
            <w:pPr>
              <w:pStyle w:val="44"/>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海城村</w:t>
            </w:r>
          </w:p>
        </w:tc>
        <w:tc>
          <w:tcPr>
            <w:tcW w:w="442" w:type="pct"/>
            <w:vAlign w:val="center"/>
          </w:tcPr>
          <w:p w14:paraId="2B12C416">
            <w:pPr>
              <w:pStyle w:val="44"/>
              <w:bidi w:val="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E</w:t>
            </w:r>
          </w:p>
        </w:tc>
        <w:tc>
          <w:tcPr>
            <w:tcW w:w="530" w:type="pct"/>
            <w:vAlign w:val="center"/>
          </w:tcPr>
          <w:p w14:paraId="09F93AD1">
            <w:pPr>
              <w:pStyle w:val="44"/>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20</w:t>
            </w:r>
          </w:p>
        </w:tc>
        <w:tc>
          <w:tcPr>
            <w:tcW w:w="962" w:type="pct"/>
            <w:vMerge w:val="continue"/>
            <w:vAlign w:val="center"/>
          </w:tcPr>
          <w:p w14:paraId="39520798">
            <w:pPr>
              <w:pStyle w:val="44"/>
              <w:bidi w:val="0"/>
              <w:rPr>
                <w:rFonts w:hint="default" w:ascii="Times New Roman" w:hAnsi="Times New Roman" w:cs="Times New Roman"/>
                <w:color w:val="auto"/>
                <w:highlight w:val="none"/>
              </w:rPr>
            </w:pPr>
          </w:p>
        </w:tc>
        <w:tc>
          <w:tcPr>
            <w:tcW w:w="1476" w:type="pct"/>
            <w:vMerge w:val="continue"/>
            <w:vAlign w:val="center"/>
          </w:tcPr>
          <w:p w14:paraId="1AFA1761">
            <w:pPr>
              <w:pStyle w:val="44"/>
              <w:bidi w:val="0"/>
              <w:rPr>
                <w:rFonts w:hint="default" w:ascii="Times New Roman" w:hAnsi="Times New Roman" w:cs="Times New Roman"/>
                <w:color w:val="auto"/>
                <w:highlight w:val="none"/>
              </w:rPr>
            </w:pPr>
          </w:p>
        </w:tc>
      </w:tr>
      <w:bookmarkEnd w:id="142"/>
      <w:tr w14:paraId="2FEBBE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2" w:hRule="atLeast"/>
        </w:trPr>
        <w:tc>
          <w:tcPr>
            <w:tcW w:w="601" w:type="pct"/>
            <w:vMerge w:val="continue"/>
            <w:vAlign w:val="center"/>
          </w:tcPr>
          <w:p w14:paraId="686A1B5A">
            <w:pPr>
              <w:pStyle w:val="44"/>
              <w:bidi w:val="0"/>
              <w:rPr>
                <w:rFonts w:hint="default" w:ascii="Times New Roman" w:hAnsi="Times New Roman" w:cs="Times New Roman"/>
                <w:color w:val="auto"/>
                <w:highlight w:val="none"/>
              </w:rPr>
            </w:pPr>
          </w:p>
        </w:tc>
        <w:tc>
          <w:tcPr>
            <w:tcW w:w="986" w:type="pct"/>
            <w:vAlign w:val="center"/>
          </w:tcPr>
          <w:p w14:paraId="49A83F76">
            <w:pPr>
              <w:pStyle w:val="44"/>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城子河区</w:t>
            </w:r>
          </w:p>
        </w:tc>
        <w:tc>
          <w:tcPr>
            <w:tcW w:w="442" w:type="pct"/>
            <w:vAlign w:val="center"/>
          </w:tcPr>
          <w:p w14:paraId="56975DB2">
            <w:pPr>
              <w:pStyle w:val="44"/>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S</w:t>
            </w:r>
          </w:p>
        </w:tc>
        <w:tc>
          <w:tcPr>
            <w:tcW w:w="530" w:type="pct"/>
            <w:vAlign w:val="center"/>
          </w:tcPr>
          <w:p w14:paraId="07F2489D">
            <w:pPr>
              <w:pStyle w:val="44"/>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100</w:t>
            </w:r>
          </w:p>
        </w:tc>
        <w:tc>
          <w:tcPr>
            <w:tcW w:w="962" w:type="pct"/>
            <w:vAlign w:val="center"/>
          </w:tcPr>
          <w:p w14:paraId="74D8656E">
            <w:pPr>
              <w:pStyle w:val="44"/>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居民区</w:t>
            </w:r>
          </w:p>
        </w:tc>
        <w:tc>
          <w:tcPr>
            <w:tcW w:w="1476" w:type="pct"/>
            <w:vAlign w:val="center"/>
          </w:tcPr>
          <w:p w14:paraId="2CB8283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《声环境质量标准》（GB3096-2008）表1中2类标准、《环境空气质量标准》（GB3095-2012）及修改单二级标准</w:t>
            </w:r>
          </w:p>
        </w:tc>
      </w:tr>
    </w:tbl>
    <w:p w14:paraId="3BCD6523">
      <w:pPr>
        <w:widowControl/>
        <w:adjustRightInd w:val="0"/>
        <w:snapToGrid w:val="0"/>
        <w:spacing w:line="360" w:lineRule="auto"/>
        <w:ind w:firstLine="640" w:firstLineChars="200"/>
        <w:jc w:val="left"/>
        <w:rPr>
          <w:rFonts w:hint="default" w:ascii="Times New Roman" w:hAnsi="Times New Roman" w:cs="Times New Roman"/>
          <w:color w:val="auto"/>
          <w:kern w:val="0"/>
          <w:sz w:val="32"/>
          <w:szCs w:val="32"/>
          <w:highlight w:val="none"/>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6CA9889B">
      <w:pPr>
        <w:widowControl/>
        <w:adjustRightInd w:val="0"/>
        <w:snapToGrid w:val="0"/>
        <w:ind w:left="0" w:leftChars="0" w:firstLine="0" w:firstLineChars="0"/>
        <w:jc w:val="both"/>
        <w:rPr>
          <w:rFonts w:hint="eastAsia" w:ascii="Times New Roman" w:hAnsi="Times New Roman" w:eastAsia="宋体" w:cs="Times New Roman"/>
          <w:b/>
          <w:color w:val="auto"/>
          <w:kern w:val="0"/>
          <w:sz w:val="32"/>
          <w:szCs w:val="32"/>
          <w:highlight w:val="none"/>
          <w:lang w:eastAsia="zh-CN"/>
        </w:rPr>
      </w:pPr>
      <w:r>
        <w:rPr>
          <w:rFonts w:hint="eastAsia" w:ascii="Times New Roman" w:hAnsi="Times New Roman" w:eastAsia="宋体" w:cs="Times New Roman"/>
          <w:b/>
          <w:color w:val="auto"/>
          <w:kern w:val="0"/>
          <w:sz w:val="32"/>
          <w:szCs w:val="32"/>
          <w:highlight w:val="none"/>
          <w:lang w:eastAsia="zh-CN"/>
        </w:rPr>
        <w:drawing>
          <wp:inline distT="0" distB="0" distL="114300" distR="114300">
            <wp:extent cx="8402320" cy="4653280"/>
            <wp:effectExtent l="0" t="0" r="17780" b="13970"/>
            <wp:docPr id="99" name="图片 99" descr="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片"/>
                    <pic:cNvPicPr>
                      <a:picLocks noChangeAspect="1"/>
                    </pic:cNvPicPr>
                  </pic:nvPicPr>
                  <pic:blipFill>
                    <a:blip r:embed="rId21"/>
                    <a:stretch>
                      <a:fillRect/>
                    </a:stretch>
                  </pic:blipFill>
                  <pic:spPr>
                    <a:xfrm>
                      <a:off x="0" y="0"/>
                      <a:ext cx="8402320" cy="4653280"/>
                    </a:xfrm>
                    <a:prstGeom prst="rect">
                      <a:avLst/>
                    </a:prstGeom>
                  </pic:spPr>
                </pic:pic>
              </a:graphicData>
            </a:graphic>
          </wp:inline>
        </w:drawing>
      </w:r>
    </w:p>
    <w:p w14:paraId="4AA5AA8C">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图2-8-1</w:t>
      </w:r>
      <w:r>
        <w:rPr>
          <w:rFonts w:hint="default" w:ascii="Times New Roman" w:hAnsi="Times New Roman" w:cs="Times New Roman"/>
          <w:color w:val="auto"/>
          <w:highlight w:val="none"/>
          <w:lang w:val="en-US" w:eastAsia="zh-CN"/>
        </w:rPr>
        <w:t xml:space="preserve">  2#项目区</w:t>
      </w:r>
      <w:r>
        <w:rPr>
          <w:rFonts w:hint="default" w:ascii="Times New Roman" w:hAnsi="Times New Roman" w:cs="Times New Roman"/>
          <w:color w:val="auto"/>
          <w:highlight w:val="none"/>
        </w:rPr>
        <w:t>评价范围及环境保护目标示意图</w:t>
      </w:r>
    </w:p>
    <w:p w14:paraId="3AF4546B">
      <w:pP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8397240" cy="4892040"/>
            <wp:effectExtent l="0" t="0" r="3810" b="3810"/>
            <wp:docPr id="2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7"/>
                    <pic:cNvPicPr>
                      <a:picLocks noChangeAspect="1"/>
                    </pic:cNvPicPr>
                  </pic:nvPicPr>
                  <pic:blipFill>
                    <a:blip r:embed="rId22"/>
                    <a:stretch>
                      <a:fillRect/>
                    </a:stretch>
                  </pic:blipFill>
                  <pic:spPr>
                    <a:xfrm>
                      <a:off x="0" y="0"/>
                      <a:ext cx="8397240" cy="4892040"/>
                    </a:xfrm>
                    <a:prstGeom prst="rect">
                      <a:avLst/>
                    </a:prstGeom>
                    <a:noFill/>
                    <a:ln>
                      <a:noFill/>
                    </a:ln>
                  </pic:spPr>
                </pic:pic>
              </a:graphicData>
            </a:graphic>
          </wp:inline>
        </w:drawing>
      </w:r>
    </w:p>
    <w:p w14:paraId="08052486">
      <w:pPr>
        <w:pStyle w:val="27"/>
        <w:bidi w:val="0"/>
        <w:rPr>
          <w:rFonts w:hint="default" w:ascii="Times New Roman" w:hAnsi="Times New Roman" w:cs="Times New Roman"/>
          <w:color w:val="auto"/>
          <w:highlight w:val="none"/>
        </w:rPr>
        <w:sectPr>
          <w:pgSz w:w="16838" w:h="11906" w:orient="landscape"/>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cs="Times New Roman"/>
          <w:color w:val="auto"/>
          <w:highlight w:val="none"/>
        </w:rPr>
        <w:t>图2-8-</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运输路线图及环境保护目标示意图</w:t>
      </w:r>
    </w:p>
    <w:p w14:paraId="31163CA0">
      <w:pPr>
        <w:pStyle w:val="42"/>
        <w:rPr>
          <w:rFonts w:hint="default" w:ascii="Times New Roman" w:hAnsi="Times New Roman" w:cs="Times New Roman"/>
          <w:color w:val="auto"/>
          <w:highlight w:val="none"/>
        </w:rPr>
      </w:pPr>
      <w:bookmarkStart w:id="143" w:name="_Toc119316795"/>
      <w:bookmarkStart w:id="144" w:name="_Toc7087"/>
      <w:bookmarkStart w:id="145" w:name="_Toc152926814"/>
      <w:bookmarkStart w:id="146" w:name="_Toc27582"/>
      <w:r>
        <w:rPr>
          <w:rFonts w:hint="default" w:ascii="Times New Roman" w:hAnsi="Times New Roman" w:cs="Times New Roman"/>
          <w:color w:val="auto"/>
          <w:highlight w:val="none"/>
        </w:rPr>
        <w:t>3建设项目工程分析</w:t>
      </w:r>
      <w:bookmarkEnd w:id="143"/>
      <w:bookmarkEnd w:id="144"/>
      <w:bookmarkEnd w:id="145"/>
      <w:bookmarkEnd w:id="146"/>
      <w:r>
        <w:rPr>
          <w:rFonts w:hint="default" w:ascii="Times New Roman" w:hAnsi="Times New Roman" w:cs="Times New Roman"/>
          <w:color w:val="auto"/>
          <w:highlight w:val="none"/>
        </w:rPr>
        <w:t xml:space="preserve"> </w:t>
      </w:r>
    </w:p>
    <w:p w14:paraId="3D2098B2">
      <w:pPr>
        <w:pStyle w:val="41"/>
        <w:spacing w:before="156" w:beforeLines="50" w:after="156" w:afterLines="50"/>
        <w:rPr>
          <w:rFonts w:hint="default" w:ascii="Times New Roman" w:hAnsi="Times New Roman" w:cs="Times New Roman"/>
          <w:color w:val="auto"/>
          <w:highlight w:val="none"/>
        </w:rPr>
      </w:pPr>
      <w:bookmarkStart w:id="147" w:name="_Toc152926815"/>
      <w:bookmarkStart w:id="148" w:name="_Toc119316796"/>
      <w:bookmarkStart w:id="149" w:name="_Toc23574"/>
      <w:bookmarkStart w:id="150" w:name="_Toc24373"/>
      <w:r>
        <w:rPr>
          <w:rFonts w:hint="default" w:ascii="Times New Roman" w:hAnsi="Times New Roman" w:cs="Times New Roman"/>
          <w:color w:val="auto"/>
          <w:highlight w:val="none"/>
        </w:rPr>
        <w:t>3.1项目概况</w:t>
      </w:r>
      <w:bookmarkEnd w:id="147"/>
      <w:bookmarkEnd w:id="148"/>
      <w:bookmarkEnd w:id="149"/>
      <w:bookmarkEnd w:id="150"/>
    </w:p>
    <w:p w14:paraId="268EC4F3">
      <w:pPr>
        <w:pStyle w:val="39"/>
        <w:rPr>
          <w:rFonts w:hint="default" w:ascii="Times New Roman" w:hAnsi="Times New Roman" w:cs="Times New Roman"/>
          <w:color w:val="auto"/>
          <w:highlight w:val="none"/>
        </w:rPr>
      </w:pPr>
      <w:bookmarkStart w:id="151" w:name="_Toc182022280"/>
      <w:bookmarkStart w:id="152" w:name="_Toc118086779"/>
      <w:bookmarkStart w:id="153" w:name="_Toc113078920"/>
      <w:bookmarkStart w:id="154" w:name="_Toc112420350"/>
      <w:bookmarkStart w:id="155" w:name="_Toc11758487"/>
      <w:bookmarkStart w:id="156" w:name="_Toc4356"/>
      <w:r>
        <w:rPr>
          <w:rFonts w:hint="default" w:ascii="Times New Roman" w:hAnsi="Times New Roman" w:cs="Times New Roman"/>
          <w:color w:val="auto"/>
          <w:highlight w:val="none"/>
        </w:rPr>
        <w:t>3.1.1</w:t>
      </w:r>
      <w:bookmarkEnd w:id="151"/>
      <w:bookmarkEnd w:id="152"/>
      <w:bookmarkEnd w:id="153"/>
      <w:bookmarkEnd w:id="154"/>
      <w:r>
        <w:rPr>
          <w:rFonts w:hint="default" w:ascii="Times New Roman" w:hAnsi="Times New Roman" w:cs="Times New Roman"/>
          <w:color w:val="auto"/>
          <w:highlight w:val="none"/>
        </w:rPr>
        <w:t>项目名称及基本组成</w:t>
      </w:r>
      <w:bookmarkEnd w:id="155"/>
      <w:bookmarkEnd w:id="156"/>
    </w:p>
    <w:p w14:paraId="4E26616A">
      <w:pPr>
        <w:pStyle w:val="25"/>
        <w:keepNext w:val="0"/>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项目名称：鸡西市城子河区历史遗留矿山生态修复项目</w:t>
      </w:r>
    </w:p>
    <w:p w14:paraId="3173EFC2">
      <w:pPr>
        <w:pStyle w:val="25"/>
        <w:keepNext w:val="0"/>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项目建设单位：鸡西市城子河区住房和城乡建设局</w:t>
      </w:r>
    </w:p>
    <w:p w14:paraId="47C1AD8F">
      <w:pPr>
        <w:pStyle w:val="25"/>
        <w:keepNext w:val="0"/>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项目性质：新建</w:t>
      </w:r>
    </w:p>
    <w:p w14:paraId="6C2C16BF">
      <w:pPr>
        <w:pStyle w:val="25"/>
        <w:keepNext w:val="0"/>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建设地点：</w:t>
      </w:r>
      <w:r>
        <w:rPr>
          <w:rFonts w:hint="default" w:ascii="Times New Roman" w:hAnsi="Times New Roman" w:cs="Times New Roman"/>
          <w:bCs/>
          <w:color w:val="auto"/>
          <w:highlight w:val="none"/>
        </w:rPr>
        <w:t>鸡西市城子河区</w:t>
      </w:r>
    </w:p>
    <w:p w14:paraId="72718862">
      <w:pPr>
        <w:pStyle w:val="25"/>
        <w:keepNext w:val="0"/>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工程投资：</w:t>
      </w:r>
      <w:r>
        <w:rPr>
          <w:rFonts w:hint="eastAsia" w:cs="Times New Roman"/>
          <w:snapToGrid w:val="0"/>
          <w:color w:val="auto"/>
          <w:highlight w:val="none"/>
          <w:lang w:eastAsia="zh-CN"/>
        </w:rPr>
        <w:t>4552.91</w:t>
      </w:r>
      <w:r>
        <w:rPr>
          <w:rFonts w:hint="default" w:ascii="Times New Roman" w:hAnsi="Times New Roman" w:cs="Times New Roman"/>
          <w:snapToGrid w:val="0"/>
          <w:color w:val="auto"/>
          <w:highlight w:val="none"/>
        </w:rPr>
        <w:t>万元</w:t>
      </w:r>
    </w:p>
    <w:p w14:paraId="088A0021">
      <w:pPr>
        <w:pStyle w:val="25"/>
        <w:keepNext w:val="0"/>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占地面积：</w:t>
      </w:r>
      <w:r>
        <w:rPr>
          <w:rFonts w:hint="default" w:ascii="Times New Roman" w:hAnsi="Times New Roman" w:cs="Times New Roman"/>
          <w:snapToGrid w:val="0"/>
          <w:color w:val="auto"/>
          <w:highlight w:val="none"/>
          <w:lang w:val="en-US" w:eastAsia="zh-CN"/>
        </w:rPr>
        <w:t>12个项目区总</w:t>
      </w:r>
      <w:bookmarkStart w:id="157" w:name="OLE_LINK19"/>
      <w:r>
        <w:rPr>
          <w:rFonts w:hint="default" w:ascii="Times New Roman" w:hAnsi="Times New Roman" w:cs="Times New Roman"/>
          <w:snapToGrid w:val="0"/>
          <w:color w:val="auto"/>
          <w:highlight w:val="none"/>
        </w:rPr>
        <w:t>修复面积为</w:t>
      </w:r>
      <w:r>
        <w:rPr>
          <w:rFonts w:hint="eastAsia" w:cs="Times New Roman"/>
          <w:snapToGrid w:val="0"/>
          <w:color w:val="auto"/>
          <w:highlight w:val="none"/>
          <w:lang w:eastAsia="zh-CN"/>
        </w:rPr>
        <w:t>26.648</w:t>
      </w:r>
      <w:r>
        <w:rPr>
          <w:rFonts w:hint="default" w:ascii="Times New Roman" w:hAnsi="Times New Roman" w:cs="Times New Roman"/>
          <w:snapToGrid w:val="0"/>
          <w:color w:val="auto"/>
          <w:highlight w:val="none"/>
        </w:rPr>
        <w:t>hm</w:t>
      </w:r>
      <w:r>
        <w:rPr>
          <w:rFonts w:hint="default" w:ascii="Times New Roman" w:hAnsi="Times New Roman" w:cs="Times New Roman"/>
          <w:snapToGrid w:val="0"/>
          <w:color w:val="auto"/>
          <w:highlight w:val="none"/>
          <w:vertAlign w:val="superscript"/>
        </w:rPr>
        <w:t>2</w:t>
      </w:r>
      <w:bookmarkEnd w:id="157"/>
    </w:p>
    <w:p w14:paraId="13705DF6">
      <w:pPr>
        <w:pStyle w:val="25"/>
        <w:ind w:firstLine="480"/>
        <w:rPr>
          <w:rFonts w:hint="default" w:ascii="Times New Roman" w:hAnsi="Times New Roman" w:cs="Times New Roman"/>
          <w:color w:val="auto"/>
          <w:highlight w:val="none"/>
        </w:rPr>
      </w:pPr>
      <w:r>
        <w:rPr>
          <w:rFonts w:hint="default" w:ascii="Times New Roman" w:hAnsi="Times New Roman" w:cs="Times New Roman"/>
          <w:snapToGrid w:val="0"/>
          <w:color w:val="auto"/>
          <w:highlight w:val="none"/>
        </w:rPr>
        <w:t>建设内容：拟建项目修复历史遗留废弃矿山共计12个，其中包括露天采石场8个、</w:t>
      </w:r>
      <w:r>
        <w:rPr>
          <w:rFonts w:hint="default" w:ascii="Times New Roman" w:hAnsi="Times New Roman" w:cs="Times New Roman"/>
          <w:snapToGrid w:val="0"/>
          <w:color w:val="auto"/>
          <w:highlight w:val="none"/>
          <w:lang w:eastAsia="zh-CN"/>
        </w:rPr>
        <w:t>煤矿工业广场2个、矸石堆场2个</w:t>
      </w:r>
      <w:r>
        <w:rPr>
          <w:rFonts w:hint="default" w:ascii="Times New Roman" w:hAnsi="Times New Roman" w:cs="Times New Roman"/>
          <w:snapToGrid w:val="0"/>
          <w:color w:val="auto"/>
          <w:highlight w:val="none"/>
        </w:rPr>
        <w:t>，结合每一处修复场地实际情况，制定专属修复方案，涉及的修复工程内容主要包括清理工程、场地平整工程、回填工程、挡土墙工程、截排水沟工程和植被恢复工程等。</w:t>
      </w:r>
      <w:r>
        <w:rPr>
          <w:rFonts w:hint="default" w:ascii="Times New Roman" w:hAnsi="Times New Roman" w:cs="Times New Roman"/>
          <w:color w:val="auto"/>
          <w:highlight w:val="none"/>
        </w:rPr>
        <w:t>回填结束后，根据《一般工业固体废物贮存和填埋污染控制标准》（GB 18599-2020）及《土地复垦质量控制标准》（TD/T1036-2013）规定的相关土地复垦质量控制要求，在回填压实完成的基础上表层覆土，厚度80cm（包含表土层厚30cm），覆土后利用自然降水、机械压实等方法让土壤沉降，使土壤密实度达到80%左右，最终恢复成</w:t>
      </w:r>
      <w:r>
        <w:rPr>
          <w:rFonts w:hint="eastAsia" w:cs="Times New Roman"/>
          <w:color w:val="auto"/>
          <w:highlight w:val="none"/>
          <w:lang w:val="en-US" w:eastAsia="zh-CN"/>
        </w:rPr>
        <w:t>建设用地和</w:t>
      </w:r>
      <w:r>
        <w:rPr>
          <w:rFonts w:hint="default" w:ascii="Times New Roman" w:hAnsi="Times New Roman" w:cs="Times New Roman"/>
          <w:color w:val="auto"/>
          <w:highlight w:val="none"/>
          <w:lang w:val="en-US" w:eastAsia="zh-CN"/>
        </w:rPr>
        <w:t>林</w:t>
      </w:r>
      <w:r>
        <w:rPr>
          <w:rFonts w:hint="default" w:ascii="Times New Roman" w:hAnsi="Times New Roman" w:cs="Times New Roman"/>
          <w:color w:val="auto"/>
          <w:highlight w:val="none"/>
        </w:rPr>
        <w:t>地。</w:t>
      </w:r>
    </w:p>
    <w:p w14:paraId="01AD8240">
      <w:pPr>
        <w:pStyle w:val="25"/>
        <w:keepNext w:val="0"/>
        <w:pageBreakBefore w:val="0"/>
        <w:kinsoku/>
        <w:wordWrap/>
        <w:overflowPunct/>
        <w:topLinePunct w:val="0"/>
        <w:autoSpaceDE/>
        <w:autoSpaceDN/>
        <w:bidi w:val="0"/>
        <w:adjustRightInd w:val="0"/>
        <w:snapToGrid w:val="0"/>
        <w:spacing w:line="360" w:lineRule="auto"/>
        <w:ind w:firstLine="480"/>
        <w:textAlignment w:val="auto"/>
        <w:rPr>
          <w:rStyle w:val="26"/>
          <w:rFonts w:hint="default" w:ascii="Times New Roman" w:hAnsi="Times New Roman" w:cs="Times New Roman"/>
          <w:color w:val="auto"/>
          <w:highlight w:val="none"/>
        </w:rPr>
      </w:pPr>
      <w:r>
        <w:rPr>
          <w:rFonts w:hint="default" w:ascii="Times New Roman" w:hAnsi="Times New Roman" w:cs="Times New Roman"/>
          <w:snapToGrid w:val="0"/>
          <w:color w:val="auto"/>
          <w:highlight w:val="none"/>
          <w:lang w:val="en-US" w:eastAsia="zh-CN"/>
        </w:rPr>
        <w:t>施工期</w:t>
      </w:r>
      <w:r>
        <w:rPr>
          <w:rFonts w:hint="default" w:ascii="Times New Roman" w:hAnsi="Times New Roman" w:cs="Times New Roman"/>
          <w:snapToGrid w:val="0"/>
          <w:color w:val="auto"/>
          <w:highlight w:val="none"/>
        </w:rPr>
        <w:t>劳动定员及工作制度：</w:t>
      </w:r>
      <w:r>
        <w:rPr>
          <w:rFonts w:hint="default" w:ascii="Times New Roman" w:hAnsi="Times New Roman" w:cs="Times New Roman"/>
          <w:snapToGrid w:val="0"/>
          <w:color w:val="auto"/>
          <w:highlight w:val="none"/>
          <w:lang w:val="en-US" w:eastAsia="zh-CN"/>
        </w:rPr>
        <w:t>每个项目约10</w:t>
      </w:r>
      <w:r>
        <w:rPr>
          <w:rFonts w:hint="default" w:ascii="Times New Roman" w:hAnsi="Times New Roman" w:cs="Times New Roman"/>
          <w:snapToGrid w:val="0"/>
          <w:color w:val="auto"/>
          <w:highlight w:val="none"/>
        </w:rPr>
        <w:t>人</w:t>
      </w:r>
      <w:r>
        <w:rPr>
          <w:rFonts w:hint="default" w:ascii="Times New Roman" w:hAnsi="Times New Roman" w:cs="Times New Roman"/>
          <w:bCs/>
          <w:color w:val="auto"/>
          <w:highlight w:val="none"/>
        </w:rPr>
        <w:t>，施工现场</w:t>
      </w:r>
      <w:r>
        <w:rPr>
          <w:rFonts w:hint="default" w:ascii="Times New Roman" w:hAnsi="Times New Roman" w:cs="Times New Roman"/>
          <w:color w:val="auto"/>
          <w:highlight w:val="none"/>
        </w:rPr>
        <w:t>不设生活区。</w:t>
      </w:r>
      <w:bookmarkStart w:id="158" w:name="_Hlk148099561"/>
      <w:r>
        <w:rPr>
          <w:rFonts w:hint="default" w:ascii="Times New Roman" w:hAnsi="Times New Roman" w:cs="Times New Roman"/>
          <w:bCs/>
          <w:color w:val="auto"/>
          <w:highlight w:val="none"/>
        </w:rPr>
        <w:t>年工作</w:t>
      </w:r>
      <w:r>
        <w:rPr>
          <w:rFonts w:hint="default" w:ascii="Times New Roman" w:hAnsi="Times New Roman" w:cs="Times New Roman"/>
          <w:bCs/>
          <w:color w:val="auto"/>
          <w:highlight w:val="none"/>
          <w:lang w:val="en-US" w:eastAsia="zh-CN"/>
        </w:rPr>
        <w:t>210</w:t>
      </w:r>
      <w:r>
        <w:rPr>
          <w:rFonts w:hint="default" w:ascii="Times New Roman" w:hAnsi="Times New Roman" w:cs="Times New Roman"/>
          <w:bCs/>
          <w:color w:val="auto"/>
          <w:highlight w:val="none"/>
        </w:rPr>
        <w:t>天，</w:t>
      </w:r>
      <w:r>
        <w:rPr>
          <w:rFonts w:hint="default" w:ascii="Times New Roman" w:hAnsi="Times New Roman" w:cs="Times New Roman"/>
          <w:bCs/>
          <w:color w:val="auto"/>
          <w:highlight w:val="none"/>
          <w:lang w:val="en-US" w:eastAsia="zh-CN"/>
        </w:rPr>
        <w:t>一</w:t>
      </w:r>
      <w:r>
        <w:rPr>
          <w:rFonts w:hint="default" w:ascii="Times New Roman" w:hAnsi="Times New Roman" w:cs="Times New Roman"/>
          <w:bCs/>
          <w:color w:val="auto"/>
          <w:highlight w:val="none"/>
        </w:rPr>
        <w:t>班制</w:t>
      </w:r>
      <w:bookmarkEnd w:id="158"/>
      <w:r>
        <w:rPr>
          <w:rFonts w:hint="default" w:ascii="Times New Roman" w:hAnsi="Times New Roman" w:cs="Times New Roman"/>
          <w:bCs/>
          <w:color w:val="auto"/>
          <w:highlight w:val="none"/>
        </w:rPr>
        <w:t>，</w:t>
      </w:r>
      <w:r>
        <w:rPr>
          <w:rStyle w:val="26"/>
          <w:rFonts w:hint="default" w:ascii="Times New Roman" w:hAnsi="Times New Roman" w:cs="Times New Roman"/>
          <w:color w:val="auto"/>
          <w:highlight w:val="none"/>
        </w:rPr>
        <w:t>每班8小时。</w:t>
      </w:r>
    </w:p>
    <w:p w14:paraId="279E7E0A">
      <w:pPr>
        <w:pStyle w:val="25"/>
        <w:keepNext w:val="0"/>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snapToGrid w:val="0"/>
          <w:color w:val="auto"/>
          <w:highlight w:val="none"/>
        </w:rPr>
      </w:pPr>
      <w:r>
        <w:rPr>
          <w:rFonts w:hint="default" w:ascii="Times New Roman" w:hAnsi="Times New Roman" w:cs="Times New Roman"/>
          <w:bCs/>
          <w:color w:val="auto"/>
          <w:highlight w:val="none"/>
        </w:rPr>
        <w:t>本工程</w:t>
      </w:r>
      <w:r>
        <w:rPr>
          <w:rFonts w:hint="default" w:ascii="Times New Roman" w:hAnsi="Times New Roman" w:cs="Times New Roman"/>
          <w:bCs/>
          <w:color w:val="auto"/>
          <w:highlight w:val="none"/>
          <w:lang w:val="en-US" w:eastAsia="zh-CN"/>
        </w:rPr>
        <w:t>生态恢复期</w:t>
      </w:r>
      <w:r>
        <w:rPr>
          <w:rFonts w:hint="default" w:ascii="Times New Roman" w:hAnsi="Times New Roman" w:cs="Times New Roman"/>
          <w:bCs/>
          <w:color w:val="auto"/>
          <w:highlight w:val="none"/>
        </w:rPr>
        <w:t>由鸡西市城子河区住房和城乡建设局内部调配，定期赴场地进行巡检。</w:t>
      </w:r>
    </w:p>
    <w:p w14:paraId="06560C72">
      <w:pPr>
        <w:pStyle w:val="25"/>
        <w:keepNext w:val="0"/>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建设周期：</w:t>
      </w:r>
      <w:r>
        <w:rPr>
          <w:rFonts w:hint="default" w:ascii="Times New Roman" w:hAnsi="Times New Roman" w:cs="Times New Roman"/>
          <w:color w:val="auto"/>
          <w:highlight w:val="none"/>
        </w:rPr>
        <w:t>项目建设期</w:t>
      </w:r>
      <w:r>
        <w:rPr>
          <w:rFonts w:hint="default" w:ascii="Times New Roman" w:hAnsi="Times New Roman" w:cs="Times New Roman"/>
          <w:color w:val="auto"/>
          <w:highlight w:val="none"/>
          <w:lang w:val="en-US" w:eastAsia="zh-CN"/>
        </w:rPr>
        <w:t>12</w:t>
      </w:r>
      <w:r>
        <w:rPr>
          <w:rFonts w:hint="default" w:ascii="Times New Roman" w:hAnsi="Times New Roman" w:cs="Times New Roman"/>
          <w:color w:val="auto"/>
          <w:highlight w:val="none"/>
        </w:rPr>
        <w:t>个月</w:t>
      </w:r>
      <w:r>
        <w:rPr>
          <w:rFonts w:hint="default" w:ascii="Times New Roman" w:hAnsi="Times New Roman" w:cs="Times New Roman"/>
          <w:snapToGrid w:val="0"/>
          <w:color w:val="auto"/>
          <w:highlight w:val="none"/>
        </w:rPr>
        <w:t>，202</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年</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月至202</w:t>
      </w:r>
      <w:r>
        <w:rPr>
          <w:rFonts w:hint="default" w:ascii="Times New Roman" w:hAnsi="Times New Roman" w:cs="Times New Roman"/>
          <w:snapToGrid w:val="0"/>
          <w:color w:val="auto"/>
          <w:highlight w:val="none"/>
          <w:lang w:val="en-US" w:eastAsia="zh-CN"/>
        </w:rPr>
        <w:t>6</w:t>
      </w:r>
      <w:r>
        <w:rPr>
          <w:rFonts w:hint="default" w:ascii="Times New Roman" w:hAnsi="Times New Roman" w:cs="Times New Roman"/>
          <w:snapToGrid w:val="0"/>
          <w:color w:val="auto"/>
          <w:highlight w:val="none"/>
        </w:rPr>
        <w:t>年</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月。</w:t>
      </w:r>
    </w:p>
    <w:p w14:paraId="2E28177B">
      <w:pPr>
        <w:pStyle w:val="39"/>
        <w:keepNext w:val="0"/>
        <w:pageBreakBefore w:val="0"/>
        <w:kinsoku/>
        <w:wordWrap/>
        <w:overflowPunct/>
        <w:topLinePunct w:val="0"/>
        <w:autoSpaceDE/>
        <w:autoSpaceDN/>
        <w:bidi w:val="0"/>
        <w:adjustRightInd w:val="0"/>
        <w:snapToGrid w:val="0"/>
        <w:spacing w:before="0" w:after="0" w:line="360" w:lineRule="auto"/>
        <w:textAlignment w:val="auto"/>
        <w:rPr>
          <w:rFonts w:hint="default" w:ascii="Times New Roman" w:hAnsi="Times New Roman" w:cs="Times New Roman"/>
          <w:color w:val="auto"/>
          <w:highlight w:val="none"/>
        </w:rPr>
      </w:pPr>
      <w:bookmarkStart w:id="159" w:name="_Toc31171"/>
      <w:bookmarkStart w:id="160" w:name="_Toc15991641"/>
      <w:r>
        <w:rPr>
          <w:rFonts w:hint="default" w:ascii="Times New Roman" w:hAnsi="Times New Roman" w:cs="Times New Roman"/>
          <w:color w:val="auto"/>
          <w:highlight w:val="none"/>
        </w:rPr>
        <w:t>3.1.2现有历史矿山现状</w:t>
      </w:r>
      <w:bookmarkEnd w:id="159"/>
    </w:p>
    <w:p w14:paraId="4C1D6E7B">
      <w:pPr>
        <w:pStyle w:val="5"/>
        <w:bidi w:val="0"/>
        <w:rPr>
          <w:rFonts w:hint="default" w:ascii="Times New Roman" w:hAnsi="Times New Roman" w:cs="Times New Roman"/>
          <w:snapToGrid w:val="0"/>
          <w:color w:val="auto"/>
          <w:highlight w:val="none"/>
        </w:rPr>
      </w:pPr>
      <w:r>
        <w:rPr>
          <w:rFonts w:hint="default" w:ascii="Times New Roman" w:hAnsi="Times New Roman" w:eastAsia="宋体" w:cs="Times New Roman"/>
          <w:color w:val="auto"/>
          <w:highlight w:val="none"/>
        </w:rPr>
        <w:t>3.1.2</w:t>
      </w:r>
      <w:r>
        <w:rPr>
          <w:rFonts w:hint="eastAsia"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现有历史矿山现状</w:t>
      </w:r>
    </w:p>
    <w:p w14:paraId="611933BA">
      <w:pPr>
        <w:pStyle w:val="25"/>
        <w:keepNext w:val="0"/>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本次拟开展历史遗留矿山生态修复项目位于鸡西市城子河区，历史遗留矿山类型包括露天采石场、煤矿工业广场和矸石堆场等，总修复治理面积</w:t>
      </w:r>
      <w:r>
        <w:rPr>
          <w:rFonts w:hint="eastAsia" w:cs="Times New Roman"/>
          <w:snapToGrid w:val="0"/>
          <w:color w:val="auto"/>
          <w:highlight w:val="none"/>
          <w:lang w:eastAsia="zh-CN"/>
        </w:rPr>
        <w:t>26.648</w:t>
      </w:r>
      <w:r>
        <w:rPr>
          <w:rFonts w:hint="default" w:ascii="Times New Roman" w:hAnsi="Times New Roman" w:cs="Times New Roman"/>
          <w:snapToGrid w:val="0"/>
          <w:color w:val="auto"/>
          <w:highlight w:val="none"/>
        </w:rPr>
        <w:t>hm</w:t>
      </w:r>
      <w:r>
        <w:rPr>
          <w:rFonts w:hint="default" w:ascii="Times New Roman" w:hAnsi="Times New Roman" w:cs="Times New Roman"/>
          <w:snapToGrid w:val="0"/>
          <w:color w:val="auto"/>
          <w:highlight w:val="none"/>
          <w:vertAlign w:val="superscript"/>
        </w:rPr>
        <w:t>2</w:t>
      </w:r>
      <w:r>
        <w:rPr>
          <w:rFonts w:hint="default" w:ascii="Times New Roman" w:hAnsi="Times New Roman" w:cs="Times New Roman"/>
          <w:snapToGrid w:val="0"/>
          <w:color w:val="auto"/>
          <w:highlight w:val="none"/>
        </w:rPr>
        <w:t>，拟建项目修复历史遗留废弃矿山共计12个，其中包括露天采石厂8个、煤矿工业广场2个、矸石堆场2个。</w:t>
      </w:r>
    </w:p>
    <w:p w14:paraId="5074BF47">
      <w:pPr>
        <w:pStyle w:val="5"/>
        <w:bidi w:val="0"/>
        <w:rPr>
          <w:rFonts w:hint="eastAsia"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3.1.</w:t>
      </w:r>
      <w:r>
        <w:rPr>
          <w:rFonts w:hint="eastAsia" w:ascii="Times New Roman" w:hAnsi="Times New Roman" w:eastAsia="宋体" w:cs="Times New Roman"/>
          <w:color w:val="auto"/>
          <w:highlight w:val="none"/>
          <w:lang w:val="en-US" w:eastAsia="zh-CN"/>
        </w:rPr>
        <w:t>2.2</w:t>
      </w:r>
      <w:r>
        <w:rPr>
          <w:rFonts w:hint="default" w:ascii="Times New Roman" w:hAnsi="Times New Roman" w:eastAsia="宋体" w:cs="Times New Roman"/>
          <w:color w:val="auto"/>
          <w:highlight w:val="none"/>
        </w:rPr>
        <w:t>现有历史矿山</w:t>
      </w:r>
      <w:r>
        <w:rPr>
          <w:rFonts w:hint="eastAsia" w:ascii="Times New Roman" w:hAnsi="Times New Roman" w:eastAsia="宋体" w:cs="Times New Roman"/>
          <w:color w:val="auto"/>
          <w:highlight w:val="none"/>
          <w:lang w:val="en-US" w:eastAsia="zh-CN"/>
        </w:rPr>
        <w:t>存在环境问题</w:t>
      </w:r>
    </w:p>
    <w:p w14:paraId="67AD1AB6">
      <w:pPr>
        <w:rPr>
          <w:rFonts w:hint="eastAsia" w:ascii="Times New Roman" w:hAnsi="Times New Roman" w:cs="Times New Roman"/>
          <w:snapToGrid w:val="0"/>
          <w:color w:val="auto"/>
          <w:highlight w:val="none"/>
          <w:lang w:eastAsia="zh-CN"/>
        </w:rPr>
      </w:pPr>
      <w:r>
        <w:rPr>
          <w:rFonts w:hint="eastAsia"/>
          <w:color w:val="auto"/>
          <w:lang w:val="en-US" w:eastAsia="zh-CN"/>
        </w:rPr>
        <w:t>本项目共涉及</w:t>
      </w:r>
      <w:r>
        <w:rPr>
          <w:rFonts w:hint="default" w:ascii="Times New Roman" w:hAnsi="Times New Roman" w:cs="Times New Roman"/>
          <w:snapToGrid w:val="0"/>
          <w:color w:val="auto"/>
          <w:highlight w:val="none"/>
        </w:rPr>
        <w:t>历史遗留废弃矿山共计12个，其中包括露天采石厂8个、煤矿工业广场2个、矸石堆场2个</w:t>
      </w:r>
      <w:r>
        <w:rPr>
          <w:rFonts w:hint="eastAsia" w:ascii="Times New Roman" w:hAnsi="Times New Roman" w:cs="Times New Roman"/>
          <w:snapToGrid w:val="0"/>
          <w:color w:val="auto"/>
          <w:highlight w:val="none"/>
          <w:lang w:eastAsia="zh-CN"/>
        </w:rPr>
        <w:t>，</w:t>
      </w:r>
      <w:r>
        <w:rPr>
          <w:rFonts w:hint="default" w:ascii="Times New Roman" w:hAnsi="Times New Roman" w:cs="Times New Roman"/>
          <w:snapToGrid w:val="0"/>
          <w:color w:val="auto"/>
          <w:highlight w:val="none"/>
        </w:rPr>
        <w:t>经现场勘察历史遗留矿山现场无崩塌、滑坡、地面沉陷等地质环境问题</w:t>
      </w:r>
      <w:r>
        <w:rPr>
          <w:rFonts w:hint="eastAsia" w:ascii="Times New Roman" w:hAnsi="Times New Roman" w:cs="Times New Roman"/>
          <w:snapToGrid w:val="0"/>
          <w:color w:val="auto"/>
          <w:highlight w:val="none"/>
          <w:lang w:eastAsia="zh-CN"/>
        </w:rPr>
        <w:t>。</w:t>
      </w:r>
    </w:p>
    <w:p w14:paraId="1D7A38C9">
      <w:pPr>
        <w:rPr>
          <w:rFonts w:hint="eastAsia" w:ascii="Times New Roman" w:hAnsi="Times New Roman"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主要存在的环境问题为：</w:t>
      </w:r>
    </w:p>
    <w:p w14:paraId="13068DF5">
      <w:pPr>
        <w:rPr>
          <w:rFonts w:hint="eastAsia" w:ascii="Times New Roman" w:hAnsi="Times New Roman"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1、</w:t>
      </w:r>
      <w:r>
        <w:rPr>
          <w:rFonts w:hint="default" w:ascii="Times New Roman" w:hAnsi="Times New Roman" w:cs="Times New Roman"/>
          <w:snapToGrid w:val="0"/>
          <w:color w:val="auto"/>
          <w:highlight w:val="none"/>
        </w:rPr>
        <w:t>历史遗留矿山现场</w:t>
      </w:r>
      <w:r>
        <w:rPr>
          <w:rFonts w:hint="eastAsia" w:ascii="Times New Roman" w:hAnsi="Times New Roman" w:cs="Times New Roman"/>
          <w:snapToGrid w:val="0"/>
          <w:color w:val="auto"/>
          <w:highlight w:val="none"/>
          <w:lang w:val="en-US" w:eastAsia="zh-CN"/>
        </w:rPr>
        <w:t>矸石和废土石随意堆放</w:t>
      </w:r>
      <w:r>
        <w:rPr>
          <w:rFonts w:hint="eastAsia" w:cs="Times New Roman"/>
          <w:snapToGrid w:val="0"/>
          <w:color w:val="auto"/>
          <w:highlight w:val="none"/>
          <w:lang w:val="en-US" w:eastAsia="zh-CN"/>
        </w:rPr>
        <w:t>在厂内，堆存量约为</w:t>
      </w:r>
      <w:r>
        <w:rPr>
          <w:rFonts w:hint="default" w:ascii="Times New Roman" w:hAnsi="Times New Roman" w:cs="Times New Roman"/>
          <w:color w:val="auto"/>
          <w:highlight w:val="none"/>
        </w:rPr>
        <w:t>1296.83 m</w:t>
      </w:r>
      <w:r>
        <w:rPr>
          <w:rFonts w:hint="default" w:ascii="Times New Roman" w:hAnsi="Times New Roman" w:cs="Times New Roman"/>
          <w:color w:val="auto"/>
          <w:highlight w:val="none"/>
          <w:vertAlign w:val="superscript"/>
        </w:rPr>
        <w:t>3</w:t>
      </w:r>
      <w:r>
        <w:rPr>
          <w:rFonts w:hint="eastAsia" w:ascii="Times New Roman" w:hAnsi="Times New Roman" w:cs="Times New Roman"/>
          <w:snapToGrid w:val="0"/>
          <w:color w:val="auto"/>
          <w:highlight w:val="none"/>
          <w:lang w:val="en-US" w:eastAsia="zh-CN"/>
        </w:rPr>
        <w:t>，压占土地、影响区域地表水排泄，</w:t>
      </w:r>
      <w:r>
        <w:rPr>
          <w:rFonts w:hint="default" w:ascii="Times New Roman" w:hAnsi="Times New Roman" w:cs="Times New Roman"/>
          <w:color w:val="auto"/>
          <w:highlight w:val="none"/>
        </w:rPr>
        <w:t>严重破坏了区域内的地形地貌景观</w:t>
      </w:r>
    </w:p>
    <w:p w14:paraId="1582A951">
      <w:pPr>
        <w:numPr>
          <w:ilvl w:val="0"/>
          <w:numId w:val="0"/>
        </w:numPr>
        <w:ind w:leftChars="200"/>
        <w:rPr>
          <w:rFonts w:hint="eastAsia" w:ascii="Times New Roman" w:hAnsi="Times New Roman" w:eastAsia="宋体" w:cs="Times New Roman"/>
          <w:snapToGrid w:val="0"/>
          <w:color w:val="auto"/>
          <w:highlight w:val="none"/>
          <w:lang w:val="en-US" w:eastAsia="zh-CN"/>
        </w:rPr>
      </w:pPr>
      <w:r>
        <w:rPr>
          <w:rFonts w:hint="eastAsia" w:ascii="Times New Roman" w:hAnsi="Times New Roman" w:eastAsia="宋体" w:cs="Times New Roman"/>
          <w:snapToGrid w:val="0"/>
          <w:color w:val="auto"/>
          <w:highlight w:val="none"/>
          <w:lang w:val="en-US" w:eastAsia="zh-CN"/>
        </w:rPr>
        <w:t>2、</w:t>
      </w:r>
      <w:r>
        <w:rPr>
          <w:rFonts w:hint="default" w:ascii="Times New Roman" w:hAnsi="Times New Roman" w:eastAsia="宋体" w:cs="Times New Roman"/>
          <w:snapToGrid w:val="0"/>
          <w:color w:val="auto"/>
          <w:highlight w:val="none"/>
          <w:lang w:eastAsia="zh-CN"/>
        </w:rPr>
        <w:t>矿山</w:t>
      </w:r>
      <w:r>
        <w:rPr>
          <w:rFonts w:hint="eastAsia" w:ascii="Times New Roman" w:hAnsi="Times New Roman" w:eastAsia="宋体" w:cs="Times New Roman"/>
          <w:snapToGrid w:val="0"/>
          <w:color w:val="auto"/>
          <w:highlight w:val="none"/>
          <w:lang w:val="en-US" w:eastAsia="zh-CN"/>
        </w:rPr>
        <w:t>长期开采导致裸露开采面无植被存在，加剧了水土流失。</w:t>
      </w:r>
    </w:p>
    <w:p w14:paraId="010F6803">
      <w:pPr>
        <w:pStyle w:val="19"/>
        <w:ind w:left="0" w:leftChars="0" w:firstLine="480" w:firstLineChars="0"/>
        <w:rPr>
          <w:rFonts w:hint="default" w:cs="Times New Roman"/>
          <w:snapToGrid w:val="0"/>
          <w:color w:val="auto"/>
          <w:highlight w:val="none"/>
          <w:lang w:val="en-US" w:eastAsia="zh-CN"/>
        </w:rPr>
      </w:pPr>
      <w:r>
        <w:rPr>
          <w:rFonts w:hint="eastAsia" w:cs="Times New Roman"/>
          <w:snapToGrid w:val="0"/>
          <w:color w:val="auto"/>
          <w:highlight w:val="none"/>
          <w:lang w:val="en-US" w:eastAsia="zh-CN"/>
        </w:rPr>
        <w:t>3、矿山采坑存在积水，主要为降雨产生的，积水量约为1000m</w:t>
      </w:r>
      <w:r>
        <w:rPr>
          <w:rFonts w:hint="eastAsia" w:cs="Times New Roman"/>
          <w:snapToGrid w:val="0"/>
          <w:color w:val="auto"/>
          <w:highlight w:val="none"/>
          <w:vertAlign w:val="superscript"/>
          <w:lang w:val="en-US" w:eastAsia="zh-CN"/>
        </w:rPr>
        <w:t>3</w:t>
      </w:r>
      <w:r>
        <w:rPr>
          <w:rFonts w:hint="eastAsia" w:cs="Times New Roman"/>
          <w:snapToGrid w:val="0"/>
          <w:color w:val="auto"/>
          <w:highlight w:val="none"/>
          <w:lang w:val="en-US" w:eastAsia="zh-CN"/>
        </w:rPr>
        <w:t>。</w:t>
      </w:r>
    </w:p>
    <w:p w14:paraId="60D620C8">
      <w:pPr>
        <w:pStyle w:val="5"/>
        <w:bidi w:val="0"/>
        <w:rPr>
          <w:rFonts w:hint="eastAsia"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3.1.</w:t>
      </w:r>
      <w:r>
        <w:rPr>
          <w:rFonts w:hint="eastAsia" w:ascii="Times New Roman" w:hAnsi="Times New Roman" w:eastAsia="宋体" w:cs="Times New Roman"/>
          <w:color w:val="auto"/>
          <w:highlight w:val="none"/>
          <w:lang w:val="en-US" w:eastAsia="zh-CN"/>
        </w:rPr>
        <w:t>2.3</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以新带老</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措施</w:t>
      </w:r>
    </w:p>
    <w:p w14:paraId="5D13F7CD">
      <w:pPr>
        <w:rPr>
          <w:rFonts w:hint="eastAsia" w:ascii="Times New Roman" w:hAnsi="Times New Roman" w:cs="Times New Roman"/>
          <w:snapToGrid w:val="0"/>
          <w:color w:val="auto"/>
          <w:highlight w:val="none"/>
          <w:lang w:val="en-US" w:eastAsia="zh-CN"/>
        </w:rPr>
      </w:pPr>
      <w:r>
        <w:rPr>
          <w:rFonts w:hint="eastAsia" w:ascii="Times New Roman" w:hAnsi="Times New Roman" w:eastAsia="宋体" w:cs="Times New Roman"/>
          <w:color w:val="auto"/>
          <w:highlight w:val="none"/>
          <w:lang w:val="en-US" w:eastAsia="zh-CN"/>
        </w:rPr>
        <w:t>本次工程通过危岩清理、边坡整形、土石方、矸石回填、平整地面、植被恢复等措施对现有的12处</w:t>
      </w:r>
      <w:r>
        <w:rPr>
          <w:rFonts w:hint="default" w:ascii="Times New Roman" w:hAnsi="Times New Roman" w:cs="Times New Roman"/>
          <w:snapToGrid w:val="0"/>
          <w:color w:val="auto"/>
          <w:highlight w:val="none"/>
        </w:rPr>
        <w:t>历史遗留废弃矿山</w:t>
      </w:r>
      <w:r>
        <w:rPr>
          <w:rFonts w:hint="eastAsia" w:ascii="Times New Roman" w:hAnsi="Times New Roman" w:cs="Times New Roman"/>
          <w:snapToGrid w:val="0"/>
          <w:color w:val="auto"/>
          <w:highlight w:val="none"/>
          <w:lang w:val="en-US" w:eastAsia="zh-CN"/>
        </w:rPr>
        <w:t>进行修复。将现有厂区内堆放的土方、矸石回填矿山后平整场地，通过种植植被、草地等方式进行复垦。</w:t>
      </w:r>
    </w:p>
    <w:p w14:paraId="3EEA8EB2">
      <w:pPr>
        <w:pStyle w:val="25"/>
        <w:keepNext w:val="0"/>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本次拟开展历史遗留矿山基本情况和现场踏查情况详见表3-1-1和表3-1-2。</w:t>
      </w:r>
    </w:p>
    <w:p w14:paraId="47F284FA">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表3-1-1  历史遗留矿山基本情况一览表</w:t>
      </w:r>
    </w:p>
    <w:tbl>
      <w:tblPr>
        <w:tblStyle w:val="20"/>
        <w:tblW w:w="4914"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581"/>
        <w:gridCol w:w="1610"/>
        <w:gridCol w:w="1573"/>
        <w:gridCol w:w="1461"/>
        <w:gridCol w:w="1073"/>
        <w:gridCol w:w="1131"/>
        <w:gridCol w:w="946"/>
      </w:tblGrid>
      <w:tr w14:paraId="5EC17B7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63" w:hRule="atLeast"/>
          <w:tblHeader/>
        </w:trPr>
        <w:tc>
          <w:tcPr>
            <w:tcW w:w="351" w:type="pct"/>
            <w:vMerge w:val="restart"/>
            <w:tcBorders>
              <w:tl2br w:val="nil"/>
              <w:tr2bl w:val="nil"/>
            </w:tcBorders>
            <w:vAlign w:val="center"/>
          </w:tcPr>
          <w:p w14:paraId="57D4083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编号</w:t>
            </w:r>
          </w:p>
        </w:tc>
        <w:tc>
          <w:tcPr>
            <w:tcW w:w="965" w:type="pct"/>
            <w:vMerge w:val="restart"/>
            <w:tcBorders>
              <w:right w:val="single" w:color="auto" w:sz="4" w:space="0"/>
              <w:tl2br w:val="nil"/>
              <w:tr2bl w:val="nil"/>
            </w:tcBorders>
            <w:vAlign w:val="center"/>
          </w:tcPr>
          <w:p w14:paraId="52198FF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矿山名称</w:t>
            </w:r>
          </w:p>
        </w:tc>
        <w:tc>
          <w:tcPr>
            <w:tcW w:w="1819" w:type="pct"/>
            <w:gridSpan w:val="2"/>
            <w:tcBorders>
              <w:left w:val="single" w:color="auto" w:sz="4" w:space="0"/>
              <w:tl2br w:val="nil"/>
              <w:tr2bl w:val="nil"/>
            </w:tcBorders>
            <w:vAlign w:val="center"/>
          </w:tcPr>
          <w:p w14:paraId="6AE8730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中心点坐标</w:t>
            </w:r>
          </w:p>
        </w:tc>
        <w:tc>
          <w:tcPr>
            <w:tcW w:w="644" w:type="pct"/>
            <w:vMerge w:val="restart"/>
            <w:tcBorders>
              <w:left w:val="single" w:color="auto" w:sz="4" w:space="0"/>
              <w:tl2br w:val="nil"/>
              <w:tr2bl w:val="nil"/>
            </w:tcBorders>
            <w:vAlign w:val="center"/>
          </w:tcPr>
          <w:p w14:paraId="75919EB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治理面积（hm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p>
        </w:tc>
        <w:tc>
          <w:tcPr>
            <w:tcW w:w="650" w:type="pct"/>
            <w:vMerge w:val="restart"/>
            <w:tcBorders>
              <w:left w:val="single" w:color="auto" w:sz="4" w:space="0"/>
              <w:tl2br w:val="nil"/>
              <w:tr2bl w:val="nil"/>
            </w:tcBorders>
            <w:vAlign w:val="center"/>
          </w:tcPr>
          <w:p w14:paraId="36DB2D06">
            <w:pPr>
              <w:pStyle w:val="44"/>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复垦目标</w:t>
            </w:r>
          </w:p>
        </w:tc>
        <w:tc>
          <w:tcPr>
            <w:tcW w:w="568" w:type="pct"/>
            <w:vMerge w:val="restart"/>
            <w:tcBorders>
              <w:left w:val="single" w:color="auto" w:sz="4" w:space="0"/>
              <w:tl2br w:val="nil"/>
              <w:tr2bl w:val="nil"/>
            </w:tcBorders>
            <w:vAlign w:val="center"/>
          </w:tcPr>
          <w:p w14:paraId="1233510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类型</w:t>
            </w:r>
          </w:p>
        </w:tc>
      </w:tr>
      <w:tr w14:paraId="6BECBBF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43" w:hRule="atLeast"/>
          <w:tblHeader/>
        </w:trPr>
        <w:tc>
          <w:tcPr>
            <w:tcW w:w="351" w:type="pct"/>
            <w:vMerge w:val="continue"/>
            <w:tcBorders>
              <w:tl2br w:val="nil"/>
              <w:tr2bl w:val="nil"/>
            </w:tcBorders>
            <w:vAlign w:val="center"/>
          </w:tcPr>
          <w:p w14:paraId="66F38A3C">
            <w:pPr>
              <w:pStyle w:val="44"/>
              <w:bidi w:val="0"/>
              <w:rPr>
                <w:rFonts w:hint="default" w:ascii="Times New Roman" w:hAnsi="Times New Roman" w:cs="Times New Roman"/>
                <w:color w:val="auto"/>
                <w:highlight w:val="none"/>
              </w:rPr>
            </w:pPr>
          </w:p>
        </w:tc>
        <w:tc>
          <w:tcPr>
            <w:tcW w:w="965" w:type="pct"/>
            <w:vMerge w:val="continue"/>
            <w:tcBorders>
              <w:right w:val="single" w:color="auto" w:sz="4" w:space="0"/>
              <w:tl2br w:val="nil"/>
              <w:tr2bl w:val="nil"/>
            </w:tcBorders>
            <w:vAlign w:val="center"/>
          </w:tcPr>
          <w:p w14:paraId="35E23819">
            <w:pPr>
              <w:pStyle w:val="44"/>
              <w:bidi w:val="0"/>
              <w:rPr>
                <w:rFonts w:hint="default" w:ascii="Times New Roman" w:hAnsi="Times New Roman" w:cs="Times New Roman"/>
                <w:color w:val="auto"/>
                <w:highlight w:val="none"/>
              </w:rPr>
            </w:pPr>
          </w:p>
        </w:tc>
        <w:tc>
          <w:tcPr>
            <w:tcW w:w="943" w:type="pct"/>
            <w:tcBorders>
              <w:left w:val="single" w:color="auto" w:sz="4" w:space="0"/>
              <w:tl2br w:val="nil"/>
              <w:tr2bl w:val="nil"/>
            </w:tcBorders>
            <w:vAlign w:val="center"/>
          </w:tcPr>
          <w:p w14:paraId="32DF4E3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东经（°）</w:t>
            </w:r>
          </w:p>
        </w:tc>
        <w:tc>
          <w:tcPr>
            <w:tcW w:w="875" w:type="pct"/>
            <w:tcBorders>
              <w:left w:val="single" w:color="auto" w:sz="4" w:space="0"/>
              <w:tl2br w:val="nil"/>
              <w:tr2bl w:val="nil"/>
            </w:tcBorders>
            <w:vAlign w:val="center"/>
          </w:tcPr>
          <w:p w14:paraId="37B682A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北纬（°）</w:t>
            </w:r>
          </w:p>
        </w:tc>
        <w:tc>
          <w:tcPr>
            <w:tcW w:w="644" w:type="pct"/>
            <w:vMerge w:val="continue"/>
            <w:tcBorders>
              <w:left w:val="single" w:color="auto" w:sz="4" w:space="0"/>
              <w:tl2br w:val="nil"/>
              <w:tr2bl w:val="nil"/>
            </w:tcBorders>
            <w:vAlign w:val="center"/>
          </w:tcPr>
          <w:p w14:paraId="4D0135B4">
            <w:pPr>
              <w:pStyle w:val="44"/>
              <w:bidi w:val="0"/>
              <w:rPr>
                <w:rFonts w:hint="default" w:ascii="Times New Roman" w:hAnsi="Times New Roman" w:cs="Times New Roman"/>
                <w:color w:val="auto"/>
                <w:highlight w:val="none"/>
              </w:rPr>
            </w:pPr>
          </w:p>
        </w:tc>
        <w:tc>
          <w:tcPr>
            <w:tcW w:w="650" w:type="pct"/>
            <w:vMerge w:val="continue"/>
            <w:tcBorders>
              <w:left w:val="single" w:color="auto" w:sz="4" w:space="0"/>
              <w:tl2br w:val="nil"/>
              <w:tr2bl w:val="nil"/>
            </w:tcBorders>
            <w:vAlign w:val="center"/>
          </w:tcPr>
          <w:p w14:paraId="00DE7C93">
            <w:pPr>
              <w:pStyle w:val="44"/>
              <w:bidi w:val="0"/>
              <w:rPr>
                <w:rFonts w:hint="default" w:ascii="Times New Roman" w:hAnsi="Times New Roman" w:cs="Times New Roman"/>
                <w:color w:val="auto"/>
                <w:highlight w:val="none"/>
              </w:rPr>
            </w:pPr>
          </w:p>
        </w:tc>
        <w:tc>
          <w:tcPr>
            <w:tcW w:w="568" w:type="pct"/>
            <w:vMerge w:val="continue"/>
            <w:tcBorders>
              <w:left w:val="single" w:color="auto" w:sz="4" w:space="0"/>
              <w:tl2br w:val="nil"/>
              <w:tr2bl w:val="nil"/>
            </w:tcBorders>
            <w:vAlign w:val="center"/>
          </w:tcPr>
          <w:p w14:paraId="3E34F024">
            <w:pPr>
              <w:pStyle w:val="44"/>
              <w:bidi w:val="0"/>
              <w:rPr>
                <w:rFonts w:hint="default" w:ascii="Times New Roman" w:hAnsi="Times New Roman" w:cs="Times New Roman"/>
                <w:color w:val="auto"/>
                <w:highlight w:val="none"/>
              </w:rPr>
            </w:pPr>
          </w:p>
        </w:tc>
      </w:tr>
      <w:tr w14:paraId="50B04BD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382" w:hRule="atLeast"/>
        </w:trPr>
        <w:tc>
          <w:tcPr>
            <w:tcW w:w="351" w:type="pct"/>
            <w:tcBorders>
              <w:tl2br w:val="nil"/>
              <w:tr2bl w:val="nil"/>
            </w:tcBorders>
            <w:vAlign w:val="center"/>
          </w:tcPr>
          <w:p w14:paraId="3BD3BF5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965" w:type="pct"/>
            <w:tcBorders>
              <w:right w:val="single" w:color="auto" w:sz="4" w:space="0"/>
              <w:tl2br w:val="nil"/>
              <w:tr2bl w:val="nil"/>
            </w:tcBorders>
            <w:vAlign w:val="center"/>
          </w:tcPr>
          <w:p w14:paraId="5C99CEE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鸡西市城子河区兴顺采石场</w:t>
            </w:r>
          </w:p>
        </w:tc>
        <w:tc>
          <w:tcPr>
            <w:tcW w:w="943" w:type="pct"/>
            <w:tcBorders>
              <w:left w:val="single" w:color="auto" w:sz="4" w:space="0"/>
              <w:tl2br w:val="nil"/>
              <w:tr2bl w:val="nil"/>
            </w:tcBorders>
            <w:vAlign w:val="center"/>
          </w:tcPr>
          <w:p w14:paraId="739BED1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131.0132611</w:t>
            </w:r>
          </w:p>
        </w:tc>
        <w:tc>
          <w:tcPr>
            <w:tcW w:w="875" w:type="pct"/>
            <w:tcBorders>
              <w:left w:val="single" w:color="auto" w:sz="4" w:space="0"/>
              <w:tl2br w:val="nil"/>
              <w:tr2bl w:val="nil"/>
            </w:tcBorders>
            <w:vAlign w:val="center"/>
          </w:tcPr>
          <w:p w14:paraId="3F87A39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45.40681153</w:t>
            </w:r>
          </w:p>
        </w:tc>
        <w:tc>
          <w:tcPr>
            <w:tcW w:w="644" w:type="pct"/>
            <w:tcBorders>
              <w:left w:val="single" w:color="auto" w:sz="4" w:space="0"/>
              <w:tl2br w:val="nil"/>
              <w:tr2bl w:val="nil"/>
            </w:tcBorders>
            <w:vAlign w:val="center"/>
          </w:tcPr>
          <w:p w14:paraId="0352EF9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4.62</w:t>
            </w:r>
          </w:p>
        </w:tc>
        <w:tc>
          <w:tcPr>
            <w:tcW w:w="650" w:type="pct"/>
            <w:tcBorders>
              <w:left w:val="single" w:color="auto" w:sz="4" w:space="0"/>
              <w:tl2br w:val="nil"/>
              <w:tr2bl w:val="nil"/>
            </w:tcBorders>
            <w:vAlign w:val="center"/>
          </w:tcPr>
          <w:p w14:paraId="30E39459">
            <w:pPr>
              <w:pStyle w:val="44"/>
              <w:bidi w:val="0"/>
              <w:jc w:val="both"/>
              <w:rPr>
                <w:rFonts w:hint="default" w:ascii="Times New Roman" w:hAnsi="Times New Roman" w:cs="Times New Roman"/>
                <w:color w:val="auto"/>
                <w:highlight w:val="none"/>
              </w:rPr>
            </w:pPr>
            <w:r>
              <w:rPr>
                <w:rFonts w:hint="eastAsia" w:ascii="Times New Roman" w:hAnsi="Times New Roman" w:eastAsia="宋体" w:cs="Times New Roman"/>
                <w:color w:val="auto"/>
                <w:highlight w:val="none"/>
                <w:lang w:val="en-US" w:eastAsia="zh-CN"/>
              </w:rPr>
              <w:t>复垦</w:t>
            </w:r>
            <w:r>
              <w:rPr>
                <w:rFonts w:hint="default" w:ascii="Times New Roman" w:hAnsi="Times New Roman" w:eastAsia="宋体" w:cs="Times New Roman"/>
                <w:color w:val="auto"/>
                <w:highlight w:val="none"/>
              </w:rPr>
              <w:t>建设用地</w:t>
            </w:r>
            <w:r>
              <w:rPr>
                <w:rFonts w:hint="default" w:ascii="Times New Roman" w:hAnsi="Times New Roman" w:eastAsia="宋体" w:cs="Times New Roman"/>
                <w:color w:val="auto"/>
                <w:highlight w:val="none"/>
                <w:lang w:val="en-US" w:eastAsia="en-US"/>
              </w:rPr>
              <w:t>3.89hm</w:t>
            </w:r>
            <w:r>
              <w:rPr>
                <w:rFonts w:ascii="Times New Roman" w:hAnsi="Times New Roman" w:eastAsia="Times New Roman" w:cs="Times New Roman"/>
                <w:color w:val="auto"/>
                <w:spacing w:val="0"/>
                <w:w w:val="100"/>
                <w:position w:val="0"/>
                <w:sz w:val="24"/>
                <w:szCs w:val="24"/>
                <w:vertAlign w:val="superscript"/>
                <w:lang w:val="en-US" w:eastAsia="en-US" w:bidi="en-US"/>
              </w:rPr>
              <w:t>2</w:t>
            </w:r>
            <w:r>
              <w:rPr>
                <w:rFonts w:hint="default" w:ascii="Times New Roman" w:hAnsi="Times New Roman" w:eastAsia="宋体" w:cs="Times New Roman"/>
                <w:color w:val="auto"/>
                <w:highlight w:val="none"/>
                <w:lang w:val="en-US" w:eastAsia="en-US"/>
              </w:rPr>
              <w:t>,</w:t>
            </w:r>
            <w:r>
              <w:rPr>
                <w:rFonts w:hint="default" w:ascii="Times New Roman" w:hAnsi="Times New Roman" w:eastAsia="宋体" w:cs="Times New Roman"/>
                <w:color w:val="auto"/>
                <w:highlight w:val="none"/>
              </w:rPr>
              <w:t xml:space="preserve">林地 </w:t>
            </w:r>
            <w:r>
              <w:rPr>
                <w:rFonts w:hint="default" w:ascii="Times New Roman" w:hAnsi="Times New Roman" w:eastAsia="宋体" w:cs="Times New Roman"/>
                <w:color w:val="auto"/>
                <w:highlight w:val="none"/>
                <w:lang w:val="en-US" w:eastAsia="en-US"/>
              </w:rPr>
              <w:t>0.73hm</w:t>
            </w:r>
            <w:r>
              <w:rPr>
                <w:rFonts w:ascii="Times New Roman" w:hAnsi="Times New Roman" w:eastAsia="Times New Roman" w:cs="Times New Roman"/>
                <w:color w:val="auto"/>
                <w:spacing w:val="0"/>
                <w:w w:val="100"/>
                <w:position w:val="0"/>
                <w:sz w:val="24"/>
                <w:szCs w:val="24"/>
                <w:vertAlign w:val="superscript"/>
                <w:lang w:val="en-US" w:eastAsia="en-US" w:bidi="en-US"/>
              </w:rPr>
              <w:t>2</w:t>
            </w:r>
          </w:p>
        </w:tc>
        <w:tc>
          <w:tcPr>
            <w:tcW w:w="568" w:type="pct"/>
            <w:tcBorders>
              <w:left w:val="single" w:color="auto" w:sz="4" w:space="0"/>
              <w:tl2br w:val="nil"/>
              <w:tr2bl w:val="nil"/>
            </w:tcBorders>
            <w:vAlign w:val="center"/>
          </w:tcPr>
          <w:p w14:paraId="2000261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露天采石场</w:t>
            </w:r>
          </w:p>
        </w:tc>
      </w:tr>
      <w:tr w14:paraId="133D676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02" w:hRule="atLeast"/>
        </w:trPr>
        <w:tc>
          <w:tcPr>
            <w:tcW w:w="351" w:type="pct"/>
            <w:tcBorders>
              <w:tl2br w:val="nil"/>
              <w:tr2bl w:val="nil"/>
            </w:tcBorders>
            <w:vAlign w:val="center"/>
          </w:tcPr>
          <w:p w14:paraId="2BB6040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14#</w:t>
            </w:r>
          </w:p>
        </w:tc>
        <w:tc>
          <w:tcPr>
            <w:tcW w:w="965" w:type="pct"/>
            <w:tcBorders>
              <w:right w:val="single" w:color="auto" w:sz="4" w:space="0"/>
              <w:tl2br w:val="nil"/>
              <w:tr2bl w:val="nil"/>
            </w:tcBorders>
            <w:vAlign w:val="center"/>
          </w:tcPr>
          <w:p w14:paraId="596F36C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鸡西市城子河区城东一队废弃采石场</w:t>
            </w:r>
          </w:p>
        </w:tc>
        <w:tc>
          <w:tcPr>
            <w:tcW w:w="943" w:type="pct"/>
            <w:tcBorders>
              <w:left w:val="single" w:color="auto" w:sz="4" w:space="0"/>
              <w:tl2br w:val="nil"/>
              <w:tr2bl w:val="nil"/>
            </w:tcBorders>
            <w:vAlign w:val="center"/>
          </w:tcPr>
          <w:p w14:paraId="333560D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131.009624</w:t>
            </w:r>
          </w:p>
        </w:tc>
        <w:tc>
          <w:tcPr>
            <w:tcW w:w="875" w:type="pct"/>
            <w:tcBorders>
              <w:left w:val="single" w:color="auto" w:sz="4" w:space="0"/>
              <w:tl2br w:val="nil"/>
              <w:tr2bl w:val="nil"/>
            </w:tcBorders>
            <w:vAlign w:val="center"/>
          </w:tcPr>
          <w:p w14:paraId="30834CC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45.38068321</w:t>
            </w:r>
          </w:p>
        </w:tc>
        <w:tc>
          <w:tcPr>
            <w:tcW w:w="644" w:type="pct"/>
            <w:tcBorders>
              <w:left w:val="single" w:color="auto" w:sz="4" w:space="0"/>
              <w:tl2br w:val="nil"/>
              <w:tr2bl w:val="nil"/>
            </w:tcBorders>
            <w:vAlign w:val="center"/>
          </w:tcPr>
          <w:p w14:paraId="4FC3392D">
            <w:pPr>
              <w:pStyle w:val="44"/>
              <w:bidi w:val="0"/>
              <w:rPr>
                <w:rFonts w:hint="eastAsia" w:ascii="Times New Roman" w:hAnsi="Times New Roman" w:eastAsia="宋体" w:cs="Times New Roman"/>
                <w:color w:val="auto"/>
                <w:highlight w:val="none"/>
                <w:lang w:eastAsia="zh-CN"/>
              </w:rPr>
            </w:pPr>
            <w:r>
              <w:rPr>
                <w:rFonts w:hint="eastAsia" w:cs="Times New Roman"/>
                <w:color w:val="auto"/>
                <w:highlight w:val="none"/>
                <w:lang w:eastAsia="zh-CN"/>
              </w:rPr>
              <w:t>2.5</w:t>
            </w:r>
          </w:p>
        </w:tc>
        <w:tc>
          <w:tcPr>
            <w:tcW w:w="650" w:type="pct"/>
            <w:tcBorders>
              <w:left w:val="single" w:color="auto" w:sz="4" w:space="0"/>
              <w:tl2br w:val="nil"/>
              <w:tr2bl w:val="nil"/>
            </w:tcBorders>
            <w:vAlign w:val="center"/>
          </w:tcPr>
          <w:p w14:paraId="2FA1B3D9">
            <w:pPr>
              <w:pStyle w:val="44"/>
              <w:bidi w:val="0"/>
              <w:rPr>
                <w:rFonts w:hint="default" w:ascii="Times New Roman" w:hAnsi="Times New Roman" w:cs="Times New Roman"/>
                <w:color w:val="auto"/>
                <w:highlight w:val="none"/>
              </w:rPr>
            </w:pPr>
            <w:r>
              <w:rPr>
                <w:rFonts w:hint="eastAsia" w:cs="Times New Roman"/>
                <w:color w:val="auto"/>
                <w:highlight w:val="none"/>
                <w:lang w:val="en-US" w:eastAsia="zh-CN"/>
              </w:rPr>
              <w:t>建设用地1.57hm</w:t>
            </w:r>
            <w:r>
              <w:rPr>
                <w:rFonts w:hint="eastAsia" w:cs="Times New Roman"/>
                <w:color w:val="auto"/>
                <w:highlight w:val="none"/>
                <w:vertAlign w:val="superscript"/>
                <w:lang w:val="en-US" w:eastAsia="zh-CN"/>
              </w:rPr>
              <w:t>2</w:t>
            </w:r>
            <w:r>
              <w:rPr>
                <w:rFonts w:hint="eastAsia" w:cs="Times New Roman"/>
                <w:color w:val="auto"/>
                <w:highlight w:val="none"/>
                <w:lang w:val="en-US" w:eastAsia="zh-CN"/>
              </w:rPr>
              <w:t>，绿地0.93hm</w:t>
            </w:r>
            <w:r>
              <w:rPr>
                <w:rFonts w:hint="eastAsia" w:cs="Times New Roman"/>
                <w:color w:val="auto"/>
                <w:highlight w:val="none"/>
                <w:vertAlign w:val="superscript"/>
                <w:lang w:val="en-US" w:eastAsia="zh-CN"/>
              </w:rPr>
              <w:t>2</w:t>
            </w:r>
          </w:p>
        </w:tc>
        <w:tc>
          <w:tcPr>
            <w:tcW w:w="568" w:type="pct"/>
            <w:tcBorders>
              <w:left w:val="single" w:color="auto" w:sz="4" w:space="0"/>
              <w:tl2br w:val="nil"/>
              <w:tr2bl w:val="nil"/>
            </w:tcBorders>
            <w:vAlign w:val="center"/>
          </w:tcPr>
          <w:p w14:paraId="641C1E2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露天采石场</w:t>
            </w:r>
          </w:p>
        </w:tc>
      </w:tr>
      <w:tr w14:paraId="2A1C5B3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02" w:hRule="atLeast"/>
        </w:trPr>
        <w:tc>
          <w:tcPr>
            <w:tcW w:w="351" w:type="pct"/>
            <w:tcBorders>
              <w:tl2br w:val="nil"/>
              <w:tr2bl w:val="nil"/>
            </w:tcBorders>
            <w:vAlign w:val="center"/>
          </w:tcPr>
          <w:p w14:paraId="4A34C5D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15#</w:t>
            </w:r>
          </w:p>
        </w:tc>
        <w:tc>
          <w:tcPr>
            <w:tcW w:w="965" w:type="pct"/>
            <w:tcBorders>
              <w:right w:val="single" w:color="auto" w:sz="4" w:space="0"/>
              <w:tl2br w:val="nil"/>
              <w:tr2bl w:val="nil"/>
            </w:tcBorders>
            <w:vAlign w:val="center"/>
          </w:tcPr>
          <w:p w14:paraId="534F0C3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鸡西市城子河区城东一队东0.2km废弃采石场</w:t>
            </w:r>
          </w:p>
        </w:tc>
        <w:tc>
          <w:tcPr>
            <w:tcW w:w="943" w:type="pct"/>
            <w:tcBorders>
              <w:left w:val="single" w:color="auto" w:sz="4" w:space="0"/>
              <w:tl2br w:val="nil"/>
              <w:tr2bl w:val="nil"/>
            </w:tcBorders>
            <w:vAlign w:val="center"/>
          </w:tcPr>
          <w:p w14:paraId="3E5ECBE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131.0089588</w:t>
            </w:r>
          </w:p>
        </w:tc>
        <w:tc>
          <w:tcPr>
            <w:tcW w:w="875" w:type="pct"/>
            <w:tcBorders>
              <w:left w:val="single" w:color="auto" w:sz="4" w:space="0"/>
              <w:tl2br w:val="nil"/>
              <w:tr2bl w:val="nil"/>
            </w:tcBorders>
            <w:vAlign w:val="center"/>
          </w:tcPr>
          <w:p w14:paraId="37CCBB2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45.37872385</w:t>
            </w:r>
          </w:p>
        </w:tc>
        <w:tc>
          <w:tcPr>
            <w:tcW w:w="644" w:type="pct"/>
            <w:tcBorders>
              <w:left w:val="single" w:color="auto" w:sz="4" w:space="0"/>
              <w:tl2br w:val="nil"/>
              <w:tr2bl w:val="nil"/>
            </w:tcBorders>
            <w:vAlign w:val="center"/>
          </w:tcPr>
          <w:p w14:paraId="2E6F229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1.36</w:t>
            </w:r>
          </w:p>
        </w:tc>
        <w:tc>
          <w:tcPr>
            <w:tcW w:w="650" w:type="pct"/>
            <w:tcBorders>
              <w:left w:val="single" w:color="auto" w:sz="4" w:space="0"/>
              <w:tl2br w:val="nil"/>
              <w:tr2bl w:val="nil"/>
            </w:tcBorders>
            <w:vAlign w:val="center"/>
          </w:tcPr>
          <w:p w14:paraId="737484E2">
            <w:pPr>
              <w:pStyle w:val="44"/>
              <w:bidi w:val="0"/>
              <w:rPr>
                <w:rFonts w:hint="default" w:ascii="Times New Roman" w:hAnsi="Times New Roman" w:cs="Times New Roman"/>
                <w:color w:val="auto"/>
                <w:highlight w:val="none"/>
              </w:rPr>
            </w:pPr>
            <w:r>
              <w:rPr>
                <w:rFonts w:hint="eastAsia" w:cs="Times New Roman"/>
                <w:color w:val="auto"/>
                <w:highlight w:val="none"/>
                <w:lang w:val="en-US" w:eastAsia="zh-CN"/>
              </w:rPr>
              <w:t>建设用地0.49hm</w:t>
            </w:r>
            <w:r>
              <w:rPr>
                <w:rFonts w:hint="eastAsia" w:cs="Times New Roman"/>
                <w:color w:val="auto"/>
                <w:highlight w:val="none"/>
                <w:vertAlign w:val="superscript"/>
                <w:lang w:val="en-US" w:eastAsia="zh-CN"/>
              </w:rPr>
              <w:t>2</w:t>
            </w:r>
            <w:r>
              <w:rPr>
                <w:rFonts w:hint="eastAsia" w:cs="Times New Roman"/>
                <w:color w:val="auto"/>
                <w:highlight w:val="none"/>
                <w:lang w:val="en-US" w:eastAsia="zh-CN"/>
              </w:rPr>
              <w:t>，绿地0.87hm</w:t>
            </w:r>
            <w:r>
              <w:rPr>
                <w:rFonts w:hint="eastAsia" w:cs="Times New Roman"/>
                <w:color w:val="auto"/>
                <w:highlight w:val="none"/>
                <w:vertAlign w:val="superscript"/>
                <w:lang w:val="en-US" w:eastAsia="zh-CN"/>
              </w:rPr>
              <w:t>2</w:t>
            </w:r>
          </w:p>
        </w:tc>
        <w:tc>
          <w:tcPr>
            <w:tcW w:w="568" w:type="pct"/>
            <w:tcBorders>
              <w:left w:val="single" w:color="auto" w:sz="4" w:space="0"/>
              <w:tl2br w:val="nil"/>
              <w:tr2bl w:val="nil"/>
            </w:tcBorders>
            <w:vAlign w:val="center"/>
          </w:tcPr>
          <w:p w14:paraId="14EBB7C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露天采石场</w:t>
            </w:r>
          </w:p>
        </w:tc>
      </w:tr>
      <w:tr w14:paraId="14ACD91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02" w:hRule="atLeast"/>
        </w:trPr>
        <w:tc>
          <w:tcPr>
            <w:tcW w:w="351" w:type="pct"/>
            <w:tcBorders>
              <w:tl2br w:val="nil"/>
              <w:tr2bl w:val="nil"/>
            </w:tcBorders>
            <w:vAlign w:val="center"/>
          </w:tcPr>
          <w:p w14:paraId="32B0B39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16#</w:t>
            </w:r>
          </w:p>
        </w:tc>
        <w:tc>
          <w:tcPr>
            <w:tcW w:w="965" w:type="pct"/>
            <w:tcBorders>
              <w:right w:val="single" w:color="auto" w:sz="4" w:space="0"/>
              <w:tl2br w:val="nil"/>
              <w:tr2bl w:val="nil"/>
            </w:tcBorders>
            <w:vAlign w:val="center"/>
          </w:tcPr>
          <w:p w14:paraId="04EC093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鸡西市城子河区城东一队东南0.4km废弃采石场</w:t>
            </w:r>
          </w:p>
        </w:tc>
        <w:tc>
          <w:tcPr>
            <w:tcW w:w="943" w:type="pct"/>
            <w:tcBorders>
              <w:left w:val="single" w:color="auto" w:sz="4" w:space="0"/>
              <w:tl2br w:val="nil"/>
              <w:tr2bl w:val="nil"/>
            </w:tcBorders>
            <w:vAlign w:val="center"/>
          </w:tcPr>
          <w:p w14:paraId="7786C22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131.0091198</w:t>
            </w:r>
          </w:p>
        </w:tc>
        <w:tc>
          <w:tcPr>
            <w:tcW w:w="875" w:type="pct"/>
            <w:tcBorders>
              <w:left w:val="single" w:color="auto" w:sz="4" w:space="0"/>
              <w:tl2br w:val="nil"/>
              <w:tr2bl w:val="nil"/>
            </w:tcBorders>
            <w:vAlign w:val="center"/>
          </w:tcPr>
          <w:p w14:paraId="34074BC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45.37579223</w:t>
            </w:r>
          </w:p>
        </w:tc>
        <w:tc>
          <w:tcPr>
            <w:tcW w:w="644" w:type="pct"/>
            <w:tcBorders>
              <w:left w:val="single" w:color="auto" w:sz="4" w:space="0"/>
              <w:tl2br w:val="nil"/>
              <w:tr2bl w:val="nil"/>
            </w:tcBorders>
            <w:vAlign w:val="center"/>
          </w:tcPr>
          <w:p w14:paraId="2BD04E0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2.1</w:t>
            </w:r>
          </w:p>
        </w:tc>
        <w:tc>
          <w:tcPr>
            <w:tcW w:w="650" w:type="pct"/>
            <w:tcBorders>
              <w:left w:val="single" w:color="auto" w:sz="4" w:space="0"/>
              <w:tl2br w:val="nil"/>
              <w:tr2bl w:val="nil"/>
            </w:tcBorders>
            <w:vAlign w:val="center"/>
          </w:tcPr>
          <w:p w14:paraId="64B707F0">
            <w:pPr>
              <w:pStyle w:val="44"/>
              <w:bidi w:val="0"/>
              <w:rPr>
                <w:rFonts w:hint="default" w:ascii="Times New Roman" w:hAnsi="Times New Roman" w:cs="Times New Roman"/>
                <w:color w:val="auto"/>
                <w:highlight w:val="none"/>
              </w:rPr>
            </w:pPr>
            <w:r>
              <w:rPr>
                <w:rFonts w:hint="eastAsia" w:cs="Times New Roman"/>
                <w:color w:val="auto"/>
                <w:highlight w:val="none"/>
                <w:lang w:val="en-US" w:eastAsia="zh-CN"/>
              </w:rPr>
              <w:t>建设用地2.1hm</w:t>
            </w:r>
            <w:r>
              <w:rPr>
                <w:rFonts w:hint="eastAsia" w:cs="Times New Roman"/>
                <w:color w:val="auto"/>
                <w:highlight w:val="none"/>
                <w:vertAlign w:val="superscript"/>
                <w:lang w:val="en-US" w:eastAsia="zh-CN"/>
              </w:rPr>
              <w:t>2</w:t>
            </w:r>
          </w:p>
        </w:tc>
        <w:tc>
          <w:tcPr>
            <w:tcW w:w="568" w:type="pct"/>
            <w:tcBorders>
              <w:left w:val="single" w:color="auto" w:sz="4" w:space="0"/>
              <w:tl2br w:val="nil"/>
              <w:tr2bl w:val="nil"/>
            </w:tcBorders>
            <w:vAlign w:val="center"/>
          </w:tcPr>
          <w:p w14:paraId="1B8ACFB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露天采石场</w:t>
            </w:r>
          </w:p>
        </w:tc>
      </w:tr>
      <w:tr w14:paraId="0A322AB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02" w:hRule="atLeast"/>
        </w:trPr>
        <w:tc>
          <w:tcPr>
            <w:tcW w:w="351" w:type="pct"/>
            <w:tcBorders>
              <w:tl2br w:val="nil"/>
              <w:tr2bl w:val="nil"/>
            </w:tcBorders>
            <w:vAlign w:val="center"/>
          </w:tcPr>
          <w:p w14:paraId="6781730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21#</w:t>
            </w:r>
          </w:p>
        </w:tc>
        <w:tc>
          <w:tcPr>
            <w:tcW w:w="965" w:type="pct"/>
            <w:tcBorders>
              <w:right w:val="single" w:color="auto" w:sz="4" w:space="0"/>
              <w:tl2br w:val="nil"/>
              <w:tr2bl w:val="nil"/>
            </w:tcBorders>
            <w:vAlign w:val="center"/>
          </w:tcPr>
          <w:p w14:paraId="154E93D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鸡西市城子河区水泥厂后山废弃采石场</w:t>
            </w:r>
          </w:p>
        </w:tc>
        <w:tc>
          <w:tcPr>
            <w:tcW w:w="943" w:type="pct"/>
            <w:tcBorders>
              <w:left w:val="single" w:color="auto" w:sz="4" w:space="0"/>
              <w:tl2br w:val="nil"/>
              <w:tr2bl w:val="nil"/>
            </w:tcBorders>
            <w:vAlign w:val="center"/>
          </w:tcPr>
          <w:p w14:paraId="7EDBC18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131.013253</w:t>
            </w:r>
          </w:p>
        </w:tc>
        <w:tc>
          <w:tcPr>
            <w:tcW w:w="875" w:type="pct"/>
            <w:tcBorders>
              <w:left w:val="single" w:color="auto" w:sz="4" w:space="0"/>
              <w:tl2br w:val="nil"/>
              <w:tr2bl w:val="nil"/>
            </w:tcBorders>
            <w:vAlign w:val="center"/>
          </w:tcPr>
          <w:p w14:paraId="6520B75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45.36567732</w:t>
            </w:r>
          </w:p>
        </w:tc>
        <w:tc>
          <w:tcPr>
            <w:tcW w:w="644" w:type="pct"/>
            <w:tcBorders>
              <w:left w:val="single" w:color="auto" w:sz="4" w:space="0"/>
              <w:tl2br w:val="nil"/>
              <w:tr2bl w:val="nil"/>
            </w:tcBorders>
            <w:vAlign w:val="center"/>
          </w:tcPr>
          <w:p w14:paraId="2852382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1.53</w:t>
            </w:r>
          </w:p>
        </w:tc>
        <w:tc>
          <w:tcPr>
            <w:tcW w:w="650" w:type="pct"/>
            <w:tcBorders>
              <w:left w:val="single" w:color="auto" w:sz="4" w:space="0"/>
              <w:tl2br w:val="nil"/>
              <w:tr2bl w:val="nil"/>
            </w:tcBorders>
            <w:vAlign w:val="center"/>
          </w:tcPr>
          <w:p w14:paraId="5C0B6EB2">
            <w:pPr>
              <w:pStyle w:val="44"/>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建设用地1.33hm</w:t>
            </w:r>
            <w:r>
              <w:rPr>
                <w:rFonts w:hint="eastAsia" w:cs="Times New Roman"/>
                <w:color w:val="auto"/>
                <w:highlight w:val="none"/>
                <w:vertAlign w:val="superscript"/>
                <w:lang w:val="en-US" w:eastAsia="zh-CN"/>
              </w:rPr>
              <w:t>2</w:t>
            </w:r>
            <w:r>
              <w:rPr>
                <w:rFonts w:hint="eastAsia" w:cs="Times New Roman"/>
                <w:color w:val="auto"/>
                <w:highlight w:val="none"/>
                <w:lang w:val="en-US" w:eastAsia="zh-CN"/>
              </w:rPr>
              <w:t>，林地0.2hm</w:t>
            </w:r>
            <w:r>
              <w:rPr>
                <w:rFonts w:hint="eastAsia" w:cs="Times New Roman"/>
                <w:color w:val="auto"/>
                <w:highlight w:val="none"/>
                <w:vertAlign w:val="superscript"/>
                <w:lang w:val="en-US" w:eastAsia="zh-CN"/>
              </w:rPr>
              <w:t>2</w:t>
            </w:r>
          </w:p>
        </w:tc>
        <w:tc>
          <w:tcPr>
            <w:tcW w:w="568" w:type="pct"/>
            <w:tcBorders>
              <w:left w:val="single" w:color="auto" w:sz="4" w:space="0"/>
              <w:tl2br w:val="nil"/>
              <w:tr2bl w:val="nil"/>
            </w:tcBorders>
            <w:vAlign w:val="center"/>
          </w:tcPr>
          <w:p w14:paraId="40CEB3A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露天采石场</w:t>
            </w:r>
          </w:p>
        </w:tc>
      </w:tr>
      <w:tr w14:paraId="57B1431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29" w:hRule="atLeast"/>
        </w:trPr>
        <w:tc>
          <w:tcPr>
            <w:tcW w:w="351" w:type="pct"/>
            <w:tcBorders>
              <w:tl2br w:val="nil"/>
              <w:tr2bl w:val="nil"/>
            </w:tcBorders>
            <w:vAlign w:val="center"/>
          </w:tcPr>
          <w:p w14:paraId="7EC4384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25#</w:t>
            </w:r>
          </w:p>
        </w:tc>
        <w:tc>
          <w:tcPr>
            <w:tcW w:w="965" w:type="pct"/>
            <w:tcBorders>
              <w:right w:val="single" w:color="auto" w:sz="4" w:space="0"/>
              <w:tl2br w:val="nil"/>
              <w:tr2bl w:val="nil"/>
            </w:tcBorders>
            <w:vAlign w:val="center"/>
          </w:tcPr>
          <w:p w14:paraId="4E1830A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鸡西市兴锦煤矿工业广场</w:t>
            </w:r>
          </w:p>
        </w:tc>
        <w:tc>
          <w:tcPr>
            <w:tcW w:w="943" w:type="pct"/>
            <w:tcBorders>
              <w:left w:val="single" w:color="auto" w:sz="4" w:space="0"/>
              <w:tl2br w:val="nil"/>
              <w:tr2bl w:val="nil"/>
            </w:tcBorders>
            <w:vAlign w:val="center"/>
          </w:tcPr>
          <w:p w14:paraId="6903B5A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131.0455281</w:t>
            </w:r>
          </w:p>
        </w:tc>
        <w:tc>
          <w:tcPr>
            <w:tcW w:w="875" w:type="pct"/>
            <w:tcBorders>
              <w:left w:val="single" w:color="auto" w:sz="4" w:space="0"/>
              <w:tl2br w:val="nil"/>
              <w:tr2bl w:val="nil"/>
            </w:tcBorders>
            <w:vAlign w:val="center"/>
          </w:tcPr>
          <w:p w14:paraId="0A3BF3A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45.36596753</w:t>
            </w:r>
          </w:p>
        </w:tc>
        <w:tc>
          <w:tcPr>
            <w:tcW w:w="644" w:type="pct"/>
            <w:tcBorders>
              <w:left w:val="single" w:color="auto" w:sz="4" w:space="0"/>
              <w:tl2br w:val="nil"/>
              <w:tr2bl w:val="nil"/>
            </w:tcBorders>
            <w:vAlign w:val="center"/>
          </w:tcPr>
          <w:p w14:paraId="26F66B1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1.04</w:t>
            </w:r>
          </w:p>
        </w:tc>
        <w:tc>
          <w:tcPr>
            <w:tcW w:w="650" w:type="pct"/>
            <w:tcBorders>
              <w:left w:val="single" w:color="auto" w:sz="4" w:space="0"/>
              <w:tl2br w:val="nil"/>
              <w:tr2bl w:val="nil"/>
            </w:tcBorders>
            <w:vAlign w:val="center"/>
          </w:tcPr>
          <w:p w14:paraId="6187317D">
            <w:pPr>
              <w:pStyle w:val="44"/>
              <w:bidi w:val="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复垦林地1.04hm</w:t>
            </w:r>
            <w:r>
              <w:rPr>
                <w:rFonts w:hint="eastAsia" w:ascii="Times New Roman" w:hAnsi="Times New Roman" w:cs="Times New Roman"/>
                <w:color w:val="auto"/>
                <w:highlight w:val="none"/>
                <w:vertAlign w:val="superscript"/>
                <w:lang w:val="en-US" w:eastAsia="zh-CN"/>
              </w:rPr>
              <w:t>2</w:t>
            </w:r>
          </w:p>
        </w:tc>
        <w:tc>
          <w:tcPr>
            <w:tcW w:w="568" w:type="pct"/>
            <w:tcBorders>
              <w:left w:val="single" w:color="auto" w:sz="4" w:space="0"/>
              <w:tl2br w:val="nil"/>
              <w:tr2bl w:val="nil"/>
            </w:tcBorders>
            <w:vAlign w:val="center"/>
          </w:tcPr>
          <w:p w14:paraId="5579C7D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煤矿工业广场</w:t>
            </w:r>
          </w:p>
        </w:tc>
      </w:tr>
      <w:tr w14:paraId="5E7AB5F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29" w:hRule="atLeast"/>
        </w:trPr>
        <w:tc>
          <w:tcPr>
            <w:tcW w:w="351" w:type="pct"/>
            <w:tcBorders>
              <w:tl2br w:val="nil"/>
              <w:tr2bl w:val="nil"/>
            </w:tcBorders>
            <w:vAlign w:val="center"/>
          </w:tcPr>
          <w:p w14:paraId="285BE7B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31#</w:t>
            </w:r>
          </w:p>
        </w:tc>
        <w:tc>
          <w:tcPr>
            <w:tcW w:w="965" w:type="pct"/>
            <w:tcBorders>
              <w:right w:val="single" w:color="auto" w:sz="4" w:space="0"/>
              <w:tl2br w:val="nil"/>
              <w:tr2bl w:val="nil"/>
            </w:tcBorders>
            <w:vAlign w:val="center"/>
          </w:tcPr>
          <w:p w14:paraId="2E1398E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鸡西市城子河区新立煤矿工业广场)</w:t>
            </w:r>
          </w:p>
        </w:tc>
        <w:tc>
          <w:tcPr>
            <w:tcW w:w="943" w:type="pct"/>
            <w:tcBorders>
              <w:left w:val="single" w:color="auto" w:sz="4" w:space="0"/>
              <w:tl2br w:val="nil"/>
              <w:tr2bl w:val="nil"/>
            </w:tcBorders>
            <w:vAlign w:val="center"/>
          </w:tcPr>
          <w:p w14:paraId="784D33C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130.9362978</w:t>
            </w:r>
          </w:p>
        </w:tc>
        <w:tc>
          <w:tcPr>
            <w:tcW w:w="875" w:type="pct"/>
            <w:tcBorders>
              <w:left w:val="single" w:color="auto" w:sz="4" w:space="0"/>
              <w:tl2br w:val="nil"/>
              <w:tr2bl w:val="nil"/>
            </w:tcBorders>
            <w:vAlign w:val="center"/>
          </w:tcPr>
          <w:p w14:paraId="292DBD7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45.34011066</w:t>
            </w:r>
          </w:p>
        </w:tc>
        <w:tc>
          <w:tcPr>
            <w:tcW w:w="644" w:type="pct"/>
            <w:tcBorders>
              <w:left w:val="single" w:color="auto" w:sz="4" w:space="0"/>
              <w:tl2br w:val="nil"/>
              <w:tr2bl w:val="nil"/>
            </w:tcBorders>
            <w:vAlign w:val="center"/>
          </w:tcPr>
          <w:p w14:paraId="6319B8E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1.67</w:t>
            </w:r>
          </w:p>
        </w:tc>
        <w:tc>
          <w:tcPr>
            <w:tcW w:w="650" w:type="pct"/>
            <w:tcBorders>
              <w:left w:val="single" w:color="auto" w:sz="4" w:space="0"/>
              <w:tl2br w:val="nil"/>
              <w:tr2bl w:val="nil"/>
            </w:tcBorders>
            <w:vAlign w:val="center"/>
          </w:tcPr>
          <w:p w14:paraId="205F04F1">
            <w:pPr>
              <w:pStyle w:val="44"/>
              <w:bidi w:val="0"/>
              <w:rPr>
                <w:rFonts w:hint="default" w:ascii="Times New Roman" w:hAnsi="Times New Roman" w:cs="Times New Roman"/>
                <w:color w:val="auto"/>
                <w:highlight w:val="none"/>
              </w:rPr>
            </w:pPr>
            <w:r>
              <w:rPr>
                <w:rFonts w:hint="eastAsia" w:cs="Times New Roman"/>
                <w:color w:val="auto"/>
                <w:highlight w:val="none"/>
                <w:lang w:val="en-US" w:eastAsia="zh-CN"/>
              </w:rPr>
              <w:t>建设用地</w:t>
            </w:r>
            <w:r>
              <w:rPr>
                <w:rFonts w:hint="eastAsia" w:ascii="Times New Roman" w:hAnsi="Times New Roman" w:cs="Times New Roman"/>
                <w:color w:val="auto"/>
                <w:highlight w:val="none"/>
                <w:lang w:val="en-US" w:eastAsia="zh-CN"/>
              </w:rPr>
              <w:t>1.67hm</w:t>
            </w:r>
            <w:r>
              <w:rPr>
                <w:rFonts w:hint="eastAsia" w:ascii="Times New Roman" w:hAnsi="Times New Roman" w:cs="Times New Roman"/>
                <w:color w:val="auto"/>
                <w:highlight w:val="none"/>
                <w:vertAlign w:val="superscript"/>
                <w:lang w:val="en-US" w:eastAsia="zh-CN"/>
              </w:rPr>
              <w:t>2</w:t>
            </w:r>
          </w:p>
        </w:tc>
        <w:tc>
          <w:tcPr>
            <w:tcW w:w="568" w:type="pct"/>
            <w:tcBorders>
              <w:left w:val="single" w:color="auto" w:sz="4" w:space="0"/>
              <w:tl2br w:val="nil"/>
              <w:tr2bl w:val="nil"/>
            </w:tcBorders>
            <w:vAlign w:val="center"/>
          </w:tcPr>
          <w:p w14:paraId="03FC854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煤矿工业广场</w:t>
            </w:r>
          </w:p>
        </w:tc>
      </w:tr>
      <w:tr w14:paraId="4926CE6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02" w:hRule="atLeast"/>
        </w:trPr>
        <w:tc>
          <w:tcPr>
            <w:tcW w:w="351" w:type="pct"/>
            <w:tcBorders>
              <w:tl2br w:val="nil"/>
              <w:tr2bl w:val="nil"/>
            </w:tcBorders>
            <w:vAlign w:val="center"/>
          </w:tcPr>
          <w:p w14:paraId="2C6D373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41#</w:t>
            </w:r>
          </w:p>
        </w:tc>
        <w:tc>
          <w:tcPr>
            <w:tcW w:w="965" w:type="pct"/>
            <w:tcBorders>
              <w:right w:val="single" w:color="auto" w:sz="4" w:space="0"/>
              <w:tl2br w:val="nil"/>
              <w:tr2bl w:val="nil"/>
            </w:tcBorders>
            <w:vAlign w:val="center"/>
          </w:tcPr>
          <w:p w14:paraId="351E31F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鸡西市城子河区城西村北1.5km 煤矿工业广场</w:t>
            </w:r>
          </w:p>
        </w:tc>
        <w:tc>
          <w:tcPr>
            <w:tcW w:w="943" w:type="pct"/>
            <w:tcBorders>
              <w:left w:val="single" w:color="auto" w:sz="4" w:space="0"/>
              <w:tl2br w:val="nil"/>
              <w:tr2bl w:val="nil"/>
            </w:tcBorders>
            <w:vAlign w:val="center"/>
          </w:tcPr>
          <w:p w14:paraId="0962FBE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130.984717</w:t>
            </w:r>
          </w:p>
        </w:tc>
        <w:tc>
          <w:tcPr>
            <w:tcW w:w="875" w:type="pct"/>
            <w:tcBorders>
              <w:left w:val="single" w:color="auto" w:sz="4" w:space="0"/>
              <w:tl2br w:val="nil"/>
              <w:tr2bl w:val="nil"/>
            </w:tcBorders>
            <w:vAlign w:val="center"/>
          </w:tcPr>
          <w:p w14:paraId="72A6194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45.35495747</w:t>
            </w:r>
          </w:p>
        </w:tc>
        <w:tc>
          <w:tcPr>
            <w:tcW w:w="644" w:type="pct"/>
            <w:tcBorders>
              <w:left w:val="single" w:color="auto" w:sz="4" w:space="0"/>
              <w:tl2br w:val="nil"/>
              <w:tr2bl w:val="nil"/>
            </w:tcBorders>
            <w:vAlign w:val="center"/>
          </w:tcPr>
          <w:p w14:paraId="563C021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3.06</w:t>
            </w:r>
          </w:p>
        </w:tc>
        <w:tc>
          <w:tcPr>
            <w:tcW w:w="650" w:type="pct"/>
            <w:tcBorders>
              <w:left w:val="single" w:color="auto" w:sz="4" w:space="0"/>
              <w:tl2br w:val="nil"/>
              <w:tr2bl w:val="nil"/>
            </w:tcBorders>
            <w:vAlign w:val="center"/>
          </w:tcPr>
          <w:p w14:paraId="1AFFF257">
            <w:pPr>
              <w:pStyle w:val="44"/>
              <w:bidi w:val="0"/>
              <w:rPr>
                <w:rFonts w:hint="default" w:ascii="Times New Roman" w:hAnsi="Times New Roman" w:eastAsia="宋体" w:cs="Times New Roman"/>
                <w:color w:val="auto"/>
                <w:highlight w:val="none"/>
                <w:lang w:val="en-US" w:eastAsia="zh-CN"/>
              </w:rPr>
            </w:pPr>
            <w:bookmarkStart w:id="161" w:name="OLE_LINK5"/>
            <w:r>
              <w:rPr>
                <w:rFonts w:hint="eastAsia" w:ascii="Times New Roman" w:hAnsi="Times New Roman" w:cs="Times New Roman"/>
                <w:color w:val="auto"/>
                <w:highlight w:val="none"/>
                <w:lang w:val="en-US" w:eastAsia="zh-CN"/>
              </w:rPr>
              <w:t>建设用地3.06hm</w:t>
            </w:r>
            <w:r>
              <w:rPr>
                <w:rFonts w:hint="eastAsia" w:ascii="Times New Roman" w:hAnsi="Times New Roman" w:cs="Times New Roman"/>
                <w:color w:val="auto"/>
                <w:highlight w:val="none"/>
                <w:vertAlign w:val="superscript"/>
                <w:lang w:val="en-US" w:eastAsia="zh-CN"/>
              </w:rPr>
              <w:t>2</w:t>
            </w:r>
          </w:p>
        </w:tc>
        <w:tc>
          <w:tcPr>
            <w:tcW w:w="568" w:type="pct"/>
            <w:tcBorders>
              <w:left w:val="single" w:color="auto" w:sz="4" w:space="0"/>
              <w:tl2br w:val="nil"/>
              <w:tr2bl w:val="nil"/>
            </w:tcBorders>
            <w:vAlign w:val="center"/>
          </w:tcPr>
          <w:p w14:paraId="1A0EDE3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煤矿工业广场</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矸石堆场</w:t>
            </w:r>
            <w:r>
              <w:rPr>
                <w:rFonts w:hint="default" w:ascii="Times New Roman" w:hAnsi="Times New Roman" w:cs="Times New Roman"/>
                <w:color w:val="auto"/>
                <w:highlight w:val="none"/>
                <w:lang w:eastAsia="zh-CN"/>
              </w:rPr>
              <w:t>）</w:t>
            </w:r>
            <w:bookmarkEnd w:id="161"/>
          </w:p>
        </w:tc>
      </w:tr>
      <w:tr w14:paraId="22B6F12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344" w:hRule="atLeast"/>
        </w:trPr>
        <w:tc>
          <w:tcPr>
            <w:tcW w:w="351" w:type="pct"/>
            <w:tcBorders>
              <w:tl2br w:val="nil"/>
              <w:tr2bl w:val="nil"/>
            </w:tcBorders>
            <w:vAlign w:val="center"/>
          </w:tcPr>
          <w:p w14:paraId="616003B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45#</w:t>
            </w:r>
          </w:p>
        </w:tc>
        <w:tc>
          <w:tcPr>
            <w:tcW w:w="965" w:type="pct"/>
            <w:tcBorders>
              <w:right w:val="single" w:color="auto" w:sz="4" w:space="0"/>
              <w:tl2br w:val="nil"/>
              <w:tr2bl w:val="nil"/>
            </w:tcBorders>
            <w:vAlign w:val="center"/>
          </w:tcPr>
          <w:p w14:paraId="3BE598D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鸡西市城子河区仲兴村北 2.2km 煤矿工业广场(45#)</w:t>
            </w:r>
          </w:p>
        </w:tc>
        <w:tc>
          <w:tcPr>
            <w:tcW w:w="943" w:type="pct"/>
            <w:tcBorders>
              <w:left w:val="single" w:color="auto" w:sz="4" w:space="0"/>
              <w:tl2br w:val="nil"/>
              <w:tr2bl w:val="nil"/>
            </w:tcBorders>
            <w:vAlign w:val="center"/>
          </w:tcPr>
          <w:p w14:paraId="32E5753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130.95064809</w:t>
            </w:r>
          </w:p>
        </w:tc>
        <w:tc>
          <w:tcPr>
            <w:tcW w:w="875" w:type="pct"/>
            <w:tcBorders>
              <w:left w:val="single" w:color="auto" w:sz="4" w:space="0"/>
              <w:tl2br w:val="nil"/>
              <w:tr2bl w:val="nil"/>
            </w:tcBorders>
            <w:vAlign w:val="center"/>
          </w:tcPr>
          <w:p w14:paraId="7DAA43E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45.34222445</w:t>
            </w:r>
          </w:p>
        </w:tc>
        <w:tc>
          <w:tcPr>
            <w:tcW w:w="644" w:type="pct"/>
            <w:tcBorders>
              <w:left w:val="single" w:color="auto" w:sz="4" w:space="0"/>
              <w:tl2br w:val="nil"/>
              <w:tr2bl w:val="nil"/>
            </w:tcBorders>
            <w:vAlign w:val="center"/>
          </w:tcPr>
          <w:p w14:paraId="3209B98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2.5</w:t>
            </w:r>
          </w:p>
        </w:tc>
        <w:tc>
          <w:tcPr>
            <w:tcW w:w="650" w:type="pct"/>
            <w:tcBorders>
              <w:left w:val="single" w:color="auto" w:sz="4" w:space="0"/>
              <w:tl2br w:val="nil"/>
              <w:tr2bl w:val="nil"/>
            </w:tcBorders>
            <w:vAlign w:val="center"/>
          </w:tcPr>
          <w:p w14:paraId="2A693F2F">
            <w:pPr>
              <w:pStyle w:val="44"/>
              <w:bidi w:val="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复垦林地2.5hm</w:t>
            </w:r>
            <w:r>
              <w:rPr>
                <w:rFonts w:hint="eastAsia" w:ascii="Times New Roman" w:hAnsi="Times New Roman" w:cs="Times New Roman"/>
                <w:color w:val="auto"/>
                <w:highlight w:val="none"/>
                <w:vertAlign w:val="superscript"/>
                <w:lang w:val="en-US" w:eastAsia="zh-CN"/>
              </w:rPr>
              <w:t>2</w:t>
            </w:r>
          </w:p>
        </w:tc>
        <w:tc>
          <w:tcPr>
            <w:tcW w:w="568" w:type="pct"/>
            <w:tcBorders>
              <w:left w:val="single" w:color="auto" w:sz="4" w:space="0"/>
              <w:tl2br w:val="nil"/>
              <w:tr2bl w:val="nil"/>
            </w:tcBorders>
            <w:vAlign w:val="center"/>
          </w:tcPr>
          <w:p w14:paraId="697594C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煤矿工业广场</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矸石堆场</w:t>
            </w:r>
            <w:r>
              <w:rPr>
                <w:rFonts w:hint="default" w:ascii="Times New Roman" w:hAnsi="Times New Roman" w:cs="Times New Roman"/>
                <w:color w:val="auto"/>
                <w:highlight w:val="none"/>
                <w:lang w:eastAsia="zh-CN"/>
              </w:rPr>
              <w:t>）</w:t>
            </w:r>
          </w:p>
        </w:tc>
      </w:tr>
      <w:tr w14:paraId="1420E04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29" w:hRule="atLeast"/>
        </w:trPr>
        <w:tc>
          <w:tcPr>
            <w:tcW w:w="351" w:type="pct"/>
            <w:tcBorders>
              <w:tl2br w:val="nil"/>
              <w:tr2bl w:val="nil"/>
            </w:tcBorders>
            <w:vAlign w:val="center"/>
          </w:tcPr>
          <w:p w14:paraId="1B0A4B0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47#</w:t>
            </w:r>
          </w:p>
        </w:tc>
        <w:tc>
          <w:tcPr>
            <w:tcW w:w="965" w:type="pct"/>
            <w:tcBorders>
              <w:right w:val="single" w:color="auto" w:sz="4" w:space="0"/>
              <w:tl2br w:val="nil"/>
              <w:tr2bl w:val="nil"/>
            </w:tcBorders>
            <w:vAlign w:val="center"/>
          </w:tcPr>
          <w:p w14:paraId="1E85141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鸡西市城子河区龙山屯废弃采石场</w:t>
            </w:r>
          </w:p>
        </w:tc>
        <w:tc>
          <w:tcPr>
            <w:tcW w:w="943" w:type="pct"/>
            <w:tcBorders>
              <w:left w:val="single" w:color="auto" w:sz="4" w:space="0"/>
              <w:tl2br w:val="nil"/>
              <w:tr2bl w:val="nil"/>
            </w:tcBorders>
            <w:vAlign w:val="center"/>
          </w:tcPr>
          <w:p w14:paraId="14C6B3E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130.9327036</w:t>
            </w:r>
          </w:p>
        </w:tc>
        <w:tc>
          <w:tcPr>
            <w:tcW w:w="875" w:type="pct"/>
            <w:tcBorders>
              <w:left w:val="single" w:color="auto" w:sz="4" w:space="0"/>
              <w:tl2br w:val="nil"/>
              <w:tr2bl w:val="nil"/>
            </w:tcBorders>
            <w:vAlign w:val="center"/>
          </w:tcPr>
          <w:p w14:paraId="32D2AAA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45.34595861</w:t>
            </w:r>
          </w:p>
        </w:tc>
        <w:tc>
          <w:tcPr>
            <w:tcW w:w="644" w:type="pct"/>
            <w:tcBorders>
              <w:left w:val="single" w:color="auto" w:sz="4" w:space="0"/>
              <w:tl2br w:val="nil"/>
              <w:tr2bl w:val="nil"/>
            </w:tcBorders>
            <w:vAlign w:val="center"/>
          </w:tcPr>
          <w:p w14:paraId="2AA8A35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1.95</w:t>
            </w:r>
          </w:p>
        </w:tc>
        <w:tc>
          <w:tcPr>
            <w:tcW w:w="650" w:type="pct"/>
            <w:tcBorders>
              <w:left w:val="single" w:color="auto" w:sz="4" w:space="0"/>
              <w:tl2br w:val="nil"/>
              <w:tr2bl w:val="nil"/>
            </w:tcBorders>
            <w:vAlign w:val="center"/>
          </w:tcPr>
          <w:p w14:paraId="09F1D90B">
            <w:pPr>
              <w:pStyle w:val="44"/>
              <w:bidi w:val="0"/>
              <w:rPr>
                <w:rFonts w:hint="default" w:ascii="Times New Roman" w:hAnsi="Times New Roman" w:cs="Times New Roman"/>
                <w:color w:val="auto"/>
                <w:highlight w:val="none"/>
              </w:rPr>
            </w:pPr>
            <w:r>
              <w:rPr>
                <w:rFonts w:hint="eastAsia" w:cs="Times New Roman"/>
                <w:color w:val="auto"/>
                <w:highlight w:val="none"/>
                <w:lang w:val="en-US" w:eastAsia="zh-CN"/>
              </w:rPr>
              <w:t>建设用地0.45</w:t>
            </w:r>
            <w:r>
              <w:rPr>
                <w:rFonts w:hint="eastAsia" w:ascii="Times New Roman" w:hAnsi="Times New Roman" w:cs="Times New Roman"/>
                <w:color w:val="auto"/>
                <w:highlight w:val="none"/>
                <w:lang w:val="en-US" w:eastAsia="zh-CN"/>
              </w:rPr>
              <w:t>hm</w:t>
            </w:r>
            <w:r>
              <w:rPr>
                <w:rFonts w:hint="eastAsia" w:ascii="Times New Roman" w:hAnsi="Times New Roman" w:cs="Times New Roman"/>
                <w:color w:val="auto"/>
                <w:highlight w:val="none"/>
                <w:vertAlign w:val="superscript"/>
                <w:lang w:val="en-US" w:eastAsia="zh-CN"/>
              </w:rPr>
              <w:t>2</w:t>
            </w:r>
            <w:r>
              <w:rPr>
                <w:rFonts w:hint="eastAsia" w:cs="Times New Roman"/>
                <w:color w:val="auto"/>
                <w:highlight w:val="none"/>
                <w:vertAlign w:val="superscript"/>
                <w:lang w:val="en-US" w:eastAsia="zh-CN"/>
              </w:rPr>
              <w:t>，</w:t>
            </w:r>
            <w:r>
              <w:rPr>
                <w:rFonts w:hint="eastAsia" w:ascii="Times New Roman" w:hAnsi="Times New Roman" w:cs="Times New Roman"/>
                <w:color w:val="auto"/>
                <w:highlight w:val="none"/>
                <w:lang w:val="en-US" w:eastAsia="zh-CN"/>
              </w:rPr>
              <w:t>林地</w:t>
            </w:r>
            <w:r>
              <w:rPr>
                <w:rFonts w:hint="eastAsia" w:cs="Times New Roman"/>
                <w:color w:val="auto"/>
                <w:highlight w:val="none"/>
                <w:lang w:val="en-US" w:eastAsia="zh-CN"/>
              </w:rPr>
              <w:t>0.6</w:t>
            </w:r>
            <w:r>
              <w:rPr>
                <w:rFonts w:hint="eastAsia" w:ascii="Times New Roman" w:hAnsi="Times New Roman" w:cs="Times New Roman"/>
                <w:color w:val="auto"/>
                <w:highlight w:val="none"/>
                <w:lang w:val="en-US" w:eastAsia="zh-CN"/>
              </w:rPr>
              <w:t>hm</w:t>
            </w:r>
            <w:r>
              <w:rPr>
                <w:rFonts w:hint="eastAsia" w:ascii="Times New Roman" w:hAnsi="Times New Roman" w:cs="Times New Roman"/>
                <w:color w:val="auto"/>
                <w:highlight w:val="none"/>
                <w:vertAlign w:val="superscript"/>
                <w:lang w:val="en-US" w:eastAsia="zh-CN"/>
              </w:rPr>
              <w:t>2</w:t>
            </w:r>
          </w:p>
        </w:tc>
        <w:tc>
          <w:tcPr>
            <w:tcW w:w="568" w:type="pct"/>
            <w:tcBorders>
              <w:left w:val="single" w:color="auto" w:sz="4" w:space="0"/>
              <w:tl2br w:val="nil"/>
              <w:tr2bl w:val="nil"/>
            </w:tcBorders>
            <w:vAlign w:val="center"/>
          </w:tcPr>
          <w:p w14:paraId="7BCE8C2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露天采石场</w:t>
            </w:r>
          </w:p>
        </w:tc>
      </w:tr>
      <w:tr w14:paraId="5D93457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02" w:hRule="atLeast"/>
        </w:trPr>
        <w:tc>
          <w:tcPr>
            <w:tcW w:w="351" w:type="pct"/>
            <w:tcBorders>
              <w:tl2br w:val="nil"/>
              <w:tr2bl w:val="nil"/>
            </w:tcBorders>
            <w:vAlign w:val="center"/>
          </w:tcPr>
          <w:p w14:paraId="06330F8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59#</w:t>
            </w:r>
          </w:p>
        </w:tc>
        <w:tc>
          <w:tcPr>
            <w:tcW w:w="965" w:type="pct"/>
            <w:tcBorders>
              <w:right w:val="single" w:color="auto" w:sz="4" w:space="0"/>
              <w:tl2br w:val="nil"/>
              <w:tr2bl w:val="nil"/>
            </w:tcBorders>
            <w:vAlign w:val="center"/>
          </w:tcPr>
          <w:p w14:paraId="44DD9FC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鸡西市城子河区城海村东南 1.7km废弃采石场</w:t>
            </w:r>
          </w:p>
        </w:tc>
        <w:tc>
          <w:tcPr>
            <w:tcW w:w="943" w:type="pct"/>
            <w:tcBorders>
              <w:left w:val="single" w:color="auto" w:sz="4" w:space="0"/>
              <w:tl2br w:val="nil"/>
              <w:tr2bl w:val="nil"/>
            </w:tcBorders>
            <w:vAlign w:val="center"/>
          </w:tcPr>
          <w:p w14:paraId="659D9B5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131.0366178</w:t>
            </w:r>
          </w:p>
        </w:tc>
        <w:tc>
          <w:tcPr>
            <w:tcW w:w="875" w:type="pct"/>
            <w:tcBorders>
              <w:left w:val="single" w:color="auto" w:sz="4" w:space="0"/>
              <w:tl2br w:val="nil"/>
              <w:tr2bl w:val="nil"/>
            </w:tcBorders>
            <w:vAlign w:val="center"/>
          </w:tcPr>
          <w:p w14:paraId="5F4C3B4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45.39920332</w:t>
            </w:r>
          </w:p>
        </w:tc>
        <w:tc>
          <w:tcPr>
            <w:tcW w:w="644" w:type="pct"/>
            <w:tcBorders>
              <w:left w:val="single" w:color="auto" w:sz="4" w:space="0"/>
              <w:tl2br w:val="nil"/>
              <w:tr2bl w:val="nil"/>
            </w:tcBorders>
            <w:vAlign w:val="center"/>
          </w:tcPr>
          <w:p w14:paraId="6D9580A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0.45</w:t>
            </w:r>
          </w:p>
        </w:tc>
        <w:tc>
          <w:tcPr>
            <w:tcW w:w="650" w:type="pct"/>
            <w:tcBorders>
              <w:left w:val="single" w:color="auto" w:sz="4" w:space="0"/>
              <w:tl2br w:val="nil"/>
              <w:tr2bl w:val="nil"/>
            </w:tcBorders>
            <w:vAlign w:val="center"/>
          </w:tcPr>
          <w:p w14:paraId="02D2D383">
            <w:pPr>
              <w:pStyle w:val="44"/>
              <w:bidi w:val="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复垦林地0.45hm</w:t>
            </w:r>
            <w:r>
              <w:rPr>
                <w:rFonts w:hint="eastAsia" w:ascii="Times New Roman" w:hAnsi="Times New Roman" w:cs="Times New Roman"/>
                <w:color w:val="auto"/>
                <w:highlight w:val="none"/>
                <w:vertAlign w:val="superscript"/>
                <w:lang w:val="en-US" w:eastAsia="zh-CN"/>
              </w:rPr>
              <w:t>2</w:t>
            </w:r>
          </w:p>
        </w:tc>
        <w:tc>
          <w:tcPr>
            <w:tcW w:w="568" w:type="pct"/>
            <w:tcBorders>
              <w:left w:val="single" w:color="auto" w:sz="4" w:space="0"/>
              <w:tl2br w:val="nil"/>
              <w:tr2bl w:val="nil"/>
            </w:tcBorders>
            <w:vAlign w:val="center"/>
          </w:tcPr>
          <w:p w14:paraId="5D46374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露天采石场</w:t>
            </w:r>
          </w:p>
        </w:tc>
      </w:tr>
      <w:tr w14:paraId="4E1EECB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02" w:hRule="atLeast"/>
        </w:trPr>
        <w:tc>
          <w:tcPr>
            <w:tcW w:w="351" w:type="pct"/>
            <w:tcBorders>
              <w:tl2br w:val="nil"/>
              <w:tr2bl w:val="nil"/>
            </w:tcBorders>
            <w:vAlign w:val="center"/>
          </w:tcPr>
          <w:p w14:paraId="089F7F1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60#</w:t>
            </w:r>
          </w:p>
        </w:tc>
        <w:tc>
          <w:tcPr>
            <w:tcW w:w="965" w:type="pct"/>
            <w:tcBorders>
              <w:right w:val="single" w:color="auto" w:sz="4" w:space="0"/>
              <w:tl2br w:val="nil"/>
              <w:tr2bl w:val="nil"/>
            </w:tcBorders>
            <w:vAlign w:val="center"/>
          </w:tcPr>
          <w:p w14:paraId="2AEFA43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鸡西市城子河区城海村东南2.7km废弃采石场</w:t>
            </w:r>
          </w:p>
        </w:tc>
        <w:tc>
          <w:tcPr>
            <w:tcW w:w="943" w:type="pct"/>
            <w:tcBorders>
              <w:left w:val="single" w:color="auto" w:sz="4" w:space="0"/>
              <w:tl2br w:val="nil"/>
              <w:tr2bl w:val="nil"/>
            </w:tcBorders>
            <w:vAlign w:val="center"/>
          </w:tcPr>
          <w:p w14:paraId="1C7013B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131.0409093</w:t>
            </w:r>
          </w:p>
        </w:tc>
        <w:tc>
          <w:tcPr>
            <w:tcW w:w="875" w:type="pct"/>
            <w:tcBorders>
              <w:left w:val="single" w:color="auto" w:sz="4" w:space="0"/>
              <w:tl2br w:val="nil"/>
              <w:tr2bl w:val="nil"/>
            </w:tcBorders>
            <w:vAlign w:val="center"/>
          </w:tcPr>
          <w:p w14:paraId="50D0929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45.38894191</w:t>
            </w:r>
          </w:p>
        </w:tc>
        <w:tc>
          <w:tcPr>
            <w:tcW w:w="644" w:type="pct"/>
            <w:tcBorders>
              <w:left w:val="single" w:color="auto" w:sz="4" w:space="0"/>
              <w:tl2br w:val="nil"/>
              <w:tr2bl w:val="nil"/>
            </w:tcBorders>
            <w:vAlign w:val="center"/>
          </w:tcPr>
          <w:p w14:paraId="2DDCF9A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0.66</w:t>
            </w:r>
          </w:p>
        </w:tc>
        <w:tc>
          <w:tcPr>
            <w:tcW w:w="650" w:type="pct"/>
            <w:tcBorders>
              <w:left w:val="single" w:color="auto" w:sz="4" w:space="0"/>
              <w:tl2br w:val="nil"/>
              <w:tr2bl w:val="nil"/>
            </w:tcBorders>
            <w:vAlign w:val="center"/>
          </w:tcPr>
          <w:p w14:paraId="1164B74D">
            <w:pPr>
              <w:pStyle w:val="44"/>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建设用地</w:t>
            </w:r>
            <w:r>
              <w:rPr>
                <w:rFonts w:hint="eastAsia" w:ascii="Times New Roman" w:hAnsi="Times New Roman" w:cs="Times New Roman"/>
                <w:color w:val="auto"/>
                <w:highlight w:val="none"/>
                <w:lang w:val="en-US" w:eastAsia="zh-CN"/>
              </w:rPr>
              <w:t>0.66hm</w:t>
            </w:r>
            <w:r>
              <w:rPr>
                <w:rFonts w:hint="eastAsia" w:ascii="Times New Roman" w:hAnsi="Times New Roman" w:cs="Times New Roman"/>
                <w:color w:val="auto"/>
                <w:highlight w:val="none"/>
                <w:vertAlign w:val="superscript"/>
                <w:lang w:val="en-US" w:eastAsia="zh-CN"/>
              </w:rPr>
              <w:t>2</w:t>
            </w:r>
          </w:p>
        </w:tc>
        <w:tc>
          <w:tcPr>
            <w:tcW w:w="568" w:type="pct"/>
            <w:tcBorders>
              <w:left w:val="single" w:color="auto" w:sz="4" w:space="0"/>
              <w:tl2br w:val="nil"/>
              <w:tr2bl w:val="nil"/>
            </w:tcBorders>
            <w:vAlign w:val="center"/>
          </w:tcPr>
          <w:p w14:paraId="39818BB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露天采石场</w:t>
            </w:r>
          </w:p>
        </w:tc>
      </w:tr>
      <w:tr w14:paraId="3B918A1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29" w:hRule="atLeast"/>
        </w:trPr>
        <w:tc>
          <w:tcPr>
            <w:tcW w:w="1316" w:type="pct"/>
            <w:gridSpan w:val="2"/>
            <w:tcBorders>
              <w:right w:val="single" w:color="auto" w:sz="4" w:space="0"/>
              <w:tl2br w:val="nil"/>
              <w:tr2bl w:val="nil"/>
            </w:tcBorders>
            <w:vAlign w:val="center"/>
          </w:tcPr>
          <w:p w14:paraId="53A835F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合计</w:t>
            </w:r>
          </w:p>
        </w:tc>
        <w:tc>
          <w:tcPr>
            <w:tcW w:w="943" w:type="pct"/>
            <w:tcBorders>
              <w:left w:val="single" w:color="auto" w:sz="4" w:space="0"/>
              <w:tl2br w:val="nil"/>
              <w:tr2bl w:val="nil"/>
            </w:tcBorders>
            <w:vAlign w:val="center"/>
          </w:tcPr>
          <w:p w14:paraId="0E10F8F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875" w:type="pct"/>
            <w:tcBorders>
              <w:left w:val="single" w:color="auto" w:sz="4" w:space="0"/>
              <w:tl2br w:val="nil"/>
              <w:tr2bl w:val="nil"/>
            </w:tcBorders>
            <w:vAlign w:val="center"/>
          </w:tcPr>
          <w:p w14:paraId="0E114D8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644" w:type="pct"/>
            <w:tcBorders>
              <w:left w:val="single" w:color="auto" w:sz="4" w:space="0"/>
              <w:tl2br w:val="nil"/>
              <w:tr2bl w:val="nil"/>
            </w:tcBorders>
            <w:vAlign w:val="center"/>
          </w:tcPr>
          <w:p w14:paraId="2A741B29">
            <w:pPr>
              <w:pStyle w:val="44"/>
              <w:bidi w:val="0"/>
              <w:rPr>
                <w:rFonts w:hint="eastAsia" w:ascii="Times New Roman" w:hAnsi="Times New Roman" w:eastAsia="宋体" w:cs="Times New Roman"/>
                <w:color w:val="auto"/>
                <w:highlight w:val="none"/>
                <w:lang w:eastAsia="zh-CN"/>
              </w:rPr>
            </w:pPr>
            <w:r>
              <w:rPr>
                <w:rFonts w:hint="eastAsia" w:cs="Times New Roman"/>
                <w:color w:val="auto"/>
                <w:highlight w:val="none"/>
                <w:lang w:eastAsia="zh-CN"/>
              </w:rPr>
              <w:t>26.648</w:t>
            </w:r>
          </w:p>
        </w:tc>
        <w:tc>
          <w:tcPr>
            <w:tcW w:w="650" w:type="pct"/>
            <w:tcBorders>
              <w:left w:val="single" w:color="auto" w:sz="4" w:space="0"/>
              <w:tl2br w:val="nil"/>
              <w:tr2bl w:val="nil"/>
            </w:tcBorders>
            <w:vAlign w:val="center"/>
          </w:tcPr>
          <w:p w14:paraId="64171910">
            <w:pPr>
              <w:pStyle w:val="44"/>
              <w:bidi w:val="0"/>
              <w:rPr>
                <w:rFonts w:hint="default" w:ascii="Times New Roman" w:hAnsi="Times New Roman" w:cs="Times New Roman"/>
                <w:color w:val="auto"/>
                <w:highlight w:val="none"/>
              </w:rPr>
            </w:pPr>
          </w:p>
        </w:tc>
        <w:tc>
          <w:tcPr>
            <w:tcW w:w="568" w:type="pct"/>
            <w:tcBorders>
              <w:left w:val="single" w:color="auto" w:sz="4" w:space="0"/>
              <w:tl2br w:val="nil"/>
              <w:tr2bl w:val="nil"/>
            </w:tcBorders>
            <w:vAlign w:val="center"/>
          </w:tcPr>
          <w:p w14:paraId="0D6089D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bl>
    <w:p w14:paraId="266D5EE8">
      <w:pPr>
        <w:pStyle w:val="19"/>
        <w:rPr>
          <w:rFonts w:hint="default"/>
          <w:color w:val="auto"/>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68D66D6D">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表3-1-2  历史遗留矿山情况一览表</w:t>
      </w:r>
    </w:p>
    <w:tbl>
      <w:tblPr>
        <w:tblStyle w:val="20"/>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5"/>
        <w:gridCol w:w="950"/>
        <w:gridCol w:w="4145"/>
        <w:gridCol w:w="4366"/>
        <w:gridCol w:w="2304"/>
        <w:gridCol w:w="1974"/>
      </w:tblGrid>
      <w:tr w14:paraId="448468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1" w:hRule="atLeast"/>
          <w:tblHeader/>
        </w:trPr>
        <w:tc>
          <w:tcPr>
            <w:tcW w:w="150" w:type="pct"/>
            <w:vAlign w:val="center"/>
          </w:tcPr>
          <w:p w14:paraId="0530E1F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335" w:type="pct"/>
            <w:vAlign w:val="center"/>
          </w:tcPr>
          <w:p w14:paraId="3F5A764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名称</w:t>
            </w:r>
          </w:p>
        </w:tc>
        <w:tc>
          <w:tcPr>
            <w:tcW w:w="1463" w:type="pct"/>
            <w:tcBorders>
              <w:right w:val="single" w:color="auto" w:sz="4" w:space="0"/>
            </w:tcBorders>
            <w:vAlign w:val="center"/>
          </w:tcPr>
          <w:p w14:paraId="0C77A98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遥感影像</w:t>
            </w:r>
          </w:p>
        </w:tc>
        <w:tc>
          <w:tcPr>
            <w:tcW w:w="1540" w:type="pct"/>
            <w:tcBorders>
              <w:left w:val="single" w:color="auto" w:sz="4" w:space="0"/>
            </w:tcBorders>
            <w:vAlign w:val="center"/>
          </w:tcPr>
          <w:p w14:paraId="65AF7AE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现场照片</w:t>
            </w:r>
          </w:p>
        </w:tc>
        <w:tc>
          <w:tcPr>
            <w:tcW w:w="813" w:type="pct"/>
            <w:vAlign w:val="center"/>
          </w:tcPr>
          <w:p w14:paraId="180BE2F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现场情况</w:t>
            </w:r>
          </w:p>
        </w:tc>
        <w:tc>
          <w:tcPr>
            <w:tcW w:w="696" w:type="pct"/>
            <w:vAlign w:val="center"/>
          </w:tcPr>
          <w:p w14:paraId="347EBE38">
            <w:pPr>
              <w:pStyle w:val="44"/>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存在问题</w:t>
            </w:r>
          </w:p>
        </w:tc>
      </w:tr>
      <w:tr w14:paraId="2AC118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0" w:type="pct"/>
            <w:vAlign w:val="center"/>
          </w:tcPr>
          <w:p w14:paraId="25458FD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335" w:type="pct"/>
            <w:vAlign w:val="center"/>
          </w:tcPr>
          <w:p w14:paraId="78AC855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鸡西市城子河区兴顺采石场(2#)</w:t>
            </w:r>
          </w:p>
        </w:tc>
        <w:tc>
          <w:tcPr>
            <w:tcW w:w="1463" w:type="pct"/>
            <w:tcBorders>
              <w:right w:val="single" w:color="auto" w:sz="4" w:space="0"/>
            </w:tcBorders>
            <w:vAlign w:val="center"/>
          </w:tcPr>
          <w:p w14:paraId="0D856BE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2523490" cy="1979295"/>
                  <wp:effectExtent l="0" t="0" r="10160" b="1905"/>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23"/>
                          <a:stretch>
                            <a:fillRect/>
                          </a:stretch>
                        </pic:blipFill>
                        <pic:spPr>
                          <a:xfrm>
                            <a:off x="0" y="0"/>
                            <a:ext cx="2523490" cy="1979295"/>
                          </a:xfrm>
                          <a:prstGeom prst="rect">
                            <a:avLst/>
                          </a:prstGeom>
                          <a:noFill/>
                          <a:ln>
                            <a:noFill/>
                          </a:ln>
                        </pic:spPr>
                      </pic:pic>
                    </a:graphicData>
                  </a:graphic>
                </wp:inline>
              </w:drawing>
            </w:r>
          </w:p>
        </w:tc>
        <w:tc>
          <w:tcPr>
            <w:tcW w:w="1540" w:type="pct"/>
            <w:tcBorders>
              <w:left w:val="single" w:color="auto" w:sz="4" w:space="0"/>
            </w:tcBorders>
            <w:vAlign w:val="center"/>
          </w:tcPr>
          <w:p w14:paraId="528A117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2670810" cy="2002790"/>
                  <wp:effectExtent l="0" t="0" r="15240" b="16510"/>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pic:cNvPicPr>
                            <a:picLocks noChangeAspect="1"/>
                          </pic:cNvPicPr>
                        </pic:nvPicPr>
                        <pic:blipFill>
                          <a:blip r:embed="rId24"/>
                          <a:srcRect l="5827" t="1212" r="4671"/>
                          <a:stretch>
                            <a:fillRect/>
                          </a:stretch>
                        </pic:blipFill>
                        <pic:spPr>
                          <a:xfrm>
                            <a:off x="0" y="0"/>
                            <a:ext cx="2670810" cy="2002790"/>
                          </a:xfrm>
                          <a:prstGeom prst="rect">
                            <a:avLst/>
                          </a:prstGeom>
                          <a:noFill/>
                          <a:ln>
                            <a:noFill/>
                          </a:ln>
                        </pic:spPr>
                      </pic:pic>
                    </a:graphicData>
                  </a:graphic>
                </wp:inline>
              </w:drawing>
            </w:r>
          </w:p>
        </w:tc>
        <w:tc>
          <w:tcPr>
            <w:tcW w:w="813" w:type="pct"/>
            <w:vAlign w:val="center"/>
          </w:tcPr>
          <w:p w14:paraId="02E3ACB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项目区周边主要为林地。经现场调查，该场地原为鸡西市城子河区兴顺采石场，因政策原因关闭，损毁的土地权属为城子河矿林场。矿山开采形成了较深的凹陷采坑，采坑边坡多在65-75°之间。</w:t>
            </w:r>
          </w:p>
        </w:tc>
        <w:tc>
          <w:tcPr>
            <w:tcW w:w="696" w:type="pct"/>
            <w:vAlign w:val="center"/>
          </w:tcPr>
          <w:p w14:paraId="2DF1A9B3">
            <w:pPr>
              <w:pStyle w:val="44"/>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项目区整体矿山地质环境较差，长期开采导致裸露开采面无植被，</w:t>
            </w:r>
            <w:r>
              <w:rPr>
                <w:rFonts w:hint="default" w:ascii="Times New Roman" w:hAnsi="Times New Roman" w:cs="Times New Roman"/>
                <w:color w:val="auto"/>
                <w:highlight w:val="none"/>
              </w:rPr>
              <w:t>采坑南侧堆积了少量废弃土石。</w:t>
            </w:r>
            <w:r>
              <w:rPr>
                <w:rFonts w:hint="eastAsia" w:cs="Times New Roman"/>
                <w:color w:val="auto"/>
                <w:highlight w:val="none"/>
                <w:lang w:val="en-US" w:eastAsia="zh-CN"/>
              </w:rPr>
              <w:t>矿坑北侧存在矿坑积水，厂内现堆积部分废石</w:t>
            </w:r>
          </w:p>
        </w:tc>
      </w:tr>
      <w:tr w14:paraId="48E802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0" w:type="pct"/>
            <w:vAlign w:val="center"/>
          </w:tcPr>
          <w:p w14:paraId="334CAC9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335" w:type="pct"/>
            <w:vAlign w:val="center"/>
          </w:tcPr>
          <w:p w14:paraId="1F87207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鸡西市城子河区城东一队废弃采石场</w:t>
            </w:r>
          </w:p>
          <w:p w14:paraId="1DF51A6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（14#）</w:t>
            </w:r>
          </w:p>
        </w:tc>
        <w:tc>
          <w:tcPr>
            <w:tcW w:w="1463" w:type="pct"/>
            <w:tcBorders>
              <w:right w:val="single" w:color="auto" w:sz="4" w:space="0"/>
            </w:tcBorders>
          </w:tcPr>
          <w:p w14:paraId="5F02722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2532380" cy="2223770"/>
                  <wp:effectExtent l="9525" t="9525" r="10795" b="14605"/>
                  <wp:docPr id="17" name="图片 4" descr="1658824156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descr="1658824156392"/>
                          <pic:cNvPicPr>
                            <a:picLocks noChangeAspect="1"/>
                          </pic:cNvPicPr>
                        </pic:nvPicPr>
                        <pic:blipFill>
                          <a:blip r:embed="rId25"/>
                          <a:srcRect l="18083" t="12669" r="21471"/>
                          <a:stretch>
                            <a:fillRect/>
                          </a:stretch>
                        </pic:blipFill>
                        <pic:spPr>
                          <a:xfrm>
                            <a:off x="0" y="0"/>
                            <a:ext cx="2532380" cy="2223770"/>
                          </a:xfrm>
                          <a:prstGeom prst="rect">
                            <a:avLst/>
                          </a:prstGeom>
                          <a:noFill/>
                          <a:ln w="9525" cap="flat" cmpd="sng">
                            <a:solidFill>
                              <a:srgbClr val="000000"/>
                            </a:solidFill>
                            <a:prstDash val="solid"/>
                            <a:miter/>
                            <a:headEnd type="none" w="med" len="med"/>
                            <a:tailEnd type="none" w="med" len="med"/>
                          </a:ln>
                        </pic:spPr>
                      </pic:pic>
                    </a:graphicData>
                  </a:graphic>
                </wp:inline>
              </w:drawing>
            </w:r>
          </w:p>
        </w:tc>
        <w:tc>
          <w:tcPr>
            <w:tcW w:w="1540" w:type="pct"/>
            <w:tcBorders>
              <w:left w:val="single" w:color="auto" w:sz="4" w:space="0"/>
            </w:tcBorders>
          </w:tcPr>
          <w:p w14:paraId="7BE122D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2666365" cy="2269490"/>
                  <wp:effectExtent l="0" t="0" r="635" b="16510"/>
                  <wp:docPr id="26" name="图片 5" descr="1658824277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 descr="1658824277683"/>
                          <pic:cNvPicPr>
                            <a:picLocks noChangeAspect="1"/>
                          </pic:cNvPicPr>
                        </pic:nvPicPr>
                        <pic:blipFill>
                          <a:blip r:embed="rId26"/>
                          <a:srcRect l="2153" t="1796" r="4942"/>
                          <a:stretch>
                            <a:fillRect/>
                          </a:stretch>
                        </pic:blipFill>
                        <pic:spPr>
                          <a:xfrm>
                            <a:off x="0" y="0"/>
                            <a:ext cx="2666365" cy="2269490"/>
                          </a:xfrm>
                          <a:prstGeom prst="rect">
                            <a:avLst/>
                          </a:prstGeom>
                          <a:noFill/>
                          <a:ln>
                            <a:noFill/>
                          </a:ln>
                        </pic:spPr>
                      </pic:pic>
                    </a:graphicData>
                  </a:graphic>
                </wp:inline>
              </w:drawing>
            </w:r>
          </w:p>
        </w:tc>
        <w:tc>
          <w:tcPr>
            <w:tcW w:w="813" w:type="pct"/>
            <w:vAlign w:val="center"/>
          </w:tcPr>
          <w:p w14:paraId="0703986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项目区周边主要为林地。经现场调查，该场地原为采石场，现已废弃，损毁的土地权属为城子河矿林场。矿山开采形成了较大面积的开采剥离面，边坡多在67-80°之间，场地内有碎石加工厂的房屋。</w:t>
            </w:r>
          </w:p>
          <w:p w14:paraId="2FFAAE11">
            <w:pPr>
              <w:pStyle w:val="44"/>
              <w:bidi w:val="0"/>
              <w:rPr>
                <w:rFonts w:hint="default" w:ascii="Times New Roman" w:hAnsi="Times New Roman" w:cs="Times New Roman"/>
                <w:color w:val="auto"/>
                <w:highlight w:val="none"/>
              </w:rPr>
            </w:pPr>
          </w:p>
        </w:tc>
        <w:tc>
          <w:tcPr>
            <w:tcW w:w="696" w:type="pct"/>
            <w:vAlign w:val="center"/>
          </w:tcPr>
          <w:p w14:paraId="1EF61C7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项目区整体矿山地质环境较差，</w:t>
            </w:r>
            <w:r>
              <w:rPr>
                <w:rFonts w:hint="eastAsia" w:cs="Times New Roman"/>
                <w:color w:val="auto"/>
                <w:highlight w:val="none"/>
                <w:lang w:val="en-US" w:eastAsia="zh-CN"/>
              </w:rPr>
              <w:t>开采面地表</w:t>
            </w:r>
            <w:r>
              <w:rPr>
                <w:rFonts w:hint="default" w:ascii="Times New Roman" w:hAnsi="Times New Roman" w:cs="Times New Roman"/>
                <w:color w:val="auto"/>
                <w:highlight w:val="none"/>
              </w:rPr>
              <w:t>裸露</w:t>
            </w:r>
            <w:r>
              <w:rPr>
                <w:rFonts w:hint="eastAsia" w:cs="Times New Roman"/>
                <w:color w:val="auto"/>
                <w:highlight w:val="none"/>
                <w:lang w:eastAsia="zh-CN"/>
              </w:rPr>
              <w:t>，</w:t>
            </w:r>
            <w:r>
              <w:rPr>
                <w:rFonts w:hint="eastAsia" w:cs="Times New Roman"/>
                <w:color w:val="auto"/>
                <w:highlight w:val="none"/>
                <w:lang w:val="en-US" w:eastAsia="zh-CN"/>
              </w:rPr>
              <w:t>无现状</w:t>
            </w:r>
            <w:r>
              <w:rPr>
                <w:rFonts w:hint="default" w:ascii="Times New Roman" w:hAnsi="Times New Roman" w:cs="Times New Roman"/>
                <w:color w:val="auto"/>
                <w:highlight w:val="none"/>
              </w:rPr>
              <w:t>植被，坡下平台堆积了大量废弃土石渣。</w:t>
            </w:r>
          </w:p>
        </w:tc>
      </w:tr>
      <w:tr w14:paraId="4C35D4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0" w:type="pct"/>
            <w:vAlign w:val="center"/>
          </w:tcPr>
          <w:p w14:paraId="45AB1E5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335" w:type="pct"/>
            <w:vAlign w:val="center"/>
          </w:tcPr>
          <w:p w14:paraId="50B6AB2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鸡西市城子河区城东一队东0.2km废弃采石场</w:t>
            </w:r>
          </w:p>
          <w:p w14:paraId="0AD07A3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（15#）</w:t>
            </w:r>
          </w:p>
        </w:tc>
        <w:tc>
          <w:tcPr>
            <w:tcW w:w="1463" w:type="pct"/>
            <w:tcBorders>
              <w:right w:val="single" w:color="auto" w:sz="4" w:space="0"/>
            </w:tcBorders>
          </w:tcPr>
          <w:p w14:paraId="7AEE612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2510790" cy="2373630"/>
                  <wp:effectExtent l="9525" t="9525" r="13335" b="17145"/>
                  <wp:docPr id="28" name="图片 6" descr="1658931873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6" descr="1658931873911"/>
                          <pic:cNvPicPr>
                            <a:picLocks noChangeAspect="1"/>
                          </pic:cNvPicPr>
                        </pic:nvPicPr>
                        <pic:blipFill>
                          <a:blip r:embed="rId27"/>
                          <a:srcRect l="6892" t="68" r="10665"/>
                          <a:stretch>
                            <a:fillRect/>
                          </a:stretch>
                        </pic:blipFill>
                        <pic:spPr>
                          <a:xfrm>
                            <a:off x="0" y="0"/>
                            <a:ext cx="2510790" cy="2373630"/>
                          </a:xfrm>
                          <a:prstGeom prst="rect">
                            <a:avLst/>
                          </a:prstGeom>
                          <a:noFill/>
                          <a:ln w="9525" cap="flat" cmpd="sng">
                            <a:solidFill>
                              <a:srgbClr val="000000"/>
                            </a:solidFill>
                            <a:prstDash val="solid"/>
                            <a:miter/>
                            <a:headEnd type="none" w="med" len="med"/>
                            <a:tailEnd type="none" w="med" len="med"/>
                          </a:ln>
                        </pic:spPr>
                      </pic:pic>
                    </a:graphicData>
                  </a:graphic>
                </wp:inline>
              </w:drawing>
            </w:r>
          </w:p>
        </w:tc>
        <w:tc>
          <w:tcPr>
            <w:tcW w:w="1540" w:type="pct"/>
            <w:tcBorders>
              <w:left w:val="single" w:color="auto" w:sz="4" w:space="0"/>
            </w:tcBorders>
          </w:tcPr>
          <w:p w14:paraId="2612240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2640330" cy="2346325"/>
                  <wp:effectExtent l="9525" t="9525" r="17145" b="25400"/>
                  <wp:docPr id="33" name="图片 7" descr="1658931907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7" descr="1658931907579"/>
                          <pic:cNvPicPr>
                            <a:picLocks noChangeAspect="1"/>
                          </pic:cNvPicPr>
                        </pic:nvPicPr>
                        <pic:blipFill>
                          <a:blip r:embed="rId28"/>
                          <a:srcRect t="989" r="10820"/>
                          <a:stretch>
                            <a:fillRect/>
                          </a:stretch>
                        </pic:blipFill>
                        <pic:spPr>
                          <a:xfrm>
                            <a:off x="0" y="0"/>
                            <a:ext cx="2640330" cy="2346325"/>
                          </a:xfrm>
                          <a:prstGeom prst="rect">
                            <a:avLst/>
                          </a:prstGeom>
                          <a:noFill/>
                          <a:ln w="9525" cap="flat" cmpd="sng">
                            <a:solidFill>
                              <a:srgbClr val="000000"/>
                            </a:solidFill>
                            <a:prstDash val="solid"/>
                            <a:miter/>
                            <a:headEnd type="none" w="med" len="med"/>
                            <a:tailEnd type="none" w="med" len="med"/>
                          </a:ln>
                        </pic:spPr>
                      </pic:pic>
                    </a:graphicData>
                  </a:graphic>
                </wp:inline>
              </w:drawing>
            </w:r>
          </w:p>
        </w:tc>
        <w:tc>
          <w:tcPr>
            <w:tcW w:w="813" w:type="pct"/>
            <w:vAlign w:val="center"/>
          </w:tcPr>
          <w:p w14:paraId="20FE15E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区周边主要为林地。经现场调查，该场地原为采石场，现已废弃，损毁的土地权属为城子河矿林场。矿山开采形成了较大面积的开采剥离面，边坡多在55-70°之间，坡下平台堆积了少量废弃土石渣，同时场地内有采矿废弃房屋。</w:t>
            </w:r>
          </w:p>
          <w:p w14:paraId="4E9B69E7">
            <w:pPr>
              <w:pStyle w:val="44"/>
              <w:bidi w:val="0"/>
              <w:rPr>
                <w:rFonts w:hint="default" w:ascii="Times New Roman" w:hAnsi="Times New Roman" w:cs="Times New Roman"/>
                <w:color w:val="auto"/>
                <w:highlight w:val="none"/>
              </w:rPr>
            </w:pPr>
          </w:p>
        </w:tc>
        <w:tc>
          <w:tcPr>
            <w:tcW w:w="696" w:type="pct"/>
            <w:vAlign w:val="center"/>
          </w:tcPr>
          <w:p w14:paraId="15DF6C4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项目区整体矿山地质环境较差，裸露的开采面上没有植被，废弃土石堆不仅压占土地浪费资源，而且对区域地表水排泄存在影响，杂草丛生。</w:t>
            </w:r>
          </w:p>
        </w:tc>
      </w:tr>
      <w:tr w14:paraId="19F311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0" w:type="pct"/>
            <w:vAlign w:val="center"/>
          </w:tcPr>
          <w:p w14:paraId="55822EC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335" w:type="pct"/>
            <w:vAlign w:val="center"/>
          </w:tcPr>
          <w:p w14:paraId="7E4992F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鸡西市城子河区城东一队东南0.4km废弃采石场（16#）</w:t>
            </w:r>
          </w:p>
        </w:tc>
        <w:tc>
          <w:tcPr>
            <w:tcW w:w="1463" w:type="pct"/>
            <w:tcBorders>
              <w:right w:val="single" w:color="auto" w:sz="4" w:space="0"/>
            </w:tcBorders>
          </w:tcPr>
          <w:p w14:paraId="6798AFB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2530475" cy="2027555"/>
                  <wp:effectExtent l="0" t="0" r="3175" b="10795"/>
                  <wp:docPr id="34" name="图片 8" descr="1659019002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8" descr="1659019002649"/>
                          <pic:cNvPicPr>
                            <a:picLocks noChangeAspect="1"/>
                          </pic:cNvPicPr>
                        </pic:nvPicPr>
                        <pic:blipFill>
                          <a:blip r:embed="rId29"/>
                          <a:srcRect l="5063" t="1533" r="6116"/>
                          <a:stretch>
                            <a:fillRect/>
                          </a:stretch>
                        </pic:blipFill>
                        <pic:spPr>
                          <a:xfrm>
                            <a:off x="0" y="0"/>
                            <a:ext cx="2530475" cy="2027555"/>
                          </a:xfrm>
                          <a:prstGeom prst="rect">
                            <a:avLst/>
                          </a:prstGeom>
                          <a:noFill/>
                          <a:ln>
                            <a:noFill/>
                          </a:ln>
                        </pic:spPr>
                      </pic:pic>
                    </a:graphicData>
                  </a:graphic>
                </wp:inline>
              </w:drawing>
            </w:r>
          </w:p>
        </w:tc>
        <w:tc>
          <w:tcPr>
            <w:tcW w:w="1540" w:type="pct"/>
            <w:tcBorders>
              <w:left w:val="single" w:color="auto" w:sz="4" w:space="0"/>
            </w:tcBorders>
            <w:vAlign w:val="center"/>
          </w:tcPr>
          <w:p w14:paraId="6799646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2641600" cy="1938020"/>
                  <wp:effectExtent l="9525" t="9525" r="34925" b="52705"/>
                  <wp:docPr id="35" name="图片 9" descr="165901911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9" descr="1659019111792"/>
                          <pic:cNvPicPr>
                            <a:picLocks noChangeAspect="1"/>
                          </pic:cNvPicPr>
                        </pic:nvPicPr>
                        <pic:blipFill>
                          <a:blip r:embed="rId30"/>
                          <a:stretch>
                            <a:fillRect/>
                          </a:stretch>
                        </pic:blipFill>
                        <pic:spPr>
                          <a:xfrm>
                            <a:off x="0" y="0"/>
                            <a:ext cx="2641600" cy="1938020"/>
                          </a:xfrm>
                          <a:prstGeom prst="rect">
                            <a:avLst/>
                          </a:prstGeom>
                          <a:noFill/>
                          <a:ln w="9525" cap="flat" cmpd="sng">
                            <a:solidFill>
                              <a:srgbClr val="000000"/>
                            </a:solidFill>
                            <a:prstDash val="solid"/>
                            <a:miter/>
                            <a:headEnd type="none" w="med" len="med"/>
                            <a:tailEnd type="none" w="med" len="med"/>
                          </a:ln>
                          <a:effectLst>
                            <a:outerShdw dist="35921" dir="2699999" algn="ctr" rotWithShape="0">
                              <a:srgbClr val="FFFFFF">
                                <a:alpha val="100000"/>
                              </a:srgbClr>
                            </a:outerShdw>
                          </a:effectLst>
                        </pic:spPr>
                      </pic:pic>
                    </a:graphicData>
                  </a:graphic>
                </wp:inline>
              </w:drawing>
            </w:r>
          </w:p>
        </w:tc>
        <w:tc>
          <w:tcPr>
            <w:tcW w:w="813" w:type="pct"/>
            <w:vAlign w:val="center"/>
          </w:tcPr>
          <w:p w14:paraId="02AEBA3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项目区周边主要为林地。经现场调查，该场地原为采石场，现已废弃，损毁的土地权属为城子河矿林场。矿山开采形成了较大面积的开采剥离面，边坡多在50-65°之间，坡下平台堆积了少量废弃土石渣。</w:t>
            </w:r>
          </w:p>
          <w:p w14:paraId="042A72D3">
            <w:pPr>
              <w:pStyle w:val="44"/>
              <w:bidi w:val="0"/>
              <w:rPr>
                <w:rFonts w:hint="default" w:ascii="Times New Roman" w:hAnsi="Times New Roman" w:cs="Times New Roman"/>
                <w:color w:val="auto"/>
                <w:highlight w:val="none"/>
              </w:rPr>
            </w:pPr>
          </w:p>
        </w:tc>
        <w:tc>
          <w:tcPr>
            <w:tcW w:w="696" w:type="pct"/>
            <w:vAlign w:val="center"/>
          </w:tcPr>
          <w:p w14:paraId="0F51F44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项目区整体矿山地质环境较差，裸露的开采面上没有植被，废弃土石堆不仅压占土地浪费资源，而且对区域地表水排泄存在影响，杂草丛生。</w:t>
            </w:r>
          </w:p>
        </w:tc>
      </w:tr>
      <w:tr w14:paraId="4FA755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0" w:type="pct"/>
            <w:vAlign w:val="center"/>
          </w:tcPr>
          <w:p w14:paraId="3A7E680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335" w:type="pct"/>
            <w:vAlign w:val="center"/>
          </w:tcPr>
          <w:p w14:paraId="1E68C44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鸡西市城子河区水泥厂后山废弃采石场</w:t>
            </w:r>
          </w:p>
          <w:p w14:paraId="343FCB4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(21#)</w:t>
            </w:r>
          </w:p>
        </w:tc>
        <w:tc>
          <w:tcPr>
            <w:tcW w:w="1463" w:type="pct"/>
            <w:tcBorders>
              <w:right w:val="single" w:color="auto" w:sz="4" w:space="0"/>
            </w:tcBorders>
          </w:tcPr>
          <w:p w14:paraId="0E669F6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2532380" cy="2284730"/>
                  <wp:effectExtent l="0" t="0" r="1270" b="1270"/>
                  <wp:docPr id="3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0"/>
                          <pic:cNvPicPr>
                            <a:picLocks noChangeAspect="1"/>
                          </pic:cNvPicPr>
                        </pic:nvPicPr>
                        <pic:blipFill>
                          <a:blip r:embed="rId31"/>
                          <a:srcRect l="4205" t="1775"/>
                          <a:stretch>
                            <a:fillRect/>
                          </a:stretch>
                        </pic:blipFill>
                        <pic:spPr>
                          <a:xfrm>
                            <a:off x="0" y="0"/>
                            <a:ext cx="2532380" cy="2284730"/>
                          </a:xfrm>
                          <a:prstGeom prst="rect">
                            <a:avLst/>
                          </a:prstGeom>
                          <a:noFill/>
                          <a:ln>
                            <a:noFill/>
                          </a:ln>
                        </pic:spPr>
                      </pic:pic>
                    </a:graphicData>
                  </a:graphic>
                </wp:inline>
              </w:drawing>
            </w:r>
          </w:p>
        </w:tc>
        <w:tc>
          <w:tcPr>
            <w:tcW w:w="1540" w:type="pct"/>
            <w:tcBorders>
              <w:left w:val="single" w:color="auto" w:sz="4" w:space="0"/>
            </w:tcBorders>
          </w:tcPr>
          <w:p w14:paraId="11FD7A1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2656840" cy="2321560"/>
                  <wp:effectExtent l="0" t="0" r="10160" b="2540"/>
                  <wp:docPr id="3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1"/>
                          <pic:cNvPicPr>
                            <a:picLocks noChangeAspect="1"/>
                          </pic:cNvPicPr>
                        </pic:nvPicPr>
                        <pic:blipFill>
                          <a:blip r:embed="rId32"/>
                          <a:stretch>
                            <a:fillRect/>
                          </a:stretch>
                        </pic:blipFill>
                        <pic:spPr>
                          <a:xfrm>
                            <a:off x="0" y="0"/>
                            <a:ext cx="2656840" cy="2321560"/>
                          </a:xfrm>
                          <a:prstGeom prst="rect">
                            <a:avLst/>
                          </a:prstGeom>
                          <a:noFill/>
                          <a:ln>
                            <a:noFill/>
                          </a:ln>
                        </pic:spPr>
                      </pic:pic>
                    </a:graphicData>
                  </a:graphic>
                </wp:inline>
              </w:drawing>
            </w:r>
          </w:p>
        </w:tc>
        <w:tc>
          <w:tcPr>
            <w:tcW w:w="813" w:type="pct"/>
            <w:vAlign w:val="center"/>
          </w:tcPr>
          <w:p w14:paraId="4440EDF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项目区周边主要为林地。经现场调查，该场地原为采石场，现已废弃，损毁的土地权属为城子河矿林场和城子河村所有。北侧采面边坡多在 45-65°之间，采面南侧堆积了少量废弃土石</w:t>
            </w:r>
          </w:p>
        </w:tc>
        <w:tc>
          <w:tcPr>
            <w:tcW w:w="696" w:type="pct"/>
            <w:vAlign w:val="center"/>
          </w:tcPr>
          <w:p w14:paraId="351C174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项目区整体矿山地质环境较差，裸露的开采面上没有植被，南侧废弃土石堆不仅压占土地浪费资源，而且对区域地表水排泄存在影响，杂草从生。</w:t>
            </w:r>
          </w:p>
        </w:tc>
      </w:tr>
      <w:tr w14:paraId="2A8CC3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150" w:type="pct"/>
            <w:vAlign w:val="center"/>
          </w:tcPr>
          <w:p w14:paraId="3985CD4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w:t>
            </w:r>
          </w:p>
        </w:tc>
        <w:tc>
          <w:tcPr>
            <w:tcW w:w="335" w:type="pct"/>
            <w:vAlign w:val="center"/>
          </w:tcPr>
          <w:p w14:paraId="5D2185A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鸡西市兴锦煤矿工业广场</w:t>
            </w:r>
          </w:p>
          <w:p w14:paraId="6A11DFA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（25#）</w:t>
            </w:r>
          </w:p>
        </w:tc>
        <w:tc>
          <w:tcPr>
            <w:tcW w:w="1463" w:type="pct"/>
            <w:tcBorders>
              <w:right w:val="single" w:color="auto" w:sz="4" w:space="0"/>
            </w:tcBorders>
          </w:tcPr>
          <w:p w14:paraId="4ABD6D5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2516505" cy="2083435"/>
                  <wp:effectExtent l="9525" t="9525" r="26670" b="21590"/>
                  <wp:docPr id="38" name="图片 12" descr="166117658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2" descr="1661176584339"/>
                          <pic:cNvPicPr>
                            <a:picLocks noChangeAspect="1"/>
                          </pic:cNvPicPr>
                        </pic:nvPicPr>
                        <pic:blipFill>
                          <a:blip r:embed="rId33"/>
                          <a:srcRect l="12025" t="3083" r="4174"/>
                          <a:stretch>
                            <a:fillRect/>
                          </a:stretch>
                        </pic:blipFill>
                        <pic:spPr>
                          <a:xfrm>
                            <a:off x="0" y="0"/>
                            <a:ext cx="2516505" cy="2083435"/>
                          </a:xfrm>
                          <a:prstGeom prst="rect">
                            <a:avLst/>
                          </a:prstGeom>
                          <a:noFill/>
                          <a:ln w="9525" cap="flat" cmpd="sng">
                            <a:solidFill>
                              <a:srgbClr val="000000"/>
                            </a:solidFill>
                            <a:prstDash val="solid"/>
                            <a:miter/>
                            <a:headEnd type="none" w="med" len="med"/>
                            <a:tailEnd type="none" w="med" len="med"/>
                          </a:ln>
                        </pic:spPr>
                      </pic:pic>
                    </a:graphicData>
                  </a:graphic>
                </wp:inline>
              </w:drawing>
            </w:r>
          </w:p>
        </w:tc>
        <w:tc>
          <w:tcPr>
            <w:tcW w:w="1540" w:type="pct"/>
            <w:tcBorders>
              <w:left w:val="single" w:color="auto" w:sz="4" w:space="0"/>
            </w:tcBorders>
            <w:vAlign w:val="center"/>
          </w:tcPr>
          <w:p w14:paraId="6018AFD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2678430" cy="1946910"/>
                  <wp:effectExtent l="0" t="0" r="7620" b="15240"/>
                  <wp:docPr id="39" name="图片 13" descr="IMG_20220703_094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3" descr="IMG_20220703_094858"/>
                          <pic:cNvPicPr>
                            <a:picLocks noChangeAspect="1"/>
                          </pic:cNvPicPr>
                        </pic:nvPicPr>
                        <pic:blipFill>
                          <a:blip r:embed="rId34"/>
                          <a:srcRect t="6482" b="3658"/>
                          <a:stretch>
                            <a:fillRect/>
                          </a:stretch>
                        </pic:blipFill>
                        <pic:spPr>
                          <a:xfrm>
                            <a:off x="0" y="0"/>
                            <a:ext cx="2678430" cy="1946910"/>
                          </a:xfrm>
                          <a:prstGeom prst="rect">
                            <a:avLst/>
                          </a:prstGeom>
                          <a:noFill/>
                          <a:ln>
                            <a:noFill/>
                          </a:ln>
                        </pic:spPr>
                      </pic:pic>
                    </a:graphicData>
                  </a:graphic>
                </wp:inline>
              </w:drawing>
            </w:r>
          </w:p>
        </w:tc>
        <w:tc>
          <w:tcPr>
            <w:tcW w:w="813" w:type="pct"/>
            <w:vAlign w:val="center"/>
          </w:tcPr>
          <w:p w14:paraId="2E1EDA5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区周边主要为林地。经现场调查，该场地原为鸡西市兴锦煤矿工业广场，于2007年第二批公吿关闭，项目区损毁的土地原地类主要为采矿用地，权属为正阳村。项目区内标高243.8-251.9m，北侧有废弃的房屋和围墙，南侧有废弃料石堆、矸石堆。</w:t>
            </w:r>
          </w:p>
          <w:p w14:paraId="70AC2D60">
            <w:pPr>
              <w:pStyle w:val="44"/>
              <w:bidi w:val="0"/>
              <w:rPr>
                <w:rFonts w:hint="default" w:ascii="Times New Roman" w:hAnsi="Times New Roman" w:cs="Times New Roman"/>
                <w:color w:val="auto"/>
                <w:highlight w:val="none"/>
              </w:rPr>
            </w:pPr>
          </w:p>
        </w:tc>
        <w:tc>
          <w:tcPr>
            <w:tcW w:w="696" w:type="pct"/>
            <w:vAlign w:val="center"/>
          </w:tcPr>
          <w:p w14:paraId="5C37275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项目区整体矿山地质环境较差，随意堆放的矸石堆、砂石堆使原本平坦开阔的原始地形地貌遭到一定程度的破坏，地表荒芜、废弃房屋随意弃置</w:t>
            </w:r>
          </w:p>
        </w:tc>
      </w:tr>
      <w:tr w14:paraId="77FB3A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0" w:type="pct"/>
            <w:vAlign w:val="center"/>
          </w:tcPr>
          <w:p w14:paraId="28A4E50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w:t>
            </w:r>
          </w:p>
        </w:tc>
        <w:tc>
          <w:tcPr>
            <w:tcW w:w="335" w:type="pct"/>
            <w:vAlign w:val="center"/>
          </w:tcPr>
          <w:p w14:paraId="58F3EC1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鸡西市城子河区新立煤矿工业广场(31#)</w:t>
            </w:r>
          </w:p>
        </w:tc>
        <w:tc>
          <w:tcPr>
            <w:tcW w:w="1463" w:type="pct"/>
            <w:tcBorders>
              <w:right w:val="single" w:color="auto" w:sz="4" w:space="0"/>
            </w:tcBorders>
          </w:tcPr>
          <w:p w14:paraId="20B58D1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2548255" cy="2265680"/>
                  <wp:effectExtent l="0" t="0" r="4445" b="1270"/>
                  <wp:docPr id="4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8"/>
                          <pic:cNvPicPr>
                            <a:picLocks noChangeAspect="1"/>
                          </pic:cNvPicPr>
                        </pic:nvPicPr>
                        <pic:blipFill>
                          <a:blip r:embed="rId35"/>
                          <a:stretch>
                            <a:fillRect/>
                          </a:stretch>
                        </pic:blipFill>
                        <pic:spPr>
                          <a:xfrm>
                            <a:off x="0" y="0"/>
                            <a:ext cx="2548255" cy="2265680"/>
                          </a:xfrm>
                          <a:prstGeom prst="rect">
                            <a:avLst/>
                          </a:prstGeom>
                          <a:noFill/>
                          <a:ln>
                            <a:noFill/>
                          </a:ln>
                        </pic:spPr>
                      </pic:pic>
                    </a:graphicData>
                  </a:graphic>
                </wp:inline>
              </w:drawing>
            </w:r>
          </w:p>
        </w:tc>
        <w:tc>
          <w:tcPr>
            <w:tcW w:w="1540" w:type="pct"/>
            <w:tcBorders>
              <w:left w:val="single" w:color="auto" w:sz="4" w:space="0"/>
            </w:tcBorders>
          </w:tcPr>
          <w:p w14:paraId="6FF3926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2642870" cy="2251710"/>
                  <wp:effectExtent l="0" t="0" r="5080" b="15240"/>
                  <wp:docPr id="4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6"/>
                          <pic:cNvPicPr>
                            <a:picLocks noChangeAspect="1"/>
                          </pic:cNvPicPr>
                        </pic:nvPicPr>
                        <pic:blipFill>
                          <a:blip r:embed="rId36"/>
                          <a:stretch>
                            <a:fillRect/>
                          </a:stretch>
                        </pic:blipFill>
                        <pic:spPr>
                          <a:xfrm>
                            <a:off x="0" y="0"/>
                            <a:ext cx="2642870" cy="2251710"/>
                          </a:xfrm>
                          <a:prstGeom prst="rect">
                            <a:avLst/>
                          </a:prstGeom>
                          <a:noFill/>
                          <a:ln>
                            <a:noFill/>
                          </a:ln>
                        </pic:spPr>
                      </pic:pic>
                    </a:graphicData>
                  </a:graphic>
                </wp:inline>
              </w:drawing>
            </w:r>
          </w:p>
        </w:tc>
        <w:tc>
          <w:tcPr>
            <w:tcW w:w="813" w:type="pct"/>
          </w:tcPr>
          <w:p w14:paraId="6E44B02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区周边为旱地、建设用地，地势略起伏。经现场调查，该场地为鸡西市城子河区新立煤矿工业广场，土地权属为新城村所有，该矿山己关闭。矿山工业广场内的井口均已回填，场地内堆有研石，现场地废弃闲置。</w:t>
            </w:r>
          </w:p>
          <w:p w14:paraId="5C273C5C">
            <w:pPr>
              <w:pStyle w:val="44"/>
              <w:bidi w:val="0"/>
              <w:rPr>
                <w:rFonts w:hint="default" w:ascii="Times New Roman" w:hAnsi="Times New Roman" w:cs="Times New Roman"/>
                <w:color w:val="auto"/>
                <w:highlight w:val="none"/>
              </w:rPr>
            </w:pPr>
          </w:p>
        </w:tc>
        <w:tc>
          <w:tcPr>
            <w:tcW w:w="696" w:type="pct"/>
          </w:tcPr>
          <w:p w14:paraId="2D478C2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项目区整体矿山地质环境较差，随意堆放的研石使原本平坦开阔的原始地形地貌遭到一定程度的破坏，地表荒芜，严重破坏了区域内的地形地貌景观。</w:t>
            </w:r>
          </w:p>
        </w:tc>
      </w:tr>
      <w:tr w14:paraId="4C1CF1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0" w:type="pct"/>
            <w:vAlign w:val="center"/>
          </w:tcPr>
          <w:p w14:paraId="7DE2311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8</w:t>
            </w:r>
          </w:p>
        </w:tc>
        <w:tc>
          <w:tcPr>
            <w:tcW w:w="335" w:type="pct"/>
            <w:vAlign w:val="center"/>
          </w:tcPr>
          <w:p w14:paraId="6981C13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鸡西市城子河区城西村北 1.5km 煤矿工业广场(41#)</w:t>
            </w:r>
          </w:p>
        </w:tc>
        <w:tc>
          <w:tcPr>
            <w:tcW w:w="1463" w:type="pct"/>
          </w:tcPr>
          <w:p w14:paraId="31DEBCB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2547620" cy="2150110"/>
                  <wp:effectExtent l="0" t="0" r="5080" b="2540"/>
                  <wp:docPr id="4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7"/>
                          <pic:cNvPicPr>
                            <a:picLocks noChangeAspect="1"/>
                          </pic:cNvPicPr>
                        </pic:nvPicPr>
                        <pic:blipFill>
                          <a:blip r:embed="rId37"/>
                          <a:stretch>
                            <a:fillRect/>
                          </a:stretch>
                        </pic:blipFill>
                        <pic:spPr>
                          <a:xfrm>
                            <a:off x="0" y="0"/>
                            <a:ext cx="2547620" cy="2150110"/>
                          </a:xfrm>
                          <a:prstGeom prst="rect">
                            <a:avLst/>
                          </a:prstGeom>
                          <a:noFill/>
                          <a:ln>
                            <a:noFill/>
                          </a:ln>
                        </pic:spPr>
                      </pic:pic>
                    </a:graphicData>
                  </a:graphic>
                </wp:inline>
              </w:drawing>
            </w:r>
          </w:p>
        </w:tc>
        <w:tc>
          <w:tcPr>
            <w:tcW w:w="1540" w:type="pct"/>
          </w:tcPr>
          <w:p w14:paraId="48FB835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2641600" cy="2133600"/>
                  <wp:effectExtent l="0" t="0" r="6350" b="0"/>
                  <wp:docPr id="4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9"/>
                          <pic:cNvPicPr>
                            <a:picLocks noChangeAspect="1"/>
                          </pic:cNvPicPr>
                        </pic:nvPicPr>
                        <pic:blipFill>
                          <a:blip r:embed="rId38"/>
                          <a:srcRect l="8478" t="-500" r="8026"/>
                          <a:stretch>
                            <a:fillRect/>
                          </a:stretch>
                        </pic:blipFill>
                        <pic:spPr>
                          <a:xfrm>
                            <a:off x="0" y="0"/>
                            <a:ext cx="2641600" cy="2133600"/>
                          </a:xfrm>
                          <a:prstGeom prst="rect">
                            <a:avLst/>
                          </a:prstGeom>
                          <a:noFill/>
                          <a:ln>
                            <a:noFill/>
                          </a:ln>
                        </pic:spPr>
                      </pic:pic>
                    </a:graphicData>
                  </a:graphic>
                </wp:inline>
              </w:drawing>
            </w:r>
          </w:p>
        </w:tc>
        <w:tc>
          <w:tcPr>
            <w:tcW w:w="813" w:type="pct"/>
          </w:tcPr>
          <w:p w14:paraId="73EB656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区位于鸡西市城子河区中部，项目区内南侧堆积的矸石使地势起伏略大，在建的丹阿高速公路自项目区中部东西向穿过。项目区周边北侧为林地，南侧为建设用地。由于周边煤矿开采在此堆积矸石，导致项目区内土地资源被压占，灰黑色矸石堆造成地貌景观破坏。</w:t>
            </w:r>
          </w:p>
          <w:p w14:paraId="289EA386">
            <w:pPr>
              <w:pStyle w:val="44"/>
              <w:bidi w:val="0"/>
              <w:rPr>
                <w:rFonts w:hint="default" w:ascii="Times New Roman" w:hAnsi="Times New Roman" w:cs="Times New Roman"/>
                <w:color w:val="auto"/>
                <w:highlight w:val="none"/>
              </w:rPr>
            </w:pPr>
          </w:p>
        </w:tc>
        <w:tc>
          <w:tcPr>
            <w:tcW w:w="696" w:type="pct"/>
          </w:tcPr>
          <w:p w14:paraId="062B345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项目区整体矿山地质环境较差，随意堆放的煤矸石使原本平坦开阔、植被覆盖率较高的原始地形地貌遭到严重破坏，造成如今灰褐色矸石堆堆放突兀、地表荒羌，严重破坏了区域内的地形地貌景观。</w:t>
            </w:r>
          </w:p>
        </w:tc>
      </w:tr>
      <w:tr w14:paraId="1354CD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0" w:type="pct"/>
            <w:vAlign w:val="center"/>
          </w:tcPr>
          <w:p w14:paraId="59DC1B6E">
            <w:pPr>
              <w:pStyle w:val="44"/>
              <w:bidi w:val="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9</w:t>
            </w:r>
          </w:p>
        </w:tc>
        <w:tc>
          <w:tcPr>
            <w:tcW w:w="335" w:type="pct"/>
            <w:vAlign w:val="center"/>
          </w:tcPr>
          <w:p w14:paraId="6C1537C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鸡西市城子河区仲兴村北 2.2km 煤矿工业广场(45#)</w:t>
            </w:r>
          </w:p>
        </w:tc>
        <w:tc>
          <w:tcPr>
            <w:tcW w:w="1463" w:type="pct"/>
          </w:tcPr>
          <w:p w14:paraId="0508DD6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2536825" cy="2045970"/>
                  <wp:effectExtent l="0" t="0" r="15875" b="11430"/>
                  <wp:docPr id="4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2"/>
                          <pic:cNvPicPr>
                            <a:picLocks noChangeAspect="1"/>
                          </pic:cNvPicPr>
                        </pic:nvPicPr>
                        <pic:blipFill>
                          <a:blip r:embed="rId39"/>
                          <a:srcRect r="1541" b="1267"/>
                          <a:stretch>
                            <a:fillRect/>
                          </a:stretch>
                        </pic:blipFill>
                        <pic:spPr>
                          <a:xfrm>
                            <a:off x="0" y="0"/>
                            <a:ext cx="2536825" cy="2045970"/>
                          </a:xfrm>
                          <a:prstGeom prst="rect">
                            <a:avLst/>
                          </a:prstGeom>
                          <a:noFill/>
                          <a:ln>
                            <a:noFill/>
                          </a:ln>
                        </pic:spPr>
                      </pic:pic>
                    </a:graphicData>
                  </a:graphic>
                </wp:inline>
              </w:drawing>
            </w:r>
          </w:p>
        </w:tc>
        <w:tc>
          <w:tcPr>
            <w:tcW w:w="1540" w:type="pct"/>
          </w:tcPr>
          <w:p w14:paraId="4023713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2695575" cy="2080260"/>
                  <wp:effectExtent l="0" t="0" r="9525" b="15240"/>
                  <wp:docPr id="5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5"/>
                          <pic:cNvPicPr>
                            <a:picLocks noChangeAspect="1"/>
                          </pic:cNvPicPr>
                        </pic:nvPicPr>
                        <pic:blipFill>
                          <a:blip r:embed="rId40"/>
                          <a:stretch>
                            <a:fillRect/>
                          </a:stretch>
                        </pic:blipFill>
                        <pic:spPr>
                          <a:xfrm>
                            <a:off x="0" y="0"/>
                            <a:ext cx="2695575" cy="2080260"/>
                          </a:xfrm>
                          <a:prstGeom prst="rect">
                            <a:avLst/>
                          </a:prstGeom>
                          <a:noFill/>
                          <a:ln>
                            <a:noFill/>
                          </a:ln>
                        </pic:spPr>
                      </pic:pic>
                    </a:graphicData>
                  </a:graphic>
                </wp:inline>
              </w:drawing>
            </w:r>
          </w:p>
        </w:tc>
        <w:tc>
          <w:tcPr>
            <w:tcW w:w="813" w:type="pct"/>
            <w:vAlign w:val="center"/>
          </w:tcPr>
          <w:p w14:paraId="2ABC3EC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项目区内矸石在沟谷内、坡顶堆积，项目区周边为林地、早地，由于周边煤矿开采在此堆积矸石，导致项目区内土地资源被压占，灰黑色矸石堆造成地貌景观破坏，。</w:t>
            </w:r>
          </w:p>
        </w:tc>
        <w:tc>
          <w:tcPr>
            <w:tcW w:w="696" w:type="pct"/>
            <w:vAlign w:val="center"/>
          </w:tcPr>
          <w:p w14:paraId="4E0AAAC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项目区整体矿山地质环境较差，随意堆放的矸石，使植被覆盖率较高的原始地形地貌遭到严重破坏，矸石堆堆放突兀、地表荒芜废弃房屋随意弃置，严重破坏了区域内的地形地貌景观</w:t>
            </w:r>
          </w:p>
        </w:tc>
      </w:tr>
      <w:tr w14:paraId="0401CE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0" w:type="pct"/>
            <w:vAlign w:val="center"/>
          </w:tcPr>
          <w:p w14:paraId="43BB34BA">
            <w:pPr>
              <w:pStyle w:val="44"/>
              <w:bidi w:val="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1</w:t>
            </w:r>
            <w:r>
              <w:rPr>
                <w:rFonts w:hint="default" w:ascii="Times New Roman" w:hAnsi="Times New Roman" w:cs="Times New Roman"/>
                <w:color w:val="auto"/>
                <w:highlight w:val="none"/>
                <w:lang w:val="en-US" w:eastAsia="zh-CN"/>
              </w:rPr>
              <w:t>0</w:t>
            </w:r>
          </w:p>
        </w:tc>
        <w:tc>
          <w:tcPr>
            <w:tcW w:w="335" w:type="pct"/>
            <w:vAlign w:val="center"/>
          </w:tcPr>
          <w:p w14:paraId="7FE2A2B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鸡西市城子河区龙山屯废弃采石场（47#）</w:t>
            </w:r>
          </w:p>
        </w:tc>
        <w:tc>
          <w:tcPr>
            <w:tcW w:w="1463" w:type="pct"/>
          </w:tcPr>
          <w:p w14:paraId="3489ADA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2532380" cy="2280920"/>
                  <wp:effectExtent l="9525" t="9525" r="10795" b="14605"/>
                  <wp:docPr id="55" name="图片 28" descr="165858676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8" descr="1658586761987"/>
                          <pic:cNvPicPr>
                            <a:picLocks noChangeAspect="1"/>
                          </pic:cNvPicPr>
                        </pic:nvPicPr>
                        <pic:blipFill>
                          <a:blip r:embed="rId41"/>
                          <a:srcRect l="9206" t="-911" r="10493"/>
                          <a:stretch>
                            <a:fillRect/>
                          </a:stretch>
                        </pic:blipFill>
                        <pic:spPr>
                          <a:xfrm>
                            <a:off x="0" y="0"/>
                            <a:ext cx="2532380" cy="2280920"/>
                          </a:xfrm>
                          <a:prstGeom prst="rect">
                            <a:avLst/>
                          </a:prstGeom>
                          <a:noFill/>
                          <a:ln w="9525" cap="flat" cmpd="sng">
                            <a:solidFill>
                              <a:srgbClr val="000000"/>
                            </a:solidFill>
                            <a:prstDash val="solid"/>
                            <a:miter/>
                            <a:headEnd type="none" w="med" len="med"/>
                            <a:tailEnd type="none" w="med" len="med"/>
                          </a:ln>
                        </pic:spPr>
                      </pic:pic>
                    </a:graphicData>
                  </a:graphic>
                </wp:inline>
              </w:drawing>
            </w:r>
          </w:p>
        </w:tc>
        <w:tc>
          <w:tcPr>
            <w:tcW w:w="1540" w:type="pct"/>
          </w:tcPr>
          <w:p w14:paraId="20D707A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2649855" cy="2256155"/>
                  <wp:effectExtent l="9525" t="9525" r="26670" b="20320"/>
                  <wp:docPr id="56" name="图片 29" descr="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9" descr="47#"/>
                          <pic:cNvPicPr>
                            <a:picLocks noChangeAspect="1"/>
                          </pic:cNvPicPr>
                        </pic:nvPicPr>
                        <pic:blipFill>
                          <a:blip r:embed="rId42"/>
                          <a:srcRect l="6361" t="512" r="18378"/>
                          <a:stretch>
                            <a:fillRect/>
                          </a:stretch>
                        </pic:blipFill>
                        <pic:spPr>
                          <a:xfrm>
                            <a:off x="0" y="0"/>
                            <a:ext cx="2649855" cy="2256155"/>
                          </a:xfrm>
                          <a:prstGeom prst="rect">
                            <a:avLst/>
                          </a:prstGeom>
                          <a:noFill/>
                          <a:ln w="9525" cap="flat" cmpd="sng">
                            <a:solidFill>
                              <a:srgbClr val="000000"/>
                            </a:solidFill>
                            <a:prstDash val="solid"/>
                            <a:miter/>
                            <a:headEnd type="none" w="med" len="med"/>
                            <a:tailEnd type="none" w="med" len="med"/>
                          </a:ln>
                        </pic:spPr>
                      </pic:pic>
                    </a:graphicData>
                  </a:graphic>
                </wp:inline>
              </w:drawing>
            </w:r>
          </w:p>
        </w:tc>
        <w:tc>
          <w:tcPr>
            <w:tcW w:w="813" w:type="pct"/>
            <w:vAlign w:val="center"/>
          </w:tcPr>
          <w:p w14:paraId="744C74E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区周边主要为林地。经现场调查，该场地原为采石场，现已废弃，损毁的土地权属为新城村。矿山开采形成了较大面积的开采剥离面，边坡多在65-75°之间，坡下平台堆积了少量废弃土石，临近公路一侧边坡坡角较陡。</w:t>
            </w:r>
          </w:p>
          <w:p w14:paraId="342E3583">
            <w:pPr>
              <w:pStyle w:val="44"/>
              <w:bidi w:val="0"/>
              <w:rPr>
                <w:rFonts w:hint="default" w:ascii="Times New Roman" w:hAnsi="Times New Roman" w:cs="Times New Roman"/>
                <w:color w:val="auto"/>
                <w:highlight w:val="none"/>
              </w:rPr>
            </w:pPr>
          </w:p>
        </w:tc>
        <w:tc>
          <w:tcPr>
            <w:tcW w:w="696" w:type="pct"/>
            <w:vAlign w:val="center"/>
          </w:tcPr>
          <w:p w14:paraId="04A979A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项目区整体矿山地质环境较差，裸露的开采面上没有植被，废弃土石堆不仅压占土地浪费资源，而且对区域地表水排泄存在影响，杂草丛生。</w:t>
            </w:r>
          </w:p>
        </w:tc>
      </w:tr>
      <w:tr w14:paraId="0C03F2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0" w:type="pct"/>
            <w:vAlign w:val="center"/>
          </w:tcPr>
          <w:p w14:paraId="65CBB9B4">
            <w:pPr>
              <w:pStyle w:val="44"/>
              <w:bidi w:val="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1</w:t>
            </w:r>
            <w:r>
              <w:rPr>
                <w:rFonts w:hint="default" w:ascii="Times New Roman" w:hAnsi="Times New Roman" w:cs="Times New Roman"/>
                <w:color w:val="auto"/>
                <w:highlight w:val="none"/>
                <w:lang w:val="en-US" w:eastAsia="zh-CN"/>
              </w:rPr>
              <w:t>1</w:t>
            </w:r>
          </w:p>
        </w:tc>
        <w:tc>
          <w:tcPr>
            <w:tcW w:w="335" w:type="pct"/>
            <w:vAlign w:val="center"/>
          </w:tcPr>
          <w:p w14:paraId="53A0208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鸡西市城子河区城海村东南 1.7km</w:t>
            </w:r>
          </w:p>
          <w:p w14:paraId="410BE73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废弃采石场(59#)</w:t>
            </w:r>
          </w:p>
        </w:tc>
        <w:tc>
          <w:tcPr>
            <w:tcW w:w="1463" w:type="pct"/>
          </w:tcPr>
          <w:p w14:paraId="00B196C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2525395" cy="1901190"/>
                  <wp:effectExtent l="0" t="0" r="8255" b="3810"/>
                  <wp:docPr id="5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0"/>
                          <pic:cNvPicPr>
                            <a:picLocks noChangeAspect="1"/>
                          </pic:cNvPicPr>
                        </pic:nvPicPr>
                        <pic:blipFill>
                          <a:blip r:embed="rId43"/>
                          <a:stretch>
                            <a:fillRect/>
                          </a:stretch>
                        </pic:blipFill>
                        <pic:spPr>
                          <a:xfrm>
                            <a:off x="0" y="0"/>
                            <a:ext cx="2525395" cy="1901190"/>
                          </a:xfrm>
                          <a:prstGeom prst="rect">
                            <a:avLst/>
                          </a:prstGeom>
                          <a:noFill/>
                          <a:ln>
                            <a:noFill/>
                          </a:ln>
                        </pic:spPr>
                      </pic:pic>
                    </a:graphicData>
                  </a:graphic>
                </wp:inline>
              </w:drawing>
            </w:r>
          </w:p>
        </w:tc>
        <w:tc>
          <w:tcPr>
            <w:tcW w:w="1540" w:type="pct"/>
            <w:vAlign w:val="center"/>
          </w:tcPr>
          <w:p w14:paraId="37F1FE7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2658110" cy="1719580"/>
                  <wp:effectExtent l="0" t="0" r="8890" b="13970"/>
                  <wp:docPr id="5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1"/>
                          <pic:cNvPicPr>
                            <a:picLocks noChangeAspect="1"/>
                          </pic:cNvPicPr>
                        </pic:nvPicPr>
                        <pic:blipFill>
                          <a:blip r:embed="rId44"/>
                          <a:stretch>
                            <a:fillRect/>
                          </a:stretch>
                        </pic:blipFill>
                        <pic:spPr>
                          <a:xfrm>
                            <a:off x="0" y="0"/>
                            <a:ext cx="2658110" cy="1719580"/>
                          </a:xfrm>
                          <a:prstGeom prst="rect">
                            <a:avLst/>
                          </a:prstGeom>
                          <a:noFill/>
                          <a:ln>
                            <a:noFill/>
                          </a:ln>
                        </pic:spPr>
                      </pic:pic>
                    </a:graphicData>
                  </a:graphic>
                </wp:inline>
              </w:drawing>
            </w:r>
          </w:p>
        </w:tc>
        <w:tc>
          <w:tcPr>
            <w:tcW w:w="813" w:type="pct"/>
            <w:vAlign w:val="center"/>
          </w:tcPr>
          <w:p w14:paraId="59BB576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项目区周边主要为林地。经现场调查，该场地原为采石场现已废弃多年，损毁的土地权属为城子河区长青乡林场所矿林场。</w:t>
            </w:r>
          </w:p>
          <w:p w14:paraId="0315A0C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矿山开采活动在项目区北侧形成了深浅不一的采坑，山体表面斑驳，植被缺失。</w:t>
            </w:r>
          </w:p>
        </w:tc>
        <w:tc>
          <w:tcPr>
            <w:tcW w:w="696" w:type="pct"/>
            <w:vAlign w:val="center"/>
          </w:tcPr>
          <w:p w14:paraId="5905B83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项目区整体矿山地质环境较差，裸露的开采面上没有植被，废弃土石堆不仅压占土地浪费资源，而且对区域地表水排泄存在影响，杂草丛生</w:t>
            </w:r>
          </w:p>
        </w:tc>
      </w:tr>
      <w:tr w14:paraId="5D866A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0" w:type="pct"/>
            <w:vAlign w:val="center"/>
          </w:tcPr>
          <w:p w14:paraId="1107339C">
            <w:pPr>
              <w:pStyle w:val="44"/>
              <w:bidi w:val="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1</w:t>
            </w:r>
            <w:r>
              <w:rPr>
                <w:rFonts w:hint="default" w:ascii="Times New Roman" w:hAnsi="Times New Roman" w:cs="Times New Roman"/>
                <w:color w:val="auto"/>
                <w:highlight w:val="none"/>
                <w:lang w:val="en-US" w:eastAsia="zh-CN"/>
              </w:rPr>
              <w:t>2</w:t>
            </w:r>
          </w:p>
        </w:tc>
        <w:tc>
          <w:tcPr>
            <w:tcW w:w="335" w:type="pct"/>
            <w:vAlign w:val="center"/>
          </w:tcPr>
          <w:p w14:paraId="5C53960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鸡西市城子河区城海村东南2.7km</w:t>
            </w:r>
          </w:p>
          <w:p w14:paraId="0DB05B4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废弃采石场（60#）</w:t>
            </w:r>
          </w:p>
        </w:tc>
        <w:tc>
          <w:tcPr>
            <w:tcW w:w="1463" w:type="pct"/>
          </w:tcPr>
          <w:p w14:paraId="41AA4B2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2543175" cy="2241550"/>
                  <wp:effectExtent l="0" t="0" r="9525" b="6350"/>
                  <wp:docPr id="59" name="Picutre 31"/>
                  <wp:cNvGraphicFramePr/>
                  <a:graphic xmlns:a="http://schemas.openxmlformats.org/drawingml/2006/main">
                    <a:graphicData uri="http://schemas.openxmlformats.org/drawingml/2006/picture">
                      <pic:pic xmlns:pic="http://schemas.openxmlformats.org/drawingml/2006/picture">
                        <pic:nvPicPr>
                          <pic:cNvPr id="59" name="Picutre 31"/>
                          <pic:cNvPicPr/>
                        </pic:nvPicPr>
                        <pic:blipFill>
                          <a:blip r:embed="rId45"/>
                          <a:srcRect l="23374" r="27978" b="208"/>
                          <a:stretch>
                            <a:fillRect/>
                          </a:stretch>
                        </pic:blipFill>
                        <pic:spPr>
                          <a:xfrm>
                            <a:off x="0" y="0"/>
                            <a:ext cx="2543175" cy="2241550"/>
                          </a:xfrm>
                          <a:prstGeom prst="rect">
                            <a:avLst/>
                          </a:prstGeom>
                        </pic:spPr>
                      </pic:pic>
                    </a:graphicData>
                  </a:graphic>
                </wp:inline>
              </w:drawing>
            </w:r>
          </w:p>
        </w:tc>
        <w:tc>
          <w:tcPr>
            <w:tcW w:w="1540" w:type="pct"/>
          </w:tcPr>
          <w:p w14:paraId="3D11A58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2645410" cy="2105660"/>
                  <wp:effectExtent l="0" t="0" r="2540" b="8890"/>
                  <wp:docPr id="60" name="Picutre 32"/>
                  <wp:cNvGraphicFramePr/>
                  <a:graphic xmlns:a="http://schemas.openxmlformats.org/drawingml/2006/main">
                    <a:graphicData uri="http://schemas.openxmlformats.org/drawingml/2006/picture">
                      <pic:pic xmlns:pic="http://schemas.openxmlformats.org/drawingml/2006/picture">
                        <pic:nvPicPr>
                          <pic:cNvPr id="60" name="Picutre 32"/>
                          <pic:cNvPicPr/>
                        </pic:nvPicPr>
                        <pic:blipFill>
                          <a:blip r:embed="rId46"/>
                          <a:srcRect l="9157" t="3553" r="13663" b="4828"/>
                          <a:stretch>
                            <a:fillRect/>
                          </a:stretch>
                        </pic:blipFill>
                        <pic:spPr>
                          <a:xfrm>
                            <a:off x="0" y="0"/>
                            <a:ext cx="2645410" cy="2105660"/>
                          </a:xfrm>
                          <a:prstGeom prst="rect">
                            <a:avLst/>
                          </a:prstGeom>
                        </pic:spPr>
                      </pic:pic>
                    </a:graphicData>
                  </a:graphic>
                </wp:inline>
              </w:drawing>
            </w:r>
          </w:p>
        </w:tc>
        <w:tc>
          <w:tcPr>
            <w:tcW w:w="813" w:type="pct"/>
            <w:vAlign w:val="center"/>
          </w:tcPr>
          <w:p w14:paraId="69090DA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项目区周边主要为林地、草地。经现场调查，该场地原为釆石场，已废弃多年，损毁的土地权属为长青乡林场。</w:t>
            </w:r>
          </w:p>
          <w:p w14:paraId="1B5CB98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矿山开釆活动在项目区北侧坡形成了较大的开釆剥离面，在南侧形成了小型釆坑。</w:t>
            </w:r>
          </w:p>
        </w:tc>
        <w:tc>
          <w:tcPr>
            <w:tcW w:w="696" w:type="pct"/>
            <w:vAlign w:val="center"/>
          </w:tcPr>
          <w:p w14:paraId="69A007F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项目区整体矿山地质环境较差，裸露的开采面上没有植被， 废弃土石堆不仅压占土地浪费资源，而且对区域地表水排泄存在影响，杂草丛生</w:t>
            </w:r>
          </w:p>
        </w:tc>
      </w:tr>
    </w:tbl>
    <w:p w14:paraId="7F154827">
      <w:pPr>
        <w:pStyle w:val="25"/>
        <w:ind w:firstLine="480"/>
        <w:rPr>
          <w:rFonts w:hint="default" w:ascii="Times New Roman" w:hAnsi="Times New Roman" w:cs="Times New Roman"/>
          <w:snapToGrid w:val="0"/>
          <w:color w:val="auto"/>
          <w:highlight w:val="none"/>
        </w:rPr>
      </w:pPr>
    </w:p>
    <w:p w14:paraId="4D6B1D93">
      <w:pPr>
        <w:pStyle w:val="25"/>
        <w:ind w:firstLine="480"/>
        <w:rPr>
          <w:rFonts w:hint="default" w:ascii="Times New Roman" w:hAnsi="Times New Roman" w:cs="Times New Roman"/>
          <w:snapToGrid w:val="0"/>
          <w:color w:val="auto"/>
          <w:highlight w:val="none"/>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14:paraId="7190BD76">
      <w:pPr>
        <w:pStyle w:val="39"/>
        <w:rPr>
          <w:rFonts w:hint="default" w:ascii="Times New Roman" w:hAnsi="Times New Roman" w:cs="Times New Roman"/>
          <w:color w:val="auto"/>
          <w:highlight w:val="none"/>
        </w:rPr>
      </w:pPr>
      <w:bookmarkStart w:id="162" w:name="_Toc7323"/>
      <w:r>
        <w:rPr>
          <w:rFonts w:hint="default" w:ascii="Times New Roman" w:hAnsi="Times New Roman" w:cs="Times New Roman"/>
          <w:color w:val="auto"/>
          <w:highlight w:val="none"/>
        </w:rPr>
        <w:t>3.1.3建设规模及建设内容</w:t>
      </w:r>
      <w:bookmarkEnd w:id="160"/>
      <w:bookmarkEnd w:id="162"/>
    </w:p>
    <w:p w14:paraId="58C15512">
      <w:pPr>
        <w:pStyle w:val="25"/>
        <w:adjustRightInd/>
        <w:snapToGrid/>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本项目对城子河区12处历史遗留矿山进行生态修复，</w:t>
      </w:r>
      <w:r>
        <w:rPr>
          <w:rFonts w:hint="default" w:ascii="Times New Roman" w:hAnsi="Times New Roman" w:cs="Times New Roman"/>
          <w:snapToGrid w:val="0"/>
          <w:color w:val="auto"/>
          <w:highlight w:val="none"/>
        </w:rPr>
        <w:t>其中包括露天采石场8个、煤矿工业广场2个、矸石堆场2个，</w:t>
      </w:r>
      <w:r>
        <w:rPr>
          <w:rFonts w:hint="default" w:ascii="Times New Roman" w:hAnsi="Times New Roman" w:cs="Times New Roman"/>
          <w:color w:val="auto"/>
          <w:highlight w:val="none"/>
        </w:rPr>
        <w:t>其中修复面积</w:t>
      </w:r>
      <w:r>
        <w:rPr>
          <w:rFonts w:hint="eastAsia" w:cs="Times New Roman"/>
          <w:color w:val="auto"/>
          <w:highlight w:val="none"/>
          <w:lang w:eastAsia="zh-CN"/>
        </w:rPr>
        <w:t>26.648</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。其中本项目兴顺采石场（2#）利用本项目鸡西市城子河区城西村北 1.5km 煤矿工业广场(41#)煤矸石</w:t>
      </w:r>
      <w:r>
        <w:rPr>
          <w:rFonts w:hint="default" w:ascii="Times New Roman" w:hAnsi="Times New Roman" w:cs="Times New Roman"/>
          <w:color w:val="auto"/>
          <w:spacing w:val="-4"/>
          <w:highlight w:val="none"/>
        </w:rPr>
        <w:t>进行回填</w:t>
      </w:r>
      <w:r>
        <w:rPr>
          <w:rFonts w:hint="default" w:ascii="Times New Roman" w:hAnsi="Times New Roman" w:cs="Times New Roman"/>
          <w:color w:val="auto"/>
          <w:highlight w:val="none"/>
        </w:rPr>
        <w:t>，总回填煤矸石量为138.6万m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，煤矸石密度为1.3g/cm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，回填区总</w:t>
      </w:r>
      <w:r>
        <w:rPr>
          <w:rFonts w:hint="default" w:ascii="Times New Roman" w:hAnsi="Times New Roman" w:cs="Times New Roman"/>
          <w:color w:val="auto"/>
          <w:highlight w:val="none"/>
          <w:lang w:val="en-US" w:eastAsia="zh-CN"/>
        </w:rPr>
        <w:t>回填</w:t>
      </w:r>
      <w:r>
        <w:rPr>
          <w:rFonts w:hint="default" w:ascii="Times New Roman" w:hAnsi="Times New Roman" w:cs="Times New Roman"/>
          <w:color w:val="auto"/>
          <w:highlight w:val="none"/>
        </w:rPr>
        <w:t>量为180万t，修复施工期1年。</w:t>
      </w:r>
    </w:p>
    <w:p w14:paraId="0BE98176">
      <w:pPr>
        <w:pStyle w:val="25"/>
        <w:adjustRightInd/>
        <w:snapToGrid/>
        <w:ind w:firstLine="480"/>
        <w:rPr>
          <w:rFonts w:hint="default" w:ascii="Times New Roman" w:hAnsi="Times New Roman" w:cs="Times New Roman"/>
          <w:snapToGrid w:val="0"/>
          <w:color w:val="auto"/>
          <w:highlight w:val="none"/>
        </w:rPr>
      </w:pPr>
      <w:r>
        <w:rPr>
          <w:rFonts w:hint="default" w:ascii="Times New Roman" w:hAnsi="Times New Roman" w:cs="Times New Roman"/>
          <w:color w:val="auto"/>
          <w:highlight w:val="none"/>
          <w:lang w:val="en-US" w:eastAsia="zh-CN"/>
        </w:rPr>
        <w:t>2#项目区主要</w:t>
      </w:r>
      <w:r>
        <w:rPr>
          <w:rFonts w:hint="default" w:ascii="Times New Roman" w:hAnsi="Times New Roman" w:cs="Times New Roman"/>
          <w:color w:val="auto"/>
          <w:highlight w:val="none"/>
        </w:rPr>
        <w:t>建设内容</w:t>
      </w:r>
      <w:r>
        <w:rPr>
          <w:rFonts w:hint="default" w:ascii="Times New Roman" w:hAnsi="Times New Roman" w:cs="Times New Roman"/>
          <w:snapToGrid w:val="0"/>
          <w:color w:val="auto"/>
          <w:highlight w:val="none"/>
        </w:rPr>
        <w:t>包括清理工程、场地平整工程、回填工程、挡土墙工程、截排水沟工程和植被恢复工程等。</w:t>
      </w:r>
    </w:p>
    <w:p w14:paraId="30D56E3F">
      <w:pPr>
        <w:pStyle w:val="25"/>
        <w:adjustRightInd/>
        <w:snapToGrid/>
        <w:ind w:firstLine="480"/>
        <w:rPr>
          <w:rFonts w:hint="eastAsia" w:ascii="Times New Roman" w:hAnsi="Times New Roman" w:eastAsia="宋体" w:cs="Times New Roman"/>
          <w:snapToGrid w:val="0"/>
          <w:color w:val="FF0000"/>
          <w:highlight w:val="none"/>
          <w:lang w:val="en-US" w:eastAsia="zh-CN"/>
        </w:rPr>
      </w:pPr>
      <w:r>
        <w:rPr>
          <w:rFonts w:hint="eastAsia" w:cs="Times New Roman"/>
          <w:snapToGrid w:val="0"/>
          <w:color w:val="FF0000"/>
          <w:highlight w:val="none"/>
          <w:lang w:val="en-US" w:eastAsia="zh-CN"/>
        </w:rPr>
        <w:t>其他项目</w:t>
      </w:r>
      <w:r>
        <w:rPr>
          <w:rFonts w:hint="default" w:ascii="Times New Roman" w:hAnsi="Times New Roman" w:cs="Times New Roman"/>
          <w:color w:val="FF0000"/>
          <w:highlight w:val="none"/>
          <w:lang w:val="en-US" w:eastAsia="zh-CN"/>
        </w:rPr>
        <w:t>主要</w:t>
      </w:r>
      <w:r>
        <w:rPr>
          <w:rFonts w:hint="default" w:ascii="Times New Roman" w:hAnsi="Times New Roman" w:cs="Times New Roman"/>
          <w:color w:val="FF0000"/>
          <w:highlight w:val="none"/>
        </w:rPr>
        <w:t>建设内容</w:t>
      </w:r>
      <w:r>
        <w:rPr>
          <w:rFonts w:hint="default" w:ascii="Times New Roman" w:hAnsi="Times New Roman" w:cs="Times New Roman"/>
          <w:snapToGrid w:val="0"/>
          <w:color w:val="FF0000"/>
          <w:highlight w:val="none"/>
        </w:rPr>
        <w:t>包括清理工程、场地平整工程、植被恢复工程等</w:t>
      </w:r>
      <w:r>
        <w:rPr>
          <w:rFonts w:hint="eastAsia" w:cs="Times New Roman"/>
          <w:snapToGrid w:val="0"/>
          <w:color w:val="FF0000"/>
          <w:highlight w:val="none"/>
          <w:lang w:eastAsia="zh-CN"/>
        </w:rPr>
        <w:t>。</w:t>
      </w:r>
    </w:p>
    <w:p w14:paraId="18185141">
      <w:pPr>
        <w:pStyle w:val="25"/>
        <w:adjustRightInd/>
        <w:snapToGrid/>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具体建设内容见表3-1-</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w:t>
      </w:r>
    </w:p>
    <w:p w14:paraId="77F1E5B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表3-1-</w:t>
      </w:r>
      <w:r>
        <w:rPr>
          <w:rFonts w:hint="default" w:ascii="Times New Roman" w:hAnsi="Times New Roman" w:cs="Times New Roman"/>
          <w:color w:val="auto"/>
          <w:highlight w:val="none"/>
          <w:lang w:val="en-US" w:eastAsia="zh-CN"/>
        </w:rPr>
        <w:t>3  2#项目区</w:t>
      </w:r>
      <w:r>
        <w:rPr>
          <w:rFonts w:hint="default" w:ascii="Times New Roman" w:hAnsi="Times New Roman" w:cs="Times New Roman"/>
          <w:color w:val="auto"/>
          <w:highlight w:val="none"/>
        </w:rPr>
        <w:t>工程组成一览表</w:t>
      </w:r>
    </w:p>
    <w:tbl>
      <w:tblPr>
        <w:tblStyle w:val="20"/>
        <w:tblW w:w="500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0"/>
        <w:gridCol w:w="445"/>
        <w:gridCol w:w="836"/>
        <w:gridCol w:w="1102"/>
        <w:gridCol w:w="5346"/>
        <w:gridCol w:w="809"/>
        <w:gridCol w:w="18"/>
      </w:tblGrid>
      <w:tr w14:paraId="2AC01C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9" w:type="pct"/>
          <w:trHeight w:val="397" w:hRule="atLeast"/>
        </w:trPr>
        <w:tc>
          <w:tcPr>
            <w:tcW w:w="378" w:type="pct"/>
            <w:tcBorders>
              <w:tl2br w:val="nil"/>
              <w:tr2bl w:val="nil"/>
            </w:tcBorders>
            <w:vAlign w:val="center"/>
          </w:tcPr>
          <w:p w14:paraId="16071CD7">
            <w:pPr>
              <w:pStyle w:val="44"/>
              <w:bidi w:val="0"/>
              <w:rPr>
                <w:rFonts w:hint="default" w:ascii="Times New Roman" w:hAnsi="Times New Roman" w:cs="Times New Roman"/>
                <w:color w:val="auto"/>
                <w:highlight w:val="none"/>
              </w:rPr>
            </w:pPr>
            <w:bookmarkStart w:id="163" w:name="_Hlk527725606"/>
            <w:r>
              <w:rPr>
                <w:rFonts w:hint="default" w:ascii="Times New Roman" w:hAnsi="Times New Roman" w:cs="Times New Roman"/>
                <w:color w:val="auto"/>
                <w:highlight w:val="none"/>
              </w:rPr>
              <w:t>工程类别</w:t>
            </w:r>
          </w:p>
        </w:tc>
        <w:tc>
          <w:tcPr>
            <w:tcW w:w="691" w:type="pct"/>
            <w:gridSpan w:val="2"/>
            <w:tcBorders>
              <w:tl2br w:val="nil"/>
              <w:tr2bl w:val="nil"/>
            </w:tcBorders>
            <w:vAlign w:val="center"/>
          </w:tcPr>
          <w:p w14:paraId="29EA18C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矿山</w:t>
            </w:r>
            <w:r>
              <w:rPr>
                <w:rFonts w:hint="default" w:ascii="Times New Roman" w:hAnsi="Times New Roman" w:cs="Times New Roman"/>
                <w:color w:val="auto"/>
                <w:highlight w:val="none"/>
              </w:rPr>
              <w:t>名称</w:t>
            </w:r>
          </w:p>
        </w:tc>
        <w:tc>
          <w:tcPr>
            <w:tcW w:w="3483" w:type="pct"/>
            <w:gridSpan w:val="2"/>
            <w:tcBorders>
              <w:tl2br w:val="nil"/>
              <w:tr2bl w:val="nil"/>
            </w:tcBorders>
            <w:vAlign w:val="center"/>
          </w:tcPr>
          <w:p w14:paraId="14C57EBC">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主要建设内容</w:t>
            </w:r>
          </w:p>
        </w:tc>
        <w:tc>
          <w:tcPr>
            <w:tcW w:w="437" w:type="pct"/>
            <w:tcBorders>
              <w:tl2br w:val="nil"/>
              <w:tr2bl w:val="nil"/>
            </w:tcBorders>
            <w:vAlign w:val="center"/>
          </w:tcPr>
          <w:p w14:paraId="779BB01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备注</w:t>
            </w:r>
          </w:p>
        </w:tc>
      </w:tr>
      <w:tr w14:paraId="2FED71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9" w:type="pct"/>
          <w:trHeight w:val="553" w:hRule="atLeast"/>
        </w:trPr>
        <w:tc>
          <w:tcPr>
            <w:tcW w:w="378" w:type="pct"/>
            <w:vMerge w:val="restart"/>
            <w:tcBorders>
              <w:tl2br w:val="nil"/>
              <w:tr2bl w:val="nil"/>
            </w:tcBorders>
            <w:vAlign w:val="center"/>
          </w:tcPr>
          <w:p w14:paraId="210E68EC">
            <w:pPr>
              <w:pStyle w:val="44"/>
              <w:bidi w:val="0"/>
              <w:rPr>
                <w:rFonts w:hint="default" w:ascii="Times New Roman" w:hAnsi="Times New Roman" w:cs="Times New Roman"/>
                <w:color w:val="auto"/>
                <w:highlight w:val="none"/>
              </w:rPr>
            </w:pPr>
            <w:bookmarkStart w:id="164" w:name="_Hlk148452466"/>
            <w:r>
              <w:rPr>
                <w:rFonts w:hint="default" w:ascii="Times New Roman" w:hAnsi="Times New Roman" w:cs="Times New Roman"/>
                <w:color w:val="auto"/>
                <w:highlight w:val="none"/>
              </w:rPr>
              <w:t>主体</w:t>
            </w:r>
          </w:p>
          <w:p w14:paraId="25B4754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工程</w:t>
            </w:r>
          </w:p>
        </w:tc>
        <w:tc>
          <w:tcPr>
            <w:tcW w:w="691" w:type="pct"/>
            <w:gridSpan w:val="2"/>
            <w:vMerge w:val="restart"/>
            <w:tcBorders>
              <w:tl2br w:val="nil"/>
              <w:tr2bl w:val="nil"/>
            </w:tcBorders>
            <w:vAlign w:val="center"/>
          </w:tcPr>
          <w:p w14:paraId="359BEF0F">
            <w:pPr>
              <w:pStyle w:val="44"/>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鸡西市城子河区兴顺采石场(2#)</w:t>
            </w:r>
          </w:p>
        </w:tc>
        <w:tc>
          <w:tcPr>
            <w:tcW w:w="595" w:type="pct"/>
            <w:tcBorders>
              <w:tl2br w:val="nil"/>
              <w:tr2bl w:val="nil"/>
            </w:tcBorders>
            <w:vAlign w:val="center"/>
          </w:tcPr>
          <w:p w14:paraId="673ECBC5">
            <w:pPr>
              <w:pStyle w:val="44"/>
              <w:bidi w:val="0"/>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清理工程</w:t>
            </w:r>
          </w:p>
        </w:tc>
        <w:tc>
          <w:tcPr>
            <w:tcW w:w="2887" w:type="pct"/>
            <w:tcBorders>
              <w:tl2br w:val="nil"/>
              <w:tr2bl w:val="nil"/>
            </w:tcBorders>
            <w:vAlign w:val="center"/>
          </w:tcPr>
          <w:p w14:paraId="178BC13A">
            <w:pPr>
              <w:pStyle w:val="44"/>
              <w:bidi w:val="0"/>
              <w:ind w:firstLine="0" w:firstLineChars="0"/>
              <w:jc w:val="left"/>
              <w:rPr>
                <w:rFonts w:hint="default" w:ascii="Times New Roman" w:hAnsi="Times New Roman" w:cs="Times New Roman"/>
                <w:color w:val="auto"/>
                <w:highlight w:val="none"/>
                <w:vertAlign w:val="baseline"/>
              </w:rPr>
            </w:pPr>
            <w:r>
              <w:rPr>
                <w:rFonts w:hint="default" w:ascii="Times New Roman" w:hAnsi="Times New Roman" w:cs="Times New Roman"/>
                <w:color w:val="auto"/>
                <w:highlight w:val="none"/>
              </w:rPr>
              <w:t>对项目区内房屋进行拆除、清理，清理总量</w:t>
            </w:r>
            <w:r>
              <w:rPr>
                <w:rFonts w:hint="default" w:ascii="Times New Roman" w:hAnsi="Times New Roman" w:cs="Times New Roman"/>
                <w:color w:val="auto"/>
                <w:highlight w:val="none"/>
                <w:lang w:val="en-US" w:eastAsia="zh-CN"/>
              </w:rPr>
              <w:t>1296.83m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vertAlign w:val="baseline"/>
                <w:lang w:val="en-US" w:eastAsia="zh-CN"/>
              </w:rPr>
              <w:t>。</w:t>
            </w:r>
          </w:p>
        </w:tc>
        <w:tc>
          <w:tcPr>
            <w:tcW w:w="437" w:type="pct"/>
            <w:vMerge w:val="restart"/>
            <w:tcBorders>
              <w:tl2br w:val="nil"/>
              <w:tr2bl w:val="nil"/>
            </w:tcBorders>
            <w:vAlign w:val="center"/>
          </w:tcPr>
          <w:p w14:paraId="3A648857">
            <w:pPr>
              <w:pStyle w:val="44"/>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新建</w:t>
            </w:r>
          </w:p>
        </w:tc>
      </w:tr>
      <w:tr w14:paraId="07B482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9" w:type="pct"/>
          <w:trHeight w:val="860" w:hRule="atLeast"/>
        </w:trPr>
        <w:tc>
          <w:tcPr>
            <w:tcW w:w="378" w:type="pct"/>
            <w:vMerge w:val="continue"/>
            <w:tcBorders>
              <w:tl2br w:val="nil"/>
              <w:tr2bl w:val="nil"/>
            </w:tcBorders>
            <w:vAlign w:val="center"/>
          </w:tcPr>
          <w:p w14:paraId="3DD2A57E">
            <w:pPr>
              <w:pStyle w:val="44"/>
              <w:bidi w:val="0"/>
              <w:rPr>
                <w:rFonts w:hint="default" w:ascii="Times New Roman" w:hAnsi="Times New Roman" w:cs="Times New Roman"/>
                <w:color w:val="auto"/>
                <w:highlight w:val="none"/>
              </w:rPr>
            </w:pPr>
          </w:p>
        </w:tc>
        <w:tc>
          <w:tcPr>
            <w:tcW w:w="691" w:type="pct"/>
            <w:gridSpan w:val="2"/>
            <w:vMerge w:val="continue"/>
            <w:tcBorders>
              <w:tl2br w:val="nil"/>
              <w:tr2bl w:val="nil"/>
            </w:tcBorders>
            <w:vAlign w:val="center"/>
          </w:tcPr>
          <w:p w14:paraId="174760CC">
            <w:pPr>
              <w:pStyle w:val="44"/>
              <w:bidi w:val="0"/>
              <w:rPr>
                <w:rFonts w:hint="default" w:ascii="Times New Roman" w:hAnsi="Times New Roman" w:cs="Times New Roman"/>
                <w:color w:val="auto"/>
                <w:highlight w:val="none"/>
              </w:rPr>
            </w:pPr>
          </w:p>
        </w:tc>
        <w:tc>
          <w:tcPr>
            <w:tcW w:w="595" w:type="pct"/>
            <w:tcBorders>
              <w:tl2br w:val="nil"/>
              <w:tr2bl w:val="nil"/>
            </w:tcBorders>
            <w:vAlign w:val="center"/>
          </w:tcPr>
          <w:p w14:paraId="417E5D3F">
            <w:pPr>
              <w:pStyle w:val="44"/>
              <w:bidi w:val="0"/>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场地平整及回填</w:t>
            </w:r>
          </w:p>
        </w:tc>
        <w:tc>
          <w:tcPr>
            <w:tcW w:w="2887" w:type="pct"/>
            <w:tcBorders>
              <w:tl2br w:val="nil"/>
              <w:tr2bl w:val="nil"/>
            </w:tcBorders>
            <w:vAlign w:val="center"/>
          </w:tcPr>
          <w:p w14:paraId="3EB8F688">
            <w:pPr>
              <w:pStyle w:val="44"/>
              <w:numPr>
                <w:ilvl w:val="0"/>
                <w:numId w:val="0"/>
              </w:numPr>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对项目区内的采坑及坑侧进行挖高填低平整，</w:t>
            </w:r>
            <w:r>
              <w:rPr>
                <w:rFonts w:hint="default" w:ascii="Times New Roman" w:hAnsi="Times New Roman" w:cs="Times New Roman"/>
                <w:color w:val="auto"/>
                <w:highlight w:val="none"/>
                <w:lang w:val="en-US" w:eastAsia="zh-CN"/>
              </w:rPr>
              <w:t>利用41#煤矸石对采矿坑进行填埋。</w:t>
            </w:r>
            <w:r>
              <w:rPr>
                <w:rFonts w:hint="default" w:ascii="Times New Roman" w:hAnsi="Times New Roman" w:cs="Times New Roman"/>
                <w:color w:val="auto"/>
                <w:highlight w:val="none"/>
              </w:rPr>
              <w:t>回填区修复面积为</w:t>
            </w:r>
            <w:r>
              <w:rPr>
                <w:rFonts w:hint="default" w:ascii="Times New Roman" w:hAnsi="Times New Roman" w:cs="Times New Roman"/>
                <w:color w:val="auto"/>
                <w:highlight w:val="none"/>
                <w:lang w:val="en-US" w:eastAsia="zh-CN"/>
              </w:rPr>
              <w:t>3801</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，煤矸石回填总量为138.6万m</w:t>
            </w:r>
            <w:r>
              <w:rPr>
                <w:rFonts w:hint="default" w:ascii="Times New Roman" w:hAnsi="Times New Roman" w:cs="Times New Roman"/>
                <w:color w:val="auto"/>
                <w:highlight w:val="none"/>
                <w:vertAlign w:val="superscript"/>
              </w:rPr>
              <w:t>3</w:t>
            </w:r>
            <w:r>
              <w:rPr>
                <w:rFonts w:hint="eastAsia" w:cs="Times New Roman"/>
                <w:color w:val="auto"/>
                <w:highlight w:val="none"/>
                <w:vertAlign w:val="baseline"/>
                <w:lang w:eastAsia="zh-CN"/>
              </w:rPr>
              <w:t>，</w:t>
            </w:r>
            <w:r>
              <w:rPr>
                <w:rFonts w:hint="eastAsia" w:cs="Times New Roman"/>
                <w:color w:val="auto"/>
                <w:highlight w:val="none"/>
                <w:vertAlign w:val="baseline"/>
                <w:lang w:val="en-US" w:eastAsia="zh-CN"/>
              </w:rPr>
              <w:t>表土回填量为3840.8</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。本次回填采用“分层摊铺、往返碾压、分单元作业”的回填处理工艺，单元作业面积1200m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，每层摊铺厚度不大于1m，压实系数不小于0.9。作业时周边设置围挡，高度不小于1.8m，每日作业后对表面进行苫布覆盖，非作业面以及已碾实的煤矸石表面采用苫布覆盖。</w:t>
            </w:r>
          </w:p>
        </w:tc>
        <w:tc>
          <w:tcPr>
            <w:tcW w:w="437" w:type="pct"/>
            <w:vMerge w:val="continue"/>
            <w:tcBorders>
              <w:tl2br w:val="nil"/>
              <w:tr2bl w:val="nil"/>
            </w:tcBorders>
            <w:vAlign w:val="center"/>
          </w:tcPr>
          <w:p w14:paraId="3E00A59F">
            <w:pPr>
              <w:pStyle w:val="44"/>
              <w:bidi w:val="0"/>
              <w:rPr>
                <w:rFonts w:hint="default" w:ascii="Times New Roman" w:hAnsi="Times New Roman" w:cs="Times New Roman"/>
                <w:color w:val="auto"/>
                <w:highlight w:val="none"/>
              </w:rPr>
            </w:pPr>
          </w:p>
        </w:tc>
      </w:tr>
      <w:tr w14:paraId="60A2F3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9" w:type="pct"/>
          <w:trHeight w:val="860" w:hRule="atLeast"/>
        </w:trPr>
        <w:tc>
          <w:tcPr>
            <w:tcW w:w="378" w:type="pct"/>
            <w:vMerge w:val="continue"/>
            <w:tcBorders>
              <w:tl2br w:val="nil"/>
              <w:tr2bl w:val="nil"/>
            </w:tcBorders>
            <w:vAlign w:val="center"/>
          </w:tcPr>
          <w:p w14:paraId="365B5EE3">
            <w:pPr>
              <w:pStyle w:val="44"/>
              <w:bidi w:val="0"/>
              <w:rPr>
                <w:rFonts w:hint="default" w:ascii="Times New Roman" w:hAnsi="Times New Roman" w:cs="Times New Roman"/>
                <w:color w:val="auto"/>
                <w:highlight w:val="none"/>
              </w:rPr>
            </w:pPr>
          </w:p>
        </w:tc>
        <w:tc>
          <w:tcPr>
            <w:tcW w:w="691" w:type="pct"/>
            <w:gridSpan w:val="2"/>
            <w:vMerge w:val="continue"/>
            <w:tcBorders>
              <w:tl2br w:val="nil"/>
              <w:tr2bl w:val="nil"/>
            </w:tcBorders>
            <w:vAlign w:val="center"/>
          </w:tcPr>
          <w:p w14:paraId="5C6B521D">
            <w:pPr>
              <w:pStyle w:val="44"/>
              <w:bidi w:val="0"/>
              <w:rPr>
                <w:rFonts w:hint="default" w:ascii="Times New Roman" w:hAnsi="Times New Roman" w:cs="Times New Roman"/>
                <w:color w:val="auto"/>
                <w:highlight w:val="none"/>
              </w:rPr>
            </w:pPr>
          </w:p>
        </w:tc>
        <w:tc>
          <w:tcPr>
            <w:tcW w:w="1102" w:type="dxa"/>
            <w:tcBorders>
              <w:tl2br w:val="nil"/>
              <w:tr2bl w:val="nil"/>
            </w:tcBorders>
            <w:vAlign w:val="center"/>
          </w:tcPr>
          <w:p w14:paraId="6A38B5BA">
            <w:pPr>
              <w:pStyle w:val="44"/>
              <w:bidi w:val="0"/>
              <w:ind w:firstLine="0" w:firstLineChars="0"/>
              <w:rPr>
                <w:rFonts w:hint="default" w:ascii="Times New Roman" w:hAnsi="Times New Roman" w:cs="Times New Roman"/>
                <w:color w:val="auto"/>
                <w:highlight w:val="none"/>
                <w:lang w:val="en-US" w:eastAsia="zh-CN"/>
              </w:rPr>
            </w:pPr>
            <w:r>
              <w:rPr>
                <w:rFonts w:hint="eastAsia"/>
                <w:color w:val="auto"/>
                <w:highlight w:val="none"/>
              </w:rPr>
              <w:t>边坡防渗</w:t>
            </w:r>
          </w:p>
        </w:tc>
        <w:tc>
          <w:tcPr>
            <w:tcW w:w="5346" w:type="dxa"/>
            <w:tcBorders>
              <w:tl2br w:val="nil"/>
              <w:tr2bl w:val="nil"/>
            </w:tcBorders>
            <w:shd w:val="clear" w:color="auto" w:fill="auto"/>
            <w:vAlign w:val="center"/>
          </w:tcPr>
          <w:p w14:paraId="06F30B2C">
            <w:pPr>
              <w:pStyle w:val="44"/>
              <w:bidi w:val="0"/>
              <w:rPr>
                <w:color w:val="auto"/>
                <w:highlight w:val="none"/>
              </w:rPr>
            </w:pPr>
            <w:r>
              <w:rPr>
                <w:rFonts w:hint="eastAsia"/>
                <w:color w:val="auto"/>
                <w:highlight w:val="none"/>
              </w:rPr>
              <w:t>边坡防渗结构自下而上分别为基础层、无纺长丝土工布（600g/m</w:t>
            </w:r>
            <w:r>
              <w:rPr>
                <w:rFonts w:hint="eastAsia"/>
                <w:color w:val="auto"/>
                <w:highlight w:val="none"/>
                <w:vertAlign w:val="superscript"/>
              </w:rPr>
              <w:t>2</w:t>
            </w:r>
            <w:r>
              <w:rPr>
                <w:rFonts w:hint="eastAsia"/>
                <w:color w:val="auto"/>
                <w:highlight w:val="none"/>
              </w:rPr>
              <w:t>）、1.5mm厚HDPE防渗膜。</w:t>
            </w:r>
          </w:p>
          <w:p w14:paraId="1680E5AA">
            <w:pPr>
              <w:pStyle w:val="44"/>
              <w:bidi w:val="0"/>
              <w:ind w:firstLine="0" w:firstLineChars="0"/>
              <w:rPr>
                <w:rFonts w:hint="default" w:ascii="Times New Roman" w:hAnsi="Times New Roman" w:eastAsia="宋体" w:cs="Times New Roman"/>
                <w:color w:val="auto"/>
                <w:kern w:val="2"/>
                <w:szCs w:val="21"/>
                <w:highlight w:val="none"/>
                <w:vertAlign w:val="baseline"/>
                <w:lang w:val="en-US" w:eastAsia="zh-CN" w:bidi="ar-SA"/>
              </w:rPr>
            </w:pPr>
            <w:r>
              <w:rPr>
                <w:rFonts w:hint="eastAsia"/>
                <w:color w:val="auto"/>
                <w:highlight w:val="none"/>
              </w:rPr>
              <w:t>具体为：采用粘土填筑压实，防渗材料采用600g/m</w:t>
            </w:r>
            <w:r>
              <w:rPr>
                <w:rFonts w:hint="eastAsia"/>
                <w:color w:val="auto"/>
                <w:highlight w:val="none"/>
                <w:vertAlign w:val="superscript"/>
              </w:rPr>
              <w:t>2</w:t>
            </w:r>
            <w:r>
              <w:rPr>
                <w:rFonts w:hint="eastAsia"/>
                <w:color w:val="auto"/>
                <w:highlight w:val="none"/>
              </w:rPr>
              <w:t>长纤无纺土工布+</w:t>
            </w:r>
            <w:r>
              <w:rPr>
                <w:color w:val="auto"/>
                <w:highlight w:val="none"/>
              </w:rPr>
              <w:t>1.5</w:t>
            </w:r>
            <w:r>
              <w:rPr>
                <w:rFonts w:hint="eastAsia"/>
                <w:color w:val="auto"/>
                <w:highlight w:val="none"/>
              </w:rPr>
              <w:t>mm厚HDPE防渗膜作为人工合成衬层，保证防渗膜渗透系数满足《火力发电厂干式贮灰场设计规程》（DL/T5488-2014）中的要求。</w:t>
            </w:r>
          </w:p>
        </w:tc>
        <w:tc>
          <w:tcPr>
            <w:tcW w:w="437" w:type="pct"/>
            <w:vMerge w:val="continue"/>
            <w:tcBorders>
              <w:tl2br w:val="nil"/>
              <w:tr2bl w:val="nil"/>
            </w:tcBorders>
            <w:vAlign w:val="center"/>
          </w:tcPr>
          <w:p w14:paraId="495B1CB1">
            <w:pPr>
              <w:pStyle w:val="44"/>
              <w:bidi w:val="0"/>
              <w:rPr>
                <w:rFonts w:hint="default" w:ascii="Times New Roman" w:hAnsi="Times New Roman" w:cs="Times New Roman"/>
                <w:color w:val="auto"/>
                <w:highlight w:val="none"/>
              </w:rPr>
            </w:pPr>
          </w:p>
        </w:tc>
      </w:tr>
      <w:tr w14:paraId="0272A6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9" w:type="pct"/>
          <w:trHeight w:val="90" w:hRule="atLeast"/>
        </w:trPr>
        <w:tc>
          <w:tcPr>
            <w:tcW w:w="378" w:type="pct"/>
            <w:vMerge w:val="continue"/>
            <w:tcBorders>
              <w:tl2br w:val="nil"/>
              <w:tr2bl w:val="nil"/>
            </w:tcBorders>
            <w:vAlign w:val="center"/>
          </w:tcPr>
          <w:p w14:paraId="112C95F7">
            <w:pPr>
              <w:pStyle w:val="44"/>
              <w:bidi w:val="0"/>
              <w:rPr>
                <w:rFonts w:hint="default" w:ascii="Times New Roman" w:hAnsi="Times New Roman" w:cs="Times New Roman"/>
                <w:color w:val="auto"/>
                <w:highlight w:val="none"/>
              </w:rPr>
            </w:pPr>
          </w:p>
        </w:tc>
        <w:tc>
          <w:tcPr>
            <w:tcW w:w="691" w:type="pct"/>
            <w:gridSpan w:val="2"/>
            <w:vMerge w:val="continue"/>
            <w:tcBorders>
              <w:tl2br w:val="nil"/>
              <w:tr2bl w:val="nil"/>
            </w:tcBorders>
            <w:vAlign w:val="center"/>
          </w:tcPr>
          <w:p w14:paraId="3B9CA9B1">
            <w:pPr>
              <w:pStyle w:val="44"/>
              <w:bidi w:val="0"/>
              <w:rPr>
                <w:rFonts w:hint="default" w:ascii="Times New Roman" w:hAnsi="Times New Roman" w:cs="Times New Roman"/>
                <w:color w:val="auto"/>
                <w:highlight w:val="none"/>
              </w:rPr>
            </w:pPr>
          </w:p>
        </w:tc>
        <w:tc>
          <w:tcPr>
            <w:tcW w:w="595" w:type="pct"/>
            <w:tcBorders>
              <w:tl2br w:val="nil"/>
              <w:tr2bl w:val="nil"/>
            </w:tcBorders>
            <w:vAlign w:val="center"/>
          </w:tcPr>
          <w:p w14:paraId="29E8E063">
            <w:pPr>
              <w:pStyle w:val="44"/>
              <w:bidi w:val="0"/>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挡土墙工程</w:t>
            </w:r>
          </w:p>
        </w:tc>
        <w:tc>
          <w:tcPr>
            <w:tcW w:w="2887" w:type="pct"/>
            <w:tcBorders>
              <w:tl2br w:val="nil"/>
              <w:tr2bl w:val="nil"/>
            </w:tcBorders>
            <w:vAlign w:val="center"/>
          </w:tcPr>
          <w:p w14:paraId="7F21B7E2">
            <w:pPr>
              <w:pStyle w:val="44"/>
              <w:bidi w:val="0"/>
              <w:ind w:firstLine="0" w:firstLineChars="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在东南侧坡下砌筑挡土墙</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总长</w:t>
            </w:r>
            <w:r>
              <w:rPr>
                <w:rFonts w:hint="default" w:ascii="Times New Roman" w:hAnsi="Times New Roman" w:cs="Times New Roman"/>
                <w:color w:val="auto"/>
                <w:highlight w:val="none"/>
                <w:lang w:val="en-US" w:eastAsia="zh-CN"/>
              </w:rPr>
              <w:t>189.7m。</w:t>
            </w:r>
          </w:p>
        </w:tc>
        <w:tc>
          <w:tcPr>
            <w:tcW w:w="437" w:type="pct"/>
            <w:vMerge w:val="continue"/>
            <w:tcBorders>
              <w:tl2br w:val="nil"/>
              <w:tr2bl w:val="nil"/>
            </w:tcBorders>
            <w:vAlign w:val="center"/>
          </w:tcPr>
          <w:p w14:paraId="350D5D15">
            <w:pPr>
              <w:pStyle w:val="44"/>
              <w:bidi w:val="0"/>
              <w:rPr>
                <w:rFonts w:hint="default" w:ascii="Times New Roman" w:hAnsi="Times New Roman" w:cs="Times New Roman"/>
                <w:color w:val="auto"/>
                <w:highlight w:val="none"/>
              </w:rPr>
            </w:pPr>
          </w:p>
        </w:tc>
      </w:tr>
      <w:tr w14:paraId="41D902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9" w:type="pct"/>
          <w:trHeight w:val="353" w:hRule="atLeast"/>
        </w:trPr>
        <w:tc>
          <w:tcPr>
            <w:tcW w:w="378" w:type="pct"/>
            <w:vMerge w:val="continue"/>
            <w:tcBorders>
              <w:tl2br w:val="nil"/>
              <w:tr2bl w:val="nil"/>
            </w:tcBorders>
            <w:vAlign w:val="center"/>
          </w:tcPr>
          <w:p w14:paraId="79BCC32E">
            <w:pPr>
              <w:pStyle w:val="44"/>
              <w:bidi w:val="0"/>
              <w:rPr>
                <w:rFonts w:hint="default" w:ascii="Times New Roman" w:hAnsi="Times New Roman" w:cs="Times New Roman"/>
                <w:color w:val="auto"/>
                <w:highlight w:val="none"/>
              </w:rPr>
            </w:pPr>
          </w:p>
        </w:tc>
        <w:tc>
          <w:tcPr>
            <w:tcW w:w="691" w:type="pct"/>
            <w:gridSpan w:val="2"/>
            <w:vMerge w:val="continue"/>
            <w:tcBorders>
              <w:tl2br w:val="nil"/>
              <w:tr2bl w:val="nil"/>
            </w:tcBorders>
            <w:vAlign w:val="center"/>
          </w:tcPr>
          <w:p w14:paraId="4E32F1D5">
            <w:pPr>
              <w:pStyle w:val="44"/>
              <w:bidi w:val="0"/>
              <w:rPr>
                <w:rFonts w:hint="default" w:ascii="Times New Roman" w:hAnsi="Times New Roman" w:cs="Times New Roman"/>
                <w:color w:val="auto"/>
                <w:highlight w:val="none"/>
              </w:rPr>
            </w:pPr>
          </w:p>
        </w:tc>
        <w:tc>
          <w:tcPr>
            <w:tcW w:w="595" w:type="pct"/>
            <w:tcBorders>
              <w:tl2br w:val="nil"/>
              <w:tr2bl w:val="nil"/>
            </w:tcBorders>
            <w:shd w:val="clear" w:color="auto" w:fill="auto"/>
            <w:vAlign w:val="center"/>
          </w:tcPr>
          <w:p w14:paraId="2329FAB9">
            <w:pPr>
              <w:pStyle w:val="44"/>
              <w:bidi w:val="0"/>
              <w:ind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highlight w:val="none"/>
                <w:lang w:val="en-US" w:eastAsia="zh-CN"/>
              </w:rPr>
              <w:t>截排水沟</w:t>
            </w:r>
          </w:p>
        </w:tc>
        <w:tc>
          <w:tcPr>
            <w:tcW w:w="2887" w:type="pct"/>
            <w:tcBorders>
              <w:tl2br w:val="nil"/>
              <w:tr2bl w:val="nil"/>
            </w:tcBorders>
            <w:shd w:val="clear" w:color="auto" w:fill="auto"/>
            <w:vAlign w:val="center"/>
          </w:tcPr>
          <w:p w14:paraId="7C41C3A8">
            <w:pPr>
              <w:pStyle w:val="44"/>
              <w:bidi w:val="0"/>
              <w:jc w:val="left"/>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highlight w:val="none"/>
              </w:rPr>
              <w:t>在项目区东侧、南侧及挡土墙下布设布设截排水沟，设计截排水沟长度为</w:t>
            </w:r>
            <w:r>
              <w:rPr>
                <w:rFonts w:hint="default" w:ascii="Times New Roman" w:hAnsi="Times New Roman" w:cs="Times New Roman"/>
                <w:color w:val="auto"/>
                <w:highlight w:val="none"/>
                <w:lang w:val="en-US" w:eastAsia="zh-CN"/>
              </w:rPr>
              <w:t>523.5m。</w:t>
            </w:r>
            <w:r>
              <w:rPr>
                <w:rFonts w:hint="default" w:ascii="Times New Roman" w:hAnsi="Times New Roman" w:cs="Times New Roman"/>
                <w:color w:val="auto"/>
                <w:lang w:val="en-US" w:eastAsia="zh-CN"/>
              </w:rPr>
              <w:t>项目</w:t>
            </w:r>
            <w:r>
              <w:rPr>
                <w:rFonts w:hint="default" w:ascii="Times New Roman" w:hAnsi="Times New Roman" w:cs="Times New Roman"/>
                <w:color w:val="auto"/>
              </w:rPr>
              <w:t>区四周设置</w:t>
            </w:r>
            <w:r>
              <w:rPr>
                <w:rFonts w:hint="default" w:ascii="Times New Roman" w:hAnsi="Times New Roman" w:cs="Times New Roman"/>
                <w:color w:val="auto"/>
                <w:lang w:val="en-US" w:eastAsia="zh-CN"/>
              </w:rPr>
              <w:t>截排水沟</w:t>
            </w:r>
            <w:r>
              <w:rPr>
                <w:rFonts w:hint="default" w:ascii="Times New Roman" w:hAnsi="Times New Roman" w:cs="Times New Roman"/>
                <w:color w:val="auto"/>
              </w:rPr>
              <w:t>，鸡西市城子河区兴顺采石场(2#)回填区库底东南至西北方向设置1条</w:t>
            </w:r>
            <w:r>
              <w:rPr>
                <w:rFonts w:hint="default" w:ascii="Times New Roman" w:hAnsi="Times New Roman" w:cs="Times New Roman"/>
                <w:color w:val="auto"/>
                <w:lang w:val="en-US" w:eastAsia="zh-CN"/>
              </w:rPr>
              <w:t>截排水沟</w:t>
            </w:r>
            <w:r>
              <w:rPr>
                <w:rFonts w:hint="eastAsia" w:cs="Times New Roman"/>
                <w:color w:val="auto"/>
                <w:lang w:val="en-US" w:eastAsia="zh-CN"/>
              </w:rPr>
              <w:t>，</w:t>
            </w:r>
            <w:r>
              <w:rPr>
                <w:rFonts w:hint="default" w:ascii="Times New Roman" w:hAnsi="Times New Roman" w:cs="Times New Roman"/>
                <w:color w:val="auto"/>
                <w:highlight w:val="none"/>
              </w:rPr>
              <w:t>截排水沟长度为</w:t>
            </w:r>
            <w:r>
              <w:rPr>
                <w:rFonts w:hint="default" w:ascii="Times New Roman" w:hAnsi="Times New Roman" w:cs="Times New Roman"/>
                <w:color w:val="auto"/>
                <w:highlight w:val="none"/>
                <w:lang w:val="en-US" w:eastAsia="zh-CN"/>
              </w:rPr>
              <w:t>523.5m</w:t>
            </w:r>
            <w:r>
              <w:rPr>
                <w:rFonts w:hint="default" w:ascii="Times New Roman" w:hAnsi="Times New Roman" w:cs="Times New Roman"/>
                <w:color w:val="auto"/>
                <w:lang w:eastAsia="zh-CN"/>
              </w:rPr>
              <w:t>；</w:t>
            </w:r>
            <w:r>
              <w:rPr>
                <w:rFonts w:hint="default" w:ascii="Times New Roman" w:hAnsi="Times New Roman" w:cs="Times New Roman"/>
                <w:color w:val="auto"/>
              </w:rPr>
              <w:t>鸡西市城子河区城东一队废弃采石场（14#）截排水沟长度为492m</w:t>
            </w:r>
            <w:r>
              <w:rPr>
                <w:rFonts w:hint="default" w:ascii="Times New Roman" w:hAnsi="Times New Roman" w:cs="Times New Roman"/>
                <w:color w:val="auto"/>
                <w:lang w:eastAsia="zh-CN"/>
              </w:rPr>
              <w:t>；</w:t>
            </w:r>
            <w:r>
              <w:rPr>
                <w:rFonts w:hint="default" w:ascii="Times New Roman" w:hAnsi="Times New Roman" w:cs="Times New Roman"/>
                <w:color w:val="auto"/>
              </w:rPr>
              <w:t>鸡西市城子河区水泥厂后山废弃采石场(21#)截排水沟长度为</w:t>
            </w:r>
            <w:r>
              <w:rPr>
                <w:rFonts w:hint="default" w:ascii="Times New Roman" w:hAnsi="Times New Roman" w:cs="Times New Roman"/>
                <w:color w:val="auto"/>
                <w:lang w:val="en-US" w:eastAsia="zh-CN"/>
              </w:rPr>
              <w:t>570.4</w:t>
            </w:r>
            <w:r>
              <w:rPr>
                <w:rFonts w:hint="default" w:ascii="Times New Roman" w:hAnsi="Times New Roman" w:cs="Times New Roman"/>
                <w:color w:val="auto"/>
              </w:rPr>
              <w:t>m</w:t>
            </w:r>
          </w:p>
        </w:tc>
        <w:tc>
          <w:tcPr>
            <w:tcW w:w="437" w:type="pct"/>
            <w:vMerge w:val="continue"/>
            <w:tcBorders>
              <w:tl2br w:val="nil"/>
              <w:tr2bl w:val="nil"/>
            </w:tcBorders>
            <w:vAlign w:val="center"/>
          </w:tcPr>
          <w:p w14:paraId="73D06158">
            <w:pPr>
              <w:pStyle w:val="44"/>
              <w:bidi w:val="0"/>
              <w:rPr>
                <w:rFonts w:hint="default" w:ascii="Times New Roman" w:hAnsi="Times New Roman" w:cs="Times New Roman"/>
                <w:color w:val="auto"/>
                <w:highlight w:val="none"/>
              </w:rPr>
            </w:pPr>
          </w:p>
        </w:tc>
      </w:tr>
      <w:tr w14:paraId="463C70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9" w:type="pct"/>
          <w:trHeight w:val="90" w:hRule="atLeast"/>
        </w:trPr>
        <w:tc>
          <w:tcPr>
            <w:tcW w:w="378" w:type="pct"/>
            <w:vMerge w:val="continue"/>
            <w:tcBorders>
              <w:tl2br w:val="nil"/>
              <w:tr2bl w:val="nil"/>
            </w:tcBorders>
            <w:vAlign w:val="center"/>
          </w:tcPr>
          <w:p w14:paraId="78C792A4">
            <w:pPr>
              <w:pStyle w:val="44"/>
              <w:bidi w:val="0"/>
              <w:rPr>
                <w:rFonts w:hint="default" w:ascii="Times New Roman" w:hAnsi="Times New Roman" w:cs="Times New Roman"/>
                <w:color w:val="auto"/>
                <w:highlight w:val="none"/>
              </w:rPr>
            </w:pPr>
          </w:p>
        </w:tc>
        <w:tc>
          <w:tcPr>
            <w:tcW w:w="691" w:type="pct"/>
            <w:gridSpan w:val="2"/>
            <w:vMerge w:val="continue"/>
            <w:tcBorders>
              <w:tl2br w:val="nil"/>
              <w:tr2bl w:val="nil"/>
            </w:tcBorders>
            <w:vAlign w:val="center"/>
          </w:tcPr>
          <w:p w14:paraId="53DE6A4E">
            <w:pPr>
              <w:pStyle w:val="44"/>
              <w:bidi w:val="0"/>
              <w:rPr>
                <w:rFonts w:hint="default" w:ascii="Times New Roman" w:hAnsi="Times New Roman" w:cs="Times New Roman"/>
                <w:color w:val="auto"/>
                <w:highlight w:val="none"/>
              </w:rPr>
            </w:pPr>
          </w:p>
        </w:tc>
        <w:tc>
          <w:tcPr>
            <w:tcW w:w="595" w:type="pct"/>
            <w:tcBorders>
              <w:tl2br w:val="nil"/>
              <w:tr2bl w:val="nil"/>
            </w:tcBorders>
            <w:vAlign w:val="center"/>
          </w:tcPr>
          <w:p w14:paraId="38935F86">
            <w:pPr>
              <w:pStyle w:val="44"/>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植被恢复工程</w:t>
            </w:r>
          </w:p>
        </w:tc>
        <w:tc>
          <w:tcPr>
            <w:tcW w:w="2887" w:type="pct"/>
            <w:tcBorders>
              <w:tl2br w:val="nil"/>
              <w:tr2bl w:val="nil"/>
            </w:tcBorders>
            <w:vAlign w:val="center"/>
          </w:tcPr>
          <w:p w14:paraId="2438F5DF">
            <w:pPr>
              <w:pStyle w:val="44"/>
              <w:bidi w:val="0"/>
              <w:ind w:firstLine="0" w:firstLineChars="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在项目区东南侧的边坡上进行植被恢复，面积为 </w:t>
            </w:r>
            <w:r>
              <w:rPr>
                <w:rFonts w:hint="default" w:ascii="Times New Roman" w:hAnsi="Times New Roman" w:cs="Times New Roman"/>
                <w:color w:val="auto"/>
                <w:highlight w:val="none"/>
                <w:lang w:val="en-US" w:eastAsia="zh-CN"/>
              </w:rPr>
              <w:t>46027m</w:t>
            </w:r>
            <w:r>
              <w:rPr>
                <w:rFonts w:hint="default" w:ascii="Times New Roman" w:hAnsi="Times New Roman" w:cs="Times New Roman"/>
                <w:color w:val="auto"/>
                <w:highlight w:val="none"/>
                <w:vertAlign w:val="superscript"/>
                <w:lang w:val="en-US" w:eastAsia="zh-CN"/>
              </w:rPr>
              <w:t xml:space="preserve">2 </w:t>
            </w:r>
          </w:p>
        </w:tc>
        <w:tc>
          <w:tcPr>
            <w:tcW w:w="437" w:type="pct"/>
            <w:vMerge w:val="continue"/>
            <w:tcBorders>
              <w:tl2br w:val="nil"/>
              <w:tr2bl w:val="nil"/>
            </w:tcBorders>
            <w:vAlign w:val="center"/>
          </w:tcPr>
          <w:p w14:paraId="52E800A2">
            <w:pPr>
              <w:pStyle w:val="44"/>
              <w:bidi w:val="0"/>
              <w:rPr>
                <w:rFonts w:hint="default" w:ascii="Times New Roman" w:hAnsi="Times New Roman" w:cs="Times New Roman"/>
                <w:color w:val="auto"/>
                <w:highlight w:val="none"/>
              </w:rPr>
            </w:pPr>
          </w:p>
        </w:tc>
      </w:tr>
      <w:bookmarkEnd w:id="164"/>
      <w:tr w14:paraId="03E370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9" w:type="pct"/>
          <w:trHeight w:val="132" w:hRule="atLeast"/>
        </w:trPr>
        <w:tc>
          <w:tcPr>
            <w:tcW w:w="378" w:type="pct"/>
            <w:vMerge w:val="restart"/>
            <w:tcBorders>
              <w:tl2br w:val="nil"/>
              <w:tr2bl w:val="nil"/>
            </w:tcBorders>
            <w:vAlign w:val="center"/>
          </w:tcPr>
          <w:p w14:paraId="1D3B346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辅助工程</w:t>
            </w:r>
          </w:p>
        </w:tc>
        <w:tc>
          <w:tcPr>
            <w:tcW w:w="691" w:type="pct"/>
            <w:gridSpan w:val="2"/>
            <w:tcBorders>
              <w:tl2br w:val="nil"/>
              <w:tr2bl w:val="nil"/>
            </w:tcBorders>
            <w:vAlign w:val="center"/>
          </w:tcPr>
          <w:p w14:paraId="0C40E4DF">
            <w:pPr>
              <w:pStyle w:val="44"/>
              <w:bidi w:val="0"/>
              <w:ind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highlight w:val="none"/>
              </w:rPr>
              <w:t>办公生活区</w:t>
            </w:r>
          </w:p>
        </w:tc>
        <w:tc>
          <w:tcPr>
            <w:tcW w:w="3483" w:type="pct"/>
            <w:gridSpan w:val="2"/>
            <w:tcBorders>
              <w:tl2br w:val="nil"/>
              <w:tr2bl w:val="nil"/>
            </w:tcBorders>
            <w:shd w:val="clear" w:color="auto" w:fill="auto"/>
            <w:vAlign w:val="center"/>
          </w:tcPr>
          <w:p w14:paraId="3098FFC0">
            <w:pPr>
              <w:pStyle w:val="44"/>
              <w:bidi w:val="0"/>
              <w:ind w:firstLine="0" w:firstLineChars="0"/>
              <w:jc w:val="left"/>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highlight w:val="none"/>
                <w:lang w:val="en-US" w:eastAsia="zh-CN"/>
              </w:rPr>
              <w:t>项目场地，均不设置办公区。</w:t>
            </w:r>
          </w:p>
        </w:tc>
        <w:tc>
          <w:tcPr>
            <w:tcW w:w="437" w:type="pct"/>
            <w:tcBorders>
              <w:tl2br w:val="nil"/>
              <w:tr2bl w:val="nil"/>
            </w:tcBorders>
            <w:vAlign w:val="center"/>
          </w:tcPr>
          <w:p w14:paraId="78984030">
            <w:pPr>
              <w:pStyle w:val="44"/>
              <w:bidi w:val="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w:t>
            </w:r>
          </w:p>
        </w:tc>
      </w:tr>
      <w:tr w14:paraId="595189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9" w:type="pct"/>
          <w:trHeight w:val="90" w:hRule="atLeast"/>
        </w:trPr>
        <w:tc>
          <w:tcPr>
            <w:tcW w:w="378" w:type="pct"/>
            <w:vMerge w:val="continue"/>
            <w:tcBorders>
              <w:tl2br w:val="nil"/>
              <w:tr2bl w:val="nil"/>
            </w:tcBorders>
            <w:vAlign w:val="center"/>
          </w:tcPr>
          <w:p w14:paraId="2738EBD0">
            <w:pPr>
              <w:pStyle w:val="44"/>
              <w:bidi w:val="0"/>
              <w:rPr>
                <w:rFonts w:hint="default" w:ascii="Times New Roman" w:hAnsi="Times New Roman" w:cs="Times New Roman"/>
                <w:color w:val="auto"/>
                <w:highlight w:val="none"/>
              </w:rPr>
            </w:pPr>
          </w:p>
        </w:tc>
        <w:tc>
          <w:tcPr>
            <w:tcW w:w="691" w:type="pct"/>
            <w:gridSpan w:val="2"/>
            <w:tcBorders>
              <w:tl2br w:val="nil"/>
              <w:tr2bl w:val="nil"/>
            </w:tcBorders>
            <w:vAlign w:val="center"/>
          </w:tcPr>
          <w:p w14:paraId="180EA989">
            <w:pPr>
              <w:pStyle w:val="44"/>
              <w:bidi w:val="0"/>
              <w:ind w:firstLine="0" w:firstLineChars="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沉淀池</w:t>
            </w:r>
          </w:p>
        </w:tc>
        <w:tc>
          <w:tcPr>
            <w:tcW w:w="3483" w:type="pct"/>
            <w:gridSpan w:val="2"/>
            <w:tcBorders>
              <w:tl2br w:val="nil"/>
              <w:tr2bl w:val="nil"/>
            </w:tcBorders>
            <w:shd w:val="clear" w:color="auto" w:fill="auto"/>
            <w:vAlign w:val="center"/>
          </w:tcPr>
          <w:p w14:paraId="74AA91B7">
            <w:pPr>
              <w:pStyle w:val="44"/>
              <w:bidi w:val="0"/>
              <w:ind w:firstLine="0" w:firstLineChars="0"/>
              <w:jc w:val="left"/>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本项目设置沉淀池一座，用于矿坑废水沉淀及施工期雨水收集沉淀，容积为500m</w:t>
            </w:r>
            <w:r>
              <w:rPr>
                <w:rFonts w:hint="eastAsia" w:cs="Times New Roman"/>
                <w:color w:val="auto"/>
                <w:highlight w:val="none"/>
                <w:vertAlign w:val="superscript"/>
                <w:lang w:val="en-US" w:eastAsia="zh-CN"/>
              </w:rPr>
              <w:t>3</w:t>
            </w:r>
            <w:r>
              <w:rPr>
                <w:rFonts w:hint="eastAsia" w:cs="Times New Roman"/>
                <w:color w:val="auto"/>
                <w:highlight w:val="none"/>
                <w:lang w:val="en-US" w:eastAsia="zh-CN"/>
              </w:rPr>
              <w:t>。</w:t>
            </w:r>
          </w:p>
        </w:tc>
        <w:tc>
          <w:tcPr>
            <w:tcW w:w="437" w:type="pct"/>
            <w:tcBorders>
              <w:tl2br w:val="nil"/>
              <w:tr2bl w:val="nil"/>
            </w:tcBorders>
            <w:vAlign w:val="center"/>
          </w:tcPr>
          <w:p w14:paraId="393FF161">
            <w:pPr>
              <w:pStyle w:val="44"/>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新建</w:t>
            </w:r>
          </w:p>
        </w:tc>
      </w:tr>
      <w:tr w14:paraId="36556F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9" w:type="pct"/>
          <w:trHeight w:val="406" w:hRule="atLeast"/>
        </w:trPr>
        <w:tc>
          <w:tcPr>
            <w:tcW w:w="378" w:type="pct"/>
            <w:vMerge w:val="restart"/>
            <w:tcBorders>
              <w:tl2br w:val="nil"/>
              <w:tr2bl w:val="nil"/>
            </w:tcBorders>
            <w:vAlign w:val="center"/>
          </w:tcPr>
          <w:p w14:paraId="1807D42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2#项目区</w:t>
            </w:r>
            <w:r>
              <w:rPr>
                <w:rFonts w:hint="default" w:ascii="Times New Roman" w:hAnsi="Times New Roman" w:cs="Times New Roman"/>
                <w:color w:val="auto"/>
                <w:highlight w:val="none"/>
              </w:rPr>
              <w:t>储运工程</w:t>
            </w:r>
          </w:p>
        </w:tc>
        <w:tc>
          <w:tcPr>
            <w:tcW w:w="691" w:type="pct"/>
            <w:gridSpan w:val="2"/>
            <w:tcBorders>
              <w:tl2br w:val="nil"/>
              <w:tr2bl w:val="nil"/>
            </w:tcBorders>
            <w:vAlign w:val="center"/>
          </w:tcPr>
          <w:p w14:paraId="1F429B2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煤矸石运输车辆及运输路线</w:t>
            </w:r>
          </w:p>
        </w:tc>
        <w:tc>
          <w:tcPr>
            <w:tcW w:w="3483" w:type="pct"/>
            <w:gridSpan w:val="2"/>
            <w:tcBorders>
              <w:tl2br w:val="nil"/>
              <w:tr2bl w:val="nil"/>
            </w:tcBorders>
            <w:vAlign w:val="center"/>
          </w:tcPr>
          <w:p w14:paraId="5947A70C">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回填煤矸石由建设单位指派专门的运输单位负责运输至项目场地，每次运输量50t，每天运输</w:t>
            </w:r>
            <w:r>
              <w:rPr>
                <w:rFonts w:hint="default" w:ascii="Times New Roman" w:hAnsi="Times New Roman" w:cs="Times New Roman"/>
                <w:color w:val="auto"/>
                <w:highlight w:val="none"/>
                <w:lang w:val="en-US" w:eastAsia="zh-CN"/>
              </w:rPr>
              <w:t>100</w:t>
            </w:r>
            <w:r>
              <w:rPr>
                <w:rFonts w:hint="default" w:ascii="Times New Roman" w:hAnsi="Times New Roman" w:cs="Times New Roman"/>
                <w:color w:val="auto"/>
                <w:highlight w:val="none"/>
              </w:rPr>
              <w:t>车，运输路线总长约</w:t>
            </w:r>
            <w:r>
              <w:rPr>
                <w:rFonts w:hint="default" w:ascii="Times New Roman" w:hAnsi="Times New Roman" w:cs="Times New Roman"/>
                <w:color w:val="auto"/>
                <w:highlight w:val="none"/>
                <w:lang w:val="en-US" w:eastAsia="zh-CN"/>
              </w:rPr>
              <w:t>7.5</w:t>
            </w:r>
            <w:r>
              <w:rPr>
                <w:rFonts w:hint="default" w:ascii="Times New Roman" w:hAnsi="Times New Roman" w:cs="Times New Roman"/>
                <w:color w:val="auto"/>
                <w:highlight w:val="none"/>
              </w:rPr>
              <w:t>公里，其中进场道路的长度为550m。到达废弃采坑后，直接拉运至分区回填单元。</w:t>
            </w:r>
          </w:p>
        </w:tc>
        <w:tc>
          <w:tcPr>
            <w:tcW w:w="437" w:type="pct"/>
            <w:tcBorders>
              <w:tl2br w:val="nil"/>
              <w:tr2bl w:val="nil"/>
            </w:tcBorders>
            <w:vAlign w:val="center"/>
          </w:tcPr>
          <w:p w14:paraId="2CE05CD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新建</w:t>
            </w:r>
          </w:p>
        </w:tc>
      </w:tr>
      <w:tr w14:paraId="786346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9" w:type="pct"/>
          <w:trHeight w:val="406" w:hRule="atLeast"/>
        </w:trPr>
        <w:tc>
          <w:tcPr>
            <w:tcW w:w="378" w:type="pct"/>
            <w:vMerge w:val="continue"/>
            <w:tcBorders>
              <w:tl2br w:val="nil"/>
              <w:tr2bl w:val="nil"/>
            </w:tcBorders>
            <w:vAlign w:val="center"/>
          </w:tcPr>
          <w:p w14:paraId="069611F9">
            <w:pPr>
              <w:pStyle w:val="44"/>
              <w:bidi w:val="0"/>
              <w:rPr>
                <w:rFonts w:hint="default" w:ascii="Times New Roman" w:hAnsi="Times New Roman" w:cs="Times New Roman"/>
                <w:color w:val="auto"/>
                <w:highlight w:val="none"/>
              </w:rPr>
            </w:pPr>
          </w:p>
        </w:tc>
        <w:tc>
          <w:tcPr>
            <w:tcW w:w="691" w:type="pct"/>
            <w:gridSpan w:val="2"/>
            <w:tcBorders>
              <w:tl2br w:val="nil"/>
              <w:tr2bl w:val="nil"/>
            </w:tcBorders>
            <w:vAlign w:val="center"/>
          </w:tcPr>
          <w:p w14:paraId="0F64848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进场道路</w:t>
            </w:r>
          </w:p>
        </w:tc>
        <w:tc>
          <w:tcPr>
            <w:tcW w:w="3483" w:type="pct"/>
            <w:gridSpan w:val="2"/>
            <w:tcBorders>
              <w:tl2br w:val="nil"/>
              <w:tr2bl w:val="nil"/>
            </w:tcBorders>
            <w:vAlign w:val="center"/>
          </w:tcPr>
          <w:p w14:paraId="1E3D17B8">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利用现有进场道路，</w:t>
            </w:r>
            <w:r>
              <w:rPr>
                <w:rFonts w:hint="default" w:ascii="Times New Roman" w:hAnsi="Times New Roman" w:cs="Times New Roman"/>
                <w:color w:val="auto"/>
                <w:highlight w:val="none"/>
              </w:rPr>
              <w:t>可满足要求</w:t>
            </w:r>
          </w:p>
        </w:tc>
        <w:tc>
          <w:tcPr>
            <w:tcW w:w="437" w:type="pct"/>
            <w:tcBorders>
              <w:tl2br w:val="nil"/>
              <w:tr2bl w:val="nil"/>
            </w:tcBorders>
            <w:vAlign w:val="center"/>
          </w:tcPr>
          <w:p w14:paraId="28C3BE2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依托</w:t>
            </w:r>
          </w:p>
        </w:tc>
      </w:tr>
      <w:tr w14:paraId="4B9975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9" w:type="pct"/>
          <w:trHeight w:val="406" w:hRule="atLeast"/>
        </w:trPr>
        <w:tc>
          <w:tcPr>
            <w:tcW w:w="378" w:type="pct"/>
            <w:vMerge w:val="continue"/>
            <w:tcBorders>
              <w:tl2br w:val="nil"/>
              <w:tr2bl w:val="nil"/>
            </w:tcBorders>
            <w:vAlign w:val="center"/>
          </w:tcPr>
          <w:p w14:paraId="139B002A">
            <w:pPr>
              <w:pStyle w:val="44"/>
              <w:bidi w:val="0"/>
              <w:rPr>
                <w:rFonts w:hint="default" w:ascii="Times New Roman" w:hAnsi="Times New Roman" w:cs="Times New Roman"/>
                <w:color w:val="auto"/>
                <w:highlight w:val="none"/>
              </w:rPr>
            </w:pPr>
          </w:p>
        </w:tc>
        <w:tc>
          <w:tcPr>
            <w:tcW w:w="691" w:type="pct"/>
            <w:gridSpan w:val="2"/>
            <w:tcBorders>
              <w:tl2br w:val="nil"/>
              <w:tr2bl w:val="nil"/>
            </w:tcBorders>
            <w:vAlign w:val="center"/>
          </w:tcPr>
          <w:p w14:paraId="191CA57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覆土堆场</w:t>
            </w:r>
          </w:p>
        </w:tc>
        <w:tc>
          <w:tcPr>
            <w:tcW w:w="3483" w:type="pct"/>
            <w:gridSpan w:val="2"/>
            <w:tcBorders>
              <w:tl2br w:val="nil"/>
              <w:tr2bl w:val="nil"/>
            </w:tcBorders>
            <w:vAlign w:val="center"/>
          </w:tcPr>
          <w:p w14:paraId="7B03F8AD">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回填区内首个回填单元达到设计标高后作为覆土堆场，后期用于复垦用土。堆场采取苫布覆盖水土流失防治措施。</w:t>
            </w:r>
          </w:p>
        </w:tc>
        <w:tc>
          <w:tcPr>
            <w:tcW w:w="437" w:type="pct"/>
            <w:tcBorders>
              <w:tl2br w:val="nil"/>
              <w:tr2bl w:val="nil"/>
            </w:tcBorders>
            <w:vAlign w:val="center"/>
          </w:tcPr>
          <w:p w14:paraId="6268052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新建</w:t>
            </w:r>
          </w:p>
        </w:tc>
      </w:tr>
      <w:tr w14:paraId="7A371A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9" w:type="pct"/>
          <w:trHeight w:val="397" w:hRule="atLeast"/>
        </w:trPr>
        <w:tc>
          <w:tcPr>
            <w:tcW w:w="378" w:type="pct"/>
            <w:vMerge w:val="restart"/>
            <w:tcBorders>
              <w:tl2br w:val="nil"/>
              <w:tr2bl w:val="nil"/>
            </w:tcBorders>
            <w:vAlign w:val="center"/>
          </w:tcPr>
          <w:p w14:paraId="029ACF6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公用工程</w:t>
            </w:r>
          </w:p>
        </w:tc>
        <w:tc>
          <w:tcPr>
            <w:tcW w:w="691" w:type="pct"/>
            <w:gridSpan w:val="2"/>
            <w:tcBorders>
              <w:tl2br w:val="nil"/>
              <w:tr2bl w:val="nil"/>
            </w:tcBorders>
            <w:vAlign w:val="center"/>
          </w:tcPr>
          <w:p w14:paraId="68040D2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供电</w:t>
            </w:r>
          </w:p>
        </w:tc>
        <w:tc>
          <w:tcPr>
            <w:tcW w:w="3483" w:type="pct"/>
            <w:gridSpan w:val="2"/>
            <w:tcBorders>
              <w:tl2br w:val="nil"/>
              <w:tr2bl w:val="nil"/>
            </w:tcBorders>
            <w:vAlign w:val="center"/>
          </w:tcPr>
          <w:p w14:paraId="7E7A5D89">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由当地电业局连接电线提供。</w:t>
            </w:r>
          </w:p>
        </w:tc>
        <w:tc>
          <w:tcPr>
            <w:tcW w:w="437" w:type="pct"/>
            <w:vMerge w:val="restart"/>
            <w:tcBorders>
              <w:tl2br w:val="nil"/>
              <w:tr2bl w:val="nil"/>
            </w:tcBorders>
            <w:vAlign w:val="center"/>
          </w:tcPr>
          <w:p w14:paraId="37635EC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14:paraId="642D61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9" w:type="pct"/>
          <w:trHeight w:val="759" w:hRule="atLeast"/>
        </w:trPr>
        <w:tc>
          <w:tcPr>
            <w:tcW w:w="378" w:type="pct"/>
            <w:vMerge w:val="continue"/>
            <w:tcBorders>
              <w:tl2br w:val="nil"/>
              <w:tr2bl w:val="nil"/>
            </w:tcBorders>
            <w:vAlign w:val="center"/>
          </w:tcPr>
          <w:p w14:paraId="2EFCF122">
            <w:pPr>
              <w:pStyle w:val="44"/>
              <w:bidi w:val="0"/>
              <w:rPr>
                <w:rFonts w:hint="default" w:ascii="Times New Roman" w:hAnsi="Times New Roman" w:cs="Times New Roman"/>
                <w:color w:val="auto"/>
                <w:highlight w:val="none"/>
              </w:rPr>
            </w:pPr>
          </w:p>
        </w:tc>
        <w:tc>
          <w:tcPr>
            <w:tcW w:w="691" w:type="pct"/>
            <w:gridSpan w:val="2"/>
            <w:tcBorders>
              <w:tl2br w:val="nil"/>
              <w:tr2bl w:val="nil"/>
            </w:tcBorders>
            <w:vAlign w:val="center"/>
          </w:tcPr>
          <w:p w14:paraId="088A74D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给水</w:t>
            </w:r>
          </w:p>
        </w:tc>
        <w:tc>
          <w:tcPr>
            <w:tcW w:w="3483" w:type="pct"/>
            <w:gridSpan w:val="2"/>
            <w:tcBorders>
              <w:tl2br w:val="nil"/>
              <w:tr2bl w:val="nil"/>
            </w:tcBorders>
            <w:vAlign w:val="center"/>
          </w:tcPr>
          <w:p w14:paraId="42B08976">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生产用水优先利用</w:t>
            </w:r>
            <w:r>
              <w:rPr>
                <w:rFonts w:hint="default" w:ascii="Times New Roman" w:hAnsi="Times New Roman" w:cs="Times New Roman"/>
                <w:color w:val="auto"/>
                <w:highlight w:val="none"/>
                <w:lang w:val="en-US" w:eastAsia="zh-CN"/>
              </w:rPr>
              <w:t>采坑积水</w:t>
            </w:r>
            <w:r>
              <w:rPr>
                <w:rFonts w:hint="default" w:ascii="Times New Roman" w:hAnsi="Times New Roman" w:cs="Times New Roman"/>
                <w:color w:val="auto"/>
                <w:highlight w:val="none"/>
              </w:rPr>
              <w:t>，不足部分依托附近村屯，用自备洒水车拉运至厂区；员工生活用水主要为饮用水，购买瓶装饮用水。</w:t>
            </w:r>
          </w:p>
        </w:tc>
        <w:tc>
          <w:tcPr>
            <w:tcW w:w="437" w:type="pct"/>
            <w:vMerge w:val="continue"/>
            <w:tcBorders>
              <w:tl2br w:val="nil"/>
              <w:tr2bl w:val="nil"/>
            </w:tcBorders>
            <w:vAlign w:val="center"/>
          </w:tcPr>
          <w:p w14:paraId="0996404C">
            <w:pPr>
              <w:pStyle w:val="44"/>
              <w:bidi w:val="0"/>
              <w:rPr>
                <w:rFonts w:hint="default" w:ascii="Times New Roman" w:hAnsi="Times New Roman" w:cs="Times New Roman"/>
                <w:color w:val="auto"/>
                <w:highlight w:val="none"/>
              </w:rPr>
            </w:pPr>
          </w:p>
        </w:tc>
      </w:tr>
      <w:tr w14:paraId="149CBC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9" w:type="pct"/>
          <w:trHeight w:val="340" w:hRule="atLeast"/>
        </w:trPr>
        <w:tc>
          <w:tcPr>
            <w:tcW w:w="378" w:type="pct"/>
            <w:vMerge w:val="continue"/>
            <w:tcBorders>
              <w:tl2br w:val="nil"/>
              <w:tr2bl w:val="nil"/>
            </w:tcBorders>
            <w:vAlign w:val="center"/>
          </w:tcPr>
          <w:p w14:paraId="3C05268F">
            <w:pPr>
              <w:pStyle w:val="44"/>
              <w:bidi w:val="0"/>
              <w:rPr>
                <w:rFonts w:hint="default" w:ascii="Times New Roman" w:hAnsi="Times New Roman" w:cs="Times New Roman"/>
                <w:color w:val="auto"/>
                <w:highlight w:val="none"/>
              </w:rPr>
            </w:pPr>
          </w:p>
        </w:tc>
        <w:tc>
          <w:tcPr>
            <w:tcW w:w="691" w:type="pct"/>
            <w:gridSpan w:val="2"/>
            <w:tcBorders>
              <w:tl2br w:val="nil"/>
              <w:tr2bl w:val="nil"/>
            </w:tcBorders>
            <w:vAlign w:val="center"/>
          </w:tcPr>
          <w:p w14:paraId="53F6FB6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排水</w:t>
            </w:r>
          </w:p>
        </w:tc>
        <w:tc>
          <w:tcPr>
            <w:tcW w:w="3483" w:type="pct"/>
            <w:gridSpan w:val="2"/>
            <w:tcBorders>
              <w:tl2br w:val="nil"/>
              <w:tr2bl w:val="nil"/>
            </w:tcBorders>
            <w:vAlign w:val="center"/>
          </w:tcPr>
          <w:p w14:paraId="32D4985A">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施工期</w:t>
            </w:r>
            <w:r>
              <w:rPr>
                <w:rFonts w:hint="default" w:ascii="Times New Roman" w:hAnsi="Times New Roman" w:cs="Times New Roman"/>
                <w:color w:val="auto"/>
                <w:highlight w:val="none"/>
              </w:rPr>
              <w:t>产生废水为</w:t>
            </w:r>
            <w:r>
              <w:rPr>
                <w:rFonts w:hint="default" w:ascii="Times New Roman" w:hAnsi="Times New Roman" w:cs="Times New Roman"/>
                <w:color w:val="auto"/>
                <w:highlight w:val="none"/>
                <w:lang w:val="en-US" w:eastAsia="zh-CN"/>
              </w:rPr>
              <w:t>施工废水</w:t>
            </w:r>
            <w:r>
              <w:rPr>
                <w:rFonts w:hint="default" w:ascii="Times New Roman" w:hAnsi="Times New Roman" w:cs="Times New Roman"/>
                <w:color w:val="auto"/>
                <w:highlight w:val="none"/>
              </w:rPr>
              <w:t>。</w:t>
            </w:r>
          </w:p>
          <w:p w14:paraId="45180951">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当有持续强降雨的情况下，才会有部分的淋溶水渗漏到底部，在正常工况条件下，不会产生淋溶水。</w:t>
            </w:r>
          </w:p>
          <w:p w14:paraId="2D1AAD72">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在回填区四周设置排水沟，将整个回填场地与场外其他区域分开，未受污染的雨水沿防坡面排入排水沟内，最终排入厂区东北侧自然冲沟内。</w:t>
            </w:r>
          </w:p>
        </w:tc>
        <w:tc>
          <w:tcPr>
            <w:tcW w:w="437" w:type="pct"/>
            <w:vMerge w:val="continue"/>
            <w:tcBorders>
              <w:tl2br w:val="nil"/>
              <w:tr2bl w:val="nil"/>
            </w:tcBorders>
            <w:vAlign w:val="center"/>
          </w:tcPr>
          <w:p w14:paraId="737CC4F4">
            <w:pPr>
              <w:pStyle w:val="44"/>
              <w:bidi w:val="0"/>
              <w:rPr>
                <w:rFonts w:hint="default" w:ascii="Times New Roman" w:hAnsi="Times New Roman" w:cs="Times New Roman"/>
                <w:color w:val="auto"/>
                <w:highlight w:val="none"/>
              </w:rPr>
            </w:pPr>
          </w:p>
        </w:tc>
      </w:tr>
      <w:tr w14:paraId="089376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9" w:type="pct"/>
          <w:trHeight w:val="427" w:hRule="atLeast"/>
        </w:trPr>
        <w:tc>
          <w:tcPr>
            <w:tcW w:w="378" w:type="pct"/>
            <w:vMerge w:val="continue"/>
            <w:tcBorders>
              <w:tl2br w:val="nil"/>
              <w:tr2bl w:val="nil"/>
            </w:tcBorders>
            <w:vAlign w:val="center"/>
          </w:tcPr>
          <w:p w14:paraId="5C0A91DE">
            <w:pPr>
              <w:pStyle w:val="44"/>
              <w:bidi w:val="0"/>
              <w:rPr>
                <w:rFonts w:hint="default" w:ascii="Times New Roman" w:hAnsi="Times New Roman" w:cs="Times New Roman"/>
                <w:color w:val="auto"/>
                <w:highlight w:val="none"/>
              </w:rPr>
            </w:pPr>
          </w:p>
        </w:tc>
        <w:tc>
          <w:tcPr>
            <w:tcW w:w="691" w:type="pct"/>
            <w:gridSpan w:val="2"/>
            <w:tcBorders>
              <w:tl2br w:val="nil"/>
              <w:tr2bl w:val="nil"/>
            </w:tcBorders>
            <w:vAlign w:val="center"/>
          </w:tcPr>
          <w:p w14:paraId="174DC250">
            <w:pPr>
              <w:pStyle w:val="44"/>
              <w:bidi w:val="0"/>
              <w:rPr>
                <w:rFonts w:hint="default" w:ascii="Times New Roman" w:hAnsi="Times New Roman" w:cs="Times New Roman"/>
                <w:color w:val="auto"/>
                <w:highlight w:val="none"/>
              </w:rPr>
            </w:pPr>
            <w:bookmarkStart w:id="165" w:name="_Hlk527725718"/>
            <w:r>
              <w:rPr>
                <w:rFonts w:hint="default" w:ascii="Times New Roman" w:hAnsi="Times New Roman" w:cs="Times New Roman"/>
                <w:color w:val="auto"/>
                <w:highlight w:val="none"/>
              </w:rPr>
              <w:t>供热</w:t>
            </w:r>
            <w:bookmarkEnd w:id="165"/>
          </w:p>
        </w:tc>
        <w:tc>
          <w:tcPr>
            <w:tcW w:w="3483" w:type="pct"/>
            <w:gridSpan w:val="2"/>
            <w:tcBorders>
              <w:tl2br w:val="nil"/>
              <w:tr2bl w:val="nil"/>
            </w:tcBorders>
            <w:vAlign w:val="center"/>
          </w:tcPr>
          <w:p w14:paraId="1D2435B4">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本项目无需采暖。</w:t>
            </w:r>
          </w:p>
        </w:tc>
        <w:tc>
          <w:tcPr>
            <w:tcW w:w="437" w:type="pct"/>
            <w:vMerge w:val="continue"/>
            <w:tcBorders>
              <w:tl2br w:val="nil"/>
              <w:tr2bl w:val="nil"/>
            </w:tcBorders>
            <w:vAlign w:val="center"/>
          </w:tcPr>
          <w:p w14:paraId="112D0E8A">
            <w:pPr>
              <w:pStyle w:val="44"/>
              <w:bidi w:val="0"/>
              <w:rPr>
                <w:rFonts w:hint="default" w:ascii="Times New Roman" w:hAnsi="Times New Roman" w:cs="Times New Roman"/>
                <w:color w:val="auto"/>
                <w:highlight w:val="none"/>
              </w:rPr>
            </w:pPr>
          </w:p>
        </w:tc>
      </w:tr>
      <w:tr w14:paraId="3E0D6D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1" w:hRule="atLeast"/>
        </w:trPr>
        <w:tc>
          <w:tcPr>
            <w:tcW w:w="378" w:type="pct"/>
            <w:vMerge w:val="restart"/>
            <w:vAlign w:val="center"/>
          </w:tcPr>
          <w:p w14:paraId="4C5A805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环保工程</w:t>
            </w:r>
          </w:p>
        </w:tc>
        <w:tc>
          <w:tcPr>
            <w:tcW w:w="240" w:type="pct"/>
            <w:vMerge w:val="restart"/>
            <w:vAlign w:val="center"/>
          </w:tcPr>
          <w:p w14:paraId="46F9AFC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w:t>
            </w:r>
          </w:p>
        </w:tc>
        <w:tc>
          <w:tcPr>
            <w:tcW w:w="451" w:type="pct"/>
            <w:vAlign w:val="center"/>
          </w:tcPr>
          <w:p w14:paraId="6051E592">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废气</w:t>
            </w:r>
          </w:p>
        </w:tc>
        <w:tc>
          <w:tcPr>
            <w:tcW w:w="3483" w:type="pct"/>
            <w:gridSpan w:val="2"/>
            <w:tcBorders>
              <w:right w:val="single" w:color="auto" w:sz="2" w:space="0"/>
            </w:tcBorders>
            <w:vAlign w:val="center"/>
          </w:tcPr>
          <w:p w14:paraId="27C6248B">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本项目施工期产生废气为施工扬尘、</w:t>
            </w:r>
            <w:r>
              <w:rPr>
                <w:rFonts w:hint="default" w:ascii="Times New Roman" w:hAnsi="Times New Roman" w:cs="Times New Roman"/>
                <w:color w:val="auto"/>
                <w:highlight w:val="none"/>
                <w:lang w:val="en-US" w:eastAsia="zh-CN"/>
              </w:rPr>
              <w:t>机械</w:t>
            </w:r>
            <w:r>
              <w:rPr>
                <w:rFonts w:hint="default" w:ascii="Times New Roman" w:hAnsi="Times New Roman" w:cs="Times New Roman"/>
                <w:color w:val="auto"/>
                <w:highlight w:val="none"/>
              </w:rPr>
              <w:t>燃油废气</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运输扬尘</w:t>
            </w:r>
            <w:r>
              <w:rPr>
                <w:rFonts w:hint="default" w:ascii="Times New Roman" w:hAnsi="Times New Roman" w:cs="Times New Roman"/>
                <w:color w:val="auto"/>
                <w:highlight w:val="none"/>
              </w:rPr>
              <w:t>。</w:t>
            </w:r>
          </w:p>
          <w:p w14:paraId="676F4FB9">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施工场地、道路采取洒水和清扫措施抑尘，土方采用苫布苫盖，运输车加盖篷布；</w:t>
            </w:r>
          </w:p>
          <w:p w14:paraId="44C5EBD1">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定期对车辆设备进行维护保养，禁止以柴油为燃料的施工机械超负荷工作，减小燃油废气影响。</w:t>
            </w:r>
          </w:p>
          <w:p w14:paraId="40E0F6AB">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运输车辆采取加盖篷布、密封仓等措施，运输道路及时洒水降尘，煤矸石到场后按照指定点卸车，且做到随卸随填，控制自卸汽车卸料高度；</w:t>
            </w:r>
          </w:p>
          <w:p w14:paraId="7FF840B9">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在采取上述措施后，场界颗粒物浓度可达到《大气污染物综合排放标准》（GB16297-1996）中的表2无组织排放监控浓度限值。</w:t>
            </w:r>
          </w:p>
        </w:tc>
        <w:tc>
          <w:tcPr>
            <w:tcW w:w="446" w:type="pct"/>
            <w:gridSpan w:val="2"/>
            <w:vMerge w:val="restart"/>
            <w:tcBorders>
              <w:left w:val="single" w:color="auto" w:sz="2" w:space="0"/>
            </w:tcBorders>
            <w:vAlign w:val="center"/>
          </w:tcPr>
          <w:p w14:paraId="1163D5C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新建</w:t>
            </w:r>
          </w:p>
        </w:tc>
      </w:tr>
      <w:tr w14:paraId="380D1E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1" w:hRule="atLeast"/>
        </w:trPr>
        <w:tc>
          <w:tcPr>
            <w:tcW w:w="378" w:type="pct"/>
            <w:vMerge w:val="continue"/>
            <w:vAlign w:val="center"/>
          </w:tcPr>
          <w:p w14:paraId="2439BC32">
            <w:pPr>
              <w:pStyle w:val="44"/>
              <w:bidi w:val="0"/>
              <w:rPr>
                <w:rFonts w:hint="default" w:ascii="Times New Roman" w:hAnsi="Times New Roman" w:cs="Times New Roman"/>
                <w:color w:val="auto"/>
                <w:highlight w:val="none"/>
              </w:rPr>
            </w:pPr>
          </w:p>
        </w:tc>
        <w:tc>
          <w:tcPr>
            <w:tcW w:w="240" w:type="pct"/>
            <w:vMerge w:val="continue"/>
            <w:vAlign w:val="center"/>
          </w:tcPr>
          <w:p w14:paraId="55F58D86">
            <w:pPr>
              <w:pStyle w:val="44"/>
              <w:bidi w:val="0"/>
              <w:rPr>
                <w:rFonts w:hint="default" w:ascii="Times New Roman" w:hAnsi="Times New Roman" w:cs="Times New Roman"/>
                <w:color w:val="auto"/>
                <w:highlight w:val="none"/>
              </w:rPr>
            </w:pPr>
          </w:p>
        </w:tc>
        <w:tc>
          <w:tcPr>
            <w:tcW w:w="451" w:type="pct"/>
            <w:vAlign w:val="center"/>
          </w:tcPr>
          <w:p w14:paraId="5501F776">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废水</w:t>
            </w:r>
          </w:p>
        </w:tc>
        <w:tc>
          <w:tcPr>
            <w:tcW w:w="3483" w:type="pct"/>
            <w:gridSpan w:val="2"/>
            <w:tcBorders>
              <w:right w:val="single" w:color="auto" w:sz="2" w:space="0"/>
            </w:tcBorders>
            <w:vAlign w:val="center"/>
          </w:tcPr>
          <w:p w14:paraId="477F3ACA">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本项目施工期产生废水为施工废水。</w:t>
            </w:r>
            <w:r>
              <w:rPr>
                <w:rFonts w:hint="default" w:ascii="Times New Roman" w:hAnsi="Times New Roman" w:cs="Times New Roman"/>
                <w:color w:val="auto"/>
                <w:highlight w:val="none"/>
                <w:lang w:val="en-US" w:eastAsia="zh-CN"/>
              </w:rPr>
              <w:t>本项目区内不设置办公用房，无生活污水产生。</w:t>
            </w:r>
            <w:r>
              <w:rPr>
                <w:rFonts w:hint="default" w:ascii="Times New Roman" w:hAnsi="Times New Roman" w:cs="Times New Roman"/>
                <w:color w:val="auto"/>
                <w:highlight w:val="none"/>
                <w:lang w:val="zh-CN"/>
              </w:rPr>
              <w:t>项目不设</w:t>
            </w:r>
            <w:r>
              <w:rPr>
                <w:rFonts w:hint="default" w:ascii="Times New Roman" w:hAnsi="Times New Roman" w:cs="Times New Roman"/>
                <w:color w:val="auto"/>
                <w:highlight w:val="none"/>
              </w:rPr>
              <w:t>预制场和拌合场</w:t>
            </w:r>
            <w:r>
              <w:rPr>
                <w:rFonts w:hint="default" w:ascii="Times New Roman" w:hAnsi="Times New Roman" w:cs="Times New Roman"/>
                <w:color w:val="auto"/>
                <w:highlight w:val="none"/>
                <w:lang w:val="zh-CN"/>
              </w:rPr>
              <w:t>，施工废水经沉淀池收集后用于厂区内洒水降尘，不外排。</w:t>
            </w:r>
          </w:p>
        </w:tc>
        <w:tc>
          <w:tcPr>
            <w:tcW w:w="446" w:type="pct"/>
            <w:gridSpan w:val="2"/>
            <w:vMerge w:val="continue"/>
            <w:tcBorders>
              <w:left w:val="single" w:color="auto" w:sz="2" w:space="0"/>
            </w:tcBorders>
            <w:vAlign w:val="center"/>
          </w:tcPr>
          <w:p w14:paraId="76FF37D0">
            <w:pPr>
              <w:pStyle w:val="44"/>
              <w:bidi w:val="0"/>
              <w:rPr>
                <w:rFonts w:hint="default" w:ascii="Times New Roman" w:hAnsi="Times New Roman" w:cs="Times New Roman"/>
                <w:color w:val="auto"/>
                <w:highlight w:val="none"/>
              </w:rPr>
            </w:pPr>
          </w:p>
        </w:tc>
      </w:tr>
      <w:tr w14:paraId="6FFA4F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1" w:hRule="atLeast"/>
        </w:trPr>
        <w:tc>
          <w:tcPr>
            <w:tcW w:w="378" w:type="pct"/>
            <w:vMerge w:val="continue"/>
            <w:vAlign w:val="center"/>
          </w:tcPr>
          <w:p w14:paraId="6A44AE27">
            <w:pPr>
              <w:pStyle w:val="44"/>
              <w:bidi w:val="0"/>
              <w:rPr>
                <w:rFonts w:hint="default" w:ascii="Times New Roman" w:hAnsi="Times New Roman" w:cs="Times New Roman"/>
                <w:color w:val="auto"/>
                <w:highlight w:val="none"/>
              </w:rPr>
            </w:pPr>
          </w:p>
        </w:tc>
        <w:tc>
          <w:tcPr>
            <w:tcW w:w="240" w:type="pct"/>
            <w:vMerge w:val="continue"/>
            <w:vAlign w:val="center"/>
          </w:tcPr>
          <w:p w14:paraId="67DA0B4C">
            <w:pPr>
              <w:pStyle w:val="44"/>
              <w:bidi w:val="0"/>
              <w:rPr>
                <w:rFonts w:hint="default" w:ascii="Times New Roman" w:hAnsi="Times New Roman" w:cs="Times New Roman"/>
                <w:color w:val="auto"/>
                <w:highlight w:val="none"/>
              </w:rPr>
            </w:pPr>
          </w:p>
        </w:tc>
        <w:tc>
          <w:tcPr>
            <w:tcW w:w="451" w:type="pct"/>
            <w:vAlign w:val="center"/>
          </w:tcPr>
          <w:p w14:paraId="474002F2">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噪声</w:t>
            </w:r>
          </w:p>
        </w:tc>
        <w:tc>
          <w:tcPr>
            <w:tcW w:w="3483" w:type="pct"/>
            <w:gridSpan w:val="2"/>
            <w:tcBorders>
              <w:right w:val="single" w:color="auto" w:sz="2" w:space="0"/>
            </w:tcBorders>
            <w:vAlign w:val="center"/>
          </w:tcPr>
          <w:p w14:paraId="7DBDE324">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本项目施工期产生施工机械噪声、运输噪声。合理安排施工时间（晚间22:00-6:00）严禁高噪声设备施工，尽量避免高噪声设备同时运行。优先选用低噪声设备，做好施工机械的维护和保养，减小施工</w:t>
            </w:r>
            <w:r>
              <w:rPr>
                <w:rFonts w:hint="default" w:ascii="Times New Roman" w:hAnsi="Times New Roman" w:cs="Times New Roman"/>
                <w:color w:val="auto"/>
                <w:highlight w:val="none"/>
                <w:lang w:val="zh-CN"/>
              </w:rPr>
              <w:t>机械</w:t>
            </w:r>
            <w:r>
              <w:rPr>
                <w:rFonts w:hint="default" w:ascii="Times New Roman" w:hAnsi="Times New Roman" w:cs="Times New Roman"/>
                <w:color w:val="auto"/>
                <w:highlight w:val="none"/>
              </w:rPr>
              <w:t>噪声影响。加强运输车辆管理，严禁超速超载，减小运输噪声影响。</w:t>
            </w:r>
          </w:p>
        </w:tc>
        <w:tc>
          <w:tcPr>
            <w:tcW w:w="446" w:type="pct"/>
            <w:gridSpan w:val="2"/>
            <w:vMerge w:val="continue"/>
            <w:tcBorders>
              <w:left w:val="single" w:color="auto" w:sz="2" w:space="0"/>
            </w:tcBorders>
            <w:vAlign w:val="center"/>
          </w:tcPr>
          <w:p w14:paraId="78BFC520">
            <w:pPr>
              <w:pStyle w:val="44"/>
              <w:bidi w:val="0"/>
              <w:rPr>
                <w:rFonts w:hint="default" w:ascii="Times New Roman" w:hAnsi="Times New Roman" w:cs="Times New Roman"/>
                <w:color w:val="auto"/>
                <w:highlight w:val="none"/>
              </w:rPr>
            </w:pPr>
          </w:p>
        </w:tc>
      </w:tr>
      <w:tr w14:paraId="05B2E2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62" w:hRule="atLeast"/>
        </w:trPr>
        <w:tc>
          <w:tcPr>
            <w:tcW w:w="378" w:type="pct"/>
            <w:vMerge w:val="continue"/>
            <w:vAlign w:val="center"/>
          </w:tcPr>
          <w:p w14:paraId="70D99901">
            <w:pPr>
              <w:pStyle w:val="44"/>
              <w:bidi w:val="0"/>
              <w:rPr>
                <w:rFonts w:hint="default" w:ascii="Times New Roman" w:hAnsi="Times New Roman" w:cs="Times New Roman"/>
                <w:color w:val="auto"/>
                <w:highlight w:val="none"/>
              </w:rPr>
            </w:pPr>
          </w:p>
        </w:tc>
        <w:tc>
          <w:tcPr>
            <w:tcW w:w="240" w:type="pct"/>
            <w:vMerge w:val="continue"/>
            <w:vAlign w:val="center"/>
          </w:tcPr>
          <w:p w14:paraId="66CFAE14">
            <w:pPr>
              <w:pStyle w:val="44"/>
              <w:bidi w:val="0"/>
              <w:rPr>
                <w:rFonts w:hint="default" w:ascii="Times New Roman" w:hAnsi="Times New Roman" w:cs="Times New Roman"/>
                <w:color w:val="auto"/>
                <w:highlight w:val="none"/>
              </w:rPr>
            </w:pPr>
          </w:p>
        </w:tc>
        <w:tc>
          <w:tcPr>
            <w:tcW w:w="451" w:type="pct"/>
            <w:vAlign w:val="center"/>
          </w:tcPr>
          <w:p w14:paraId="29184A46">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固废</w:t>
            </w:r>
          </w:p>
        </w:tc>
        <w:tc>
          <w:tcPr>
            <w:tcW w:w="3483" w:type="pct"/>
            <w:gridSpan w:val="2"/>
            <w:tcBorders>
              <w:right w:val="single" w:color="auto" w:sz="2" w:space="0"/>
            </w:tcBorders>
            <w:vAlign w:val="center"/>
          </w:tcPr>
          <w:p w14:paraId="416DCDB3">
            <w:pPr>
              <w:pStyle w:val="44"/>
              <w:bidi w:val="0"/>
              <w:jc w:val="left"/>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本项目施工期产生固废为建筑垃圾、场地清理废物</w:t>
            </w:r>
            <w:r>
              <w:rPr>
                <w:rFonts w:hint="eastAsia" w:cs="Times New Roman"/>
                <w:color w:val="auto"/>
                <w:highlight w:val="none"/>
                <w:lang w:eastAsia="zh-CN"/>
              </w:rPr>
              <w:t>、</w:t>
            </w:r>
            <w:r>
              <w:rPr>
                <w:rFonts w:hint="eastAsia" w:cs="Times New Roman"/>
                <w:color w:val="auto"/>
                <w:highlight w:val="none"/>
                <w:lang w:val="en-US" w:eastAsia="zh-CN"/>
              </w:rPr>
              <w:t>厂区内现在废石 及清理的基岩、沉渣等。</w:t>
            </w:r>
          </w:p>
          <w:p w14:paraId="7B252266">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建筑材料下脚料、包装袋等建筑废弃物，外售废品回收部门；</w:t>
            </w:r>
          </w:p>
          <w:p w14:paraId="4C18EB02">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场地清理废物包含杂草、草木根茎、杂物等，集中收集后交由市政部门统一处理。</w:t>
            </w:r>
          </w:p>
          <w:p w14:paraId="23E632D4">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生活垃圾集中收集，交由市政部门统一处理。</w:t>
            </w:r>
          </w:p>
          <w:p w14:paraId="4DE6BE0B">
            <w:pPr>
              <w:pStyle w:val="44"/>
              <w:bidi w:val="0"/>
              <w:jc w:val="left"/>
              <w:rPr>
                <w:rFonts w:hint="eastAsia" w:cs="Times New Roman"/>
                <w:color w:val="auto"/>
                <w:highlight w:val="none"/>
                <w:lang w:val="en-US" w:eastAsia="zh-CN"/>
              </w:rPr>
            </w:pPr>
            <w:r>
              <w:rPr>
                <w:rFonts w:hint="eastAsia" w:cs="Times New Roman"/>
                <w:color w:val="auto"/>
                <w:highlight w:val="none"/>
                <w:lang w:val="en-US" w:eastAsia="zh-CN"/>
              </w:rPr>
              <w:t>厂内现在煤矸石及废椒</w:t>
            </w:r>
            <w:r>
              <w:rPr>
                <w:rFonts w:hint="default" w:ascii="Times New Roman" w:hAnsi="Times New Roman" w:cs="Times New Roman"/>
                <w:color w:val="auto"/>
                <w:highlight w:val="none"/>
              </w:rPr>
              <w:t>1296.83 m</w:t>
            </w:r>
            <w:r>
              <w:rPr>
                <w:rFonts w:hint="default" w:ascii="Times New Roman" w:hAnsi="Times New Roman" w:cs="Times New Roman"/>
                <w:color w:val="auto"/>
                <w:highlight w:val="none"/>
                <w:vertAlign w:val="superscript"/>
              </w:rPr>
              <w:t>3</w:t>
            </w:r>
            <w:r>
              <w:rPr>
                <w:rFonts w:hint="eastAsia" w:ascii="Times New Roman" w:hAnsi="Times New Roman" w:cs="Times New Roman"/>
                <w:color w:val="auto"/>
                <w:highlight w:val="none"/>
                <w:vertAlign w:val="baseline"/>
                <w:lang w:val="en-US" w:eastAsia="zh-CN"/>
              </w:rPr>
              <w:t>及场内清理的基岩</w:t>
            </w:r>
            <w:r>
              <w:rPr>
                <w:rFonts w:hint="eastAsia" w:cs="Times New Roman"/>
                <w:color w:val="auto"/>
                <w:highlight w:val="none"/>
                <w:lang w:val="en-US" w:eastAsia="zh-CN"/>
              </w:rPr>
              <w:t>用于2#项目区场地平整。</w:t>
            </w:r>
          </w:p>
          <w:p w14:paraId="26CFA9DD">
            <w:pPr>
              <w:pStyle w:val="44"/>
              <w:bidi w:val="0"/>
              <w:jc w:val="left"/>
              <w:rPr>
                <w:rFonts w:hint="default" w:cs="Times New Roman"/>
                <w:color w:val="auto"/>
                <w:highlight w:val="none"/>
                <w:lang w:val="en-US" w:eastAsia="zh-CN"/>
              </w:rPr>
            </w:pPr>
            <w:r>
              <w:rPr>
                <w:rFonts w:hint="default" w:cs="Times New Roman"/>
                <w:color w:val="auto"/>
                <w:highlight w:val="none"/>
                <w:lang w:val="en-US" w:eastAsia="zh-CN"/>
              </w:rPr>
              <w:t>沉淀池沉渣在沉淀池内经自然沉淀后，无需清理，后期直接回填。</w:t>
            </w:r>
          </w:p>
        </w:tc>
        <w:tc>
          <w:tcPr>
            <w:tcW w:w="446" w:type="pct"/>
            <w:gridSpan w:val="2"/>
            <w:vMerge w:val="continue"/>
            <w:tcBorders>
              <w:left w:val="single" w:color="auto" w:sz="2" w:space="0"/>
            </w:tcBorders>
            <w:vAlign w:val="center"/>
          </w:tcPr>
          <w:p w14:paraId="5138A8DC">
            <w:pPr>
              <w:pStyle w:val="44"/>
              <w:bidi w:val="0"/>
              <w:rPr>
                <w:rFonts w:hint="default" w:ascii="Times New Roman" w:hAnsi="Times New Roman" w:cs="Times New Roman"/>
                <w:color w:val="auto"/>
                <w:highlight w:val="none"/>
              </w:rPr>
            </w:pPr>
          </w:p>
        </w:tc>
      </w:tr>
      <w:tr w14:paraId="226992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2" w:hRule="atLeast"/>
        </w:trPr>
        <w:tc>
          <w:tcPr>
            <w:tcW w:w="378" w:type="pct"/>
            <w:vMerge w:val="continue"/>
            <w:vAlign w:val="center"/>
          </w:tcPr>
          <w:p w14:paraId="3AA65083">
            <w:pPr>
              <w:pStyle w:val="44"/>
              <w:bidi w:val="0"/>
              <w:rPr>
                <w:rFonts w:hint="default" w:ascii="Times New Roman" w:hAnsi="Times New Roman" w:cs="Times New Roman"/>
                <w:color w:val="auto"/>
                <w:highlight w:val="none"/>
              </w:rPr>
            </w:pPr>
          </w:p>
        </w:tc>
        <w:tc>
          <w:tcPr>
            <w:tcW w:w="240" w:type="pct"/>
            <w:vMerge w:val="continue"/>
            <w:vAlign w:val="center"/>
          </w:tcPr>
          <w:p w14:paraId="196B794D">
            <w:pPr>
              <w:pStyle w:val="44"/>
              <w:bidi w:val="0"/>
              <w:rPr>
                <w:rFonts w:hint="default" w:ascii="Times New Roman" w:hAnsi="Times New Roman" w:cs="Times New Roman"/>
                <w:color w:val="auto"/>
                <w:highlight w:val="none"/>
              </w:rPr>
            </w:pPr>
          </w:p>
        </w:tc>
        <w:tc>
          <w:tcPr>
            <w:tcW w:w="451" w:type="pct"/>
            <w:vAlign w:val="center"/>
          </w:tcPr>
          <w:p w14:paraId="1FB722B4">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生态</w:t>
            </w:r>
          </w:p>
        </w:tc>
        <w:tc>
          <w:tcPr>
            <w:tcW w:w="3483" w:type="pct"/>
            <w:gridSpan w:val="2"/>
            <w:tcBorders>
              <w:right w:val="single" w:color="auto" w:sz="2" w:space="0"/>
            </w:tcBorders>
            <w:vAlign w:val="center"/>
          </w:tcPr>
          <w:p w14:paraId="4FBB13AE">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回填区设置</w:t>
            </w:r>
            <w:r>
              <w:rPr>
                <w:rFonts w:hint="default" w:ascii="Times New Roman" w:hAnsi="Times New Roman" w:cs="Times New Roman"/>
                <w:color w:val="auto"/>
                <w:highlight w:val="none"/>
                <w:lang w:val="en-US" w:eastAsia="zh-CN"/>
              </w:rPr>
              <w:t>截</w:t>
            </w:r>
            <w:r>
              <w:rPr>
                <w:rFonts w:hint="default" w:ascii="Times New Roman" w:hAnsi="Times New Roman" w:cs="Times New Roman"/>
                <w:color w:val="auto"/>
                <w:highlight w:val="none"/>
              </w:rPr>
              <w:t>排水沟，减少水土流失；分区回填，分区覆盖，采取阶段性生态恢复措施；严格控制回填范围，避免对用地周围的植被产生破坏。</w:t>
            </w:r>
          </w:p>
        </w:tc>
        <w:tc>
          <w:tcPr>
            <w:tcW w:w="446" w:type="pct"/>
            <w:gridSpan w:val="2"/>
            <w:vMerge w:val="continue"/>
            <w:tcBorders>
              <w:left w:val="single" w:color="auto" w:sz="2" w:space="0"/>
            </w:tcBorders>
            <w:vAlign w:val="center"/>
          </w:tcPr>
          <w:p w14:paraId="56EECE34">
            <w:pPr>
              <w:pStyle w:val="44"/>
              <w:bidi w:val="0"/>
              <w:rPr>
                <w:rFonts w:hint="default" w:ascii="Times New Roman" w:hAnsi="Times New Roman" w:cs="Times New Roman"/>
                <w:color w:val="auto"/>
                <w:highlight w:val="none"/>
              </w:rPr>
            </w:pPr>
          </w:p>
        </w:tc>
      </w:tr>
      <w:tr w14:paraId="0A6E43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 w:hRule="atLeast"/>
        </w:trPr>
        <w:tc>
          <w:tcPr>
            <w:tcW w:w="378" w:type="pct"/>
            <w:vMerge w:val="continue"/>
            <w:vAlign w:val="center"/>
          </w:tcPr>
          <w:p w14:paraId="2A1FFE6F">
            <w:pPr>
              <w:pStyle w:val="44"/>
              <w:bidi w:val="0"/>
              <w:rPr>
                <w:rFonts w:hint="default" w:ascii="Times New Roman" w:hAnsi="Times New Roman" w:cs="Times New Roman"/>
                <w:color w:val="auto"/>
                <w:highlight w:val="none"/>
              </w:rPr>
            </w:pPr>
          </w:p>
        </w:tc>
        <w:tc>
          <w:tcPr>
            <w:tcW w:w="240" w:type="pct"/>
            <w:vMerge w:val="continue"/>
            <w:tcBorders>
              <w:tl2br w:val="nil"/>
              <w:tr2bl w:val="nil"/>
            </w:tcBorders>
            <w:vAlign w:val="center"/>
          </w:tcPr>
          <w:p w14:paraId="1CCD2C23">
            <w:pPr>
              <w:pStyle w:val="44"/>
              <w:bidi w:val="0"/>
              <w:rPr>
                <w:rFonts w:hint="default" w:ascii="Times New Roman" w:hAnsi="Times New Roman" w:cs="Times New Roman"/>
                <w:color w:val="auto"/>
                <w:highlight w:val="none"/>
              </w:rPr>
            </w:pPr>
          </w:p>
        </w:tc>
        <w:tc>
          <w:tcPr>
            <w:tcW w:w="451" w:type="pct"/>
            <w:tcBorders>
              <w:tl2br w:val="nil"/>
              <w:tr2bl w:val="nil"/>
            </w:tcBorders>
            <w:vAlign w:val="center"/>
          </w:tcPr>
          <w:p w14:paraId="08153D13">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土地复垦</w:t>
            </w:r>
          </w:p>
        </w:tc>
        <w:tc>
          <w:tcPr>
            <w:tcW w:w="3483" w:type="pct"/>
            <w:gridSpan w:val="2"/>
            <w:tcBorders>
              <w:tl2br w:val="nil"/>
              <w:tr2bl w:val="nil"/>
            </w:tcBorders>
            <w:vAlign w:val="center"/>
          </w:tcPr>
          <w:p w14:paraId="31D4C544">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在回填至设计标高后统一进行覆土，有效土层厚度不低于80cm（包含表土层厚度30cm），复垦成</w:t>
            </w:r>
            <w:r>
              <w:rPr>
                <w:rFonts w:hint="default" w:ascii="Times New Roman" w:hAnsi="Times New Roman" w:cs="Times New Roman"/>
                <w:color w:val="auto"/>
                <w:highlight w:val="none"/>
                <w:lang w:val="en-US" w:eastAsia="zh-CN"/>
              </w:rPr>
              <w:t>林地</w:t>
            </w:r>
            <w:r>
              <w:rPr>
                <w:rFonts w:hint="default" w:ascii="Times New Roman" w:hAnsi="Times New Roman" w:cs="Times New Roman"/>
                <w:color w:val="auto"/>
                <w:highlight w:val="none"/>
              </w:rPr>
              <w:t>。</w:t>
            </w:r>
          </w:p>
        </w:tc>
        <w:tc>
          <w:tcPr>
            <w:tcW w:w="446" w:type="pct"/>
            <w:gridSpan w:val="2"/>
            <w:vMerge w:val="continue"/>
            <w:tcBorders>
              <w:tl2br w:val="nil"/>
              <w:tr2bl w:val="nil"/>
            </w:tcBorders>
            <w:vAlign w:val="center"/>
          </w:tcPr>
          <w:p w14:paraId="4AA0807E">
            <w:pPr>
              <w:pStyle w:val="44"/>
              <w:bidi w:val="0"/>
              <w:rPr>
                <w:rFonts w:hint="default" w:ascii="Times New Roman" w:hAnsi="Times New Roman" w:cs="Times New Roman"/>
                <w:color w:val="auto"/>
                <w:highlight w:val="none"/>
              </w:rPr>
            </w:pPr>
          </w:p>
        </w:tc>
      </w:tr>
      <w:tr w14:paraId="6D9CD1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 w:hRule="atLeast"/>
        </w:trPr>
        <w:tc>
          <w:tcPr>
            <w:tcW w:w="378" w:type="pct"/>
            <w:vMerge w:val="continue"/>
            <w:vAlign w:val="center"/>
          </w:tcPr>
          <w:p w14:paraId="432DF97B">
            <w:pPr>
              <w:pStyle w:val="44"/>
              <w:bidi w:val="0"/>
              <w:rPr>
                <w:rFonts w:hint="default" w:ascii="Times New Roman" w:hAnsi="Times New Roman" w:cs="Times New Roman"/>
                <w:color w:val="auto"/>
                <w:highlight w:val="none"/>
              </w:rPr>
            </w:pPr>
          </w:p>
        </w:tc>
        <w:tc>
          <w:tcPr>
            <w:tcW w:w="240" w:type="pct"/>
            <w:tcBorders>
              <w:tl2br w:val="nil"/>
              <w:tr2bl w:val="nil"/>
            </w:tcBorders>
            <w:vAlign w:val="center"/>
          </w:tcPr>
          <w:p w14:paraId="55C8C41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生态恢复期</w:t>
            </w:r>
          </w:p>
        </w:tc>
        <w:tc>
          <w:tcPr>
            <w:tcW w:w="451" w:type="pct"/>
            <w:tcBorders>
              <w:tl2br w:val="nil"/>
              <w:tr2bl w:val="nil"/>
            </w:tcBorders>
            <w:vAlign w:val="center"/>
          </w:tcPr>
          <w:p w14:paraId="518BAF76">
            <w:pPr>
              <w:pStyle w:val="44"/>
              <w:bidi w:val="0"/>
              <w:jc w:val="left"/>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生态</w:t>
            </w:r>
          </w:p>
        </w:tc>
        <w:tc>
          <w:tcPr>
            <w:tcW w:w="3483" w:type="pct"/>
            <w:gridSpan w:val="2"/>
            <w:tcBorders>
              <w:tl2br w:val="nil"/>
              <w:tr2bl w:val="nil"/>
            </w:tcBorders>
            <w:vAlign w:val="center"/>
          </w:tcPr>
          <w:p w14:paraId="76D7310F">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生态恢复期为回填复垦结束后</w:t>
            </w:r>
            <w:r>
              <w:rPr>
                <w:rFonts w:hint="default" w:ascii="Times New Roman" w:hAnsi="Times New Roman" w:cs="Times New Roman"/>
                <w:color w:val="auto"/>
                <w:highlight w:val="none"/>
                <w:lang w:eastAsia="zh-CN"/>
              </w:rPr>
              <w:t>林地</w:t>
            </w:r>
            <w:r>
              <w:rPr>
                <w:rFonts w:hint="default" w:ascii="Times New Roman" w:hAnsi="Times New Roman" w:cs="Times New Roman"/>
                <w:color w:val="auto"/>
                <w:highlight w:val="none"/>
              </w:rPr>
              <w:t>的自然恢复期，</w:t>
            </w:r>
            <w:r>
              <w:rPr>
                <w:rFonts w:hint="default" w:ascii="Times New Roman" w:hAnsi="Times New Roman" w:cs="Times New Roman"/>
                <w:color w:val="auto"/>
                <w:highlight w:val="none"/>
                <w:lang w:val="en-US" w:eastAsia="zh-CN"/>
              </w:rPr>
              <w:t>定期巡护，保证林地生长状况</w:t>
            </w:r>
            <w:r>
              <w:rPr>
                <w:rFonts w:hint="default" w:ascii="Times New Roman" w:hAnsi="Times New Roman" w:cs="Times New Roman"/>
                <w:color w:val="auto"/>
                <w:highlight w:val="none"/>
              </w:rPr>
              <w:t>。</w:t>
            </w:r>
          </w:p>
        </w:tc>
        <w:tc>
          <w:tcPr>
            <w:tcW w:w="446" w:type="pct"/>
            <w:gridSpan w:val="2"/>
            <w:tcBorders>
              <w:tl2br w:val="nil"/>
              <w:tr2bl w:val="nil"/>
            </w:tcBorders>
            <w:vAlign w:val="center"/>
          </w:tcPr>
          <w:p w14:paraId="3881FB9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bookmarkEnd w:id="163"/>
    </w:tbl>
    <w:p w14:paraId="260CD8A3">
      <w:pPr>
        <w:ind w:left="0" w:leftChars="0" w:firstLine="0" w:firstLineChars="0"/>
        <w:rPr>
          <w:rFonts w:hint="default"/>
          <w:color w:val="auto"/>
        </w:rPr>
      </w:pPr>
      <w:bookmarkStart w:id="166" w:name="_Toc454"/>
    </w:p>
    <w:p w14:paraId="1CD2F002">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表3-1-</w:t>
      </w:r>
      <w:r>
        <w:rPr>
          <w:rFonts w:hint="default" w:ascii="Times New Roman" w:hAnsi="Times New Roman" w:cs="Times New Roman"/>
          <w:color w:val="auto"/>
          <w:highlight w:val="none"/>
          <w:lang w:val="en-US" w:eastAsia="zh-CN"/>
        </w:rPr>
        <w:t>4  其他场地</w:t>
      </w:r>
      <w:r>
        <w:rPr>
          <w:rFonts w:hint="default" w:ascii="Times New Roman" w:hAnsi="Times New Roman" w:cs="Times New Roman"/>
          <w:color w:val="auto"/>
          <w:highlight w:val="none"/>
        </w:rPr>
        <w:t>工程组成一览表</w:t>
      </w:r>
    </w:p>
    <w:tbl>
      <w:tblPr>
        <w:tblStyle w:val="20"/>
        <w:tblW w:w="500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1"/>
        <w:gridCol w:w="445"/>
        <w:gridCol w:w="1083"/>
        <w:gridCol w:w="14"/>
        <w:gridCol w:w="6184"/>
        <w:gridCol w:w="781"/>
        <w:gridCol w:w="46"/>
      </w:tblGrid>
      <w:tr w14:paraId="460473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4" w:type="pct"/>
          <w:trHeight w:val="397" w:hRule="atLeast"/>
        </w:trPr>
        <w:tc>
          <w:tcPr>
            <w:tcW w:w="378" w:type="pct"/>
            <w:tcBorders>
              <w:tl2br w:val="nil"/>
              <w:tr2bl w:val="nil"/>
            </w:tcBorders>
            <w:vAlign w:val="center"/>
          </w:tcPr>
          <w:p w14:paraId="3EC65DF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工程类别</w:t>
            </w:r>
          </w:p>
        </w:tc>
        <w:tc>
          <w:tcPr>
            <w:tcW w:w="825" w:type="pct"/>
            <w:gridSpan w:val="2"/>
            <w:tcBorders>
              <w:tl2br w:val="nil"/>
              <w:tr2bl w:val="nil"/>
            </w:tcBorders>
            <w:vAlign w:val="center"/>
          </w:tcPr>
          <w:p w14:paraId="5C882EB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矿山</w:t>
            </w:r>
            <w:r>
              <w:rPr>
                <w:rFonts w:hint="default" w:ascii="Times New Roman" w:hAnsi="Times New Roman" w:cs="Times New Roman"/>
                <w:color w:val="auto"/>
                <w:highlight w:val="none"/>
              </w:rPr>
              <w:t>名称</w:t>
            </w:r>
          </w:p>
        </w:tc>
        <w:tc>
          <w:tcPr>
            <w:tcW w:w="3349" w:type="pct"/>
            <w:gridSpan w:val="2"/>
            <w:tcBorders>
              <w:tl2br w:val="nil"/>
              <w:tr2bl w:val="nil"/>
            </w:tcBorders>
            <w:vAlign w:val="center"/>
          </w:tcPr>
          <w:p w14:paraId="5AD4E066">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主要建设内容</w:t>
            </w:r>
          </w:p>
        </w:tc>
        <w:tc>
          <w:tcPr>
            <w:tcW w:w="421" w:type="pct"/>
            <w:tcBorders>
              <w:tl2br w:val="nil"/>
              <w:tr2bl w:val="nil"/>
            </w:tcBorders>
            <w:vAlign w:val="center"/>
          </w:tcPr>
          <w:p w14:paraId="79726A7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备注</w:t>
            </w:r>
          </w:p>
        </w:tc>
      </w:tr>
      <w:tr w14:paraId="25AAF2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4" w:type="pct"/>
          <w:trHeight w:val="1480" w:hRule="atLeast"/>
        </w:trPr>
        <w:tc>
          <w:tcPr>
            <w:tcW w:w="378" w:type="pct"/>
            <w:vMerge w:val="restart"/>
            <w:tcBorders>
              <w:tl2br w:val="nil"/>
              <w:tr2bl w:val="nil"/>
            </w:tcBorders>
            <w:vAlign w:val="center"/>
          </w:tcPr>
          <w:p w14:paraId="79B269CB">
            <w:pPr>
              <w:pStyle w:val="44"/>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主体工程</w:t>
            </w:r>
          </w:p>
        </w:tc>
        <w:tc>
          <w:tcPr>
            <w:tcW w:w="825" w:type="pct"/>
            <w:gridSpan w:val="2"/>
            <w:tcBorders>
              <w:tl2br w:val="nil"/>
              <w:tr2bl w:val="nil"/>
            </w:tcBorders>
            <w:vAlign w:val="center"/>
          </w:tcPr>
          <w:p w14:paraId="037CE0F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鸡西市城子河区城东一队废弃采石场</w:t>
            </w:r>
          </w:p>
          <w:p w14:paraId="7C206A1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（14#）</w:t>
            </w:r>
          </w:p>
        </w:tc>
        <w:tc>
          <w:tcPr>
            <w:tcW w:w="3349" w:type="pct"/>
            <w:gridSpan w:val="2"/>
            <w:tcBorders>
              <w:tl2br w:val="nil"/>
              <w:tr2bl w:val="nil"/>
            </w:tcBorders>
            <w:vAlign w:val="center"/>
          </w:tcPr>
          <w:p w14:paraId="4B43F78D">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（1</w:t>
            </w:r>
            <w:r>
              <w:rPr>
                <w:rFonts w:hint="eastAsia" w:cs="Times New Roman"/>
                <w:color w:val="auto"/>
                <w:highlight w:val="none"/>
                <w:lang w:eastAsia="zh-CN"/>
              </w:rPr>
              <w:t>）</w:t>
            </w:r>
            <w:r>
              <w:rPr>
                <w:rFonts w:hint="default" w:ascii="Times New Roman" w:hAnsi="Times New Roman" w:cs="Times New Roman"/>
                <w:color w:val="auto"/>
                <w:highlight w:val="none"/>
              </w:rPr>
              <w:t>清理工程：对项目区内房屋进行拆除、清理，清理总量1296.83m</w:t>
            </w:r>
            <w:r>
              <w:rPr>
                <w:rFonts w:hint="eastAsia" w:cs="Times New Roman"/>
                <w:color w:val="auto"/>
                <w:highlight w:val="none"/>
                <w:vertAlign w:val="superscript"/>
                <w:lang w:val="en-US" w:eastAsia="zh-CN"/>
              </w:rPr>
              <w:t>2</w:t>
            </w:r>
            <w:r>
              <w:rPr>
                <w:rFonts w:hint="default" w:ascii="Times New Roman" w:hAnsi="Times New Roman" w:cs="Times New Roman"/>
                <w:color w:val="auto"/>
                <w:highlight w:val="none"/>
              </w:rPr>
              <w:t>；</w:t>
            </w:r>
          </w:p>
          <w:p w14:paraId="6A2A3465">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（2）场地平整工程：对项目区内的采坑及坑侧进行挖高填低平整，挖方量76828m</w:t>
            </w:r>
            <w:r>
              <w:rPr>
                <w:rFonts w:hint="eastAsia" w:cs="Times New Roman"/>
                <w:color w:val="auto"/>
                <w:highlight w:val="none"/>
                <w:vertAlign w:val="superscript"/>
                <w:lang w:val="en-US" w:eastAsia="zh-CN"/>
              </w:rPr>
              <w:t>2</w:t>
            </w:r>
            <w:r>
              <w:rPr>
                <w:rFonts w:hint="default" w:ascii="Times New Roman" w:hAnsi="Times New Roman" w:cs="Times New Roman"/>
                <w:color w:val="auto"/>
                <w:highlight w:val="none"/>
              </w:rPr>
              <w:t>，填方量 133949.9m</w:t>
            </w:r>
            <w:r>
              <w:rPr>
                <w:rFonts w:hint="eastAsia" w:cs="Times New Roman"/>
                <w:color w:val="auto"/>
                <w:highlight w:val="none"/>
                <w:vertAlign w:val="superscript"/>
                <w:lang w:val="en-US" w:eastAsia="zh-CN"/>
              </w:rPr>
              <w:t>2</w:t>
            </w:r>
            <w:r>
              <w:rPr>
                <w:rFonts w:hint="default" w:ascii="Times New Roman" w:hAnsi="Times New Roman" w:cs="Times New Roman"/>
                <w:color w:val="auto"/>
                <w:highlight w:val="none"/>
              </w:rPr>
              <w:t>；</w:t>
            </w:r>
          </w:p>
          <w:p w14:paraId="66C081FF">
            <w:pPr>
              <w:pStyle w:val="44"/>
              <w:bidi w:val="0"/>
              <w:jc w:val="left"/>
              <w:rPr>
                <w:rFonts w:hint="eastAsia"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（3</w:t>
            </w:r>
            <w:r>
              <w:rPr>
                <w:rFonts w:hint="eastAsia" w:cs="Times New Roman"/>
                <w:color w:val="auto"/>
                <w:highlight w:val="none"/>
                <w:lang w:eastAsia="zh-CN"/>
              </w:rPr>
              <w:t>）</w:t>
            </w:r>
            <w:r>
              <w:rPr>
                <w:rFonts w:hint="default" w:ascii="Times New Roman" w:hAnsi="Times New Roman" w:cs="Times New Roman"/>
                <w:color w:val="auto"/>
                <w:highlight w:val="none"/>
              </w:rPr>
              <w:t>挡土墙工程：根据项目区具体现状需求，在东南侧坡下砌筑挡土墙，挡土墙高 3.0，基础埋深 1.0m，墙顶宽度 0.5m，墙底宽 1.50m，挡土墙总长 189.7m</w:t>
            </w:r>
            <w:r>
              <w:rPr>
                <w:rFonts w:hint="eastAsia" w:cs="Times New Roman"/>
                <w:color w:val="auto"/>
                <w:highlight w:val="none"/>
                <w:lang w:val="en-US" w:eastAsia="zh-CN"/>
              </w:rPr>
              <w:t>；</w:t>
            </w:r>
          </w:p>
          <w:p w14:paraId="68BA78BD">
            <w:pPr>
              <w:pStyle w:val="44"/>
              <w:numPr>
                <w:ilvl w:val="0"/>
                <w:numId w:val="4"/>
              </w:numPr>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截排水沟工程：在项目区东侧、南侧及挡土墙下布设布设截排水沟，截排水沟断面为矩形，断面尺寸宽×深（bXh)为400mmX400mm，设计截排水沟长度为523.5m；</w:t>
            </w:r>
          </w:p>
          <w:p w14:paraId="34252416">
            <w:pPr>
              <w:pStyle w:val="44"/>
              <w:numPr>
                <w:ilvl w:val="0"/>
                <w:numId w:val="0"/>
              </w:numPr>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（5）植被恢复工程:在项目区东南侧的边坡上进行植被恢复，面积为7269.6m</w:t>
            </w:r>
            <w:r>
              <w:rPr>
                <w:rFonts w:hint="eastAsia" w:cs="Times New Roman"/>
                <w:color w:val="auto"/>
                <w:highlight w:val="none"/>
                <w:vertAlign w:val="superscript"/>
                <w:lang w:val="en-US" w:eastAsia="zh-CN"/>
              </w:rPr>
              <w:t>2</w:t>
            </w:r>
            <w:r>
              <w:rPr>
                <w:rFonts w:hint="default" w:ascii="Times New Roman" w:hAnsi="Times New Roman" w:cs="Times New Roman"/>
                <w:color w:val="auto"/>
                <w:highlight w:val="none"/>
              </w:rPr>
              <w:t>。</w:t>
            </w:r>
          </w:p>
        </w:tc>
        <w:tc>
          <w:tcPr>
            <w:tcW w:w="421" w:type="pct"/>
            <w:vMerge w:val="restart"/>
            <w:tcBorders>
              <w:tl2br w:val="nil"/>
              <w:tr2bl w:val="nil"/>
            </w:tcBorders>
            <w:vAlign w:val="center"/>
          </w:tcPr>
          <w:p w14:paraId="7D46B70F">
            <w:pPr>
              <w:pStyle w:val="44"/>
              <w:bidi w:val="0"/>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新建</w:t>
            </w:r>
          </w:p>
        </w:tc>
      </w:tr>
      <w:tr w14:paraId="23E819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4" w:type="pct"/>
          <w:trHeight w:val="1480" w:hRule="atLeast"/>
        </w:trPr>
        <w:tc>
          <w:tcPr>
            <w:tcW w:w="378" w:type="pct"/>
            <w:vMerge w:val="continue"/>
            <w:tcBorders>
              <w:tl2br w:val="nil"/>
              <w:tr2bl w:val="nil"/>
            </w:tcBorders>
            <w:vAlign w:val="center"/>
          </w:tcPr>
          <w:p w14:paraId="2A9E5ED7">
            <w:pPr>
              <w:pStyle w:val="44"/>
              <w:bidi w:val="0"/>
              <w:rPr>
                <w:rFonts w:hint="default" w:ascii="Times New Roman" w:hAnsi="Times New Roman" w:cs="Times New Roman"/>
                <w:color w:val="auto"/>
                <w:highlight w:val="none"/>
              </w:rPr>
            </w:pPr>
          </w:p>
        </w:tc>
        <w:tc>
          <w:tcPr>
            <w:tcW w:w="825" w:type="pct"/>
            <w:gridSpan w:val="2"/>
            <w:tcBorders>
              <w:tl2br w:val="nil"/>
              <w:tr2bl w:val="nil"/>
            </w:tcBorders>
            <w:vAlign w:val="center"/>
          </w:tcPr>
          <w:p w14:paraId="3815D3A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鸡西市城子河区城东一队东0.2km废弃采石场</w:t>
            </w:r>
          </w:p>
          <w:p w14:paraId="6F77A73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（15#）</w:t>
            </w:r>
          </w:p>
        </w:tc>
        <w:tc>
          <w:tcPr>
            <w:tcW w:w="3349" w:type="pct"/>
            <w:gridSpan w:val="2"/>
            <w:tcBorders>
              <w:tl2br w:val="nil"/>
              <w:tr2bl w:val="nil"/>
            </w:tcBorders>
            <w:vAlign w:val="center"/>
          </w:tcPr>
          <w:p w14:paraId="78E57064">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（1）危岩清理边坡整形工程：危岩清理总量3108.84m²；</w:t>
            </w:r>
          </w:p>
          <w:p w14:paraId="3F58EAB9">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（2）场地平整工程：对项目区内的采面下平缓处进行挖高填低平整，挖方量4854.7m</w:t>
            </w:r>
            <w:r>
              <w:rPr>
                <w:rFonts w:hint="eastAsia" w:cs="Times New Roman"/>
                <w:color w:val="auto"/>
                <w:highlight w:val="none"/>
                <w:vertAlign w:val="superscript"/>
                <w:lang w:val="en-US" w:eastAsia="zh-CN"/>
              </w:rPr>
              <w:t>2</w:t>
            </w:r>
            <w:r>
              <w:rPr>
                <w:rFonts w:hint="default" w:ascii="Times New Roman" w:hAnsi="Times New Roman" w:cs="Times New Roman"/>
                <w:color w:val="auto"/>
                <w:highlight w:val="none"/>
              </w:rPr>
              <w:t>，填方量 4854.</w:t>
            </w:r>
            <w:r>
              <w:rPr>
                <w:rFonts w:hint="eastAsia" w:cs="Times New Roman"/>
                <w:color w:val="auto"/>
                <w:highlight w:val="none"/>
                <w:lang w:val="en-US" w:eastAsia="zh-CN"/>
              </w:rPr>
              <w:t>7</w:t>
            </w:r>
            <w:r>
              <w:rPr>
                <w:rFonts w:hint="default" w:ascii="Times New Roman" w:hAnsi="Times New Roman" w:cs="Times New Roman"/>
                <w:color w:val="auto"/>
                <w:highlight w:val="none"/>
              </w:rPr>
              <w:t>m</w:t>
            </w:r>
            <w:r>
              <w:rPr>
                <w:rFonts w:hint="eastAsia" w:cs="Times New Roman"/>
                <w:color w:val="auto"/>
                <w:highlight w:val="none"/>
                <w:vertAlign w:val="superscript"/>
                <w:lang w:val="en-US" w:eastAsia="zh-CN"/>
              </w:rPr>
              <w:t>2</w:t>
            </w:r>
            <w:r>
              <w:rPr>
                <w:rFonts w:hint="default" w:ascii="Times New Roman" w:hAnsi="Times New Roman" w:cs="Times New Roman"/>
                <w:color w:val="auto"/>
                <w:highlight w:val="none"/>
              </w:rPr>
              <w:t>；</w:t>
            </w:r>
          </w:p>
          <w:p w14:paraId="5AF90D26">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（3）清理工程：拆除外运建筑垃圾 272.37m</w:t>
            </w:r>
            <w:r>
              <w:rPr>
                <w:rFonts w:hint="eastAsia" w:cs="Times New Roman"/>
                <w:color w:val="auto"/>
                <w:highlight w:val="none"/>
                <w:vertAlign w:val="superscript"/>
                <w:lang w:val="en-US" w:eastAsia="zh-CN"/>
              </w:rPr>
              <w:t>2</w:t>
            </w:r>
            <w:r>
              <w:rPr>
                <w:rFonts w:hint="default" w:ascii="Times New Roman" w:hAnsi="Times New Roman" w:cs="Times New Roman"/>
                <w:color w:val="auto"/>
                <w:highlight w:val="none"/>
              </w:rPr>
              <w:t>;</w:t>
            </w:r>
          </w:p>
          <w:p w14:paraId="24880F6E">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（4）CBS植被混凝土边坡绿化工程：修复坡体表面积11103m²，投影面积为8795.2m</w:t>
            </w:r>
            <w:r>
              <w:rPr>
                <w:rFonts w:hint="eastAsia" w:cs="Times New Roman"/>
                <w:color w:val="auto"/>
                <w:highlight w:val="none"/>
                <w:vertAlign w:val="superscript"/>
                <w:lang w:val="en-US" w:eastAsia="zh-CN"/>
              </w:rPr>
              <w:t>2</w:t>
            </w:r>
            <w:r>
              <w:rPr>
                <w:rFonts w:hint="default" w:ascii="Times New Roman" w:hAnsi="Times New Roman" w:cs="Times New Roman"/>
                <w:color w:val="auto"/>
                <w:highlight w:val="none"/>
              </w:rPr>
              <w:t>;</w:t>
            </w:r>
          </w:p>
        </w:tc>
        <w:tc>
          <w:tcPr>
            <w:tcW w:w="421" w:type="pct"/>
            <w:vMerge w:val="continue"/>
            <w:tcBorders>
              <w:tl2br w:val="nil"/>
              <w:tr2bl w:val="nil"/>
            </w:tcBorders>
            <w:vAlign w:val="center"/>
          </w:tcPr>
          <w:p w14:paraId="08969798">
            <w:pPr>
              <w:pStyle w:val="44"/>
              <w:bidi w:val="0"/>
              <w:rPr>
                <w:rFonts w:hint="default" w:ascii="Times New Roman" w:hAnsi="Times New Roman" w:cs="Times New Roman"/>
                <w:color w:val="auto"/>
                <w:highlight w:val="none"/>
              </w:rPr>
            </w:pPr>
          </w:p>
        </w:tc>
      </w:tr>
      <w:tr w14:paraId="749087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4" w:type="pct"/>
          <w:trHeight w:val="1480" w:hRule="atLeast"/>
        </w:trPr>
        <w:tc>
          <w:tcPr>
            <w:tcW w:w="378" w:type="pct"/>
            <w:vMerge w:val="continue"/>
            <w:tcBorders>
              <w:tl2br w:val="nil"/>
              <w:tr2bl w:val="nil"/>
            </w:tcBorders>
            <w:vAlign w:val="center"/>
          </w:tcPr>
          <w:p w14:paraId="1BB046AD">
            <w:pPr>
              <w:pStyle w:val="44"/>
              <w:bidi w:val="0"/>
              <w:rPr>
                <w:rFonts w:hint="default" w:ascii="Times New Roman" w:hAnsi="Times New Roman" w:cs="Times New Roman"/>
                <w:color w:val="auto"/>
                <w:highlight w:val="none"/>
              </w:rPr>
            </w:pPr>
          </w:p>
        </w:tc>
        <w:tc>
          <w:tcPr>
            <w:tcW w:w="825" w:type="pct"/>
            <w:gridSpan w:val="2"/>
            <w:tcBorders>
              <w:tl2br w:val="nil"/>
              <w:tr2bl w:val="nil"/>
            </w:tcBorders>
            <w:vAlign w:val="center"/>
          </w:tcPr>
          <w:p w14:paraId="14E10CE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鸡西市城子河区城东一队东南0.4km废弃采石场（16#）</w:t>
            </w:r>
          </w:p>
        </w:tc>
        <w:tc>
          <w:tcPr>
            <w:tcW w:w="3349" w:type="pct"/>
            <w:gridSpan w:val="2"/>
            <w:tcBorders>
              <w:tl2br w:val="nil"/>
              <w:tr2bl w:val="nil"/>
            </w:tcBorders>
            <w:vAlign w:val="center"/>
          </w:tcPr>
          <w:p w14:paraId="0F02BAE5">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（1）危岩清理边坡整形工程：危岩清理总量3892.84㎡；</w:t>
            </w:r>
          </w:p>
          <w:p w14:paraId="4B006141">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（2）场地平整工程：对项目区内的采面下平缓处进行挖高填低平整，挖方量35284. 2m²,填方量 1058.6m</w:t>
            </w:r>
            <w:r>
              <w:rPr>
                <w:rFonts w:hint="eastAsia" w:cs="Times New Roman"/>
                <w:color w:val="auto"/>
                <w:highlight w:val="none"/>
                <w:vertAlign w:val="superscript"/>
                <w:lang w:val="en-US" w:eastAsia="zh-CN"/>
              </w:rPr>
              <w:t>2</w:t>
            </w:r>
            <w:r>
              <w:rPr>
                <w:rFonts w:hint="default" w:ascii="Times New Roman" w:hAnsi="Times New Roman" w:cs="Times New Roman"/>
                <w:color w:val="auto"/>
                <w:highlight w:val="none"/>
              </w:rPr>
              <w:t>;</w:t>
            </w:r>
          </w:p>
          <w:p w14:paraId="61E42B75">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（3）清理工程：拆除外运建筑垃圾2195.50m</w:t>
            </w:r>
            <w:r>
              <w:rPr>
                <w:rFonts w:hint="eastAsia" w:cs="Times New Roman"/>
                <w:color w:val="auto"/>
                <w:highlight w:val="none"/>
                <w:vertAlign w:val="superscript"/>
                <w:lang w:val="en-US" w:eastAsia="zh-CN"/>
              </w:rPr>
              <w:t>2</w:t>
            </w:r>
          </w:p>
          <w:p w14:paraId="33F7E91D">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（4〉CBS 植被混凝土边坡绿化工程：修复坡体表面积13903m²，投影面积为8795.2m</w:t>
            </w:r>
            <w:r>
              <w:rPr>
                <w:rFonts w:hint="eastAsia" w:cs="Times New Roman"/>
                <w:color w:val="auto"/>
                <w:highlight w:val="none"/>
                <w:vertAlign w:val="superscript"/>
                <w:lang w:val="en-US" w:eastAsia="zh-CN"/>
              </w:rPr>
              <w:t>2</w:t>
            </w:r>
            <w:r>
              <w:rPr>
                <w:rFonts w:hint="default" w:ascii="Times New Roman" w:hAnsi="Times New Roman" w:cs="Times New Roman"/>
                <w:color w:val="auto"/>
                <w:highlight w:val="none"/>
              </w:rPr>
              <w:t>';</w:t>
            </w:r>
          </w:p>
        </w:tc>
        <w:tc>
          <w:tcPr>
            <w:tcW w:w="421" w:type="pct"/>
            <w:vMerge w:val="continue"/>
            <w:tcBorders>
              <w:tl2br w:val="nil"/>
              <w:tr2bl w:val="nil"/>
            </w:tcBorders>
            <w:vAlign w:val="center"/>
          </w:tcPr>
          <w:p w14:paraId="0CC4EAD7">
            <w:pPr>
              <w:pStyle w:val="44"/>
              <w:bidi w:val="0"/>
              <w:rPr>
                <w:rFonts w:hint="default" w:ascii="Times New Roman" w:hAnsi="Times New Roman" w:cs="Times New Roman"/>
                <w:color w:val="auto"/>
                <w:highlight w:val="none"/>
              </w:rPr>
            </w:pPr>
          </w:p>
        </w:tc>
      </w:tr>
      <w:tr w14:paraId="784904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4" w:type="pct"/>
          <w:trHeight w:val="90" w:hRule="atLeast"/>
        </w:trPr>
        <w:tc>
          <w:tcPr>
            <w:tcW w:w="378" w:type="pct"/>
            <w:vMerge w:val="continue"/>
            <w:tcBorders>
              <w:tl2br w:val="nil"/>
              <w:tr2bl w:val="nil"/>
            </w:tcBorders>
            <w:vAlign w:val="center"/>
          </w:tcPr>
          <w:p w14:paraId="238901BB">
            <w:pPr>
              <w:pStyle w:val="44"/>
              <w:bidi w:val="0"/>
              <w:rPr>
                <w:rFonts w:hint="default" w:ascii="Times New Roman" w:hAnsi="Times New Roman" w:cs="Times New Roman"/>
                <w:color w:val="auto"/>
                <w:highlight w:val="none"/>
              </w:rPr>
            </w:pPr>
          </w:p>
        </w:tc>
        <w:tc>
          <w:tcPr>
            <w:tcW w:w="825" w:type="pct"/>
            <w:gridSpan w:val="2"/>
            <w:tcBorders>
              <w:tl2br w:val="nil"/>
              <w:tr2bl w:val="nil"/>
            </w:tcBorders>
            <w:vAlign w:val="center"/>
          </w:tcPr>
          <w:p w14:paraId="0170995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鸡西市城子河区水泥厂后山废弃采石场</w:t>
            </w:r>
          </w:p>
          <w:p w14:paraId="40F016A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(21#)</w:t>
            </w:r>
          </w:p>
        </w:tc>
        <w:tc>
          <w:tcPr>
            <w:tcW w:w="3349" w:type="pct"/>
            <w:gridSpan w:val="2"/>
            <w:tcBorders>
              <w:tl2br w:val="nil"/>
              <w:tr2bl w:val="nil"/>
            </w:tcBorders>
            <w:vAlign w:val="center"/>
          </w:tcPr>
          <w:p w14:paraId="155F2C17">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（1）清理工程：对项目区内1间房屋进行拆除、清理，清理总量31.8m²；</w:t>
            </w:r>
          </w:p>
          <w:p w14:paraId="0D4C2294">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（2)场地平整工程：对项目区内的采面进行挖高填低平整，挖方量6714.8m²，填方量 4681.5m²；弃方外运</w:t>
            </w:r>
            <w:r>
              <w:rPr>
                <w:rFonts w:hint="default" w:ascii="Times New Roman" w:hAnsi="Times New Roman" w:eastAsia="宋体" w:cs="Times New Roman"/>
                <w:color w:val="auto"/>
                <w:highlight w:val="none"/>
                <w:lang w:val="en-US" w:eastAsia="zh-CN"/>
              </w:rPr>
              <w:t>到2#</w:t>
            </w:r>
            <w:r>
              <w:rPr>
                <w:rFonts w:hint="default" w:ascii="Times New Roman" w:hAnsi="Times New Roman" w:cs="Times New Roman"/>
                <w:color w:val="auto"/>
                <w:highlight w:val="none"/>
                <w:lang w:val="en-US" w:eastAsia="zh-CN"/>
              </w:rPr>
              <w:t>项目区</w:t>
            </w:r>
            <w:r>
              <w:rPr>
                <w:rFonts w:hint="default" w:ascii="Times New Roman" w:hAnsi="Times New Roman" w:eastAsia="宋体" w:cs="Times New Roman"/>
                <w:color w:val="auto"/>
                <w:highlight w:val="none"/>
                <w:lang w:val="en-US" w:eastAsia="zh-CN"/>
              </w:rPr>
              <w:t>进行土地平整</w:t>
            </w:r>
            <w:r>
              <w:rPr>
                <w:rFonts w:hint="default" w:ascii="Times New Roman" w:hAnsi="Times New Roman" w:cs="Times New Roman"/>
                <w:color w:val="auto"/>
                <w:highlight w:val="none"/>
              </w:rPr>
              <w:t>。</w:t>
            </w:r>
          </w:p>
          <w:p w14:paraId="535A7905">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（3）挡土墙工程：根据项目区具体现状需求，在南侧坡下及中部陡坎下砌筑挡土墙，挡土墙墙高 3.0m，基础埋深 1. 0m,墙顶宽度0.5m，墙底宽 1.50m，挡土墙总长245.7m；</w:t>
            </w:r>
          </w:p>
          <w:p w14:paraId="472CA149">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（4）截排水沟工程：在项目区北侧及挡土墙下布设截排水沟，截排水沟断面为矩形，断面尺寸宽×深(bXh)为400mmX400mm，设计截排水沟长度为570.4m;</w:t>
            </w:r>
          </w:p>
          <w:p w14:paraId="2E129403">
            <w:pPr>
              <w:pStyle w:val="44"/>
              <w:bidi w:val="0"/>
              <w:jc w:val="left"/>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cs="Times New Roman"/>
                <w:color w:val="auto"/>
                <w:highlight w:val="none"/>
              </w:rPr>
              <w:t>（5）植被恢复工程:在项目区南侧的边坡上进行植被恢复，面积为1993.4m²</w:t>
            </w:r>
            <w:r>
              <w:rPr>
                <w:rFonts w:hint="eastAsia" w:cs="Times New Roman"/>
                <w:color w:val="auto"/>
                <w:highlight w:val="none"/>
                <w:lang w:eastAsia="zh-CN"/>
              </w:rPr>
              <w:t>。</w:t>
            </w:r>
          </w:p>
        </w:tc>
        <w:tc>
          <w:tcPr>
            <w:tcW w:w="421" w:type="pct"/>
            <w:vMerge w:val="continue"/>
            <w:tcBorders>
              <w:tl2br w:val="nil"/>
              <w:tr2bl w:val="nil"/>
            </w:tcBorders>
            <w:vAlign w:val="center"/>
          </w:tcPr>
          <w:p w14:paraId="3B6FAC00">
            <w:pPr>
              <w:pStyle w:val="44"/>
              <w:bidi w:val="0"/>
              <w:rPr>
                <w:rFonts w:hint="default" w:ascii="Times New Roman" w:hAnsi="Times New Roman" w:cs="Times New Roman"/>
                <w:color w:val="auto"/>
                <w:highlight w:val="none"/>
              </w:rPr>
            </w:pPr>
          </w:p>
        </w:tc>
      </w:tr>
      <w:tr w14:paraId="0262F3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4" w:type="pct"/>
          <w:trHeight w:val="90" w:hRule="atLeast"/>
        </w:trPr>
        <w:tc>
          <w:tcPr>
            <w:tcW w:w="378" w:type="pct"/>
            <w:vMerge w:val="continue"/>
            <w:tcBorders>
              <w:tl2br w:val="nil"/>
              <w:tr2bl w:val="nil"/>
            </w:tcBorders>
            <w:vAlign w:val="center"/>
          </w:tcPr>
          <w:p w14:paraId="7432E818">
            <w:pPr>
              <w:pStyle w:val="44"/>
              <w:bidi w:val="0"/>
              <w:rPr>
                <w:rFonts w:hint="default" w:ascii="Times New Roman" w:hAnsi="Times New Roman" w:cs="Times New Roman"/>
                <w:color w:val="auto"/>
                <w:highlight w:val="none"/>
              </w:rPr>
            </w:pPr>
          </w:p>
        </w:tc>
        <w:tc>
          <w:tcPr>
            <w:tcW w:w="825" w:type="pct"/>
            <w:gridSpan w:val="2"/>
            <w:tcBorders>
              <w:tl2br w:val="nil"/>
              <w:tr2bl w:val="nil"/>
            </w:tcBorders>
            <w:vAlign w:val="center"/>
          </w:tcPr>
          <w:p w14:paraId="47B51EE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鸡西市兴锦煤矿工业广场（25#）</w:t>
            </w:r>
          </w:p>
        </w:tc>
        <w:tc>
          <w:tcPr>
            <w:tcW w:w="3349" w:type="pct"/>
            <w:gridSpan w:val="2"/>
            <w:tcBorders>
              <w:tl2br w:val="nil"/>
              <w:tr2bl w:val="nil"/>
            </w:tcBorders>
            <w:vAlign w:val="center"/>
          </w:tcPr>
          <w:p w14:paraId="527ACF4E">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1、清理工程：废弃房屋拆除清理总量391.12 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p w14:paraId="318BD05C">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2、场地平整工程：对项目区内的地形进行挖高填低平整，挖方量14049.8 m³，填方量64.3m</w:t>
            </w:r>
            <w:r>
              <w:rPr>
                <w:rFonts w:hint="eastAsia" w:cs="Times New Roman"/>
                <w:color w:val="auto"/>
                <w:highlight w:val="none"/>
                <w:vertAlign w:val="superscript"/>
                <w:lang w:val="en-US" w:eastAsia="zh-CN"/>
              </w:rPr>
              <w:t>2</w:t>
            </w:r>
            <w:r>
              <w:rPr>
                <w:rFonts w:hint="default" w:ascii="Times New Roman" w:hAnsi="Times New Roman" w:cs="Times New Roman"/>
                <w:color w:val="auto"/>
                <w:highlight w:val="none"/>
              </w:rPr>
              <w:t>，弃方外运</w:t>
            </w:r>
            <w:r>
              <w:rPr>
                <w:rFonts w:hint="default" w:ascii="Times New Roman" w:hAnsi="Times New Roman" w:cs="Times New Roman"/>
                <w:color w:val="auto"/>
                <w:highlight w:val="none"/>
                <w:lang w:val="en-US" w:eastAsia="zh-CN"/>
              </w:rPr>
              <w:t>到2#项目区进行土地平整</w:t>
            </w:r>
            <w:r>
              <w:rPr>
                <w:rFonts w:hint="default" w:ascii="Times New Roman" w:hAnsi="Times New Roman" w:cs="Times New Roman"/>
                <w:color w:val="auto"/>
                <w:highlight w:val="none"/>
              </w:rPr>
              <w:t>。</w:t>
            </w:r>
          </w:p>
          <w:p w14:paraId="40BAC362">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3、植被恢复工程：种植樟子松2592株，种草1.04hm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p>
        </w:tc>
        <w:tc>
          <w:tcPr>
            <w:tcW w:w="421" w:type="pct"/>
            <w:vMerge w:val="continue"/>
            <w:tcBorders>
              <w:tl2br w:val="nil"/>
              <w:tr2bl w:val="nil"/>
            </w:tcBorders>
            <w:vAlign w:val="center"/>
          </w:tcPr>
          <w:p w14:paraId="2EDF4498">
            <w:pPr>
              <w:pStyle w:val="44"/>
              <w:bidi w:val="0"/>
              <w:rPr>
                <w:rFonts w:hint="default" w:ascii="Times New Roman" w:hAnsi="Times New Roman" w:cs="Times New Roman"/>
                <w:color w:val="auto"/>
                <w:highlight w:val="none"/>
              </w:rPr>
            </w:pPr>
          </w:p>
        </w:tc>
      </w:tr>
      <w:tr w14:paraId="1C1287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4" w:type="pct"/>
          <w:trHeight w:val="1480" w:hRule="atLeast"/>
        </w:trPr>
        <w:tc>
          <w:tcPr>
            <w:tcW w:w="378" w:type="pct"/>
            <w:vMerge w:val="continue"/>
            <w:tcBorders>
              <w:tl2br w:val="nil"/>
              <w:tr2bl w:val="nil"/>
            </w:tcBorders>
            <w:vAlign w:val="center"/>
          </w:tcPr>
          <w:p w14:paraId="4776C57E">
            <w:pPr>
              <w:pStyle w:val="44"/>
              <w:bidi w:val="0"/>
              <w:rPr>
                <w:rFonts w:hint="default" w:ascii="Times New Roman" w:hAnsi="Times New Roman" w:cs="Times New Roman"/>
                <w:color w:val="auto"/>
                <w:highlight w:val="none"/>
              </w:rPr>
            </w:pPr>
          </w:p>
        </w:tc>
        <w:tc>
          <w:tcPr>
            <w:tcW w:w="825" w:type="pct"/>
            <w:gridSpan w:val="2"/>
            <w:tcBorders>
              <w:tl2br w:val="nil"/>
              <w:tr2bl w:val="nil"/>
            </w:tcBorders>
            <w:vAlign w:val="center"/>
          </w:tcPr>
          <w:p w14:paraId="4F35B14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鸡西市城子河区新立煤矿工业广场(31#)</w:t>
            </w:r>
          </w:p>
        </w:tc>
        <w:tc>
          <w:tcPr>
            <w:tcW w:w="3349" w:type="pct"/>
            <w:gridSpan w:val="2"/>
            <w:tcBorders>
              <w:tl2br w:val="nil"/>
              <w:tr2bl w:val="nil"/>
            </w:tcBorders>
            <w:vAlign w:val="center"/>
          </w:tcPr>
          <w:p w14:paraId="7D84CBE2">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（1）清理工程：对项目内房屋、围墙进行拆除、清理，清理总量1191.8m²</w:t>
            </w:r>
            <w:r>
              <w:rPr>
                <w:rFonts w:hint="eastAsia" w:cs="Times New Roman"/>
                <w:color w:val="auto"/>
                <w:highlight w:val="none"/>
                <w:lang w:val="en-US" w:eastAsia="zh-CN"/>
              </w:rPr>
              <w:t>；</w:t>
            </w:r>
            <w:r>
              <w:rPr>
                <w:rFonts w:hint="default" w:ascii="Times New Roman" w:hAnsi="Times New Roman" w:cs="Times New Roman"/>
                <w:color w:val="auto"/>
                <w:highlight w:val="none"/>
              </w:rPr>
              <w:t>清理的建筑垃圾外运；</w:t>
            </w:r>
          </w:p>
          <w:p w14:paraId="6D223B97">
            <w:pPr>
              <w:pStyle w:val="44"/>
              <w:bidi w:val="0"/>
              <w:jc w:val="left"/>
              <w:rPr>
                <w:rFonts w:hint="eastAsia"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（2)场地平整工程：对项目区内的地形进行挖高填低平整，挖方量6114.m²</w:t>
            </w:r>
            <w:r>
              <w:rPr>
                <w:rFonts w:hint="eastAsia" w:cs="Times New Roman"/>
                <w:color w:val="auto"/>
                <w:highlight w:val="none"/>
                <w:lang w:eastAsia="zh-CN"/>
              </w:rPr>
              <w:t>。</w:t>
            </w:r>
            <w:r>
              <w:rPr>
                <w:rFonts w:hint="default" w:ascii="Times New Roman" w:hAnsi="Times New Roman" w:cs="Times New Roman"/>
                <w:color w:val="auto"/>
                <w:highlight w:val="none"/>
              </w:rPr>
              <w:t>填方量 2238.4m²，弃方外运</w:t>
            </w:r>
            <w:r>
              <w:rPr>
                <w:rFonts w:hint="default" w:ascii="Times New Roman" w:hAnsi="Times New Roman" w:eastAsia="宋体" w:cs="Times New Roman"/>
                <w:color w:val="auto"/>
                <w:highlight w:val="none"/>
                <w:lang w:val="en-US" w:eastAsia="zh-CN"/>
              </w:rPr>
              <w:t>到2#</w:t>
            </w:r>
            <w:r>
              <w:rPr>
                <w:rFonts w:hint="default" w:ascii="Times New Roman" w:hAnsi="Times New Roman" w:cs="Times New Roman"/>
                <w:color w:val="auto"/>
                <w:highlight w:val="none"/>
                <w:lang w:val="en-US" w:eastAsia="zh-CN"/>
              </w:rPr>
              <w:t>项目区</w:t>
            </w:r>
            <w:r>
              <w:rPr>
                <w:rFonts w:hint="default" w:ascii="Times New Roman" w:hAnsi="Times New Roman" w:eastAsia="宋体" w:cs="Times New Roman"/>
                <w:color w:val="auto"/>
                <w:highlight w:val="none"/>
                <w:lang w:val="en-US" w:eastAsia="zh-CN"/>
              </w:rPr>
              <w:t>进行土地平整</w:t>
            </w:r>
            <w:r>
              <w:rPr>
                <w:rFonts w:hint="default" w:ascii="Times New Roman" w:hAnsi="Times New Roman" w:cs="Times New Roman"/>
                <w:color w:val="auto"/>
                <w:highlight w:val="none"/>
              </w:rPr>
              <w:t>。</w:t>
            </w:r>
          </w:p>
        </w:tc>
        <w:tc>
          <w:tcPr>
            <w:tcW w:w="421" w:type="pct"/>
            <w:vMerge w:val="continue"/>
            <w:tcBorders>
              <w:tl2br w:val="nil"/>
              <w:tr2bl w:val="nil"/>
            </w:tcBorders>
            <w:vAlign w:val="center"/>
          </w:tcPr>
          <w:p w14:paraId="3EF005A0">
            <w:pPr>
              <w:pStyle w:val="44"/>
              <w:bidi w:val="0"/>
              <w:rPr>
                <w:rFonts w:hint="default" w:ascii="Times New Roman" w:hAnsi="Times New Roman" w:cs="Times New Roman"/>
                <w:color w:val="auto"/>
                <w:highlight w:val="none"/>
              </w:rPr>
            </w:pPr>
          </w:p>
        </w:tc>
      </w:tr>
      <w:tr w14:paraId="32D6A3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4" w:type="pct"/>
          <w:trHeight w:val="1247" w:hRule="atLeast"/>
        </w:trPr>
        <w:tc>
          <w:tcPr>
            <w:tcW w:w="378" w:type="pct"/>
            <w:vMerge w:val="continue"/>
            <w:tcBorders>
              <w:tl2br w:val="nil"/>
              <w:tr2bl w:val="nil"/>
            </w:tcBorders>
            <w:vAlign w:val="center"/>
          </w:tcPr>
          <w:p w14:paraId="1F7CAC38">
            <w:pPr>
              <w:pStyle w:val="44"/>
              <w:bidi w:val="0"/>
              <w:rPr>
                <w:rFonts w:hint="default" w:ascii="Times New Roman" w:hAnsi="Times New Roman" w:cs="Times New Roman"/>
                <w:color w:val="auto"/>
                <w:highlight w:val="none"/>
              </w:rPr>
            </w:pPr>
          </w:p>
        </w:tc>
        <w:tc>
          <w:tcPr>
            <w:tcW w:w="825" w:type="pct"/>
            <w:gridSpan w:val="2"/>
            <w:tcBorders>
              <w:tl2br w:val="nil"/>
              <w:tr2bl w:val="nil"/>
            </w:tcBorders>
            <w:vAlign w:val="center"/>
          </w:tcPr>
          <w:p w14:paraId="5A7A345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鸡西市城子河区城西村北 1.5km 煤矿工业广场(41#)</w:t>
            </w:r>
          </w:p>
        </w:tc>
        <w:tc>
          <w:tcPr>
            <w:tcW w:w="3349" w:type="pct"/>
            <w:gridSpan w:val="2"/>
            <w:tcBorders>
              <w:tl2br w:val="nil"/>
              <w:tr2bl w:val="nil"/>
            </w:tcBorders>
            <w:vAlign w:val="center"/>
          </w:tcPr>
          <w:p w14:paraId="43000746">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场地平整工程:对项目区内的取土石形成的破损面及研石堆进行挖高填低平整，</w:t>
            </w:r>
            <w:r>
              <w:rPr>
                <w:rFonts w:hint="default" w:ascii="Times New Roman" w:hAnsi="Times New Roman" w:cs="Times New Roman"/>
                <w:color w:val="auto"/>
                <w:highlight w:val="none"/>
                <w:lang w:val="en-US" w:eastAsia="zh-CN"/>
              </w:rPr>
              <w:t>总填方25081.9m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，总挖方84249m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vertAlign w:val="baseline"/>
                <w:lang w:val="en-US" w:eastAsia="zh-CN"/>
              </w:rPr>
              <w:t>，</w:t>
            </w:r>
            <w:r>
              <w:rPr>
                <w:rFonts w:hint="default" w:ascii="Times New Roman" w:hAnsi="Times New Roman" w:cs="Times New Roman"/>
                <w:color w:val="auto"/>
                <w:highlight w:val="none"/>
              </w:rPr>
              <w:t>弃方外运</w:t>
            </w:r>
            <w:r>
              <w:rPr>
                <w:rFonts w:hint="default" w:ascii="Times New Roman" w:hAnsi="Times New Roman" w:eastAsia="宋体" w:cs="Times New Roman"/>
                <w:color w:val="auto"/>
                <w:highlight w:val="none"/>
                <w:lang w:val="en-US" w:eastAsia="zh-CN"/>
              </w:rPr>
              <w:t>到2#</w:t>
            </w:r>
            <w:r>
              <w:rPr>
                <w:rFonts w:hint="default" w:ascii="Times New Roman" w:hAnsi="Times New Roman" w:cs="Times New Roman"/>
                <w:color w:val="auto"/>
                <w:highlight w:val="none"/>
                <w:lang w:val="en-US" w:eastAsia="zh-CN"/>
              </w:rPr>
              <w:t>项目区</w:t>
            </w:r>
            <w:r>
              <w:rPr>
                <w:rFonts w:hint="default" w:ascii="Times New Roman" w:hAnsi="Times New Roman" w:eastAsia="宋体" w:cs="Times New Roman"/>
                <w:color w:val="auto"/>
                <w:highlight w:val="none"/>
                <w:lang w:val="en-US" w:eastAsia="zh-CN"/>
              </w:rPr>
              <w:t>进行土地平整</w:t>
            </w:r>
            <w:r>
              <w:rPr>
                <w:rFonts w:hint="default" w:ascii="Times New Roman" w:hAnsi="Times New Roman" w:cs="Times New Roman"/>
                <w:color w:val="auto"/>
                <w:highlight w:val="none"/>
              </w:rPr>
              <w:t>。</w:t>
            </w:r>
          </w:p>
        </w:tc>
        <w:tc>
          <w:tcPr>
            <w:tcW w:w="421" w:type="pct"/>
            <w:vMerge w:val="continue"/>
            <w:tcBorders>
              <w:tl2br w:val="nil"/>
              <w:tr2bl w:val="nil"/>
            </w:tcBorders>
            <w:vAlign w:val="center"/>
          </w:tcPr>
          <w:p w14:paraId="63E7F2F2">
            <w:pPr>
              <w:pStyle w:val="44"/>
              <w:bidi w:val="0"/>
              <w:rPr>
                <w:rFonts w:hint="default" w:ascii="Times New Roman" w:hAnsi="Times New Roman" w:cs="Times New Roman"/>
                <w:color w:val="auto"/>
                <w:highlight w:val="none"/>
              </w:rPr>
            </w:pPr>
          </w:p>
        </w:tc>
      </w:tr>
      <w:tr w14:paraId="45A2C2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4" w:type="pct"/>
          <w:trHeight w:val="1480" w:hRule="atLeast"/>
        </w:trPr>
        <w:tc>
          <w:tcPr>
            <w:tcW w:w="378" w:type="pct"/>
            <w:vMerge w:val="continue"/>
            <w:tcBorders>
              <w:tl2br w:val="nil"/>
              <w:tr2bl w:val="nil"/>
            </w:tcBorders>
            <w:vAlign w:val="center"/>
          </w:tcPr>
          <w:p w14:paraId="4A3E878F">
            <w:pPr>
              <w:pStyle w:val="44"/>
              <w:bidi w:val="0"/>
              <w:rPr>
                <w:rFonts w:hint="default" w:ascii="Times New Roman" w:hAnsi="Times New Roman" w:cs="Times New Roman"/>
                <w:color w:val="auto"/>
                <w:highlight w:val="none"/>
              </w:rPr>
            </w:pPr>
          </w:p>
        </w:tc>
        <w:tc>
          <w:tcPr>
            <w:tcW w:w="825" w:type="pct"/>
            <w:gridSpan w:val="2"/>
            <w:tcBorders>
              <w:tl2br w:val="nil"/>
              <w:tr2bl w:val="nil"/>
            </w:tcBorders>
            <w:vAlign w:val="center"/>
          </w:tcPr>
          <w:p w14:paraId="3A05A3A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鸡西市城子河区仲兴村北 2.2km 煤矿工业广场(45#)</w:t>
            </w:r>
          </w:p>
        </w:tc>
        <w:tc>
          <w:tcPr>
            <w:tcW w:w="3349" w:type="pct"/>
            <w:gridSpan w:val="2"/>
            <w:tcBorders>
              <w:tl2br w:val="nil"/>
              <w:tr2bl w:val="nil"/>
            </w:tcBorders>
            <w:vAlign w:val="center"/>
          </w:tcPr>
          <w:p w14:paraId="0F7E3C0A">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（1）清理工程：对项目区内房屋进行拆除、清理，清理总量1136.16m’;</w:t>
            </w:r>
          </w:p>
          <w:p w14:paraId="11AEC6FB">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（2）场地平整工程：对项目区内的取土石形成的破损面及矸石堆进行挖高填</w:t>
            </w:r>
          </w:p>
          <w:p w14:paraId="1FAACE5F">
            <w:pPr>
              <w:pStyle w:val="44"/>
              <w:bidi w:val="0"/>
              <w:jc w:val="left"/>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低平整，挖方量 20555.4m²，填方量 5835.1m²，弃方外运</w:t>
            </w:r>
            <w:r>
              <w:rPr>
                <w:rFonts w:hint="default" w:ascii="Times New Roman" w:hAnsi="Times New Roman" w:eastAsia="宋体" w:cs="Times New Roman"/>
                <w:color w:val="auto"/>
                <w:highlight w:val="none"/>
                <w:lang w:val="en-US" w:eastAsia="zh-CN"/>
              </w:rPr>
              <w:t>到2#</w:t>
            </w:r>
            <w:r>
              <w:rPr>
                <w:rFonts w:hint="default" w:ascii="Times New Roman" w:hAnsi="Times New Roman" w:cs="Times New Roman"/>
                <w:color w:val="auto"/>
                <w:highlight w:val="none"/>
                <w:lang w:val="en-US" w:eastAsia="zh-CN"/>
              </w:rPr>
              <w:t>项目区</w:t>
            </w:r>
            <w:r>
              <w:rPr>
                <w:rFonts w:hint="default" w:ascii="Times New Roman" w:hAnsi="Times New Roman" w:eastAsia="宋体" w:cs="Times New Roman"/>
                <w:color w:val="auto"/>
                <w:highlight w:val="none"/>
                <w:lang w:val="en-US" w:eastAsia="zh-CN"/>
              </w:rPr>
              <w:t>进行土地平整</w:t>
            </w:r>
            <w:r>
              <w:rPr>
                <w:rFonts w:hint="default" w:ascii="Times New Roman" w:hAnsi="Times New Roman" w:cs="Times New Roman"/>
                <w:color w:val="auto"/>
                <w:highlight w:val="none"/>
              </w:rPr>
              <w:t>。</w:t>
            </w:r>
          </w:p>
        </w:tc>
        <w:tc>
          <w:tcPr>
            <w:tcW w:w="421" w:type="pct"/>
            <w:vMerge w:val="continue"/>
            <w:tcBorders>
              <w:tl2br w:val="nil"/>
              <w:tr2bl w:val="nil"/>
            </w:tcBorders>
            <w:vAlign w:val="center"/>
          </w:tcPr>
          <w:p w14:paraId="1BF2C915">
            <w:pPr>
              <w:pStyle w:val="44"/>
              <w:bidi w:val="0"/>
              <w:rPr>
                <w:rFonts w:hint="default" w:ascii="Times New Roman" w:hAnsi="Times New Roman" w:cs="Times New Roman"/>
                <w:color w:val="auto"/>
                <w:highlight w:val="none"/>
              </w:rPr>
            </w:pPr>
          </w:p>
        </w:tc>
      </w:tr>
      <w:tr w14:paraId="7172A5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4" w:type="pct"/>
          <w:trHeight w:val="1480" w:hRule="atLeast"/>
        </w:trPr>
        <w:tc>
          <w:tcPr>
            <w:tcW w:w="378" w:type="pct"/>
            <w:vMerge w:val="continue"/>
            <w:tcBorders>
              <w:tl2br w:val="nil"/>
              <w:tr2bl w:val="nil"/>
            </w:tcBorders>
            <w:vAlign w:val="center"/>
          </w:tcPr>
          <w:p w14:paraId="047AC3EB">
            <w:pPr>
              <w:pStyle w:val="44"/>
              <w:bidi w:val="0"/>
              <w:rPr>
                <w:rFonts w:hint="default" w:ascii="Times New Roman" w:hAnsi="Times New Roman" w:cs="Times New Roman"/>
                <w:color w:val="auto"/>
                <w:highlight w:val="none"/>
              </w:rPr>
            </w:pPr>
          </w:p>
        </w:tc>
        <w:tc>
          <w:tcPr>
            <w:tcW w:w="825" w:type="pct"/>
            <w:gridSpan w:val="2"/>
            <w:tcBorders>
              <w:tl2br w:val="nil"/>
              <w:tr2bl w:val="nil"/>
            </w:tcBorders>
            <w:vAlign w:val="center"/>
          </w:tcPr>
          <w:p w14:paraId="419FB1E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鸡西市城子河区龙山屯废弃采石场（47#）</w:t>
            </w:r>
          </w:p>
        </w:tc>
        <w:tc>
          <w:tcPr>
            <w:tcW w:w="3349" w:type="pct"/>
            <w:gridSpan w:val="2"/>
            <w:tcBorders>
              <w:tl2br w:val="nil"/>
              <w:tr2bl w:val="nil"/>
            </w:tcBorders>
            <w:vAlign w:val="center"/>
          </w:tcPr>
          <w:p w14:paraId="7250623C">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（1）危岩清理边坡整形工程：危岩清理总量4700.92m’；</w:t>
            </w:r>
          </w:p>
          <w:p w14:paraId="608CE70F">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（2）场地平整工程：对项目区内的采坑及坑侧进行挖高填低平整，挖方量723.5m²，填方量 5562.8m²；弃方外运</w:t>
            </w:r>
            <w:r>
              <w:rPr>
                <w:rFonts w:hint="default" w:ascii="Times New Roman" w:hAnsi="Times New Roman" w:eastAsia="宋体" w:cs="Times New Roman"/>
                <w:color w:val="auto"/>
                <w:highlight w:val="none"/>
                <w:lang w:val="en-US" w:eastAsia="zh-CN"/>
              </w:rPr>
              <w:t>到2#</w:t>
            </w:r>
            <w:r>
              <w:rPr>
                <w:rFonts w:hint="default" w:ascii="Times New Roman" w:hAnsi="Times New Roman" w:cs="Times New Roman"/>
                <w:color w:val="auto"/>
                <w:highlight w:val="none"/>
                <w:lang w:val="en-US" w:eastAsia="zh-CN"/>
              </w:rPr>
              <w:t>项目区</w:t>
            </w:r>
            <w:r>
              <w:rPr>
                <w:rFonts w:hint="default" w:ascii="Times New Roman" w:hAnsi="Times New Roman" w:eastAsia="宋体" w:cs="Times New Roman"/>
                <w:color w:val="auto"/>
                <w:highlight w:val="none"/>
                <w:lang w:val="en-US" w:eastAsia="zh-CN"/>
              </w:rPr>
              <w:t>进行土地平整</w:t>
            </w:r>
            <w:r>
              <w:rPr>
                <w:rFonts w:hint="default" w:ascii="Times New Roman" w:hAnsi="Times New Roman" w:cs="Times New Roman"/>
                <w:color w:val="auto"/>
                <w:highlight w:val="none"/>
              </w:rPr>
              <w:t>。</w:t>
            </w:r>
          </w:p>
          <w:p w14:paraId="2D82F599">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（3〉CBS植被混凝土边坡绿化工程：修复坡体表面积为16789m²，投影面积为5981.2m²’；</w:t>
            </w:r>
          </w:p>
          <w:p w14:paraId="572009DA">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(4)砌筑挡土墙: 墙高 3.0m, 基础埋深 1. 0m, 墙顶宽度 0. 50m,墙底宽 1. 50m,挡土墙总长 342.3</w:t>
            </w:r>
            <w:r>
              <w:rPr>
                <w:rFonts w:hint="eastAsia" w:cs="Times New Roman"/>
                <w:color w:val="auto"/>
                <w:highlight w:val="none"/>
                <w:lang w:val="en-US" w:eastAsia="zh-CN"/>
              </w:rPr>
              <w:t>m</w:t>
            </w:r>
            <w:r>
              <w:rPr>
                <w:rFonts w:hint="default" w:ascii="Times New Roman" w:hAnsi="Times New Roman" w:cs="Times New Roman"/>
                <w:color w:val="auto"/>
                <w:highlight w:val="none"/>
              </w:rPr>
              <w:t>；</w:t>
            </w:r>
          </w:p>
          <w:p w14:paraId="29F8698D">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（5）截排水沟工程:截排水沟断面为矩形，断面尺寸宽X深（bXh）为400mm×400mm, 设计截排水沟长度为 342.3m。</w:t>
            </w:r>
          </w:p>
        </w:tc>
        <w:tc>
          <w:tcPr>
            <w:tcW w:w="421" w:type="pct"/>
            <w:vMerge w:val="continue"/>
            <w:tcBorders>
              <w:tl2br w:val="nil"/>
              <w:tr2bl w:val="nil"/>
            </w:tcBorders>
            <w:vAlign w:val="center"/>
          </w:tcPr>
          <w:p w14:paraId="0A9AD630">
            <w:pPr>
              <w:pStyle w:val="44"/>
              <w:bidi w:val="0"/>
              <w:rPr>
                <w:rFonts w:hint="default" w:ascii="Times New Roman" w:hAnsi="Times New Roman" w:cs="Times New Roman"/>
                <w:color w:val="auto"/>
                <w:highlight w:val="none"/>
              </w:rPr>
            </w:pPr>
          </w:p>
        </w:tc>
      </w:tr>
      <w:tr w14:paraId="2685DB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4" w:type="pct"/>
          <w:trHeight w:val="1480" w:hRule="atLeast"/>
        </w:trPr>
        <w:tc>
          <w:tcPr>
            <w:tcW w:w="378" w:type="pct"/>
            <w:vMerge w:val="continue"/>
            <w:tcBorders>
              <w:tl2br w:val="nil"/>
              <w:tr2bl w:val="nil"/>
            </w:tcBorders>
            <w:vAlign w:val="center"/>
          </w:tcPr>
          <w:p w14:paraId="0B7E18AA">
            <w:pPr>
              <w:pStyle w:val="44"/>
              <w:bidi w:val="0"/>
              <w:rPr>
                <w:rFonts w:hint="default" w:ascii="Times New Roman" w:hAnsi="Times New Roman" w:cs="Times New Roman"/>
                <w:color w:val="auto"/>
                <w:highlight w:val="none"/>
              </w:rPr>
            </w:pPr>
          </w:p>
        </w:tc>
        <w:tc>
          <w:tcPr>
            <w:tcW w:w="825" w:type="pct"/>
            <w:gridSpan w:val="2"/>
            <w:tcBorders>
              <w:tl2br w:val="nil"/>
              <w:tr2bl w:val="nil"/>
            </w:tcBorders>
            <w:vAlign w:val="center"/>
          </w:tcPr>
          <w:p w14:paraId="6195A96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鸡西市城子河区城海村东南 1.7km</w:t>
            </w:r>
          </w:p>
          <w:p w14:paraId="453E70F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废弃采石场(59#)</w:t>
            </w:r>
          </w:p>
        </w:tc>
        <w:tc>
          <w:tcPr>
            <w:tcW w:w="3349" w:type="pct"/>
            <w:gridSpan w:val="2"/>
            <w:tcBorders>
              <w:tl2br w:val="nil"/>
              <w:tr2bl w:val="nil"/>
            </w:tcBorders>
            <w:vAlign w:val="center"/>
          </w:tcPr>
          <w:p w14:paraId="49F97094">
            <w:pPr>
              <w:pStyle w:val="44"/>
              <w:bidi w:val="0"/>
              <w:jc w:val="left"/>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1、场地平整工程:对项目区内的采坑及缓坡处进行挖高填低平整，挖方量 4454.9 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rPr>
              <w:t xml:space="preserve"> ，填方量 4454.9 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vertAlign w:val="baseline"/>
                <w:lang w:val="en-US" w:eastAsia="zh-CN"/>
              </w:rPr>
              <w:t>。</w:t>
            </w:r>
          </w:p>
          <w:p w14:paraId="459D3D76">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2、植被恢复工程:在场地平整工程区域进行植被恢复，面积为 4454.9m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vertAlign w:val="baseline"/>
                <w:lang w:eastAsia="zh-CN"/>
              </w:rPr>
              <w:t>。</w:t>
            </w:r>
          </w:p>
        </w:tc>
        <w:tc>
          <w:tcPr>
            <w:tcW w:w="421" w:type="pct"/>
            <w:vMerge w:val="continue"/>
            <w:tcBorders>
              <w:tl2br w:val="nil"/>
              <w:tr2bl w:val="nil"/>
            </w:tcBorders>
            <w:vAlign w:val="center"/>
          </w:tcPr>
          <w:p w14:paraId="54A91648">
            <w:pPr>
              <w:pStyle w:val="44"/>
              <w:bidi w:val="0"/>
              <w:rPr>
                <w:rFonts w:hint="default" w:ascii="Times New Roman" w:hAnsi="Times New Roman" w:cs="Times New Roman"/>
                <w:color w:val="auto"/>
                <w:highlight w:val="none"/>
              </w:rPr>
            </w:pPr>
          </w:p>
        </w:tc>
      </w:tr>
      <w:tr w14:paraId="274965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4" w:type="pct"/>
          <w:trHeight w:val="1480" w:hRule="atLeast"/>
        </w:trPr>
        <w:tc>
          <w:tcPr>
            <w:tcW w:w="378" w:type="pct"/>
            <w:vMerge w:val="continue"/>
            <w:tcBorders>
              <w:tl2br w:val="nil"/>
              <w:tr2bl w:val="nil"/>
            </w:tcBorders>
            <w:vAlign w:val="center"/>
          </w:tcPr>
          <w:p w14:paraId="07895945">
            <w:pPr>
              <w:pStyle w:val="44"/>
              <w:bidi w:val="0"/>
              <w:rPr>
                <w:rFonts w:hint="default" w:ascii="Times New Roman" w:hAnsi="Times New Roman" w:cs="Times New Roman"/>
                <w:color w:val="auto"/>
                <w:highlight w:val="none"/>
              </w:rPr>
            </w:pPr>
          </w:p>
        </w:tc>
        <w:tc>
          <w:tcPr>
            <w:tcW w:w="825" w:type="pct"/>
            <w:gridSpan w:val="2"/>
            <w:tcBorders>
              <w:tl2br w:val="nil"/>
              <w:tr2bl w:val="nil"/>
            </w:tcBorders>
            <w:vAlign w:val="center"/>
          </w:tcPr>
          <w:p w14:paraId="33E66F2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鸡西市城子河区城海村东南2.7km</w:t>
            </w:r>
          </w:p>
          <w:p w14:paraId="1B5BF36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废弃采石场（60#）</w:t>
            </w:r>
          </w:p>
        </w:tc>
        <w:tc>
          <w:tcPr>
            <w:tcW w:w="3349" w:type="pct"/>
            <w:gridSpan w:val="2"/>
            <w:tcBorders>
              <w:tl2br w:val="nil"/>
              <w:tr2bl w:val="nil"/>
            </w:tcBorders>
            <w:vAlign w:val="center"/>
          </w:tcPr>
          <w:p w14:paraId="344884BD">
            <w:pPr>
              <w:pStyle w:val="44"/>
              <w:bidi w:val="0"/>
              <w:jc w:val="left"/>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危岩清理边坡整形工程：危岩清理总量</w:t>
            </w:r>
            <w:r>
              <w:rPr>
                <w:rFonts w:hint="default" w:ascii="Times New Roman" w:hAnsi="Times New Roman" w:cs="Times New Roman"/>
                <w:color w:val="auto"/>
                <w:highlight w:val="none"/>
                <w:lang w:val="en-US" w:eastAsia="zh-CN"/>
              </w:rPr>
              <w:t>193.2 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w:t>
            </w:r>
          </w:p>
          <w:p w14:paraId="08D5434F">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场地平整工程：对项目区内的釆坑及坡角下进行挖高填低平整，挖方量 </w:t>
            </w:r>
            <w:r>
              <w:rPr>
                <w:rFonts w:hint="default" w:ascii="Times New Roman" w:hAnsi="Times New Roman" w:cs="Times New Roman"/>
                <w:color w:val="auto"/>
                <w:highlight w:val="none"/>
                <w:lang w:val="en-US" w:eastAsia="zh-CN"/>
              </w:rPr>
              <w:t>1272.7 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 xml:space="preserve">填方量 2568 </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w:t>
            </w:r>
          </w:p>
          <w:p w14:paraId="117CB30B">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植被恢复工程：在项目区平整区域进行植被恢复，面积为</w:t>
            </w:r>
            <w:r>
              <w:rPr>
                <w:rFonts w:hint="default" w:ascii="Times New Roman" w:hAnsi="Times New Roman" w:cs="Times New Roman"/>
                <w:color w:val="auto"/>
                <w:highlight w:val="none"/>
                <w:lang w:val="en-US" w:eastAsia="zh-CN"/>
              </w:rPr>
              <w:t>5797.3m</w:t>
            </w:r>
            <w:r>
              <w:rPr>
                <w:rFonts w:hint="default" w:ascii="Times New Roman" w:hAnsi="Times New Roman" w:cs="Times New Roman"/>
                <w:color w:val="auto"/>
                <w:highlight w:val="none"/>
                <w:vertAlign w:val="superscript"/>
                <w:lang w:val="en-US" w:eastAsia="zh-CN"/>
              </w:rPr>
              <w:t>2</w:t>
            </w:r>
          </w:p>
        </w:tc>
        <w:tc>
          <w:tcPr>
            <w:tcW w:w="421" w:type="pct"/>
            <w:vMerge w:val="continue"/>
            <w:tcBorders>
              <w:tl2br w:val="nil"/>
              <w:tr2bl w:val="nil"/>
            </w:tcBorders>
            <w:vAlign w:val="center"/>
          </w:tcPr>
          <w:p w14:paraId="43D8DBC8">
            <w:pPr>
              <w:pStyle w:val="44"/>
              <w:bidi w:val="0"/>
              <w:rPr>
                <w:rFonts w:hint="default" w:ascii="Times New Roman" w:hAnsi="Times New Roman" w:cs="Times New Roman"/>
                <w:color w:val="auto"/>
                <w:highlight w:val="none"/>
              </w:rPr>
            </w:pPr>
          </w:p>
        </w:tc>
      </w:tr>
      <w:tr w14:paraId="055BB7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4" w:type="pct"/>
          <w:trHeight w:val="132" w:hRule="atLeast"/>
        </w:trPr>
        <w:tc>
          <w:tcPr>
            <w:tcW w:w="378" w:type="pct"/>
            <w:tcBorders>
              <w:tl2br w:val="nil"/>
              <w:tr2bl w:val="nil"/>
            </w:tcBorders>
            <w:vAlign w:val="center"/>
          </w:tcPr>
          <w:p w14:paraId="07FC5F4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辅助工程</w:t>
            </w:r>
          </w:p>
        </w:tc>
        <w:tc>
          <w:tcPr>
            <w:tcW w:w="825" w:type="pct"/>
            <w:gridSpan w:val="2"/>
            <w:tcBorders>
              <w:tl2br w:val="nil"/>
              <w:tr2bl w:val="nil"/>
            </w:tcBorders>
            <w:vAlign w:val="center"/>
          </w:tcPr>
          <w:p w14:paraId="49EBFD7A">
            <w:pPr>
              <w:pStyle w:val="44"/>
              <w:bidi w:val="0"/>
              <w:ind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highlight w:val="none"/>
              </w:rPr>
              <w:t>办公生活区</w:t>
            </w:r>
          </w:p>
        </w:tc>
        <w:tc>
          <w:tcPr>
            <w:tcW w:w="3349" w:type="pct"/>
            <w:gridSpan w:val="2"/>
            <w:tcBorders>
              <w:tl2br w:val="nil"/>
              <w:tr2bl w:val="nil"/>
            </w:tcBorders>
            <w:shd w:val="clear" w:color="auto" w:fill="auto"/>
            <w:vAlign w:val="center"/>
          </w:tcPr>
          <w:p w14:paraId="04147115">
            <w:pPr>
              <w:pStyle w:val="44"/>
              <w:bidi w:val="0"/>
              <w:ind w:firstLine="0" w:firstLineChars="0"/>
              <w:jc w:val="left"/>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highlight w:val="none"/>
                <w:lang w:val="en-US" w:eastAsia="zh-CN"/>
              </w:rPr>
              <w:t>针对所有项目场地，均不设置办公区。</w:t>
            </w:r>
          </w:p>
        </w:tc>
        <w:tc>
          <w:tcPr>
            <w:tcW w:w="421" w:type="pct"/>
            <w:tcBorders>
              <w:tl2br w:val="nil"/>
              <w:tr2bl w:val="nil"/>
            </w:tcBorders>
            <w:vAlign w:val="center"/>
          </w:tcPr>
          <w:p w14:paraId="355DA86F">
            <w:pPr>
              <w:pStyle w:val="44"/>
              <w:bidi w:val="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w:t>
            </w:r>
          </w:p>
        </w:tc>
      </w:tr>
      <w:tr w14:paraId="08E1DD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4" w:type="pct"/>
          <w:trHeight w:val="397" w:hRule="atLeast"/>
        </w:trPr>
        <w:tc>
          <w:tcPr>
            <w:tcW w:w="378" w:type="pct"/>
            <w:vMerge w:val="restart"/>
            <w:tcBorders>
              <w:tl2br w:val="nil"/>
              <w:tr2bl w:val="nil"/>
            </w:tcBorders>
            <w:vAlign w:val="center"/>
          </w:tcPr>
          <w:p w14:paraId="78C9C50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公用工程</w:t>
            </w:r>
          </w:p>
        </w:tc>
        <w:tc>
          <w:tcPr>
            <w:tcW w:w="825" w:type="pct"/>
            <w:gridSpan w:val="2"/>
            <w:tcBorders>
              <w:tl2br w:val="nil"/>
              <w:tr2bl w:val="nil"/>
            </w:tcBorders>
            <w:vAlign w:val="center"/>
          </w:tcPr>
          <w:p w14:paraId="7BAAC95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供电</w:t>
            </w:r>
          </w:p>
        </w:tc>
        <w:tc>
          <w:tcPr>
            <w:tcW w:w="3349" w:type="pct"/>
            <w:gridSpan w:val="2"/>
            <w:tcBorders>
              <w:tl2br w:val="nil"/>
              <w:tr2bl w:val="nil"/>
            </w:tcBorders>
            <w:vAlign w:val="center"/>
          </w:tcPr>
          <w:p w14:paraId="03FE2813">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由当地电业局连接电线提供。</w:t>
            </w:r>
          </w:p>
        </w:tc>
        <w:tc>
          <w:tcPr>
            <w:tcW w:w="421" w:type="pct"/>
            <w:vMerge w:val="restart"/>
            <w:tcBorders>
              <w:tl2br w:val="nil"/>
              <w:tr2bl w:val="nil"/>
            </w:tcBorders>
            <w:vAlign w:val="center"/>
          </w:tcPr>
          <w:p w14:paraId="23AB515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14:paraId="46364F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4" w:type="pct"/>
          <w:trHeight w:val="759" w:hRule="atLeast"/>
        </w:trPr>
        <w:tc>
          <w:tcPr>
            <w:tcW w:w="378" w:type="pct"/>
            <w:vMerge w:val="continue"/>
            <w:tcBorders>
              <w:tl2br w:val="nil"/>
              <w:tr2bl w:val="nil"/>
            </w:tcBorders>
            <w:vAlign w:val="center"/>
          </w:tcPr>
          <w:p w14:paraId="11E7A66C">
            <w:pPr>
              <w:pStyle w:val="44"/>
              <w:bidi w:val="0"/>
              <w:rPr>
                <w:rFonts w:hint="default" w:ascii="Times New Roman" w:hAnsi="Times New Roman" w:cs="Times New Roman"/>
                <w:color w:val="auto"/>
                <w:highlight w:val="none"/>
              </w:rPr>
            </w:pPr>
          </w:p>
        </w:tc>
        <w:tc>
          <w:tcPr>
            <w:tcW w:w="825" w:type="pct"/>
            <w:gridSpan w:val="2"/>
            <w:tcBorders>
              <w:tl2br w:val="nil"/>
              <w:tr2bl w:val="nil"/>
            </w:tcBorders>
            <w:vAlign w:val="center"/>
          </w:tcPr>
          <w:p w14:paraId="4D26983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给水</w:t>
            </w:r>
          </w:p>
        </w:tc>
        <w:tc>
          <w:tcPr>
            <w:tcW w:w="3349" w:type="pct"/>
            <w:gridSpan w:val="2"/>
            <w:tcBorders>
              <w:tl2br w:val="nil"/>
              <w:tr2bl w:val="nil"/>
            </w:tcBorders>
            <w:vAlign w:val="center"/>
          </w:tcPr>
          <w:p w14:paraId="41DE0E29">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洒水降尘用水由</w:t>
            </w:r>
            <w:r>
              <w:rPr>
                <w:rFonts w:hint="default" w:ascii="Times New Roman" w:hAnsi="Times New Roman" w:cs="Times New Roman"/>
                <w:color w:val="auto"/>
                <w:highlight w:val="none"/>
              </w:rPr>
              <w:t>自备洒水车拉运至厂区；员工生活用水主要为饮用水，购买瓶装饮用水。</w:t>
            </w:r>
          </w:p>
        </w:tc>
        <w:tc>
          <w:tcPr>
            <w:tcW w:w="421" w:type="pct"/>
            <w:vMerge w:val="continue"/>
            <w:tcBorders>
              <w:tl2br w:val="nil"/>
              <w:tr2bl w:val="nil"/>
            </w:tcBorders>
            <w:vAlign w:val="center"/>
          </w:tcPr>
          <w:p w14:paraId="3F3EC91B">
            <w:pPr>
              <w:pStyle w:val="44"/>
              <w:bidi w:val="0"/>
              <w:rPr>
                <w:rFonts w:hint="default" w:ascii="Times New Roman" w:hAnsi="Times New Roman" w:cs="Times New Roman"/>
                <w:color w:val="auto"/>
                <w:highlight w:val="none"/>
              </w:rPr>
            </w:pPr>
          </w:p>
        </w:tc>
      </w:tr>
      <w:tr w14:paraId="0C4E83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4" w:type="pct"/>
          <w:trHeight w:val="340" w:hRule="atLeast"/>
        </w:trPr>
        <w:tc>
          <w:tcPr>
            <w:tcW w:w="378" w:type="pct"/>
            <w:vMerge w:val="continue"/>
            <w:tcBorders>
              <w:tl2br w:val="nil"/>
              <w:tr2bl w:val="nil"/>
            </w:tcBorders>
            <w:vAlign w:val="center"/>
          </w:tcPr>
          <w:p w14:paraId="7513949C">
            <w:pPr>
              <w:pStyle w:val="44"/>
              <w:bidi w:val="0"/>
              <w:rPr>
                <w:rFonts w:hint="default" w:ascii="Times New Roman" w:hAnsi="Times New Roman" w:cs="Times New Roman"/>
                <w:color w:val="auto"/>
                <w:highlight w:val="none"/>
              </w:rPr>
            </w:pPr>
          </w:p>
        </w:tc>
        <w:tc>
          <w:tcPr>
            <w:tcW w:w="825" w:type="pct"/>
            <w:gridSpan w:val="2"/>
            <w:tcBorders>
              <w:tl2br w:val="nil"/>
              <w:tr2bl w:val="nil"/>
            </w:tcBorders>
            <w:vAlign w:val="center"/>
          </w:tcPr>
          <w:p w14:paraId="33B3D50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排水</w:t>
            </w:r>
          </w:p>
        </w:tc>
        <w:tc>
          <w:tcPr>
            <w:tcW w:w="3349" w:type="pct"/>
            <w:gridSpan w:val="2"/>
            <w:tcBorders>
              <w:tl2br w:val="nil"/>
              <w:tr2bl w:val="nil"/>
            </w:tcBorders>
            <w:vAlign w:val="center"/>
          </w:tcPr>
          <w:p w14:paraId="3C14D911">
            <w:pPr>
              <w:pStyle w:val="44"/>
              <w:bidi w:val="0"/>
              <w:jc w:val="left"/>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项目区内不设置生活区，无废水排放</w:t>
            </w:r>
          </w:p>
        </w:tc>
        <w:tc>
          <w:tcPr>
            <w:tcW w:w="421" w:type="pct"/>
            <w:vMerge w:val="continue"/>
            <w:tcBorders>
              <w:tl2br w:val="nil"/>
              <w:tr2bl w:val="nil"/>
            </w:tcBorders>
            <w:vAlign w:val="center"/>
          </w:tcPr>
          <w:p w14:paraId="7A56AE12">
            <w:pPr>
              <w:pStyle w:val="44"/>
              <w:bidi w:val="0"/>
              <w:rPr>
                <w:rFonts w:hint="default" w:ascii="Times New Roman" w:hAnsi="Times New Roman" w:cs="Times New Roman"/>
                <w:color w:val="auto"/>
                <w:highlight w:val="none"/>
              </w:rPr>
            </w:pPr>
          </w:p>
        </w:tc>
      </w:tr>
      <w:tr w14:paraId="5947BB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4" w:type="pct"/>
          <w:trHeight w:val="427" w:hRule="atLeast"/>
        </w:trPr>
        <w:tc>
          <w:tcPr>
            <w:tcW w:w="378" w:type="pct"/>
            <w:vMerge w:val="continue"/>
            <w:tcBorders>
              <w:tl2br w:val="nil"/>
              <w:tr2bl w:val="nil"/>
            </w:tcBorders>
            <w:vAlign w:val="center"/>
          </w:tcPr>
          <w:p w14:paraId="7E6049E5">
            <w:pPr>
              <w:pStyle w:val="44"/>
              <w:bidi w:val="0"/>
              <w:rPr>
                <w:rFonts w:hint="default" w:ascii="Times New Roman" w:hAnsi="Times New Roman" w:cs="Times New Roman"/>
                <w:color w:val="auto"/>
                <w:highlight w:val="none"/>
              </w:rPr>
            </w:pPr>
          </w:p>
        </w:tc>
        <w:tc>
          <w:tcPr>
            <w:tcW w:w="825" w:type="pct"/>
            <w:gridSpan w:val="2"/>
            <w:tcBorders>
              <w:tl2br w:val="nil"/>
              <w:tr2bl w:val="nil"/>
            </w:tcBorders>
            <w:vAlign w:val="center"/>
          </w:tcPr>
          <w:p w14:paraId="648D120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供热</w:t>
            </w:r>
          </w:p>
        </w:tc>
        <w:tc>
          <w:tcPr>
            <w:tcW w:w="3349" w:type="pct"/>
            <w:gridSpan w:val="2"/>
            <w:tcBorders>
              <w:tl2br w:val="nil"/>
              <w:tr2bl w:val="nil"/>
            </w:tcBorders>
            <w:vAlign w:val="center"/>
          </w:tcPr>
          <w:p w14:paraId="6209BA27">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所有场地均</w:t>
            </w:r>
            <w:r>
              <w:rPr>
                <w:rFonts w:hint="default" w:ascii="Times New Roman" w:hAnsi="Times New Roman" w:cs="Times New Roman"/>
                <w:color w:val="auto"/>
                <w:highlight w:val="none"/>
              </w:rPr>
              <w:t>无需采暖。</w:t>
            </w:r>
          </w:p>
        </w:tc>
        <w:tc>
          <w:tcPr>
            <w:tcW w:w="421" w:type="pct"/>
            <w:vMerge w:val="continue"/>
            <w:tcBorders>
              <w:tl2br w:val="nil"/>
              <w:tr2bl w:val="nil"/>
            </w:tcBorders>
            <w:vAlign w:val="center"/>
          </w:tcPr>
          <w:p w14:paraId="73AA00DA">
            <w:pPr>
              <w:pStyle w:val="44"/>
              <w:bidi w:val="0"/>
              <w:rPr>
                <w:rFonts w:hint="default" w:ascii="Times New Roman" w:hAnsi="Times New Roman" w:cs="Times New Roman"/>
                <w:color w:val="auto"/>
                <w:highlight w:val="none"/>
              </w:rPr>
            </w:pPr>
          </w:p>
        </w:tc>
      </w:tr>
      <w:tr w14:paraId="5330E6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1" w:hRule="atLeast"/>
        </w:trPr>
        <w:tc>
          <w:tcPr>
            <w:tcW w:w="378" w:type="pct"/>
            <w:vMerge w:val="restart"/>
            <w:vAlign w:val="center"/>
          </w:tcPr>
          <w:p w14:paraId="572C240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环保工程</w:t>
            </w:r>
          </w:p>
        </w:tc>
        <w:tc>
          <w:tcPr>
            <w:tcW w:w="240" w:type="pct"/>
            <w:vMerge w:val="restart"/>
            <w:vAlign w:val="center"/>
          </w:tcPr>
          <w:p w14:paraId="39C9564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w:t>
            </w:r>
          </w:p>
        </w:tc>
        <w:tc>
          <w:tcPr>
            <w:tcW w:w="1097" w:type="dxa"/>
            <w:gridSpan w:val="2"/>
            <w:vAlign w:val="center"/>
          </w:tcPr>
          <w:p w14:paraId="45B05E3E">
            <w:pPr>
              <w:pStyle w:val="44"/>
              <w:bidi w:val="0"/>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废气</w:t>
            </w:r>
          </w:p>
        </w:tc>
        <w:tc>
          <w:tcPr>
            <w:tcW w:w="6184" w:type="dxa"/>
            <w:tcBorders>
              <w:right w:val="single" w:color="auto" w:sz="2" w:space="0"/>
            </w:tcBorders>
            <w:vAlign w:val="center"/>
          </w:tcPr>
          <w:p w14:paraId="188DCB83">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本项目施工期产生废气为施工扬尘、</w:t>
            </w:r>
            <w:r>
              <w:rPr>
                <w:rFonts w:hint="default" w:ascii="Times New Roman" w:hAnsi="Times New Roman" w:cs="Times New Roman"/>
                <w:color w:val="auto"/>
                <w:highlight w:val="none"/>
                <w:lang w:val="en-US" w:eastAsia="zh-CN"/>
              </w:rPr>
              <w:t>机械</w:t>
            </w:r>
            <w:r>
              <w:rPr>
                <w:rFonts w:hint="default" w:ascii="Times New Roman" w:hAnsi="Times New Roman" w:cs="Times New Roman"/>
                <w:color w:val="auto"/>
                <w:highlight w:val="none"/>
              </w:rPr>
              <w:t>燃油废气</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运输扬尘</w:t>
            </w:r>
            <w:r>
              <w:rPr>
                <w:rFonts w:hint="default" w:ascii="Times New Roman" w:hAnsi="Times New Roman" w:cs="Times New Roman"/>
                <w:color w:val="auto"/>
                <w:highlight w:val="none"/>
              </w:rPr>
              <w:t>。</w:t>
            </w:r>
          </w:p>
          <w:p w14:paraId="601D9AC1">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施工场地、道路采取洒水和清扫措施抑尘，土方采用苫布苫盖，运输车加盖篷布；</w:t>
            </w:r>
          </w:p>
          <w:p w14:paraId="3F563749">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定期对车辆设备进行维护保养，禁止以柴油为燃料的施工机械超负荷工作，减小燃油废气影响。</w:t>
            </w:r>
          </w:p>
          <w:p w14:paraId="0CCA1CE2">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运输车辆采取加盖篷布、密封仓等措施，运输道路及时洒水降尘</w:t>
            </w:r>
          </w:p>
          <w:p w14:paraId="0D634BB4">
            <w:pPr>
              <w:pStyle w:val="44"/>
              <w:bidi w:val="0"/>
              <w:ind w:firstLine="0" w:firstLineChars="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在采取上述措施后，场界颗粒物浓度可达到《大气污染物综合排放标准》（GB16297-1996）中的表2无组织排放监控浓度限值。</w:t>
            </w:r>
          </w:p>
        </w:tc>
        <w:tc>
          <w:tcPr>
            <w:tcW w:w="446" w:type="pct"/>
            <w:gridSpan w:val="2"/>
            <w:vMerge w:val="restart"/>
            <w:tcBorders>
              <w:left w:val="single" w:color="auto" w:sz="2" w:space="0"/>
            </w:tcBorders>
            <w:vAlign w:val="center"/>
          </w:tcPr>
          <w:p w14:paraId="3E992DC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新建</w:t>
            </w:r>
          </w:p>
        </w:tc>
      </w:tr>
      <w:tr w14:paraId="1998F6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1" w:hRule="atLeast"/>
        </w:trPr>
        <w:tc>
          <w:tcPr>
            <w:tcW w:w="378" w:type="pct"/>
            <w:vMerge w:val="continue"/>
            <w:vAlign w:val="center"/>
          </w:tcPr>
          <w:p w14:paraId="69FCFD9D">
            <w:pPr>
              <w:pStyle w:val="44"/>
              <w:bidi w:val="0"/>
              <w:rPr>
                <w:rFonts w:hint="default" w:ascii="Times New Roman" w:hAnsi="Times New Roman" w:cs="Times New Roman"/>
                <w:color w:val="auto"/>
                <w:highlight w:val="none"/>
              </w:rPr>
            </w:pPr>
          </w:p>
        </w:tc>
        <w:tc>
          <w:tcPr>
            <w:tcW w:w="240" w:type="pct"/>
            <w:vMerge w:val="continue"/>
            <w:vAlign w:val="center"/>
          </w:tcPr>
          <w:p w14:paraId="11F064CA">
            <w:pPr>
              <w:pStyle w:val="44"/>
              <w:bidi w:val="0"/>
              <w:rPr>
                <w:rFonts w:hint="default" w:ascii="Times New Roman" w:hAnsi="Times New Roman" w:cs="Times New Roman"/>
                <w:color w:val="auto"/>
                <w:highlight w:val="none"/>
              </w:rPr>
            </w:pPr>
          </w:p>
        </w:tc>
        <w:tc>
          <w:tcPr>
            <w:tcW w:w="1097" w:type="dxa"/>
            <w:gridSpan w:val="2"/>
            <w:vAlign w:val="center"/>
          </w:tcPr>
          <w:p w14:paraId="4216BA34">
            <w:pPr>
              <w:pStyle w:val="44"/>
              <w:bidi w:val="0"/>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废水</w:t>
            </w:r>
          </w:p>
        </w:tc>
        <w:tc>
          <w:tcPr>
            <w:tcW w:w="6184" w:type="dxa"/>
            <w:tcBorders>
              <w:right w:val="single" w:color="auto" w:sz="2" w:space="0"/>
            </w:tcBorders>
            <w:vAlign w:val="center"/>
          </w:tcPr>
          <w:p w14:paraId="00ACA220">
            <w:pPr>
              <w:pStyle w:val="44"/>
              <w:bidi w:val="0"/>
              <w:ind w:firstLine="0" w:firstLineChars="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本项目施工期产生废水为施工废水。</w:t>
            </w:r>
            <w:r>
              <w:rPr>
                <w:rFonts w:hint="default" w:ascii="Times New Roman" w:hAnsi="Times New Roman" w:cs="Times New Roman"/>
                <w:color w:val="auto"/>
                <w:highlight w:val="none"/>
                <w:lang w:val="en-US" w:eastAsia="zh-CN"/>
              </w:rPr>
              <w:t>本项目区内不设置办公用房，无生活污水产生。</w:t>
            </w:r>
            <w:r>
              <w:rPr>
                <w:rFonts w:hint="default" w:ascii="Times New Roman" w:hAnsi="Times New Roman" w:cs="Times New Roman"/>
                <w:color w:val="auto"/>
                <w:highlight w:val="none"/>
                <w:lang w:val="zh-CN"/>
              </w:rPr>
              <w:t>项目不设</w:t>
            </w:r>
            <w:r>
              <w:rPr>
                <w:rFonts w:hint="default" w:ascii="Times New Roman" w:hAnsi="Times New Roman" w:cs="Times New Roman"/>
                <w:color w:val="auto"/>
                <w:highlight w:val="none"/>
              </w:rPr>
              <w:t>预制场和拌合场</w:t>
            </w:r>
            <w:r>
              <w:rPr>
                <w:rFonts w:hint="default" w:ascii="Times New Roman" w:hAnsi="Times New Roman" w:cs="Times New Roman"/>
                <w:color w:val="auto"/>
                <w:highlight w:val="none"/>
                <w:lang w:val="zh-CN"/>
              </w:rPr>
              <w:t>，施工废水经沉淀池收集后用于厂区内洒水降尘，不外排。</w:t>
            </w:r>
          </w:p>
        </w:tc>
        <w:tc>
          <w:tcPr>
            <w:tcW w:w="446" w:type="pct"/>
            <w:gridSpan w:val="2"/>
            <w:vMerge w:val="continue"/>
            <w:tcBorders>
              <w:left w:val="single" w:color="auto" w:sz="2" w:space="0"/>
            </w:tcBorders>
            <w:vAlign w:val="center"/>
          </w:tcPr>
          <w:p w14:paraId="7759E149">
            <w:pPr>
              <w:pStyle w:val="44"/>
              <w:bidi w:val="0"/>
              <w:rPr>
                <w:rFonts w:hint="default" w:ascii="Times New Roman" w:hAnsi="Times New Roman" w:cs="Times New Roman"/>
                <w:color w:val="auto"/>
                <w:highlight w:val="none"/>
              </w:rPr>
            </w:pPr>
          </w:p>
        </w:tc>
      </w:tr>
      <w:tr w14:paraId="6449A8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1" w:hRule="atLeast"/>
        </w:trPr>
        <w:tc>
          <w:tcPr>
            <w:tcW w:w="378" w:type="pct"/>
            <w:vMerge w:val="continue"/>
            <w:vAlign w:val="center"/>
          </w:tcPr>
          <w:p w14:paraId="4E31566C">
            <w:pPr>
              <w:pStyle w:val="44"/>
              <w:bidi w:val="0"/>
              <w:rPr>
                <w:rFonts w:hint="default" w:ascii="Times New Roman" w:hAnsi="Times New Roman" w:cs="Times New Roman"/>
                <w:color w:val="auto"/>
                <w:highlight w:val="none"/>
              </w:rPr>
            </w:pPr>
          </w:p>
        </w:tc>
        <w:tc>
          <w:tcPr>
            <w:tcW w:w="240" w:type="pct"/>
            <w:vMerge w:val="continue"/>
            <w:vAlign w:val="center"/>
          </w:tcPr>
          <w:p w14:paraId="2543B09D">
            <w:pPr>
              <w:pStyle w:val="44"/>
              <w:bidi w:val="0"/>
              <w:rPr>
                <w:rFonts w:hint="default" w:ascii="Times New Roman" w:hAnsi="Times New Roman" w:cs="Times New Roman"/>
                <w:color w:val="auto"/>
                <w:highlight w:val="none"/>
              </w:rPr>
            </w:pPr>
          </w:p>
        </w:tc>
        <w:tc>
          <w:tcPr>
            <w:tcW w:w="1097" w:type="dxa"/>
            <w:gridSpan w:val="2"/>
            <w:vAlign w:val="center"/>
          </w:tcPr>
          <w:p w14:paraId="0737DAAD">
            <w:pPr>
              <w:pStyle w:val="44"/>
              <w:bidi w:val="0"/>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噪声</w:t>
            </w:r>
          </w:p>
        </w:tc>
        <w:tc>
          <w:tcPr>
            <w:tcW w:w="6184" w:type="dxa"/>
            <w:tcBorders>
              <w:right w:val="single" w:color="auto" w:sz="2" w:space="0"/>
            </w:tcBorders>
            <w:vAlign w:val="center"/>
          </w:tcPr>
          <w:p w14:paraId="2665C34C">
            <w:pPr>
              <w:pStyle w:val="44"/>
              <w:bidi w:val="0"/>
              <w:ind w:firstLine="0" w:firstLineChars="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本项目施工期产生施工机械噪声、运输噪声。合理安排施工时间（晚间22:00-6:00）严禁高噪声设备施工，尽量避免高噪声设备同时运行。优先选用低噪声设备，做好施工机械的维护和保养，减小施工</w:t>
            </w:r>
            <w:r>
              <w:rPr>
                <w:rFonts w:hint="default" w:ascii="Times New Roman" w:hAnsi="Times New Roman" w:cs="Times New Roman"/>
                <w:color w:val="auto"/>
                <w:highlight w:val="none"/>
                <w:lang w:val="zh-CN"/>
              </w:rPr>
              <w:t>机械</w:t>
            </w:r>
            <w:r>
              <w:rPr>
                <w:rFonts w:hint="default" w:ascii="Times New Roman" w:hAnsi="Times New Roman" w:cs="Times New Roman"/>
                <w:color w:val="auto"/>
                <w:highlight w:val="none"/>
              </w:rPr>
              <w:t>噪声影响。加强运输车辆管理，严禁超速超载，减小运输噪声影响。</w:t>
            </w:r>
          </w:p>
        </w:tc>
        <w:tc>
          <w:tcPr>
            <w:tcW w:w="446" w:type="pct"/>
            <w:gridSpan w:val="2"/>
            <w:vMerge w:val="continue"/>
            <w:tcBorders>
              <w:left w:val="single" w:color="auto" w:sz="2" w:space="0"/>
            </w:tcBorders>
            <w:vAlign w:val="center"/>
          </w:tcPr>
          <w:p w14:paraId="281FCB20">
            <w:pPr>
              <w:pStyle w:val="44"/>
              <w:bidi w:val="0"/>
              <w:rPr>
                <w:rFonts w:hint="default" w:ascii="Times New Roman" w:hAnsi="Times New Roman" w:cs="Times New Roman"/>
                <w:color w:val="auto"/>
                <w:highlight w:val="none"/>
              </w:rPr>
            </w:pPr>
          </w:p>
        </w:tc>
      </w:tr>
      <w:tr w14:paraId="70153D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1" w:hRule="atLeast"/>
        </w:trPr>
        <w:tc>
          <w:tcPr>
            <w:tcW w:w="378" w:type="pct"/>
            <w:vMerge w:val="continue"/>
            <w:vAlign w:val="center"/>
          </w:tcPr>
          <w:p w14:paraId="66C11617">
            <w:pPr>
              <w:pStyle w:val="44"/>
              <w:bidi w:val="0"/>
              <w:rPr>
                <w:rFonts w:hint="default" w:ascii="Times New Roman" w:hAnsi="Times New Roman" w:cs="Times New Roman"/>
                <w:color w:val="auto"/>
                <w:highlight w:val="none"/>
              </w:rPr>
            </w:pPr>
          </w:p>
        </w:tc>
        <w:tc>
          <w:tcPr>
            <w:tcW w:w="240" w:type="pct"/>
            <w:vMerge w:val="continue"/>
            <w:vAlign w:val="center"/>
          </w:tcPr>
          <w:p w14:paraId="291FD1E4">
            <w:pPr>
              <w:pStyle w:val="44"/>
              <w:bidi w:val="0"/>
              <w:rPr>
                <w:rFonts w:hint="default" w:ascii="Times New Roman" w:hAnsi="Times New Roman" w:cs="Times New Roman"/>
                <w:color w:val="auto"/>
                <w:highlight w:val="none"/>
              </w:rPr>
            </w:pPr>
          </w:p>
        </w:tc>
        <w:tc>
          <w:tcPr>
            <w:tcW w:w="1097" w:type="dxa"/>
            <w:gridSpan w:val="2"/>
            <w:vAlign w:val="center"/>
          </w:tcPr>
          <w:p w14:paraId="721B54D5">
            <w:pPr>
              <w:pStyle w:val="44"/>
              <w:bidi w:val="0"/>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固废</w:t>
            </w:r>
          </w:p>
        </w:tc>
        <w:tc>
          <w:tcPr>
            <w:tcW w:w="6184" w:type="dxa"/>
            <w:tcBorders>
              <w:right w:val="single" w:color="auto" w:sz="2" w:space="0"/>
            </w:tcBorders>
            <w:vAlign w:val="center"/>
          </w:tcPr>
          <w:p w14:paraId="11A31D6A">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本项目施工期产生固废为建筑垃圾、场地清理废物。</w:t>
            </w:r>
          </w:p>
          <w:p w14:paraId="6C09C507">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建筑材料下脚料、包装袋等建筑废弃物，外售废品回收部门；</w:t>
            </w:r>
          </w:p>
          <w:p w14:paraId="5FE3FAA1">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场地清理废物包含杂草、草木根茎、杂物等，集中收集后交由市政部门统一处理。</w:t>
            </w:r>
          </w:p>
          <w:p w14:paraId="0C1FEBE3">
            <w:pPr>
              <w:pStyle w:val="44"/>
              <w:bidi w:val="0"/>
              <w:ind w:firstLine="0" w:firstLineChars="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生活垃圾集中收集，交由市政部门统一处理。</w:t>
            </w:r>
          </w:p>
        </w:tc>
        <w:tc>
          <w:tcPr>
            <w:tcW w:w="446" w:type="pct"/>
            <w:gridSpan w:val="2"/>
            <w:vMerge w:val="continue"/>
            <w:tcBorders>
              <w:left w:val="single" w:color="auto" w:sz="2" w:space="0"/>
            </w:tcBorders>
            <w:vAlign w:val="center"/>
          </w:tcPr>
          <w:p w14:paraId="623AA28E">
            <w:pPr>
              <w:pStyle w:val="44"/>
              <w:bidi w:val="0"/>
              <w:rPr>
                <w:rFonts w:hint="default" w:ascii="Times New Roman" w:hAnsi="Times New Roman" w:cs="Times New Roman"/>
                <w:color w:val="auto"/>
                <w:highlight w:val="none"/>
              </w:rPr>
            </w:pPr>
          </w:p>
        </w:tc>
      </w:tr>
      <w:tr w14:paraId="1A0248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2" w:hRule="atLeast"/>
        </w:trPr>
        <w:tc>
          <w:tcPr>
            <w:tcW w:w="378" w:type="pct"/>
            <w:vMerge w:val="continue"/>
            <w:vAlign w:val="center"/>
          </w:tcPr>
          <w:p w14:paraId="28A968A9">
            <w:pPr>
              <w:pStyle w:val="44"/>
              <w:bidi w:val="0"/>
              <w:rPr>
                <w:rFonts w:hint="default" w:ascii="Times New Roman" w:hAnsi="Times New Roman" w:cs="Times New Roman"/>
                <w:color w:val="auto"/>
                <w:highlight w:val="none"/>
              </w:rPr>
            </w:pPr>
          </w:p>
        </w:tc>
        <w:tc>
          <w:tcPr>
            <w:tcW w:w="240" w:type="pct"/>
            <w:vMerge w:val="continue"/>
            <w:vAlign w:val="center"/>
          </w:tcPr>
          <w:p w14:paraId="6188BA03">
            <w:pPr>
              <w:pStyle w:val="44"/>
              <w:bidi w:val="0"/>
              <w:rPr>
                <w:rFonts w:hint="default" w:ascii="Times New Roman" w:hAnsi="Times New Roman" w:cs="Times New Roman"/>
                <w:color w:val="auto"/>
                <w:highlight w:val="none"/>
              </w:rPr>
            </w:pPr>
          </w:p>
        </w:tc>
        <w:tc>
          <w:tcPr>
            <w:tcW w:w="592" w:type="pct"/>
            <w:gridSpan w:val="2"/>
            <w:vAlign w:val="center"/>
          </w:tcPr>
          <w:p w14:paraId="0B90C684">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生态</w:t>
            </w:r>
          </w:p>
        </w:tc>
        <w:tc>
          <w:tcPr>
            <w:tcW w:w="3341" w:type="pct"/>
            <w:tcBorders>
              <w:right w:val="single" w:color="auto" w:sz="2" w:space="0"/>
            </w:tcBorders>
            <w:vAlign w:val="center"/>
          </w:tcPr>
          <w:p w14:paraId="52FA87E3">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本项目施工期会对自然景观、水土流失、土地利用功能等产生影响。严格控制施工范围，严禁捕杀野生动物，加强对施工人员的教育，土方开挖后及时回填，减少水土流失。</w:t>
            </w:r>
          </w:p>
        </w:tc>
        <w:tc>
          <w:tcPr>
            <w:tcW w:w="446" w:type="pct"/>
            <w:gridSpan w:val="2"/>
            <w:vMerge w:val="continue"/>
            <w:tcBorders>
              <w:left w:val="single" w:color="auto" w:sz="2" w:space="0"/>
            </w:tcBorders>
            <w:vAlign w:val="center"/>
          </w:tcPr>
          <w:p w14:paraId="6C9F1895">
            <w:pPr>
              <w:pStyle w:val="44"/>
              <w:bidi w:val="0"/>
              <w:rPr>
                <w:rFonts w:hint="default" w:ascii="Times New Roman" w:hAnsi="Times New Roman" w:cs="Times New Roman"/>
                <w:color w:val="auto"/>
                <w:highlight w:val="none"/>
              </w:rPr>
            </w:pPr>
          </w:p>
        </w:tc>
      </w:tr>
      <w:tr w14:paraId="4066DB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 w:hRule="atLeast"/>
        </w:trPr>
        <w:tc>
          <w:tcPr>
            <w:tcW w:w="378" w:type="pct"/>
            <w:vMerge w:val="continue"/>
            <w:vAlign w:val="center"/>
          </w:tcPr>
          <w:p w14:paraId="6A4A6D70">
            <w:pPr>
              <w:pStyle w:val="44"/>
              <w:bidi w:val="0"/>
              <w:rPr>
                <w:rFonts w:hint="default" w:ascii="Times New Roman" w:hAnsi="Times New Roman" w:cs="Times New Roman"/>
                <w:color w:val="auto"/>
                <w:highlight w:val="none"/>
              </w:rPr>
            </w:pPr>
          </w:p>
        </w:tc>
        <w:tc>
          <w:tcPr>
            <w:tcW w:w="240" w:type="pct"/>
            <w:tcBorders>
              <w:tl2br w:val="nil"/>
              <w:tr2bl w:val="nil"/>
            </w:tcBorders>
            <w:vAlign w:val="center"/>
          </w:tcPr>
          <w:p w14:paraId="6CF748E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生态恢复期</w:t>
            </w:r>
          </w:p>
        </w:tc>
        <w:tc>
          <w:tcPr>
            <w:tcW w:w="592" w:type="pct"/>
            <w:gridSpan w:val="2"/>
            <w:tcBorders>
              <w:tl2br w:val="nil"/>
              <w:tr2bl w:val="nil"/>
            </w:tcBorders>
            <w:vAlign w:val="center"/>
          </w:tcPr>
          <w:p w14:paraId="322CB72A">
            <w:pPr>
              <w:pStyle w:val="44"/>
              <w:bidi w:val="0"/>
              <w:jc w:val="cente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生态</w:t>
            </w:r>
          </w:p>
        </w:tc>
        <w:tc>
          <w:tcPr>
            <w:tcW w:w="3341" w:type="pct"/>
            <w:tcBorders>
              <w:tl2br w:val="nil"/>
              <w:tr2bl w:val="nil"/>
            </w:tcBorders>
            <w:vAlign w:val="center"/>
          </w:tcPr>
          <w:p w14:paraId="50FB8A5E">
            <w:pPr>
              <w:pStyle w:val="44"/>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生态恢复期为回填复垦结束后</w:t>
            </w:r>
            <w:r>
              <w:rPr>
                <w:rFonts w:hint="default" w:ascii="Times New Roman" w:hAnsi="Times New Roman" w:cs="Times New Roman"/>
                <w:color w:val="auto"/>
                <w:highlight w:val="none"/>
                <w:lang w:eastAsia="zh-CN"/>
              </w:rPr>
              <w:t>林地</w:t>
            </w:r>
            <w:r>
              <w:rPr>
                <w:rFonts w:hint="default" w:ascii="Times New Roman" w:hAnsi="Times New Roman" w:cs="Times New Roman"/>
                <w:color w:val="auto"/>
                <w:highlight w:val="none"/>
              </w:rPr>
              <w:t>的自然恢复期，此阶段应该加强农田管理，推广施肥新技术、新产品和新机具，全面提升科学施肥水平；实施合理施肥，在施肥过程中应根据土壤养分状况和作物需求量，科学配置基肥、追肥等肥料；合理利用有机养分资源，推进增施有机肥，通过耕层调控等技术，激发土壤养分有效性，替代化肥投入，减少因过度施肥造成的养分浪费和环境污染。</w:t>
            </w:r>
          </w:p>
        </w:tc>
        <w:tc>
          <w:tcPr>
            <w:tcW w:w="446" w:type="pct"/>
            <w:gridSpan w:val="2"/>
            <w:tcBorders>
              <w:tl2br w:val="nil"/>
              <w:tr2bl w:val="nil"/>
            </w:tcBorders>
            <w:vAlign w:val="center"/>
          </w:tcPr>
          <w:p w14:paraId="6B5E8C8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bl>
    <w:p w14:paraId="342D57CC">
      <w:pPr>
        <w:pStyle w:val="3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3.1.4矿山地质环境保护与修复方案</w:t>
      </w:r>
      <w:bookmarkEnd w:id="166"/>
    </w:p>
    <w:p w14:paraId="4A8DEEAC">
      <w:pPr>
        <w:pStyle w:val="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3.1.4.1鸡西市城子河区兴顺采石场(2#)环境保护与修复方案</w:t>
      </w:r>
    </w:p>
    <w:p w14:paraId="420A13DA">
      <w:pPr>
        <w:numPr>
          <w:ilvl w:val="0"/>
          <w:numId w:val="0"/>
        </w:numPr>
        <w:bidi w:val="0"/>
        <w:ind w:firstLine="480" w:firstLineChars="200"/>
        <w:rPr>
          <w:rFonts w:hint="default" w:ascii="Times New Roman" w:hAnsi="Times New Roman" w:cs="Times New Roman"/>
          <w:color w:val="auto"/>
          <w:highlight w:val="none"/>
        </w:rPr>
      </w:pPr>
      <w:r>
        <w:rPr>
          <w:rFonts w:hint="default" w:ascii="Times New Roman" w:hAnsi="Times New Roman" w:eastAsia="宋体" w:cs="Times New Roman"/>
          <w:color w:val="auto"/>
          <w:kern w:val="2"/>
          <w:sz w:val="24"/>
          <w:szCs w:val="24"/>
          <w:highlight w:val="none"/>
          <w:lang w:val="en-US" w:eastAsia="zh-CN" w:bidi="ar-SA"/>
        </w:rPr>
        <w:t>1、</w:t>
      </w:r>
      <w:r>
        <w:rPr>
          <w:rFonts w:hint="default" w:ascii="Times New Roman" w:hAnsi="Times New Roman" w:cs="Times New Roman"/>
          <w:color w:val="auto"/>
          <w:highlight w:val="none"/>
        </w:rPr>
        <w:t>清理工程</w:t>
      </w:r>
    </w:p>
    <w:p w14:paraId="17A86418">
      <w:pPr>
        <w:numPr>
          <w:ilvl w:val="0"/>
          <w:numId w:val="0"/>
        </w:numPr>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清理工程主要对项目区东侧平台区域内的房屋进行拆除，主要工程内容为机械推覆地上建筑物，清除地下建筑基础部分，破除地平，将推后的建筑残土用于场地平整工程，推覆后的建筑残土体积为1296.83 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p w14:paraId="3214B4A7">
      <w:pPr>
        <w:numPr>
          <w:ilvl w:val="0"/>
          <w:numId w:val="0"/>
        </w:numPr>
        <w:bidi w:val="0"/>
        <w:ind w:firstLine="480" w:firstLineChars="200"/>
        <w:rPr>
          <w:rFonts w:hint="default" w:ascii="Times New Roman" w:hAnsi="Times New Roman" w:cs="Times New Roman"/>
          <w:color w:val="auto"/>
          <w:highlight w:val="none"/>
        </w:rPr>
      </w:pPr>
      <w:r>
        <w:rPr>
          <w:rFonts w:hint="default" w:ascii="Times New Roman" w:hAnsi="Times New Roman" w:eastAsia="宋体" w:cs="Times New Roman"/>
          <w:color w:val="auto"/>
          <w:kern w:val="2"/>
          <w:sz w:val="24"/>
          <w:szCs w:val="24"/>
          <w:highlight w:val="none"/>
          <w:lang w:val="en-US" w:eastAsia="zh-CN" w:bidi="ar-SA"/>
        </w:rPr>
        <w:t>2、</w:t>
      </w:r>
      <w:r>
        <w:rPr>
          <w:rFonts w:hint="default" w:ascii="Times New Roman" w:hAnsi="Times New Roman" w:cs="Times New Roman"/>
          <w:color w:val="auto"/>
          <w:highlight w:val="none"/>
        </w:rPr>
        <w:t>场地平整工程</w:t>
      </w:r>
    </w:p>
    <w:p w14:paraId="7AB02A48">
      <w:pPr>
        <w:numPr>
          <w:ilvl w:val="0"/>
          <w:numId w:val="0"/>
        </w:numPr>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主要为对西侧采坑进行回填，对东侧的堆积平台适当削挖，按设计标高采取随坡就势、削高填低的平整原则进行场地平整。场地平整工程采用推土机推土，履带拖拉机压实，自卸载重汽车进行</w:t>
      </w:r>
    </w:p>
    <w:p w14:paraId="5352F3EE">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回填工程</w:t>
      </w:r>
    </w:p>
    <w:p w14:paraId="3064E155">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(1)回填区</w:t>
      </w:r>
    </w:p>
    <w:p w14:paraId="292534A0">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采场长约230m，宽约167m，</w:t>
      </w:r>
      <w:r>
        <w:rPr>
          <w:rFonts w:hint="default" w:ascii="Times New Roman" w:hAnsi="Times New Roman" w:cs="Times New Roman"/>
          <w:color w:val="auto"/>
          <w:highlight w:val="none"/>
          <w:lang w:val="en-US" w:eastAsia="zh-CN"/>
        </w:rPr>
        <w:t>采坑</w:t>
      </w:r>
      <w:r>
        <w:rPr>
          <w:rFonts w:hint="default" w:ascii="Times New Roman" w:hAnsi="Times New Roman" w:cs="Times New Roman"/>
          <w:color w:val="auto"/>
          <w:highlight w:val="none"/>
        </w:rPr>
        <w:t>平均深度36.7m，</w:t>
      </w:r>
      <w:r>
        <w:rPr>
          <w:rFonts w:hint="default" w:ascii="Times New Roman" w:hAnsi="Times New Roman" w:cs="Times New Roman"/>
          <w:color w:val="auto"/>
          <w:highlight w:val="none"/>
          <w:lang w:val="en-US" w:eastAsia="zh-CN"/>
        </w:rPr>
        <w:t>底部修复面积约为</w:t>
      </w:r>
      <w:r>
        <w:rPr>
          <w:rFonts w:hint="default" w:ascii="Times New Roman" w:hAnsi="Times New Roman" w:cs="Times New Roman"/>
          <w:color w:val="auto"/>
          <w:highlight w:val="none"/>
          <w:lang w:eastAsia="zh-CN"/>
        </w:rPr>
        <w:t>3801</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vertAlign w:val="baseline"/>
          <w:lang w:eastAsia="zh-CN"/>
        </w:rPr>
        <w:t>，</w:t>
      </w:r>
      <w:r>
        <w:rPr>
          <w:rFonts w:hint="default" w:ascii="Times New Roman" w:hAnsi="Times New Roman" w:cs="Times New Roman"/>
          <w:color w:val="auto"/>
          <w:highlight w:val="none"/>
        </w:rPr>
        <w:t>容积141.1万m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bookmarkStart w:id="167" w:name="OLE_LINK20"/>
      <w:r>
        <w:rPr>
          <w:rFonts w:hint="default" w:ascii="Times New Roman" w:hAnsi="Times New Roman" w:cs="Times New Roman"/>
          <w:color w:val="auto"/>
          <w:highlight w:val="none"/>
        </w:rPr>
        <w:t>煤矸石回填量138.6万m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，覆土量为30763m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bookmarkEnd w:id="167"/>
      <w:r>
        <w:rPr>
          <w:rFonts w:hint="default" w:ascii="Times New Roman" w:hAnsi="Times New Roman" w:cs="Times New Roman"/>
          <w:color w:val="auto"/>
          <w:highlight w:val="none"/>
        </w:rPr>
        <w:t>可满足一次性回填的要求。年工作天数</w:t>
      </w:r>
      <w:r>
        <w:rPr>
          <w:rFonts w:hint="default" w:ascii="Times New Roman" w:hAnsi="Times New Roman" w:cs="Times New Roman"/>
          <w:color w:val="auto"/>
          <w:highlight w:val="none"/>
          <w:lang w:val="en-US" w:eastAsia="zh-CN"/>
        </w:rPr>
        <w:t>210</w:t>
      </w:r>
      <w:r>
        <w:rPr>
          <w:rFonts w:hint="default" w:ascii="Times New Roman" w:hAnsi="Times New Roman" w:cs="Times New Roman"/>
          <w:color w:val="auto"/>
          <w:highlight w:val="none"/>
        </w:rPr>
        <w:t>天，</w:t>
      </w:r>
      <w:r>
        <w:rPr>
          <w:rFonts w:hint="default" w:ascii="Times New Roman" w:hAnsi="Times New Roman" w:cs="Times New Roman"/>
          <w:color w:val="auto"/>
          <w:highlight w:val="none"/>
          <w:lang w:val="en-US" w:eastAsia="zh-CN"/>
        </w:rPr>
        <w:t>一</w:t>
      </w:r>
      <w:r>
        <w:rPr>
          <w:rFonts w:hint="default" w:ascii="Times New Roman" w:hAnsi="Times New Roman" w:cs="Times New Roman"/>
          <w:color w:val="auto"/>
          <w:highlight w:val="none"/>
        </w:rPr>
        <w:t>班制。</w:t>
      </w:r>
    </w:p>
    <w:p w14:paraId="1360A130">
      <w:pPr>
        <w:bidi w:val="0"/>
        <w:rPr>
          <w:rFonts w:hint="default" w:ascii="Times New Roman" w:hAnsi="Times New Roman" w:eastAsia="宋体" w:cs="Times New Roman"/>
          <w:color w:val="auto"/>
          <w:highlight w:val="none"/>
          <w:vertAlign w:val="baseline"/>
          <w:lang w:val="en-US" w:eastAsia="zh-CN"/>
        </w:rPr>
      </w:pPr>
      <w:r>
        <w:rPr>
          <w:rFonts w:hint="default" w:ascii="Times New Roman" w:hAnsi="Times New Roman" w:cs="Times New Roman"/>
          <w:color w:val="auto"/>
          <w:highlight w:val="none"/>
        </w:rPr>
        <w:t>回填作业过程为：用推土机进行自上而下分层铺填推平后，由压实机反复压实，然后由洒水车洒水降尘；对废弃采坑进行分区块回填，将回填作业区划分几个区域，然后按顺序逐区进行单元回填作业，单元数量和大小视具体情况而定，标准单元由每天回填的灰量决定，每单元大小一般以一日一层作业量计算，</w:t>
      </w:r>
      <w:r>
        <w:rPr>
          <w:rFonts w:hint="default" w:ascii="Times New Roman" w:hAnsi="Times New Roman" w:cs="Times New Roman"/>
          <w:color w:val="auto"/>
          <w:highlight w:val="none"/>
          <w:lang w:val="en-US" w:eastAsia="zh-CN"/>
        </w:rPr>
        <w:t>本次2#项目区分为393个单元，</w:t>
      </w:r>
      <w:r>
        <w:rPr>
          <w:rFonts w:hint="default" w:ascii="Times New Roman" w:hAnsi="Times New Roman" w:cs="Times New Roman"/>
          <w:color w:val="auto"/>
          <w:highlight w:val="none"/>
        </w:rPr>
        <w:t>单元作业大小为1200m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vertAlign w:val="baseline"/>
          <w:lang w:eastAsia="zh-CN"/>
        </w:rPr>
        <w:t>，</w:t>
      </w:r>
      <w:r>
        <w:rPr>
          <w:rFonts w:hint="default" w:ascii="Times New Roman" w:hAnsi="Times New Roman" w:cs="Times New Roman"/>
          <w:color w:val="auto"/>
          <w:highlight w:val="none"/>
          <w:vertAlign w:val="baseline"/>
          <w:lang w:val="en-US" w:eastAsia="zh-CN"/>
        </w:rPr>
        <w:t>每日回填高度为3.2m。</w:t>
      </w:r>
    </w:p>
    <w:p w14:paraId="13483837">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(2)回填材料及成分调查</w:t>
      </w:r>
    </w:p>
    <w:p w14:paraId="018262D0">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调查主要包括一般工业固体废物调查（种类、性状、数量、范围、特征污染物等）、环境质量调查（土壤及地下水的环境本底、回填区、影响区域的调查）、健康风险评估等。</w:t>
      </w:r>
    </w:p>
    <w:p w14:paraId="50FE86F8">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①回填物来源及回填量</w:t>
      </w:r>
    </w:p>
    <w:p w14:paraId="0D40F814">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回填材料为</w:t>
      </w:r>
      <w:r>
        <w:rPr>
          <w:rFonts w:hint="default" w:ascii="Times New Roman" w:hAnsi="Times New Roman" w:cs="Times New Roman"/>
          <w:color w:val="auto"/>
          <w:highlight w:val="none"/>
          <w:lang w:val="en-US" w:eastAsia="zh-CN"/>
        </w:rPr>
        <w:t>41#场地</w:t>
      </w:r>
      <w:r>
        <w:rPr>
          <w:rFonts w:hint="default" w:ascii="Times New Roman" w:hAnsi="Times New Roman" w:cs="Times New Roman"/>
          <w:color w:val="auto"/>
          <w:highlight w:val="none"/>
        </w:rPr>
        <w:t>的</w:t>
      </w:r>
      <w:r>
        <w:rPr>
          <w:rFonts w:hint="default" w:ascii="Times New Roman" w:hAnsi="Times New Roman" w:cs="Times New Roman"/>
          <w:color w:val="auto"/>
          <w:highlight w:val="none"/>
          <w:lang w:val="en-US" w:eastAsia="zh-CN"/>
        </w:rPr>
        <w:t>遗留的</w:t>
      </w:r>
      <w:r>
        <w:rPr>
          <w:rFonts w:hint="default" w:ascii="Times New Roman" w:hAnsi="Times New Roman" w:cs="Times New Roman"/>
          <w:color w:val="auto"/>
          <w:highlight w:val="none"/>
        </w:rPr>
        <w:t>煤矸石，煤矸石回填总量为138.6万m</w:t>
      </w:r>
      <w:r>
        <w:rPr>
          <w:rFonts w:hint="default" w:ascii="Times New Roman" w:hAnsi="Times New Roman" w:cs="Times New Roman"/>
          <w:color w:val="auto"/>
          <w:highlight w:val="none"/>
          <w:vertAlign w:val="superscript"/>
        </w:rPr>
        <w:t>3</w:t>
      </w:r>
      <w:r>
        <w:rPr>
          <w:rFonts w:hint="eastAsia" w:cs="Times New Roman"/>
          <w:color w:val="auto"/>
          <w:highlight w:val="none"/>
          <w:vertAlign w:val="baseline"/>
          <w:lang w:eastAsia="zh-CN"/>
        </w:rPr>
        <w:t>，</w:t>
      </w:r>
      <w:r>
        <w:rPr>
          <w:rFonts w:hint="default" w:ascii="Times New Roman" w:hAnsi="Times New Roman" w:cs="Times New Roman"/>
          <w:color w:val="auto"/>
          <w:highlight w:val="none"/>
        </w:rPr>
        <w:t>回填期间</w:t>
      </w:r>
      <w:r>
        <w:rPr>
          <w:rFonts w:hint="default" w:ascii="Times New Roman" w:hAnsi="Times New Roman" w:cs="Times New Roman"/>
          <w:color w:val="auto"/>
          <w:highlight w:val="none"/>
          <w:lang w:val="en-US" w:eastAsia="zh-CN"/>
        </w:rPr>
        <w:t>能</w:t>
      </w:r>
      <w:r>
        <w:rPr>
          <w:rFonts w:hint="default" w:ascii="Times New Roman" w:hAnsi="Times New Roman" w:cs="Times New Roman"/>
          <w:color w:val="auto"/>
          <w:highlight w:val="none"/>
        </w:rPr>
        <w:t>够满足回填需求，本项目回填物不包含城市垃圾及其他废弃物残渣</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因此，本项目物料来源唯一、可行。</w:t>
      </w:r>
    </w:p>
    <w:p w14:paraId="10E7C3EF">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②回填物成分分析</w:t>
      </w:r>
    </w:p>
    <w:p w14:paraId="5A2711CD">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煤矸石一般呈浅灰色，随含碳量的增加，颜色变深；煤矸石的化学组成见下表。</w:t>
      </w:r>
    </w:p>
    <w:p w14:paraId="710B9B35">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表3-1-</w:t>
      </w:r>
      <w:r>
        <w:rPr>
          <w:rFonts w:hint="default" w:ascii="Times New Roman" w:hAnsi="Times New Roman" w:cs="Times New Roman"/>
          <w:color w:val="auto"/>
          <w:highlight w:val="none"/>
          <w:lang w:val="en-US" w:eastAsia="zh-CN"/>
        </w:rPr>
        <w:t xml:space="preserve">5 </w:t>
      </w:r>
      <w:r>
        <w:rPr>
          <w:rFonts w:hint="default" w:ascii="Times New Roman" w:hAnsi="Times New Roman" w:cs="Times New Roman"/>
          <w:color w:val="auto"/>
          <w:highlight w:val="none"/>
        </w:rPr>
        <w:t>煤矸石成分表</w:t>
      </w:r>
    </w:p>
    <w:tbl>
      <w:tblPr>
        <w:tblStyle w:val="20"/>
        <w:tblW w:w="9318" w:type="dxa"/>
        <w:tblInd w:w="-108"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194"/>
        <w:gridCol w:w="2058"/>
        <w:gridCol w:w="1435"/>
        <w:gridCol w:w="2631"/>
      </w:tblGrid>
      <w:tr w14:paraId="36DC02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617" w:hRule="atLeast"/>
        </w:trPr>
        <w:tc>
          <w:tcPr>
            <w:tcW w:w="3194" w:type="dxa"/>
            <w:tcBorders>
              <w:tl2br w:val="nil"/>
              <w:tr2bl w:val="nil"/>
            </w:tcBorders>
            <w:vAlign w:val="center"/>
          </w:tcPr>
          <w:p w14:paraId="69488EE1">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项目名称</w:t>
            </w:r>
          </w:p>
        </w:tc>
        <w:tc>
          <w:tcPr>
            <w:tcW w:w="2058" w:type="dxa"/>
            <w:tcBorders>
              <w:tl2br w:val="nil"/>
              <w:tr2bl w:val="nil"/>
            </w:tcBorders>
            <w:vAlign w:val="center"/>
          </w:tcPr>
          <w:p w14:paraId="717A0BD2">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符号</w:t>
            </w:r>
          </w:p>
        </w:tc>
        <w:tc>
          <w:tcPr>
            <w:tcW w:w="1435" w:type="dxa"/>
            <w:tcBorders>
              <w:tl2br w:val="nil"/>
              <w:tr2bl w:val="nil"/>
            </w:tcBorders>
            <w:vAlign w:val="center"/>
          </w:tcPr>
          <w:p w14:paraId="7BF54111">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单位</w:t>
            </w:r>
          </w:p>
        </w:tc>
        <w:tc>
          <w:tcPr>
            <w:tcW w:w="2631" w:type="dxa"/>
            <w:tcBorders>
              <w:tl2br w:val="nil"/>
              <w:tr2bl w:val="nil"/>
            </w:tcBorders>
            <w:vAlign w:val="center"/>
          </w:tcPr>
          <w:p w14:paraId="3D2FC054">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数值</w:t>
            </w:r>
          </w:p>
        </w:tc>
      </w:tr>
      <w:tr w14:paraId="09DD59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3194" w:type="dxa"/>
            <w:tcBorders>
              <w:tl2br w:val="nil"/>
              <w:tr2bl w:val="nil"/>
            </w:tcBorders>
            <w:vAlign w:val="center"/>
          </w:tcPr>
          <w:p w14:paraId="24AC6468">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二氧化硅</w:t>
            </w:r>
          </w:p>
        </w:tc>
        <w:tc>
          <w:tcPr>
            <w:tcW w:w="2058" w:type="dxa"/>
            <w:tcBorders>
              <w:tl2br w:val="nil"/>
              <w:tr2bl w:val="nil"/>
            </w:tcBorders>
            <w:vAlign w:val="center"/>
          </w:tcPr>
          <w:p w14:paraId="1B110402">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SiO</w:t>
            </w:r>
            <w:r>
              <w:rPr>
                <w:rFonts w:hint="default" w:ascii="Times New Roman" w:hAnsi="Times New Roman" w:cs="Times New Roman"/>
                <w:color w:val="auto"/>
                <w:highlight w:val="none"/>
                <w:vertAlign w:val="subscript"/>
              </w:rPr>
              <w:t>2</w:t>
            </w:r>
          </w:p>
        </w:tc>
        <w:tc>
          <w:tcPr>
            <w:tcW w:w="1435" w:type="dxa"/>
            <w:tcBorders>
              <w:tl2br w:val="nil"/>
              <w:tr2bl w:val="nil"/>
            </w:tcBorders>
            <w:vAlign w:val="center"/>
          </w:tcPr>
          <w:p w14:paraId="60FDB7DF">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2631" w:type="dxa"/>
            <w:tcBorders>
              <w:tl2br w:val="nil"/>
              <w:tr2bl w:val="nil"/>
            </w:tcBorders>
            <w:vAlign w:val="center"/>
          </w:tcPr>
          <w:p w14:paraId="48A67402">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49.02</w:t>
            </w:r>
          </w:p>
        </w:tc>
      </w:tr>
      <w:tr w14:paraId="381375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3194" w:type="dxa"/>
            <w:tcBorders>
              <w:tl2br w:val="nil"/>
              <w:tr2bl w:val="nil"/>
            </w:tcBorders>
            <w:vAlign w:val="center"/>
          </w:tcPr>
          <w:p w14:paraId="28AB76FE">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三氧化二铝</w:t>
            </w:r>
          </w:p>
        </w:tc>
        <w:tc>
          <w:tcPr>
            <w:tcW w:w="2058" w:type="dxa"/>
            <w:tcBorders>
              <w:tl2br w:val="nil"/>
              <w:tr2bl w:val="nil"/>
            </w:tcBorders>
            <w:vAlign w:val="center"/>
          </w:tcPr>
          <w:p w14:paraId="7C6272C3">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Al</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O</w:t>
            </w:r>
            <w:r>
              <w:rPr>
                <w:rFonts w:hint="default" w:ascii="Times New Roman" w:hAnsi="Times New Roman" w:cs="Times New Roman"/>
                <w:color w:val="auto"/>
                <w:highlight w:val="none"/>
                <w:vertAlign w:val="subscript"/>
              </w:rPr>
              <w:t>3</w:t>
            </w:r>
          </w:p>
        </w:tc>
        <w:tc>
          <w:tcPr>
            <w:tcW w:w="1435" w:type="dxa"/>
            <w:tcBorders>
              <w:tl2br w:val="nil"/>
              <w:tr2bl w:val="nil"/>
            </w:tcBorders>
            <w:vAlign w:val="center"/>
          </w:tcPr>
          <w:p w14:paraId="093C41C3">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2631" w:type="dxa"/>
            <w:tcBorders>
              <w:tl2br w:val="nil"/>
              <w:tr2bl w:val="nil"/>
            </w:tcBorders>
            <w:vAlign w:val="center"/>
          </w:tcPr>
          <w:p w14:paraId="77A67A5A">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28.80</w:t>
            </w:r>
          </w:p>
        </w:tc>
      </w:tr>
      <w:tr w14:paraId="2B9413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3194" w:type="dxa"/>
            <w:tcBorders>
              <w:tl2br w:val="nil"/>
              <w:tr2bl w:val="nil"/>
            </w:tcBorders>
            <w:vAlign w:val="center"/>
          </w:tcPr>
          <w:p w14:paraId="070B776F">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三氧化二铁</w:t>
            </w:r>
          </w:p>
        </w:tc>
        <w:tc>
          <w:tcPr>
            <w:tcW w:w="2058" w:type="dxa"/>
            <w:tcBorders>
              <w:tl2br w:val="nil"/>
              <w:tr2bl w:val="nil"/>
            </w:tcBorders>
            <w:vAlign w:val="center"/>
          </w:tcPr>
          <w:p w14:paraId="6B9373AC">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Fe</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O</w:t>
            </w:r>
            <w:r>
              <w:rPr>
                <w:rFonts w:hint="default" w:ascii="Times New Roman" w:hAnsi="Times New Roman" w:cs="Times New Roman"/>
                <w:color w:val="auto"/>
                <w:highlight w:val="none"/>
                <w:vertAlign w:val="subscript"/>
              </w:rPr>
              <w:t>3</w:t>
            </w:r>
          </w:p>
        </w:tc>
        <w:tc>
          <w:tcPr>
            <w:tcW w:w="1435" w:type="dxa"/>
            <w:tcBorders>
              <w:tl2br w:val="nil"/>
              <w:tr2bl w:val="nil"/>
            </w:tcBorders>
            <w:vAlign w:val="center"/>
          </w:tcPr>
          <w:p w14:paraId="690287AE">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2631" w:type="dxa"/>
            <w:tcBorders>
              <w:tl2br w:val="nil"/>
              <w:tr2bl w:val="nil"/>
            </w:tcBorders>
            <w:vAlign w:val="center"/>
          </w:tcPr>
          <w:p w14:paraId="588BD747">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4.72</w:t>
            </w:r>
          </w:p>
        </w:tc>
      </w:tr>
      <w:tr w14:paraId="476B9E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3194" w:type="dxa"/>
            <w:tcBorders>
              <w:tl2br w:val="nil"/>
              <w:tr2bl w:val="nil"/>
            </w:tcBorders>
            <w:vAlign w:val="center"/>
          </w:tcPr>
          <w:p w14:paraId="6DBDAD81">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氧化钙</w:t>
            </w:r>
          </w:p>
        </w:tc>
        <w:tc>
          <w:tcPr>
            <w:tcW w:w="2058" w:type="dxa"/>
            <w:tcBorders>
              <w:tl2br w:val="nil"/>
              <w:tr2bl w:val="nil"/>
            </w:tcBorders>
            <w:vAlign w:val="center"/>
          </w:tcPr>
          <w:p w14:paraId="6B50C179">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CaO</w:t>
            </w:r>
          </w:p>
        </w:tc>
        <w:tc>
          <w:tcPr>
            <w:tcW w:w="1435" w:type="dxa"/>
            <w:tcBorders>
              <w:tl2br w:val="nil"/>
              <w:tr2bl w:val="nil"/>
            </w:tcBorders>
            <w:vAlign w:val="center"/>
          </w:tcPr>
          <w:p w14:paraId="1A9B1E07">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2631" w:type="dxa"/>
            <w:tcBorders>
              <w:tl2br w:val="nil"/>
              <w:tr2bl w:val="nil"/>
            </w:tcBorders>
            <w:vAlign w:val="center"/>
          </w:tcPr>
          <w:p w14:paraId="64146B72">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5.34</w:t>
            </w:r>
          </w:p>
        </w:tc>
      </w:tr>
      <w:tr w14:paraId="35C7D7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3194" w:type="dxa"/>
            <w:tcBorders>
              <w:tl2br w:val="nil"/>
              <w:tr2bl w:val="nil"/>
            </w:tcBorders>
            <w:vAlign w:val="center"/>
          </w:tcPr>
          <w:p w14:paraId="0E9300C0">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氧化镁</w:t>
            </w:r>
          </w:p>
        </w:tc>
        <w:tc>
          <w:tcPr>
            <w:tcW w:w="2058" w:type="dxa"/>
            <w:tcBorders>
              <w:tl2br w:val="nil"/>
              <w:tr2bl w:val="nil"/>
            </w:tcBorders>
            <w:vAlign w:val="center"/>
          </w:tcPr>
          <w:p w14:paraId="602562C4">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MgO</w:t>
            </w:r>
          </w:p>
        </w:tc>
        <w:tc>
          <w:tcPr>
            <w:tcW w:w="1435" w:type="dxa"/>
            <w:tcBorders>
              <w:tl2br w:val="nil"/>
              <w:tr2bl w:val="nil"/>
            </w:tcBorders>
            <w:vAlign w:val="center"/>
          </w:tcPr>
          <w:p w14:paraId="358769B3">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2631" w:type="dxa"/>
            <w:tcBorders>
              <w:tl2br w:val="nil"/>
              <w:tr2bl w:val="nil"/>
            </w:tcBorders>
            <w:vAlign w:val="center"/>
          </w:tcPr>
          <w:p w14:paraId="0AFFCC2C">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1.21</w:t>
            </w:r>
          </w:p>
        </w:tc>
      </w:tr>
      <w:tr w14:paraId="2EE598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3194" w:type="dxa"/>
            <w:tcBorders>
              <w:tl2br w:val="nil"/>
              <w:tr2bl w:val="nil"/>
            </w:tcBorders>
            <w:vAlign w:val="center"/>
          </w:tcPr>
          <w:p w14:paraId="370DC899">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氧化钾</w:t>
            </w:r>
          </w:p>
        </w:tc>
        <w:tc>
          <w:tcPr>
            <w:tcW w:w="2058" w:type="dxa"/>
            <w:tcBorders>
              <w:tl2br w:val="nil"/>
              <w:tr2bl w:val="nil"/>
            </w:tcBorders>
            <w:vAlign w:val="center"/>
          </w:tcPr>
          <w:p w14:paraId="44A54FF1">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K</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O</w:t>
            </w:r>
          </w:p>
        </w:tc>
        <w:tc>
          <w:tcPr>
            <w:tcW w:w="1435" w:type="dxa"/>
            <w:tcBorders>
              <w:tl2br w:val="nil"/>
              <w:tr2bl w:val="nil"/>
            </w:tcBorders>
            <w:vAlign w:val="center"/>
          </w:tcPr>
          <w:p w14:paraId="5025EB04">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2631" w:type="dxa"/>
            <w:tcBorders>
              <w:tl2br w:val="nil"/>
              <w:tr2bl w:val="nil"/>
            </w:tcBorders>
            <w:vAlign w:val="center"/>
          </w:tcPr>
          <w:p w14:paraId="36B3C9E9">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1.73</w:t>
            </w:r>
          </w:p>
        </w:tc>
      </w:tr>
      <w:tr w14:paraId="025386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3194" w:type="dxa"/>
            <w:tcBorders>
              <w:tl2br w:val="nil"/>
              <w:tr2bl w:val="nil"/>
            </w:tcBorders>
            <w:vAlign w:val="center"/>
          </w:tcPr>
          <w:p w14:paraId="5BABDC4D">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氧化钠</w:t>
            </w:r>
          </w:p>
        </w:tc>
        <w:tc>
          <w:tcPr>
            <w:tcW w:w="2058" w:type="dxa"/>
            <w:tcBorders>
              <w:tl2br w:val="nil"/>
              <w:tr2bl w:val="nil"/>
            </w:tcBorders>
            <w:vAlign w:val="center"/>
          </w:tcPr>
          <w:p w14:paraId="702FE7EB">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Na</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O</w:t>
            </w:r>
          </w:p>
        </w:tc>
        <w:tc>
          <w:tcPr>
            <w:tcW w:w="1435" w:type="dxa"/>
            <w:tcBorders>
              <w:tl2br w:val="nil"/>
              <w:tr2bl w:val="nil"/>
            </w:tcBorders>
            <w:vAlign w:val="center"/>
          </w:tcPr>
          <w:p w14:paraId="4BFC1C76">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2631" w:type="dxa"/>
            <w:tcBorders>
              <w:tl2br w:val="nil"/>
              <w:tr2bl w:val="nil"/>
            </w:tcBorders>
            <w:vAlign w:val="center"/>
          </w:tcPr>
          <w:p w14:paraId="297E2037">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1.05</w:t>
            </w:r>
          </w:p>
        </w:tc>
      </w:tr>
      <w:tr w14:paraId="3ABA2D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3194" w:type="dxa"/>
            <w:tcBorders>
              <w:tl2br w:val="nil"/>
              <w:tr2bl w:val="nil"/>
            </w:tcBorders>
            <w:vAlign w:val="center"/>
          </w:tcPr>
          <w:p w14:paraId="6471CB3E">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三氧化硫</w:t>
            </w:r>
          </w:p>
        </w:tc>
        <w:tc>
          <w:tcPr>
            <w:tcW w:w="2058" w:type="dxa"/>
            <w:tcBorders>
              <w:tl2br w:val="nil"/>
              <w:tr2bl w:val="nil"/>
            </w:tcBorders>
            <w:vAlign w:val="center"/>
          </w:tcPr>
          <w:p w14:paraId="67072E48">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SO</w:t>
            </w:r>
            <w:r>
              <w:rPr>
                <w:rFonts w:hint="default" w:ascii="Times New Roman" w:hAnsi="Times New Roman" w:cs="Times New Roman"/>
                <w:color w:val="auto"/>
                <w:highlight w:val="none"/>
                <w:vertAlign w:val="subscript"/>
              </w:rPr>
              <w:t>3</w:t>
            </w:r>
          </w:p>
        </w:tc>
        <w:tc>
          <w:tcPr>
            <w:tcW w:w="1435" w:type="dxa"/>
            <w:tcBorders>
              <w:tl2br w:val="nil"/>
              <w:tr2bl w:val="nil"/>
            </w:tcBorders>
            <w:vAlign w:val="center"/>
          </w:tcPr>
          <w:p w14:paraId="7ACF2C39">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2631" w:type="dxa"/>
            <w:tcBorders>
              <w:tl2br w:val="nil"/>
              <w:tr2bl w:val="nil"/>
            </w:tcBorders>
            <w:vAlign w:val="center"/>
          </w:tcPr>
          <w:p w14:paraId="444CD8AD">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3.50</w:t>
            </w:r>
          </w:p>
        </w:tc>
      </w:tr>
      <w:tr w14:paraId="410FD2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3194" w:type="dxa"/>
            <w:tcBorders>
              <w:tl2br w:val="nil"/>
              <w:tr2bl w:val="nil"/>
            </w:tcBorders>
            <w:vAlign w:val="center"/>
          </w:tcPr>
          <w:p w14:paraId="6F409735">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五氧化二磷</w:t>
            </w:r>
          </w:p>
        </w:tc>
        <w:tc>
          <w:tcPr>
            <w:tcW w:w="2058" w:type="dxa"/>
            <w:tcBorders>
              <w:tl2br w:val="nil"/>
              <w:tr2bl w:val="nil"/>
            </w:tcBorders>
            <w:vAlign w:val="center"/>
          </w:tcPr>
          <w:p w14:paraId="187D3ABA">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P</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O</w:t>
            </w:r>
            <w:r>
              <w:rPr>
                <w:rFonts w:hint="default" w:ascii="Times New Roman" w:hAnsi="Times New Roman" w:cs="Times New Roman"/>
                <w:color w:val="auto"/>
                <w:highlight w:val="none"/>
                <w:vertAlign w:val="subscript"/>
              </w:rPr>
              <w:t>5</w:t>
            </w:r>
          </w:p>
        </w:tc>
        <w:tc>
          <w:tcPr>
            <w:tcW w:w="1435" w:type="dxa"/>
            <w:tcBorders>
              <w:tl2br w:val="nil"/>
              <w:tr2bl w:val="nil"/>
            </w:tcBorders>
            <w:vAlign w:val="center"/>
          </w:tcPr>
          <w:p w14:paraId="4A40118B">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2631" w:type="dxa"/>
            <w:tcBorders>
              <w:tl2br w:val="nil"/>
              <w:tr2bl w:val="nil"/>
            </w:tcBorders>
            <w:vAlign w:val="center"/>
          </w:tcPr>
          <w:p w14:paraId="6459DFF0">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110</w:t>
            </w:r>
          </w:p>
        </w:tc>
      </w:tr>
      <w:tr w14:paraId="283B89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3194" w:type="dxa"/>
            <w:tcBorders>
              <w:tl2br w:val="nil"/>
              <w:tr2bl w:val="nil"/>
            </w:tcBorders>
            <w:vAlign w:val="center"/>
          </w:tcPr>
          <w:p w14:paraId="063D8E94">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其它</w:t>
            </w:r>
          </w:p>
        </w:tc>
        <w:tc>
          <w:tcPr>
            <w:tcW w:w="2058" w:type="dxa"/>
            <w:tcBorders>
              <w:tl2br w:val="nil"/>
              <w:tr2bl w:val="nil"/>
            </w:tcBorders>
            <w:vAlign w:val="center"/>
          </w:tcPr>
          <w:p w14:paraId="56DB5B65">
            <w:pPr>
              <w:pStyle w:val="44"/>
              <w:bidi w:val="0"/>
              <w:jc w:val="center"/>
              <w:rPr>
                <w:rFonts w:hint="default" w:ascii="Times New Roman" w:hAnsi="Times New Roman" w:cs="Times New Roman"/>
                <w:color w:val="auto"/>
                <w:highlight w:val="none"/>
              </w:rPr>
            </w:pPr>
          </w:p>
        </w:tc>
        <w:tc>
          <w:tcPr>
            <w:tcW w:w="1435" w:type="dxa"/>
            <w:tcBorders>
              <w:tl2br w:val="nil"/>
              <w:tr2bl w:val="nil"/>
            </w:tcBorders>
            <w:vAlign w:val="center"/>
          </w:tcPr>
          <w:p w14:paraId="322D6964">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2631" w:type="dxa"/>
            <w:tcBorders>
              <w:tl2br w:val="nil"/>
              <w:tr2bl w:val="nil"/>
            </w:tcBorders>
            <w:vAlign w:val="center"/>
          </w:tcPr>
          <w:p w14:paraId="3DDEE13F">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3.53</w:t>
            </w:r>
          </w:p>
        </w:tc>
      </w:tr>
    </w:tbl>
    <w:p w14:paraId="49AEFB14">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煤矸石的矿物组成主要有硅铝质的玻璃体和莫来石、磁铁矿、石英等代表的结晶体。玻璃体经过高温煅烧，储藏了较高的化学内能，是煤矸石活性的主要来源；结晶体的活性相比要小。</w:t>
      </w:r>
    </w:p>
    <w:p w14:paraId="2F870C6E">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③回填物特性鉴别</w:t>
      </w:r>
    </w:p>
    <w:p w14:paraId="640026CE">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委托青岛斯坦德衡立环境技术研究院有限公司对填埋的煤矸石进行检测，</w:t>
      </w:r>
      <w:r>
        <w:rPr>
          <w:rFonts w:hint="default" w:ascii="Times New Roman" w:hAnsi="Times New Roman" w:cs="Times New Roman"/>
          <w:color w:val="auto"/>
          <w:highlight w:val="none"/>
        </w:rPr>
        <w:t>煤矸石浸出液检测结果（见附件</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w:t>
      </w:r>
    </w:p>
    <w:p w14:paraId="0AF510B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表3-1-</w:t>
      </w:r>
      <w:r>
        <w:rPr>
          <w:rFonts w:hint="default" w:ascii="Times New Roman" w:hAnsi="Times New Roman" w:cs="Times New Roman"/>
          <w:color w:val="auto"/>
          <w:highlight w:val="none"/>
          <w:lang w:val="en-US" w:eastAsia="zh-CN"/>
        </w:rPr>
        <w:t xml:space="preserve">6  </w:t>
      </w:r>
      <w:r>
        <w:rPr>
          <w:rFonts w:hint="default" w:ascii="Times New Roman" w:hAnsi="Times New Roman" w:cs="Times New Roman"/>
          <w:color w:val="auto"/>
          <w:highlight w:val="none"/>
        </w:rPr>
        <w:t>煤矸石浸出液检测结果</w:t>
      </w:r>
    </w:p>
    <w:tbl>
      <w:tblPr>
        <w:tblStyle w:val="20"/>
        <w:tblW w:w="8899" w:type="dxa"/>
        <w:tblInd w:w="93"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2977"/>
        <w:gridCol w:w="2030"/>
        <w:gridCol w:w="3892"/>
      </w:tblGrid>
      <w:tr w14:paraId="4F83844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56" w:hRule="atLeast"/>
        </w:trPr>
        <w:tc>
          <w:tcPr>
            <w:tcW w:w="2977" w:type="dxa"/>
            <w:tcBorders>
              <w:tl2br w:val="nil"/>
              <w:tr2bl w:val="nil"/>
            </w:tcBorders>
            <w:shd w:val="clear" w:color="auto" w:fill="auto"/>
            <w:vAlign w:val="center"/>
          </w:tcPr>
          <w:p w14:paraId="0A5F0CDF">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bookmarkStart w:id="168" w:name="OLE_LINK25"/>
            <w:r>
              <w:rPr>
                <w:rFonts w:hint="default" w:ascii="Times New Roman" w:hAnsi="Times New Roman" w:cs="Times New Roman"/>
                <w:color w:val="auto"/>
                <w:highlight w:val="none"/>
                <w:lang w:val="en-US" w:eastAsia="zh-CN"/>
              </w:rPr>
              <w:t>检测项目</w:t>
            </w:r>
          </w:p>
        </w:tc>
        <w:tc>
          <w:tcPr>
            <w:tcW w:w="2030" w:type="dxa"/>
            <w:tcBorders>
              <w:tl2br w:val="nil"/>
              <w:tr2bl w:val="nil"/>
            </w:tcBorders>
            <w:shd w:val="clear" w:color="auto" w:fill="auto"/>
            <w:vAlign w:val="center"/>
          </w:tcPr>
          <w:p w14:paraId="4908E9D2">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单位</w:t>
            </w:r>
          </w:p>
        </w:tc>
        <w:tc>
          <w:tcPr>
            <w:tcW w:w="3892" w:type="dxa"/>
            <w:tcBorders>
              <w:tl2br w:val="nil"/>
              <w:tr2bl w:val="nil"/>
            </w:tcBorders>
            <w:shd w:val="clear" w:color="auto" w:fill="auto"/>
            <w:vAlign w:val="center"/>
          </w:tcPr>
          <w:p w14:paraId="569B1DB7">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检测结果</w:t>
            </w:r>
          </w:p>
        </w:tc>
      </w:tr>
      <w:tr w14:paraId="1FD9842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51" w:hRule="atLeast"/>
        </w:trPr>
        <w:tc>
          <w:tcPr>
            <w:tcW w:w="2977" w:type="dxa"/>
            <w:tcBorders>
              <w:tl2br w:val="nil"/>
              <w:tr2bl w:val="nil"/>
            </w:tcBorders>
            <w:shd w:val="clear" w:color="auto" w:fill="auto"/>
            <w:vAlign w:val="center"/>
          </w:tcPr>
          <w:p w14:paraId="6464ED50">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总汞</w:t>
            </w:r>
          </w:p>
        </w:tc>
        <w:tc>
          <w:tcPr>
            <w:tcW w:w="0" w:type="auto"/>
            <w:tcBorders>
              <w:tl2br w:val="nil"/>
              <w:tr2bl w:val="nil"/>
            </w:tcBorders>
            <w:shd w:val="clear" w:color="auto" w:fill="auto"/>
            <w:noWrap/>
            <w:vAlign w:val="center"/>
          </w:tcPr>
          <w:p w14:paraId="480F36BC">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μg/L</w:t>
            </w:r>
          </w:p>
        </w:tc>
        <w:tc>
          <w:tcPr>
            <w:tcW w:w="3892" w:type="dxa"/>
            <w:tcBorders>
              <w:tl2br w:val="nil"/>
              <w:tr2bl w:val="nil"/>
            </w:tcBorders>
            <w:shd w:val="clear" w:color="auto" w:fill="auto"/>
            <w:noWrap/>
            <w:vAlign w:val="center"/>
          </w:tcPr>
          <w:p w14:paraId="696BC788">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776E00D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51" w:hRule="atLeast"/>
        </w:trPr>
        <w:tc>
          <w:tcPr>
            <w:tcW w:w="2977" w:type="dxa"/>
            <w:tcBorders>
              <w:tl2br w:val="nil"/>
              <w:tr2bl w:val="nil"/>
            </w:tcBorders>
            <w:shd w:val="clear" w:color="auto" w:fill="auto"/>
            <w:vAlign w:val="center"/>
          </w:tcPr>
          <w:p w14:paraId="67CCE85E">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烷基汞（甲基汞）</w:t>
            </w:r>
          </w:p>
        </w:tc>
        <w:tc>
          <w:tcPr>
            <w:tcW w:w="0" w:type="auto"/>
            <w:tcBorders>
              <w:tl2br w:val="nil"/>
              <w:tr2bl w:val="nil"/>
            </w:tcBorders>
            <w:shd w:val="clear" w:color="auto" w:fill="auto"/>
            <w:noWrap/>
            <w:vAlign w:val="center"/>
          </w:tcPr>
          <w:p w14:paraId="4D592060">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ng/L</w:t>
            </w:r>
          </w:p>
        </w:tc>
        <w:tc>
          <w:tcPr>
            <w:tcW w:w="3892" w:type="dxa"/>
            <w:tcBorders>
              <w:tl2br w:val="nil"/>
              <w:tr2bl w:val="nil"/>
            </w:tcBorders>
            <w:shd w:val="clear" w:color="auto" w:fill="auto"/>
            <w:noWrap/>
            <w:vAlign w:val="center"/>
          </w:tcPr>
          <w:p w14:paraId="5D899CFF">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347A868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51" w:hRule="atLeast"/>
        </w:trPr>
        <w:tc>
          <w:tcPr>
            <w:tcW w:w="2977" w:type="dxa"/>
            <w:tcBorders>
              <w:tl2br w:val="nil"/>
              <w:tr2bl w:val="nil"/>
            </w:tcBorders>
            <w:shd w:val="clear" w:color="auto" w:fill="auto"/>
            <w:vAlign w:val="center"/>
          </w:tcPr>
          <w:p w14:paraId="30562292">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烷基汞（乙基汞）</w:t>
            </w:r>
          </w:p>
        </w:tc>
        <w:tc>
          <w:tcPr>
            <w:tcW w:w="0" w:type="auto"/>
            <w:tcBorders>
              <w:tl2br w:val="nil"/>
              <w:tr2bl w:val="nil"/>
            </w:tcBorders>
            <w:shd w:val="clear" w:color="auto" w:fill="auto"/>
            <w:noWrap/>
            <w:vAlign w:val="center"/>
          </w:tcPr>
          <w:p w14:paraId="78119FD4">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ng/L</w:t>
            </w:r>
          </w:p>
        </w:tc>
        <w:tc>
          <w:tcPr>
            <w:tcW w:w="3892" w:type="dxa"/>
            <w:tcBorders>
              <w:tl2br w:val="nil"/>
              <w:tr2bl w:val="nil"/>
            </w:tcBorders>
            <w:shd w:val="clear" w:color="auto" w:fill="auto"/>
            <w:noWrap/>
            <w:vAlign w:val="center"/>
          </w:tcPr>
          <w:p w14:paraId="32566A55">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7F90B04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51" w:hRule="atLeast"/>
        </w:trPr>
        <w:tc>
          <w:tcPr>
            <w:tcW w:w="2977" w:type="dxa"/>
            <w:tcBorders>
              <w:tl2br w:val="nil"/>
              <w:tr2bl w:val="nil"/>
            </w:tcBorders>
            <w:shd w:val="clear" w:color="auto" w:fill="auto"/>
            <w:vAlign w:val="center"/>
          </w:tcPr>
          <w:p w14:paraId="4305C09F">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总镉</w:t>
            </w:r>
          </w:p>
        </w:tc>
        <w:tc>
          <w:tcPr>
            <w:tcW w:w="0" w:type="auto"/>
            <w:tcBorders>
              <w:tl2br w:val="nil"/>
              <w:tr2bl w:val="nil"/>
            </w:tcBorders>
            <w:shd w:val="clear" w:color="auto" w:fill="auto"/>
            <w:noWrap/>
            <w:vAlign w:val="center"/>
          </w:tcPr>
          <w:p w14:paraId="70533F8D">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3892" w:type="dxa"/>
            <w:tcBorders>
              <w:tl2br w:val="nil"/>
              <w:tr2bl w:val="nil"/>
            </w:tcBorders>
            <w:shd w:val="clear" w:color="auto" w:fill="auto"/>
            <w:noWrap/>
            <w:vAlign w:val="center"/>
          </w:tcPr>
          <w:p w14:paraId="14ACFA9C">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68EA2D3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51" w:hRule="atLeast"/>
        </w:trPr>
        <w:tc>
          <w:tcPr>
            <w:tcW w:w="2977" w:type="dxa"/>
            <w:tcBorders>
              <w:tl2br w:val="nil"/>
              <w:tr2bl w:val="nil"/>
            </w:tcBorders>
            <w:shd w:val="clear" w:color="auto" w:fill="auto"/>
            <w:vAlign w:val="center"/>
          </w:tcPr>
          <w:p w14:paraId="553A164B">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总铬</w:t>
            </w:r>
          </w:p>
        </w:tc>
        <w:tc>
          <w:tcPr>
            <w:tcW w:w="0" w:type="auto"/>
            <w:tcBorders>
              <w:tl2br w:val="nil"/>
              <w:tr2bl w:val="nil"/>
            </w:tcBorders>
            <w:shd w:val="clear" w:color="auto" w:fill="auto"/>
            <w:noWrap/>
            <w:vAlign w:val="center"/>
          </w:tcPr>
          <w:p w14:paraId="0DFCE635">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3892" w:type="dxa"/>
            <w:tcBorders>
              <w:tl2br w:val="nil"/>
              <w:tr2bl w:val="nil"/>
            </w:tcBorders>
            <w:shd w:val="clear" w:color="auto" w:fill="auto"/>
            <w:noWrap/>
            <w:vAlign w:val="center"/>
          </w:tcPr>
          <w:p w14:paraId="0E976406">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5CFD804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51" w:hRule="atLeast"/>
        </w:trPr>
        <w:tc>
          <w:tcPr>
            <w:tcW w:w="2977" w:type="dxa"/>
            <w:tcBorders>
              <w:tl2br w:val="nil"/>
              <w:tr2bl w:val="nil"/>
            </w:tcBorders>
            <w:shd w:val="clear" w:color="auto" w:fill="auto"/>
            <w:vAlign w:val="center"/>
          </w:tcPr>
          <w:p w14:paraId="605C86BA">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六价铬</w:t>
            </w:r>
          </w:p>
        </w:tc>
        <w:tc>
          <w:tcPr>
            <w:tcW w:w="0" w:type="auto"/>
            <w:tcBorders>
              <w:tl2br w:val="nil"/>
              <w:tr2bl w:val="nil"/>
            </w:tcBorders>
            <w:shd w:val="clear" w:color="auto" w:fill="auto"/>
            <w:noWrap/>
            <w:vAlign w:val="center"/>
          </w:tcPr>
          <w:p w14:paraId="7A6C9A50">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3892" w:type="dxa"/>
            <w:tcBorders>
              <w:tl2br w:val="nil"/>
              <w:tr2bl w:val="nil"/>
            </w:tcBorders>
            <w:shd w:val="clear" w:color="auto" w:fill="auto"/>
            <w:noWrap/>
            <w:vAlign w:val="center"/>
          </w:tcPr>
          <w:p w14:paraId="41F222D8">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0.028</w:t>
            </w:r>
          </w:p>
        </w:tc>
      </w:tr>
      <w:tr w14:paraId="4EFCB37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51" w:hRule="atLeast"/>
        </w:trPr>
        <w:tc>
          <w:tcPr>
            <w:tcW w:w="2977" w:type="dxa"/>
            <w:tcBorders>
              <w:tl2br w:val="nil"/>
              <w:tr2bl w:val="nil"/>
            </w:tcBorders>
            <w:shd w:val="clear" w:color="auto" w:fill="auto"/>
            <w:vAlign w:val="center"/>
          </w:tcPr>
          <w:p w14:paraId="3D5E7D87">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总砷</w:t>
            </w:r>
          </w:p>
        </w:tc>
        <w:tc>
          <w:tcPr>
            <w:tcW w:w="0" w:type="auto"/>
            <w:tcBorders>
              <w:tl2br w:val="nil"/>
              <w:tr2bl w:val="nil"/>
            </w:tcBorders>
            <w:shd w:val="clear" w:color="auto" w:fill="auto"/>
            <w:noWrap/>
            <w:vAlign w:val="center"/>
          </w:tcPr>
          <w:p w14:paraId="3D4717FA">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μg/L</w:t>
            </w:r>
          </w:p>
        </w:tc>
        <w:tc>
          <w:tcPr>
            <w:tcW w:w="3892" w:type="dxa"/>
            <w:tcBorders>
              <w:tl2br w:val="nil"/>
              <w:tr2bl w:val="nil"/>
            </w:tcBorders>
            <w:shd w:val="clear" w:color="auto" w:fill="auto"/>
            <w:noWrap/>
            <w:vAlign w:val="center"/>
          </w:tcPr>
          <w:p w14:paraId="4C5B4DDF">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0.4</w:t>
            </w:r>
          </w:p>
        </w:tc>
      </w:tr>
      <w:tr w14:paraId="1383072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51" w:hRule="atLeast"/>
        </w:trPr>
        <w:tc>
          <w:tcPr>
            <w:tcW w:w="2977" w:type="dxa"/>
            <w:tcBorders>
              <w:tl2br w:val="nil"/>
              <w:tr2bl w:val="nil"/>
            </w:tcBorders>
            <w:shd w:val="clear" w:color="auto" w:fill="auto"/>
            <w:vAlign w:val="center"/>
          </w:tcPr>
          <w:p w14:paraId="1656AFA9">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总铅</w:t>
            </w:r>
          </w:p>
        </w:tc>
        <w:tc>
          <w:tcPr>
            <w:tcW w:w="0" w:type="auto"/>
            <w:tcBorders>
              <w:tl2br w:val="nil"/>
              <w:tr2bl w:val="nil"/>
            </w:tcBorders>
            <w:shd w:val="clear" w:color="auto" w:fill="auto"/>
            <w:noWrap/>
            <w:vAlign w:val="center"/>
          </w:tcPr>
          <w:p w14:paraId="2FC9719A">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3892" w:type="dxa"/>
            <w:tcBorders>
              <w:tl2br w:val="nil"/>
              <w:tr2bl w:val="nil"/>
            </w:tcBorders>
            <w:shd w:val="clear" w:color="auto" w:fill="auto"/>
            <w:noWrap/>
            <w:vAlign w:val="center"/>
          </w:tcPr>
          <w:p w14:paraId="52095AAB">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37C724F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51" w:hRule="atLeast"/>
        </w:trPr>
        <w:tc>
          <w:tcPr>
            <w:tcW w:w="2977" w:type="dxa"/>
            <w:tcBorders>
              <w:tl2br w:val="nil"/>
              <w:tr2bl w:val="nil"/>
            </w:tcBorders>
            <w:shd w:val="clear" w:color="auto" w:fill="auto"/>
            <w:vAlign w:val="center"/>
          </w:tcPr>
          <w:p w14:paraId="30256DC7">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总镍</w:t>
            </w:r>
          </w:p>
        </w:tc>
        <w:tc>
          <w:tcPr>
            <w:tcW w:w="0" w:type="auto"/>
            <w:tcBorders>
              <w:tl2br w:val="nil"/>
              <w:tr2bl w:val="nil"/>
            </w:tcBorders>
            <w:shd w:val="clear" w:color="auto" w:fill="auto"/>
            <w:noWrap/>
            <w:vAlign w:val="center"/>
          </w:tcPr>
          <w:p w14:paraId="6360E3E7">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3892" w:type="dxa"/>
            <w:tcBorders>
              <w:tl2br w:val="nil"/>
              <w:tr2bl w:val="nil"/>
            </w:tcBorders>
            <w:shd w:val="clear" w:color="auto" w:fill="auto"/>
            <w:noWrap/>
            <w:vAlign w:val="center"/>
          </w:tcPr>
          <w:p w14:paraId="2D8F8E4E">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1F63DF6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51" w:hRule="atLeast"/>
        </w:trPr>
        <w:tc>
          <w:tcPr>
            <w:tcW w:w="2977" w:type="dxa"/>
            <w:tcBorders>
              <w:tl2br w:val="nil"/>
              <w:tr2bl w:val="nil"/>
            </w:tcBorders>
            <w:shd w:val="clear" w:color="auto" w:fill="auto"/>
            <w:vAlign w:val="center"/>
          </w:tcPr>
          <w:p w14:paraId="0C37985D">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苯并(a)芘</w:t>
            </w:r>
          </w:p>
        </w:tc>
        <w:tc>
          <w:tcPr>
            <w:tcW w:w="0" w:type="auto"/>
            <w:tcBorders>
              <w:tl2br w:val="nil"/>
              <w:tr2bl w:val="nil"/>
            </w:tcBorders>
            <w:shd w:val="clear" w:color="auto" w:fill="auto"/>
            <w:noWrap/>
            <w:vAlign w:val="center"/>
          </w:tcPr>
          <w:p w14:paraId="4EDF6BC9">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μg/L</w:t>
            </w:r>
          </w:p>
        </w:tc>
        <w:tc>
          <w:tcPr>
            <w:tcW w:w="3892" w:type="dxa"/>
            <w:tcBorders>
              <w:tl2br w:val="nil"/>
              <w:tr2bl w:val="nil"/>
            </w:tcBorders>
            <w:shd w:val="clear" w:color="auto" w:fill="auto"/>
            <w:noWrap/>
            <w:vAlign w:val="center"/>
          </w:tcPr>
          <w:p w14:paraId="6A976A37">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7FD5BD7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51" w:hRule="atLeast"/>
        </w:trPr>
        <w:tc>
          <w:tcPr>
            <w:tcW w:w="2977" w:type="dxa"/>
            <w:tcBorders>
              <w:tl2br w:val="nil"/>
              <w:tr2bl w:val="nil"/>
            </w:tcBorders>
            <w:shd w:val="clear" w:color="auto" w:fill="auto"/>
            <w:vAlign w:val="center"/>
          </w:tcPr>
          <w:p w14:paraId="60499025">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总铍</w:t>
            </w:r>
          </w:p>
        </w:tc>
        <w:tc>
          <w:tcPr>
            <w:tcW w:w="0" w:type="auto"/>
            <w:tcBorders>
              <w:tl2br w:val="nil"/>
              <w:tr2bl w:val="nil"/>
            </w:tcBorders>
            <w:shd w:val="clear" w:color="auto" w:fill="auto"/>
            <w:noWrap/>
            <w:vAlign w:val="center"/>
          </w:tcPr>
          <w:p w14:paraId="6B745319">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μg/L</w:t>
            </w:r>
          </w:p>
        </w:tc>
        <w:tc>
          <w:tcPr>
            <w:tcW w:w="3892" w:type="dxa"/>
            <w:tcBorders>
              <w:tl2br w:val="nil"/>
              <w:tr2bl w:val="nil"/>
            </w:tcBorders>
            <w:shd w:val="clear" w:color="auto" w:fill="auto"/>
            <w:noWrap/>
            <w:vAlign w:val="center"/>
          </w:tcPr>
          <w:p w14:paraId="33D070E7">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0.08</w:t>
            </w:r>
          </w:p>
        </w:tc>
      </w:tr>
      <w:tr w14:paraId="1BB88E2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51" w:hRule="atLeast"/>
        </w:trPr>
        <w:tc>
          <w:tcPr>
            <w:tcW w:w="2977" w:type="dxa"/>
            <w:tcBorders>
              <w:tl2br w:val="nil"/>
              <w:tr2bl w:val="nil"/>
            </w:tcBorders>
            <w:shd w:val="clear" w:color="auto" w:fill="auto"/>
            <w:vAlign w:val="center"/>
          </w:tcPr>
          <w:p w14:paraId="243AF66A">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总银</w:t>
            </w:r>
          </w:p>
        </w:tc>
        <w:tc>
          <w:tcPr>
            <w:tcW w:w="0" w:type="auto"/>
            <w:tcBorders>
              <w:tl2br w:val="nil"/>
              <w:tr2bl w:val="nil"/>
            </w:tcBorders>
            <w:shd w:val="clear" w:color="auto" w:fill="auto"/>
            <w:noWrap/>
            <w:vAlign w:val="center"/>
          </w:tcPr>
          <w:p w14:paraId="36743BCF">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3892" w:type="dxa"/>
            <w:tcBorders>
              <w:tl2br w:val="nil"/>
              <w:tr2bl w:val="nil"/>
            </w:tcBorders>
            <w:shd w:val="clear" w:color="auto" w:fill="auto"/>
            <w:noWrap/>
            <w:vAlign w:val="center"/>
          </w:tcPr>
          <w:p w14:paraId="361AF812">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4272A56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51" w:hRule="atLeast"/>
        </w:trPr>
        <w:tc>
          <w:tcPr>
            <w:tcW w:w="2977" w:type="dxa"/>
            <w:tcBorders>
              <w:tl2br w:val="nil"/>
              <w:tr2bl w:val="nil"/>
            </w:tcBorders>
            <w:shd w:val="clear" w:color="auto" w:fill="auto"/>
            <w:vAlign w:val="center"/>
          </w:tcPr>
          <w:p w14:paraId="38062F6D">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总α放射性</w:t>
            </w:r>
          </w:p>
        </w:tc>
        <w:tc>
          <w:tcPr>
            <w:tcW w:w="2030" w:type="dxa"/>
            <w:tcBorders>
              <w:tl2br w:val="nil"/>
              <w:tr2bl w:val="nil"/>
            </w:tcBorders>
            <w:shd w:val="clear" w:color="auto" w:fill="auto"/>
            <w:vAlign w:val="center"/>
          </w:tcPr>
          <w:p w14:paraId="0779FB30">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Bq/L</w:t>
            </w:r>
          </w:p>
        </w:tc>
        <w:tc>
          <w:tcPr>
            <w:tcW w:w="3892" w:type="dxa"/>
            <w:tcBorders>
              <w:tl2br w:val="nil"/>
              <w:tr2bl w:val="nil"/>
            </w:tcBorders>
            <w:shd w:val="clear" w:color="auto" w:fill="auto"/>
            <w:noWrap/>
            <w:vAlign w:val="center"/>
          </w:tcPr>
          <w:p w14:paraId="19FB5A1D">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7.3×10</w:t>
            </w:r>
            <w:r>
              <w:rPr>
                <w:rFonts w:hint="default" w:ascii="Times New Roman" w:hAnsi="Times New Roman" w:cs="Times New Roman"/>
                <w:color w:val="auto"/>
                <w:highlight w:val="none"/>
                <w:vertAlign w:val="superscript"/>
                <w:lang w:val="en-US" w:eastAsia="zh-CN"/>
              </w:rPr>
              <w:t>-2</w:t>
            </w:r>
          </w:p>
        </w:tc>
      </w:tr>
      <w:tr w14:paraId="14F95FE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56" w:hRule="atLeast"/>
        </w:trPr>
        <w:tc>
          <w:tcPr>
            <w:tcW w:w="2977" w:type="dxa"/>
            <w:tcBorders>
              <w:tl2br w:val="nil"/>
              <w:tr2bl w:val="nil"/>
            </w:tcBorders>
            <w:shd w:val="clear" w:color="auto" w:fill="auto"/>
            <w:vAlign w:val="center"/>
          </w:tcPr>
          <w:p w14:paraId="09E8474F">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总β放射性</w:t>
            </w:r>
          </w:p>
        </w:tc>
        <w:tc>
          <w:tcPr>
            <w:tcW w:w="2030" w:type="dxa"/>
            <w:tcBorders>
              <w:tl2br w:val="nil"/>
              <w:tr2bl w:val="nil"/>
            </w:tcBorders>
            <w:shd w:val="clear" w:color="auto" w:fill="auto"/>
            <w:vAlign w:val="center"/>
          </w:tcPr>
          <w:p w14:paraId="6EFE1F59">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Bq/L</w:t>
            </w:r>
          </w:p>
        </w:tc>
        <w:tc>
          <w:tcPr>
            <w:tcW w:w="3892" w:type="dxa"/>
            <w:tcBorders>
              <w:tl2br w:val="nil"/>
              <w:tr2bl w:val="nil"/>
            </w:tcBorders>
            <w:shd w:val="clear" w:color="auto" w:fill="auto"/>
            <w:noWrap/>
            <w:vAlign w:val="center"/>
          </w:tcPr>
          <w:p w14:paraId="651BB1C8">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0.162</w:t>
            </w:r>
          </w:p>
        </w:tc>
      </w:tr>
      <w:tr w14:paraId="6743F02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51" w:hRule="atLeast"/>
        </w:trPr>
        <w:tc>
          <w:tcPr>
            <w:tcW w:w="2977" w:type="dxa"/>
            <w:tcBorders>
              <w:tl2br w:val="nil"/>
              <w:tr2bl w:val="nil"/>
            </w:tcBorders>
            <w:shd w:val="clear" w:color="auto" w:fill="auto"/>
            <w:vAlign w:val="center"/>
          </w:tcPr>
          <w:p w14:paraId="66675374">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pH</w:t>
            </w:r>
          </w:p>
        </w:tc>
        <w:tc>
          <w:tcPr>
            <w:tcW w:w="0" w:type="auto"/>
            <w:tcBorders>
              <w:tl2br w:val="nil"/>
              <w:tr2bl w:val="nil"/>
            </w:tcBorders>
            <w:shd w:val="clear" w:color="auto" w:fill="auto"/>
            <w:noWrap/>
            <w:vAlign w:val="center"/>
          </w:tcPr>
          <w:p w14:paraId="7878DAC2">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无量纲</w:t>
            </w:r>
          </w:p>
        </w:tc>
        <w:tc>
          <w:tcPr>
            <w:tcW w:w="3892" w:type="dxa"/>
            <w:tcBorders>
              <w:tl2br w:val="nil"/>
              <w:tr2bl w:val="nil"/>
            </w:tcBorders>
            <w:shd w:val="clear" w:color="auto" w:fill="auto"/>
            <w:noWrap/>
            <w:vAlign w:val="center"/>
          </w:tcPr>
          <w:p w14:paraId="23AEBAA6">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8.0（25.0℃）</w:t>
            </w:r>
          </w:p>
        </w:tc>
      </w:tr>
      <w:tr w14:paraId="62C9A81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51" w:hRule="atLeast"/>
        </w:trPr>
        <w:tc>
          <w:tcPr>
            <w:tcW w:w="2977" w:type="dxa"/>
            <w:tcBorders>
              <w:tl2br w:val="nil"/>
              <w:tr2bl w:val="nil"/>
            </w:tcBorders>
            <w:shd w:val="clear" w:color="auto" w:fill="auto"/>
            <w:vAlign w:val="center"/>
          </w:tcPr>
          <w:p w14:paraId="775689A2">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色度</w:t>
            </w:r>
          </w:p>
        </w:tc>
        <w:tc>
          <w:tcPr>
            <w:tcW w:w="0" w:type="auto"/>
            <w:tcBorders>
              <w:tl2br w:val="nil"/>
              <w:tr2bl w:val="nil"/>
            </w:tcBorders>
            <w:shd w:val="clear" w:color="auto" w:fill="auto"/>
            <w:noWrap/>
            <w:vAlign w:val="center"/>
          </w:tcPr>
          <w:p w14:paraId="5B611D45">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倍</w:t>
            </w:r>
          </w:p>
        </w:tc>
        <w:tc>
          <w:tcPr>
            <w:tcW w:w="3892" w:type="dxa"/>
            <w:tcBorders>
              <w:tl2br w:val="nil"/>
              <w:tr2bl w:val="nil"/>
            </w:tcBorders>
            <w:shd w:val="clear" w:color="auto" w:fill="auto"/>
            <w:noWrap/>
            <w:vAlign w:val="center"/>
          </w:tcPr>
          <w:p w14:paraId="2D09F295">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63B0B6D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51" w:hRule="atLeast"/>
        </w:trPr>
        <w:tc>
          <w:tcPr>
            <w:tcW w:w="2977" w:type="dxa"/>
            <w:tcBorders>
              <w:tl2br w:val="nil"/>
              <w:tr2bl w:val="nil"/>
            </w:tcBorders>
            <w:shd w:val="clear" w:color="auto" w:fill="auto"/>
            <w:vAlign w:val="center"/>
          </w:tcPr>
          <w:p w14:paraId="61E4B2C7">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悬浮物</w:t>
            </w:r>
          </w:p>
        </w:tc>
        <w:tc>
          <w:tcPr>
            <w:tcW w:w="0" w:type="auto"/>
            <w:tcBorders>
              <w:tl2br w:val="nil"/>
              <w:tr2bl w:val="nil"/>
            </w:tcBorders>
            <w:shd w:val="clear" w:color="auto" w:fill="auto"/>
            <w:noWrap/>
            <w:vAlign w:val="center"/>
          </w:tcPr>
          <w:p w14:paraId="75269D76">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3892" w:type="dxa"/>
            <w:tcBorders>
              <w:tl2br w:val="nil"/>
              <w:tr2bl w:val="nil"/>
            </w:tcBorders>
            <w:shd w:val="clear" w:color="auto" w:fill="auto"/>
            <w:noWrap/>
            <w:vAlign w:val="center"/>
          </w:tcPr>
          <w:p w14:paraId="2368C544">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3D4D0B1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51" w:hRule="atLeast"/>
        </w:trPr>
        <w:tc>
          <w:tcPr>
            <w:tcW w:w="2977" w:type="dxa"/>
            <w:tcBorders>
              <w:tl2br w:val="nil"/>
              <w:tr2bl w:val="nil"/>
            </w:tcBorders>
            <w:shd w:val="clear" w:color="auto" w:fill="auto"/>
            <w:vAlign w:val="center"/>
          </w:tcPr>
          <w:p w14:paraId="4E84C524">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五日生化需氧量</w:t>
            </w:r>
          </w:p>
        </w:tc>
        <w:tc>
          <w:tcPr>
            <w:tcW w:w="0" w:type="auto"/>
            <w:tcBorders>
              <w:tl2br w:val="nil"/>
              <w:tr2bl w:val="nil"/>
            </w:tcBorders>
            <w:shd w:val="clear" w:color="auto" w:fill="auto"/>
            <w:noWrap/>
            <w:vAlign w:val="center"/>
          </w:tcPr>
          <w:p w14:paraId="77F33B73">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3892" w:type="dxa"/>
            <w:tcBorders>
              <w:tl2br w:val="nil"/>
              <w:tr2bl w:val="nil"/>
            </w:tcBorders>
            <w:shd w:val="clear" w:color="auto" w:fill="auto"/>
            <w:noWrap/>
            <w:vAlign w:val="center"/>
          </w:tcPr>
          <w:p w14:paraId="4C3C5F4E">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19.2</w:t>
            </w:r>
          </w:p>
        </w:tc>
      </w:tr>
      <w:tr w14:paraId="39C587A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50" w:hRule="atLeast"/>
        </w:trPr>
        <w:tc>
          <w:tcPr>
            <w:tcW w:w="2977" w:type="dxa"/>
            <w:tcBorders>
              <w:tl2br w:val="nil"/>
              <w:tr2bl w:val="nil"/>
            </w:tcBorders>
            <w:shd w:val="clear" w:color="auto" w:fill="auto"/>
            <w:vAlign w:val="center"/>
          </w:tcPr>
          <w:p w14:paraId="6F711E65">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化学需氧量</w:t>
            </w:r>
          </w:p>
        </w:tc>
        <w:tc>
          <w:tcPr>
            <w:tcW w:w="0" w:type="auto"/>
            <w:tcBorders>
              <w:tl2br w:val="nil"/>
              <w:tr2bl w:val="nil"/>
            </w:tcBorders>
            <w:shd w:val="clear" w:color="auto" w:fill="auto"/>
            <w:noWrap/>
            <w:vAlign w:val="center"/>
          </w:tcPr>
          <w:p w14:paraId="13818AF5">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3892" w:type="dxa"/>
            <w:tcBorders>
              <w:tl2br w:val="nil"/>
              <w:tr2bl w:val="nil"/>
            </w:tcBorders>
            <w:shd w:val="clear" w:color="auto" w:fill="auto"/>
            <w:noWrap/>
            <w:vAlign w:val="center"/>
          </w:tcPr>
          <w:p w14:paraId="684E6BFE">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96</w:t>
            </w:r>
          </w:p>
        </w:tc>
      </w:tr>
      <w:tr w14:paraId="4D3F547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trPr>
        <w:tc>
          <w:tcPr>
            <w:tcW w:w="2977" w:type="dxa"/>
            <w:tcBorders>
              <w:tl2br w:val="nil"/>
              <w:tr2bl w:val="nil"/>
            </w:tcBorders>
            <w:shd w:val="clear" w:color="auto" w:fill="auto"/>
            <w:vAlign w:val="center"/>
          </w:tcPr>
          <w:p w14:paraId="5C15348A">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石油类</w:t>
            </w:r>
          </w:p>
        </w:tc>
        <w:tc>
          <w:tcPr>
            <w:tcW w:w="0" w:type="auto"/>
            <w:tcBorders>
              <w:tl2br w:val="nil"/>
              <w:tr2bl w:val="nil"/>
            </w:tcBorders>
            <w:shd w:val="clear" w:color="auto" w:fill="auto"/>
            <w:noWrap/>
            <w:vAlign w:val="center"/>
          </w:tcPr>
          <w:p w14:paraId="19B80129">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3892" w:type="dxa"/>
            <w:tcBorders>
              <w:tl2br w:val="nil"/>
              <w:tr2bl w:val="nil"/>
            </w:tcBorders>
            <w:shd w:val="clear" w:color="auto" w:fill="auto"/>
            <w:noWrap/>
            <w:vAlign w:val="center"/>
          </w:tcPr>
          <w:p w14:paraId="4F9A6CEB">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1207EDD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trPr>
        <w:tc>
          <w:tcPr>
            <w:tcW w:w="2977" w:type="dxa"/>
            <w:tcBorders>
              <w:tl2br w:val="nil"/>
              <w:tr2bl w:val="nil"/>
            </w:tcBorders>
            <w:shd w:val="clear" w:color="auto" w:fill="auto"/>
            <w:vAlign w:val="center"/>
          </w:tcPr>
          <w:p w14:paraId="7615019D">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动植物油</w:t>
            </w:r>
          </w:p>
        </w:tc>
        <w:tc>
          <w:tcPr>
            <w:tcW w:w="0" w:type="auto"/>
            <w:tcBorders>
              <w:tl2br w:val="nil"/>
              <w:tr2bl w:val="nil"/>
            </w:tcBorders>
            <w:shd w:val="clear" w:color="auto" w:fill="auto"/>
            <w:noWrap/>
            <w:vAlign w:val="center"/>
          </w:tcPr>
          <w:p w14:paraId="632B2EF7">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3892" w:type="dxa"/>
            <w:tcBorders>
              <w:tl2br w:val="nil"/>
              <w:tr2bl w:val="nil"/>
            </w:tcBorders>
            <w:shd w:val="clear" w:color="auto" w:fill="auto"/>
            <w:noWrap/>
            <w:vAlign w:val="center"/>
          </w:tcPr>
          <w:p w14:paraId="77ABBE24">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2BA749E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trPr>
        <w:tc>
          <w:tcPr>
            <w:tcW w:w="2977" w:type="dxa"/>
            <w:tcBorders>
              <w:tl2br w:val="nil"/>
              <w:tr2bl w:val="nil"/>
            </w:tcBorders>
            <w:shd w:val="clear" w:color="auto" w:fill="auto"/>
            <w:vAlign w:val="center"/>
          </w:tcPr>
          <w:p w14:paraId="3125E4A2">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挥发酚</w:t>
            </w:r>
          </w:p>
        </w:tc>
        <w:tc>
          <w:tcPr>
            <w:tcW w:w="0" w:type="auto"/>
            <w:tcBorders>
              <w:tl2br w:val="nil"/>
              <w:tr2bl w:val="nil"/>
            </w:tcBorders>
            <w:shd w:val="clear" w:color="auto" w:fill="auto"/>
            <w:noWrap/>
            <w:vAlign w:val="center"/>
          </w:tcPr>
          <w:p w14:paraId="0A93AFDB">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3892" w:type="dxa"/>
            <w:tcBorders>
              <w:tl2br w:val="nil"/>
              <w:tr2bl w:val="nil"/>
            </w:tcBorders>
            <w:shd w:val="clear" w:color="auto" w:fill="auto"/>
            <w:noWrap/>
            <w:vAlign w:val="center"/>
          </w:tcPr>
          <w:p w14:paraId="5983C4CB">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062075B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trPr>
        <w:tc>
          <w:tcPr>
            <w:tcW w:w="2977" w:type="dxa"/>
            <w:tcBorders>
              <w:tl2br w:val="nil"/>
              <w:tr2bl w:val="nil"/>
            </w:tcBorders>
            <w:shd w:val="clear" w:color="auto" w:fill="auto"/>
            <w:vAlign w:val="center"/>
          </w:tcPr>
          <w:p w14:paraId="270E1CA7">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总氰化合物</w:t>
            </w:r>
          </w:p>
        </w:tc>
        <w:tc>
          <w:tcPr>
            <w:tcW w:w="0" w:type="auto"/>
            <w:tcBorders>
              <w:tl2br w:val="nil"/>
              <w:tr2bl w:val="nil"/>
            </w:tcBorders>
            <w:shd w:val="clear" w:color="auto" w:fill="auto"/>
            <w:noWrap/>
            <w:vAlign w:val="center"/>
          </w:tcPr>
          <w:p w14:paraId="500FDE84">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3892" w:type="dxa"/>
            <w:tcBorders>
              <w:tl2br w:val="nil"/>
              <w:tr2bl w:val="nil"/>
            </w:tcBorders>
            <w:shd w:val="clear" w:color="auto" w:fill="auto"/>
            <w:noWrap/>
            <w:vAlign w:val="center"/>
          </w:tcPr>
          <w:p w14:paraId="2C86F0F6">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119A9AE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trPr>
        <w:tc>
          <w:tcPr>
            <w:tcW w:w="2977" w:type="dxa"/>
            <w:tcBorders>
              <w:tl2br w:val="nil"/>
              <w:tr2bl w:val="nil"/>
            </w:tcBorders>
            <w:shd w:val="clear" w:color="auto" w:fill="auto"/>
            <w:vAlign w:val="center"/>
          </w:tcPr>
          <w:p w14:paraId="3EC8AADA">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硫化物</w:t>
            </w:r>
          </w:p>
        </w:tc>
        <w:tc>
          <w:tcPr>
            <w:tcW w:w="0" w:type="auto"/>
            <w:tcBorders>
              <w:tl2br w:val="nil"/>
              <w:tr2bl w:val="nil"/>
            </w:tcBorders>
            <w:shd w:val="clear" w:color="auto" w:fill="auto"/>
            <w:noWrap/>
            <w:vAlign w:val="center"/>
          </w:tcPr>
          <w:p w14:paraId="6454C6BE">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3892" w:type="dxa"/>
            <w:tcBorders>
              <w:tl2br w:val="nil"/>
              <w:tr2bl w:val="nil"/>
            </w:tcBorders>
            <w:shd w:val="clear" w:color="auto" w:fill="auto"/>
            <w:noWrap/>
            <w:vAlign w:val="center"/>
          </w:tcPr>
          <w:p w14:paraId="246BD61B">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62E25C5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45" w:hRule="atLeast"/>
        </w:trPr>
        <w:tc>
          <w:tcPr>
            <w:tcW w:w="2977" w:type="dxa"/>
            <w:tcBorders>
              <w:tl2br w:val="nil"/>
              <w:tr2bl w:val="nil"/>
            </w:tcBorders>
            <w:shd w:val="clear" w:color="auto" w:fill="auto"/>
            <w:vAlign w:val="center"/>
          </w:tcPr>
          <w:p w14:paraId="709AF116">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氨氮</w:t>
            </w:r>
          </w:p>
        </w:tc>
        <w:tc>
          <w:tcPr>
            <w:tcW w:w="0" w:type="auto"/>
            <w:tcBorders>
              <w:tl2br w:val="nil"/>
              <w:tr2bl w:val="nil"/>
            </w:tcBorders>
            <w:shd w:val="clear" w:color="auto" w:fill="auto"/>
            <w:noWrap/>
            <w:vAlign w:val="center"/>
          </w:tcPr>
          <w:p w14:paraId="7F695A13">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3892" w:type="dxa"/>
            <w:tcBorders>
              <w:tl2br w:val="nil"/>
              <w:tr2bl w:val="nil"/>
            </w:tcBorders>
            <w:shd w:val="clear" w:color="auto" w:fill="auto"/>
            <w:noWrap/>
            <w:vAlign w:val="center"/>
          </w:tcPr>
          <w:p w14:paraId="725AC6D6">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0.165</w:t>
            </w:r>
          </w:p>
        </w:tc>
      </w:tr>
      <w:tr w14:paraId="5363358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trPr>
        <w:tc>
          <w:tcPr>
            <w:tcW w:w="2977" w:type="dxa"/>
            <w:tcBorders>
              <w:tl2br w:val="nil"/>
              <w:tr2bl w:val="nil"/>
            </w:tcBorders>
            <w:shd w:val="clear" w:color="auto" w:fill="auto"/>
            <w:vAlign w:val="center"/>
          </w:tcPr>
          <w:p w14:paraId="5137C4DF">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氟化物</w:t>
            </w:r>
          </w:p>
        </w:tc>
        <w:tc>
          <w:tcPr>
            <w:tcW w:w="0" w:type="auto"/>
            <w:tcBorders>
              <w:tl2br w:val="nil"/>
              <w:tr2bl w:val="nil"/>
            </w:tcBorders>
            <w:shd w:val="clear" w:color="auto" w:fill="auto"/>
            <w:noWrap/>
            <w:vAlign w:val="center"/>
          </w:tcPr>
          <w:p w14:paraId="6B786389">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3892" w:type="dxa"/>
            <w:tcBorders>
              <w:tl2br w:val="nil"/>
              <w:tr2bl w:val="nil"/>
            </w:tcBorders>
            <w:shd w:val="clear" w:color="auto" w:fill="auto"/>
            <w:noWrap/>
            <w:vAlign w:val="center"/>
          </w:tcPr>
          <w:p w14:paraId="46BFB422">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0.19</w:t>
            </w:r>
          </w:p>
        </w:tc>
      </w:tr>
      <w:tr w14:paraId="31EFDFE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trPr>
        <w:tc>
          <w:tcPr>
            <w:tcW w:w="2977" w:type="dxa"/>
            <w:tcBorders>
              <w:tl2br w:val="nil"/>
              <w:tr2bl w:val="nil"/>
            </w:tcBorders>
            <w:shd w:val="clear" w:color="auto" w:fill="auto"/>
            <w:vAlign w:val="center"/>
          </w:tcPr>
          <w:p w14:paraId="1405E242">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磷酸盐（以P计）</w:t>
            </w:r>
          </w:p>
        </w:tc>
        <w:tc>
          <w:tcPr>
            <w:tcW w:w="0" w:type="auto"/>
            <w:tcBorders>
              <w:tl2br w:val="nil"/>
              <w:tr2bl w:val="nil"/>
            </w:tcBorders>
            <w:shd w:val="clear" w:color="auto" w:fill="auto"/>
            <w:noWrap/>
            <w:vAlign w:val="center"/>
          </w:tcPr>
          <w:p w14:paraId="59453373">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3892" w:type="dxa"/>
            <w:tcBorders>
              <w:tl2br w:val="nil"/>
              <w:tr2bl w:val="nil"/>
            </w:tcBorders>
            <w:shd w:val="clear" w:color="auto" w:fill="auto"/>
            <w:noWrap/>
            <w:vAlign w:val="center"/>
          </w:tcPr>
          <w:p w14:paraId="083443CA">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0.10</w:t>
            </w:r>
          </w:p>
        </w:tc>
      </w:tr>
      <w:tr w14:paraId="33AB765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trPr>
        <w:tc>
          <w:tcPr>
            <w:tcW w:w="2977" w:type="dxa"/>
            <w:tcBorders>
              <w:tl2br w:val="nil"/>
              <w:tr2bl w:val="nil"/>
            </w:tcBorders>
            <w:shd w:val="clear" w:color="auto" w:fill="auto"/>
            <w:vAlign w:val="center"/>
          </w:tcPr>
          <w:p w14:paraId="589C7ED2">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甲醛</w:t>
            </w:r>
          </w:p>
        </w:tc>
        <w:tc>
          <w:tcPr>
            <w:tcW w:w="0" w:type="auto"/>
            <w:tcBorders>
              <w:tl2br w:val="nil"/>
              <w:tr2bl w:val="nil"/>
            </w:tcBorders>
            <w:shd w:val="clear" w:color="auto" w:fill="auto"/>
            <w:noWrap/>
            <w:vAlign w:val="center"/>
          </w:tcPr>
          <w:p w14:paraId="14BD1283">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3892" w:type="dxa"/>
            <w:tcBorders>
              <w:tl2br w:val="nil"/>
              <w:tr2bl w:val="nil"/>
            </w:tcBorders>
            <w:shd w:val="clear" w:color="auto" w:fill="auto"/>
            <w:noWrap/>
            <w:vAlign w:val="center"/>
          </w:tcPr>
          <w:p w14:paraId="79EACC6F">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0.27</w:t>
            </w:r>
          </w:p>
        </w:tc>
      </w:tr>
      <w:tr w14:paraId="605E217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50" w:hRule="atLeast"/>
        </w:trPr>
        <w:tc>
          <w:tcPr>
            <w:tcW w:w="2977" w:type="dxa"/>
            <w:tcBorders>
              <w:tl2br w:val="nil"/>
              <w:tr2bl w:val="nil"/>
            </w:tcBorders>
            <w:shd w:val="clear" w:color="auto" w:fill="auto"/>
            <w:vAlign w:val="center"/>
          </w:tcPr>
          <w:p w14:paraId="24118793">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苯胺类</w:t>
            </w:r>
          </w:p>
        </w:tc>
        <w:tc>
          <w:tcPr>
            <w:tcW w:w="0" w:type="auto"/>
            <w:tcBorders>
              <w:tl2br w:val="nil"/>
              <w:tr2bl w:val="nil"/>
            </w:tcBorders>
            <w:shd w:val="clear" w:color="auto" w:fill="auto"/>
            <w:noWrap/>
            <w:vAlign w:val="center"/>
          </w:tcPr>
          <w:p w14:paraId="72817333">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3892" w:type="dxa"/>
            <w:tcBorders>
              <w:tl2br w:val="nil"/>
              <w:tr2bl w:val="nil"/>
            </w:tcBorders>
            <w:shd w:val="clear" w:color="auto" w:fill="auto"/>
            <w:noWrap/>
            <w:vAlign w:val="center"/>
          </w:tcPr>
          <w:p w14:paraId="76130497">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0CDD527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45" w:hRule="atLeast"/>
        </w:trPr>
        <w:tc>
          <w:tcPr>
            <w:tcW w:w="2977" w:type="dxa"/>
            <w:tcBorders>
              <w:tl2br w:val="nil"/>
              <w:tr2bl w:val="nil"/>
            </w:tcBorders>
            <w:shd w:val="clear" w:color="auto" w:fill="auto"/>
            <w:vAlign w:val="center"/>
          </w:tcPr>
          <w:p w14:paraId="74DE0ECF">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硝基苯类</w:t>
            </w:r>
          </w:p>
        </w:tc>
        <w:tc>
          <w:tcPr>
            <w:tcW w:w="0" w:type="auto"/>
            <w:tcBorders>
              <w:tl2br w:val="nil"/>
              <w:tr2bl w:val="nil"/>
            </w:tcBorders>
            <w:shd w:val="clear" w:color="auto" w:fill="auto"/>
            <w:noWrap/>
            <w:vAlign w:val="center"/>
          </w:tcPr>
          <w:p w14:paraId="70F65B05">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3892" w:type="dxa"/>
            <w:tcBorders>
              <w:tl2br w:val="nil"/>
              <w:tr2bl w:val="nil"/>
            </w:tcBorders>
            <w:shd w:val="clear" w:color="auto" w:fill="auto"/>
            <w:noWrap/>
            <w:vAlign w:val="center"/>
          </w:tcPr>
          <w:p w14:paraId="215ECC44">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19B209C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45" w:hRule="atLeast"/>
        </w:trPr>
        <w:tc>
          <w:tcPr>
            <w:tcW w:w="2977" w:type="dxa"/>
            <w:tcBorders>
              <w:tl2br w:val="nil"/>
              <w:tr2bl w:val="nil"/>
            </w:tcBorders>
            <w:shd w:val="clear" w:color="auto" w:fill="auto"/>
            <w:vAlign w:val="center"/>
          </w:tcPr>
          <w:p w14:paraId="5525AC88">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阴离子表面活性剂</w:t>
            </w:r>
          </w:p>
        </w:tc>
        <w:tc>
          <w:tcPr>
            <w:tcW w:w="0" w:type="auto"/>
            <w:tcBorders>
              <w:tl2br w:val="nil"/>
              <w:tr2bl w:val="nil"/>
            </w:tcBorders>
            <w:shd w:val="clear" w:color="auto" w:fill="auto"/>
            <w:noWrap/>
            <w:vAlign w:val="center"/>
          </w:tcPr>
          <w:p w14:paraId="55312C16">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3892" w:type="dxa"/>
            <w:tcBorders>
              <w:tl2br w:val="nil"/>
              <w:tr2bl w:val="nil"/>
            </w:tcBorders>
            <w:shd w:val="clear" w:color="auto" w:fill="auto"/>
            <w:noWrap/>
            <w:vAlign w:val="center"/>
          </w:tcPr>
          <w:p w14:paraId="704B2B51">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0.266</w:t>
            </w:r>
          </w:p>
        </w:tc>
      </w:tr>
      <w:tr w14:paraId="3D16079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trPr>
        <w:tc>
          <w:tcPr>
            <w:tcW w:w="2977" w:type="dxa"/>
            <w:tcBorders>
              <w:tl2br w:val="nil"/>
              <w:tr2bl w:val="nil"/>
            </w:tcBorders>
            <w:shd w:val="clear" w:color="auto" w:fill="auto"/>
            <w:vAlign w:val="center"/>
          </w:tcPr>
          <w:p w14:paraId="0497EBAB">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总铜</w:t>
            </w:r>
          </w:p>
        </w:tc>
        <w:tc>
          <w:tcPr>
            <w:tcW w:w="0" w:type="auto"/>
            <w:tcBorders>
              <w:tl2br w:val="nil"/>
              <w:tr2bl w:val="nil"/>
            </w:tcBorders>
            <w:shd w:val="clear" w:color="auto" w:fill="auto"/>
            <w:noWrap/>
            <w:vAlign w:val="center"/>
          </w:tcPr>
          <w:p w14:paraId="272A4A57">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3892" w:type="dxa"/>
            <w:tcBorders>
              <w:tl2br w:val="nil"/>
              <w:tr2bl w:val="nil"/>
            </w:tcBorders>
            <w:shd w:val="clear" w:color="auto" w:fill="auto"/>
            <w:noWrap/>
            <w:vAlign w:val="center"/>
          </w:tcPr>
          <w:p w14:paraId="6CF76133">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292A800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trPr>
        <w:tc>
          <w:tcPr>
            <w:tcW w:w="2977" w:type="dxa"/>
            <w:tcBorders>
              <w:tl2br w:val="nil"/>
              <w:tr2bl w:val="nil"/>
            </w:tcBorders>
            <w:shd w:val="clear" w:color="auto" w:fill="auto"/>
            <w:vAlign w:val="center"/>
          </w:tcPr>
          <w:p w14:paraId="57C029E0">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总锌</w:t>
            </w:r>
          </w:p>
        </w:tc>
        <w:tc>
          <w:tcPr>
            <w:tcW w:w="0" w:type="auto"/>
            <w:tcBorders>
              <w:tl2br w:val="nil"/>
              <w:tr2bl w:val="nil"/>
            </w:tcBorders>
            <w:shd w:val="clear" w:color="auto" w:fill="auto"/>
            <w:noWrap/>
            <w:vAlign w:val="center"/>
          </w:tcPr>
          <w:p w14:paraId="05212557">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3892" w:type="dxa"/>
            <w:tcBorders>
              <w:tl2br w:val="nil"/>
              <w:tr2bl w:val="nil"/>
            </w:tcBorders>
            <w:shd w:val="clear" w:color="auto" w:fill="auto"/>
            <w:noWrap/>
            <w:vAlign w:val="center"/>
          </w:tcPr>
          <w:p w14:paraId="283130C5">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0.128</w:t>
            </w:r>
          </w:p>
        </w:tc>
      </w:tr>
      <w:tr w14:paraId="3808007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45" w:hRule="atLeast"/>
        </w:trPr>
        <w:tc>
          <w:tcPr>
            <w:tcW w:w="2977" w:type="dxa"/>
            <w:tcBorders>
              <w:tl2br w:val="nil"/>
              <w:tr2bl w:val="nil"/>
            </w:tcBorders>
            <w:shd w:val="clear" w:color="auto" w:fill="auto"/>
            <w:vAlign w:val="center"/>
          </w:tcPr>
          <w:p w14:paraId="02792FDF">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总锰</w:t>
            </w:r>
          </w:p>
        </w:tc>
        <w:tc>
          <w:tcPr>
            <w:tcW w:w="0" w:type="auto"/>
            <w:tcBorders>
              <w:tl2br w:val="nil"/>
              <w:tr2bl w:val="nil"/>
            </w:tcBorders>
            <w:shd w:val="clear" w:color="auto" w:fill="auto"/>
            <w:noWrap/>
            <w:vAlign w:val="center"/>
          </w:tcPr>
          <w:p w14:paraId="7455FE8F">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3892" w:type="dxa"/>
            <w:tcBorders>
              <w:tl2br w:val="nil"/>
              <w:tr2bl w:val="nil"/>
            </w:tcBorders>
            <w:shd w:val="clear" w:color="auto" w:fill="auto"/>
            <w:noWrap/>
            <w:vAlign w:val="center"/>
          </w:tcPr>
          <w:p w14:paraId="18EDB80C">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0.01</w:t>
            </w:r>
          </w:p>
        </w:tc>
      </w:tr>
      <w:tr w14:paraId="671DD3D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trPr>
        <w:tc>
          <w:tcPr>
            <w:tcW w:w="2977" w:type="dxa"/>
            <w:tcBorders>
              <w:tl2br w:val="nil"/>
              <w:tr2bl w:val="nil"/>
            </w:tcBorders>
            <w:shd w:val="clear" w:color="auto" w:fill="auto"/>
            <w:vAlign w:val="center"/>
          </w:tcPr>
          <w:p w14:paraId="748CF373">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元素磷</w:t>
            </w:r>
          </w:p>
        </w:tc>
        <w:tc>
          <w:tcPr>
            <w:tcW w:w="0" w:type="auto"/>
            <w:tcBorders>
              <w:tl2br w:val="nil"/>
              <w:tr2bl w:val="nil"/>
            </w:tcBorders>
            <w:shd w:val="clear" w:color="auto" w:fill="auto"/>
            <w:noWrap/>
            <w:vAlign w:val="center"/>
          </w:tcPr>
          <w:p w14:paraId="15150FAB">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3892" w:type="dxa"/>
            <w:tcBorders>
              <w:tl2br w:val="nil"/>
              <w:tr2bl w:val="nil"/>
            </w:tcBorders>
            <w:shd w:val="clear" w:color="auto" w:fill="auto"/>
            <w:noWrap/>
            <w:vAlign w:val="center"/>
          </w:tcPr>
          <w:p w14:paraId="2369D624">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212D234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trPr>
        <w:tc>
          <w:tcPr>
            <w:tcW w:w="2977" w:type="dxa"/>
            <w:tcBorders>
              <w:tl2br w:val="nil"/>
              <w:tr2bl w:val="nil"/>
            </w:tcBorders>
            <w:shd w:val="clear" w:color="auto" w:fill="auto"/>
            <w:vAlign w:val="center"/>
          </w:tcPr>
          <w:p w14:paraId="2DF3C416">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有机磷农药（以P计）</w:t>
            </w:r>
          </w:p>
        </w:tc>
        <w:tc>
          <w:tcPr>
            <w:tcW w:w="0" w:type="auto"/>
            <w:tcBorders>
              <w:tl2br w:val="nil"/>
              <w:tr2bl w:val="nil"/>
            </w:tcBorders>
            <w:shd w:val="clear" w:color="auto" w:fill="auto"/>
            <w:noWrap/>
            <w:vAlign w:val="center"/>
          </w:tcPr>
          <w:p w14:paraId="08CA6995">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3892" w:type="dxa"/>
            <w:tcBorders>
              <w:tl2br w:val="nil"/>
              <w:tr2bl w:val="nil"/>
            </w:tcBorders>
            <w:shd w:val="clear" w:color="auto" w:fill="auto"/>
            <w:noWrap/>
            <w:vAlign w:val="center"/>
          </w:tcPr>
          <w:p w14:paraId="09F9DC54">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7FB6D44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trPr>
        <w:tc>
          <w:tcPr>
            <w:tcW w:w="2977" w:type="dxa"/>
            <w:tcBorders>
              <w:tl2br w:val="nil"/>
              <w:tr2bl w:val="nil"/>
            </w:tcBorders>
            <w:shd w:val="clear" w:color="auto" w:fill="auto"/>
            <w:vAlign w:val="center"/>
          </w:tcPr>
          <w:p w14:paraId="1C6F7834">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乐果</w:t>
            </w:r>
          </w:p>
        </w:tc>
        <w:tc>
          <w:tcPr>
            <w:tcW w:w="0" w:type="auto"/>
            <w:tcBorders>
              <w:tl2br w:val="nil"/>
              <w:tr2bl w:val="nil"/>
            </w:tcBorders>
            <w:shd w:val="clear" w:color="auto" w:fill="auto"/>
            <w:noWrap/>
            <w:vAlign w:val="center"/>
          </w:tcPr>
          <w:p w14:paraId="2494C7A3">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3892" w:type="dxa"/>
            <w:tcBorders>
              <w:tl2br w:val="nil"/>
              <w:tr2bl w:val="nil"/>
            </w:tcBorders>
            <w:shd w:val="clear" w:color="auto" w:fill="auto"/>
            <w:noWrap/>
            <w:vAlign w:val="center"/>
          </w:tcPr>
          <w:p w14:paraId="28AD7A62">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40ACF59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50" w:hRule="atLeast"/>
        </w:trPr>
        <w:tc>
          <w:tcPr>
            <w:tcW w:w="2977" w:type="dxa"/>
            <w:tcBorders>
              <w:tl2br w:val="nil"/>
              <w:tr2bl w:val="nil"/>
            </w:tcBorders>
            <w:shd w:val="clear" w:color="auto" w:fill="auto"/>
            <w:vAlign w:val="center"/>
          </w:tcPr>
          <w:p w14:paraId="41E0F1F3">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甲基对硫磷</w:t>
            </w:r>
          </w:p>
        </w:tc>
        <w:tc>
          <w:tcPr>
            <w:tcW w:w="0" w:type="auto"/>
            <w:tcBorders>
              <w:tl2br w:val="nil"/>
              <w:tr2bl w:val="nil"/>
            </w:tcBorders>
            <w:shd w:val="clear" w:color="auto" w:fill="auto"/>
            <w:noWrap/>
            <w:vAlign w:val="center"/>
          </w:tcPr>
          <w:p w14:paraId="317E12E2">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3892" w:type="dxa"/>
            <w:tcBorders>
              <w:tl2br w:val="nil"/>
              <w:tr2bl w:val="nil"/>
            </w:tcBorders>
            <w:shd w:val="clear" w:color="auto" w:fill="auto"/>
            <w:noWrap/>
            <w:vAlign w:val="center"/>
          </w:tcPr>
          <w:p w14:paraId="4D70D792">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241BDF1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trPr>
        <w:tc>
          <w:tcPr>
            <w:tcW w:w="2977" w:type="dxa"/>
            <w:tcBorders>
              <w:tl2br w:val="nil"/>
              <w:tr2bl w:val="nil"/>
            </w:tcBorders>
            <w:shd w:val="clear" w:color="auto" w:fill="auto"/>
            <w:vAlign w:val="center"/>
          </w:tcPr>
          <w:p w14:paraId="41F394E5">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马拉硫磷</w:t>
            </w:r>
          </w:p>
        </w:tc>
        <w:tc>
          <w:tcPr>
            <w:tcW w:w="0" w:type="auto"/>
            <w:tcBorders>
              <w:tl2br w:val="nil"/>
              <w:tr2bl w:val="nil"/>
            </w:tcBorders>
            <w:shd w:val="clear" w:color="auto" w:fill="auto"/>
            <w:noWrap/>
            <w:vAlign w:val="center"/>
          </w:tcPr>
          <w:p w14:paraId="4849963E">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3892" w:type="dxa"/>
            <w:tcBorders>
              <w:tl2br w:val="nil"/>
              <w:tr2bl w:val="nil"/>
            </w:tcBorders>
            <w:shd w:val="clear" w:color="auto" w:fill="auto"/>
            <w:noWrap/>
            <w:vAlign w:val="center"/>
          </w:tcPr>
          <w:p w14:paraId="40D0F8D6">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7865E42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trPr>
        <w:tc>
          <w:tcPr>
            <w:tcW w:w="2977" w:type="dxa"/>
            <w:tcBorders>
              <w:tl2br w:val="nil"/>
              <w:tr2bl w:val="nil"/>
            </w:tcBorders>
            <w:shd w:val="clear" w:color="auto" w:fill="auto"/>
            <w:vAlign w:val="center"/>
          </w:tcPr>
          <w:p w14:paraId="5F071AF9">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对硫磷</w:t>
            </w:r>
          </w:p>
        </w:tc>
        <w:tc>
          <w:tcPr>
            <w:tcW w:w="0" w:type="auto"/>
            <w:tcBorders>
              <w:tl2br w:val="nil"/>
              <w:tr2bl w:val="nil"/>
            </w:tcBorders>
            <w:shd w:val="clear" w:color="auto" w:fill="auto"/>
            <w:noWrap/>
            <w:vAlign w:val="center"/>
          </w:tcPr>
          <w:p w14:paraId="29823A51">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3892" w:type="dxa"/>
            <w:tcBorders>
              <w:tl2br w:val="nil"/>
              <w:tr2bl w:val="nil"/>
            </w:tcBorders>
            <w:shd w:val="clear" w:color="auto" w:fill="auto"/>
            <w:noWrap/>
            <w:vAlign w:val="center"/>
          </w:tcPr>
          <w:p w14:paraId="271BB9E1">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1573BDC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50" w:hRule="atLeast"/>
        </w:trPr>
        <w:tc>
          <w:tcPr>
            <w:tcW w:w="2977" w:type="dxa"/>
            <w:tcBorders>
              <w:tl2br w:val="nil"/>
              <w:tr2bl w:val="nil"/>
            </w:tcBorders>
            <w:shd w:val="clear" w:color="auto" w:fill="auto"/>
            <w:vAlign w:val="center"/>
          </w:tcPr>
          <w:p w14:paraId="5E7A486C">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五氯酚及五氯酚钠</w:t>
            </w:r>
            <w:r>
              <w:rPr>
                <w:rFonts w:hint="default" w:ascii="Times New Roman" w:hAnsi="Times New Roman" w:cs="Times New Roman"/>
                <w:color w:val="auto"/>
                <w:highlight w:val="none"/>
                <w:lang w:val="en-US" w:eastAsia="zh-CN"/>
              </w:rPr>
              <w:br w:type="textWrapping"/>
            </w:r>
            <w:r>
              <w:rPr>
                <w:rFonts w:hint="default" w:ascii="Times New Roman" w:hAnsi="Times New Roman" w:cs="Times New Roman"/>
                <w:color w:val="auto"/>
                <w:highlight w:val="none"/>
                <w:lang w:val="en-US" w:eastAsia="zh-CN"/>
              </w:rPr>
              <w:t>（以五氯酚计）</w:t>
            </w:r>
          </w:p>
        </w:tc>
        <w:tc>
          <w:tcPr>
            <w:tcW w:w="0" w:type="auto"/>
            <w:tcBorders>
              <w:tl2br w:val="nil"/>
              <w:tr2bl w:val="nil"/>
            </w:tcBorders>
            <w:shd w:val="clear" w:color="auto" w:fill="auto"/>
            <w:noWrap/>
            <w:vAlign w:val="center"/>
          </w:tcPr>
          <w:p w14:paraId="3794CDDB">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μg/L</w:t>
            </w:r>
          </w:p>
        </w:tc>
        <w:tc>
          <w:tcPr>
            <w:tcW w:w="3892" w:type="dxa"/>
            <w:tcBorders>
              <w:tl2br w:val="nil"/>
              <w:tr2bl w:val="nil"/>
            </w:tcBorders>
            <w:shd w:val="clear" w:color="auto" w:fill="auto"/>
            <w:noWrap/>
            <w:vAlign w:val="center"/>
          </w:tcPr>
          <w:p w14:paraId="2BB95EDC">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18F3783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82" w:hRule="atLeast"/>
        </w:trPr>
        <w:tc>
          <w:tcPr>
            <w:tcW w:w="2977" w:type="dxa"/>
            <w:tcBorders>
              <w:tl2br w:val="nil"/>
              <w:tr2bl w:val="nil"/>
            </w:tcBorders>
            <w:shd w:val="clear" w:color="auto" w:fill="auto"/>
            <w:vAlign w:val="center"/>
          </w:tcPr>
          <w:p w14:paraId="2C2F2C4E">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可吸附有机卤化物（AOX）（以Cl计）</w:t>
            </w:r>
          </w:p>
        </w:tc>
        <w:tc>
          <w:tcPr>
            <w:tcW w:w="0" w:type="auto"/>
            <w:tcBorders>
              <w:tl2br w:val="nil"/>
              <w:tr2bl w:val="nil"/>
            </w:tcBorders>
            <w:shd w:val="clear" w:color="auto" w:fill="auto"/>
            <w:noWrap/>
            <w:vAlign w:val="center"/>
          </w:tcPr>
          <w:p w14:paraId="65B39032">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μg/L</w:t>
            </w:r>
          </w:p>
        </w:tc>
        <w:tc>
          <w:tcPr>
            <w:tcW w:w="3892" w:type="dxa"/>
            <w:tcBorders>
              <w:tl2br w:val="nil"/>
              <w:tr2bl w:val="nil"/>
            </w:tcBorders>
            <w:shd w:val="clear" w:color="auto" w:fill="auto"/>
            <w:noWrap/>
            <w:vAlign w:val="center"/>
          </w:tcPr>
          <w:p w14:paraId="3CDD79CE">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150</w:t>
            </w:r>
          </w:p>
        </w:tc>
      </w:tr>
      <w:tr w14:paraId="7022CDF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trPr>
        <w:tc>
          <w:tcPr>
            <w:tcW w:w="2977" w:type="dxa"/>
            <w:tcBorders>
              <w:tl2br w:val="nil"/>
              <w:tr2bl w:val="nil"/>
            </w:tcBorders>
            <w:shd w:val="clear" w:color="auto" w:fill="auto"/>
            <w:vAlign w:val="center"/>
          </w:tcPr>
          <w:p w14:paraId="44AF6897">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三氯甲烷</w:t>
            </w:r>
          </w:p>
        </w:tc>
        <w:tc>
          <w:tcPr>
            <w:tcW w:w="0" w:type="auto"/>
            <w:tcBorders>
              <w:tl2br w:val="nil"/>
              <w:tr2bl w:val="nil"/>
            </w:tcBorders>
            <w:shd w:val="clear" w:color="auto" w:fill="auto"/>
            <w:noWrap/>
            <w:vAlign w:val="center"/>
          </w:tcPr>
          <w:p w14:paraId="1F02BE0F">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μg/L</w:t>
            </w:r>
          </w:p>
        </w:tc>
        <w:tc>
          <w:tcPr>
            <w:tcW w:w="3892" w:type="dxa"/>
            <w:tcBorders>
              <w:tl2br w:val="nil"/>
              <w:tr2bl w:val="nil"/>
            </w:tcBorders>
            <w:shd w:val="clear" w:color="auto" w:fill="auto"/>
            <w:noWrap/>
            <w:vAlign w:val="center"/>
          </w:tcPr>
          <w:p w14:paraId="3300C4DC">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795A5C7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trPr>
        <w:tc>
          <w:tcPr>
            <w:tcW w:w="2977" w:type="dxa"/>
            <w:tcBorders>
              <w:tl2br w:val="nil"/>
              <w:tr2bl w:val="nil"/>
            </w:tcBorders>
            <w:shd w:val="clear" w:color="auto" w:fill="auto"/>
            <w:vAlign w:val="center"/>
          </w:tcPr>
          <w:p w14:paraId="1C0E0813">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四氯化碳</w:t>
            </w:r>
          </w:p>
        </w:tc>
        <w:tc>
          <w:tcPr>
            <w:tcW w:w="0" w:type="auto"/>
            <w:tcBorders>
              <w:tl2br w:val="nil"/>
              <w:tr2bl w:val="nil"/>
            </w:tcBorders>
            <w:shd w:val="clear" w:color="auto" w:fill="auto"/>
            <w:noWrap/>
            <w:vAlign w:val="center"/>
          </w:tcPr>
          <w:p w14:paraId="775ACD79">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μg/L</w:t>
            </w:r>
          </w:p>
        </w:tc>
        <w:tc>
          <w:tcPr>
            <w:tcW w:w="3892" w:type="dxa"/>
            <w:tcBorders>
              <w:tl2br w:val="nil"/>
              <w:tr2bl w:val="nil"/>
            </w:tcBorders>
            <w:shd w:val="clear" w:color="auto" w:fill="auto"/>
            <w:noWrap/>
            <w:vAlign w:val="center"/>
          </w:tcPr>
          <w:p w14:paraId="49B07C40">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21241E3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trPr>
        <w:tc>
          <w:tcPr>
            <w:tcW w:w="2977" w:type="dxa"/>
            <w:tcBorders>
              <w:tl2br w:val="nil"/>
              <w:tr2bl w:val="nil"/>
            </w:tcBorders>
            <w:shd w:val="clear" w:color="auto" w:fill="auto"/>
            <w:vAlign w:val="center"/>
          </w:tcPr>
          <w:p w14:paraId="0623F83D">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三氯乙烯</w:t>
            </w:r>
          </w:p>
        </w:tc>
        <w:tc>
          <w:tcPr>
            <w:tcW w:w="0" w:type="auto"/>
            <w:tcBorders>
              <w:tl2br w:val="nil"/>
              <w:tr2bl w:val="nil"/>
            </w:tcBorders>
            <w:shd w:val="clear" w:color="auto" w:fill="auto"/>
            <w:noWrap/>
            <w:vAlign w:val="center"/>
          </w:tcPr>
          <w:p w14:paraId="6614C748">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μg/L</w:t>
            </w:r>
          </w:p>
        </w:tc>
        <w:tc>
          <w:tcPr>
            <w:tcW w:w="3892" w:type="dxa"/>
            <w:tcBorders>
              <w:tl2br w:val="nil"/>
              <w:tr2bl w:val="nil"/>
            </w:tcBorders>
            <w:shd w:val="clear" w:color="auto" w:fill="auto"/>
            <w:noWrap/>
            <w:vAlign w:val="center"/>
          </w:tcPr>
          <w:p w14:paraId="39BEA9BC">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3C88499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45" w:hRule="atLeast"/>
        </w:trPr>
        <w:tc>
          <w:tcPr>
            <w:tcW w:w="2977" w:type="dxa"/>
            <w:tcBorders>
              <w:tl2br w:val="nil"/>
              <w:tr2bl w:val="nil"/>
            </w:tcBorders>
            <w:shd w:val="clear" w:color="auto" w:fill="auto"/>
            <w:vAlign w:val="center"/>
          </w:tcPr>
          <w:p w14:paraId="53F281DB">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四氯乙烯</w:t>
            </w:r>
          </w:p>
        </w:tc>
        <w:tc>
          <w:tcPr>
            <w:tcW w:w="0" w:type="auto"/>
            <w:tcBorders>
              <w:tl2br w:val="nil"/>
              <w:tr2bl w:val="nil"/>
            </w:tcBorders>
            <w:shd w:val="clear" w:color="auto" w:fill="auto"/>
            <w:noWrap/>
            <w:vAlign w:val="center"/>
          </w:tcPr>
          <w:p w14:paraId="3940485B">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μg/L</w:t>
            </w:r>
          </w:p>
        </w:tc>
        <w:tc>
          <w:tcPr>
            <w:tcW w:w="3892" w:type="dxa"/>
            <w:tcBorders>
              <w:tl2br w:val="nil"/>
              <w:tr2bl w:val="nil"/>
            </w:tcBorders>
            <w:shd w:val="clear" w:color="auto" w:fill="auto"/>
            <w:noWrap/>
            <w:vAlign w:val="center"/>
          </w:tcPr>
          <w:p w14:paraId="6A4E469C">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343B267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45" w:hRule="atLeast"/>
        </w:trPr>
        <w:tc>
          <w:tcPr>
            <w:tcW w:w="2977" w:type="dxa"/>
            <w:tcBorders>
              <w:tl2br w:val="nil"/>
              <w:tr2bl w:val="nil"/>
            </w:tcBorders>
            <w:shd w:val="clear" w:color="auto" w:fill="auto"/>
            <w:vAlign w:val="center"/>
          </w:tcPr>
          <w:p w14:paraId="6FAA63A4">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苯</w:t>
            </w:r>
          </w:p>
        </w:tc>
        <w:tc>
          <w:tcPr>
            <w:tcW w:w="0" w:type="auto"/>
            <w:tcBorders>
              <w:tl2br w:val="nil"/>
              <w:tr2bl w:val="nil"/>
            </w:tcBorders>
            <w:shd w:val="clear" w:color="auto" w:fill="auto"/>
            <w:noWrap/>
            <w:vAlign w:val="center"/>
          </w:tcPr>
          <w:p w14:paraId="44F0EE8A">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μg/L</w:t>
            </w:r>
          </w:p>
        </w:tc>
        <w:tc>
          <w:tcPr>
            <w:tcW w:w="3892" w:type="dxa"/>
            <w:tcBorders>
              <w:tl2br w:val="nil"/>
              <w:tr2bl w:val="nil"/>
            </w:tcBorders>
            <w:shd w:val="clear" w:color="auto" w:fill="auto"/>
            <w:noWrap/>
            <w:vAlign w:val="center"/>
          </w:tcPr>
          <w:p w14:paraId="38030B40">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740BB75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trPr>
        <w:tc>
          <w:tcPr>
            <w:tcW w:w="2977" w:type="dxa"/>
            <w:tcBorders>
              <w:tl2br w:val="nil"/>
              <w:tr2bl w:val="nil"/>
            </w:tcBorders>
            <w:shd w:val="clear" w:color="auto" w:fill="auto"/>
            <w:vAlign w:val="center"/>
          </w:tcPr>
          <w:p w14:paraId="547B5210">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甲苯</w:t>
            </w:r>
          </w:p>
        </w:tc>
        <w:tc>
          <w:tcPr>
            <w:tcW w:w="0" w:type="auto"/>
            <w:tcBorders>
              <w:tl2br w:val="nil"/>
              <w:tr2bl w:val="nil"/>
            </w:tcBorders>
            <w:shd w:val="clear" w:color="auto" w:fill="auto"/>
            <w:noWrap/>
            <w:vAlign w:val="center"/>
          </w:tcPr>
          <w:p w14:paraId="06BD6474">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μg/L</w:t>
            </w:r>
          </w:p>
        </w:tc>
        <w:tc>
          <w:tcPr>
            <w:tcW w:w="3892" w:type="dxa"/>
            <w:tcBorders>
              <w:tl2br w:val="nil"/>
              <w:tr2bl w:val="nil"/>
            </w:tcBorders>
            <w:shd w:val="clear" w:color="auto" w:fill="auto"/>
            <w:noWrap/>
            <w:vAlign w:val="center"/>
          </w:tcPr>
          <w:p w14:paraId="066999C3">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272FEBE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trPr>
        <w:tc>
          <w:tcPr>
            <w:tcW w:w="2977" w:type="dxa"/>
            <w:tcBorders>
              <w:tl2br w:val="nil"/>
              <w:tr2bl w:val="nil"/>
            </w:tcBorders>
            <w:shd w:val="clear" w:color="auto" w:fill="auto"/>
            <w:vAlign w:val="center"/>
          </w:tcPr>
          <w:p w14:paraId="5D1CAEC8">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乙苯</w:t>
            </w:r>
          </w:p>
        </w:tc>
        <w:tc>
          <w:tcPr>
            <w:tcW w:w="0" w:type="auto"/>
            <w:tcBorders>
              <w:tl2br w:val="nil"/>
              <w:tr2bl w:val="nil"/>
            </w:tcBorders>
            <w:shd w:val="clear" w:color="auto" w:fill="auto"/>
            <w:noWrap/>
            <w:vAlign w:val="center"/>
          </w:tcPr>
          <w:p w14:paraId="3E68282B">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μg/L</w:t>
            </w:r>
          </w:p>
        </w:tc>
        <w:tc>
          <w:tcPr>
            <w:tcW w:w="3892" w:type="dxa"/>
            <w:tcBorders>
              <w:tl2br w:val="nil"/>
              <w:tr2bl w:val="nil"/>
            </w:tcBorders>
            <w:shd w:val="clear" w:color="auto" w:fill="auto"/>
            <w:noWrap/>
            <w:vAlign w:val="center"/>
          </w:tcPr>
          <w:p w14:paraId="28B27E79">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4CF5048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trPr>
        <w:tc>
          <w:tcPr>
            <w:tcW w:w="2977" w:type="dxa"/>
            <w:tcBorders>
              <w:tl2br w:val="nil"/>
              <w:tr2bl w:val="nil"/>
            </w:tcBorders>
            <w:shd w:val="clear" w:color="auto" w:fill="auto"/>
            <w:vAlign w:val="center"/>
          </w:tcPr>
          <w:p w14:paraId="7EBB0DF6">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间,对-二甲苯</w:t>
            </w:r>
          </w:p>
        </w:tc>
        <w:tc>
          <w:tcPr>
            <w:tcW w:w="0" w:type="auto"/>
            <w:tcBorders>
              <w:tl2br w:val="nil"/>
              <w:tr2bl w:val="nil"/>
            </w:tcBorders>
            <w:shd w:val="clear" w:color="auto" w:fill="auto"/>
            <w:noWrap/>
            <w:vAlign w:val="center"/>
          </w:tcPr>
          <w:p w14:paraId="445E79EF">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μg/L</w:t>
            </w:r>
          </w:p>
        </w:tc>
        <w:tc>
          <w:tcPr>
            <w:tcW w:w="3892" w:type="dxa"/>
            <w:tcBorders>
              <w:tl2br w:val="nil"/>
              <w:tr2bl w:val="nil"/>
            </w:tcBorders>
            <w:shd w:val="clear" w:color="auto" w:fill="auto"/>
            <w:noWrap/>
            <w:vAlign w:val="center"/>
          </w:tcPr>
          <w:p w14:paraId="767B67B2">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6B2FCBA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trPr>
        <w:tc>
          <w:tcPr>
            <w:tcW w:w="2977" w:type="dxa"/>
            <w:tcBorders>
              <w:tl2br w:val="nil"/>
              <w:tr2bl w:val="nil"/>
            </w:tcBorders>
            <w:shd w:val="clear" w:color="auto" w:fill="auto"/>
            <w:vAlign w:val="center"/>
          </w:tcPr>
          <w:p w14:paraId="10E49DCE">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邻-二甲苯</w:t>
            </w:r>
          </w:p>
        </w:tc>
        <w:tc>
          <w:tcPr>
            <w:tcW w:w="0" w:type="auto"/>
            <w:tcBorders>
              <w:tl2br w:val="nil"/>
              <w:tr2bl w:val="nil"/>
            </w:tcBorders>
            <w:shd w:val="clear" w:color="auto" w:fill="auto"/>
            <w:noWrap/>
            <w:vAlign w:val="center"/>
          </w:tcPr>
          <w:p w14:paraId="53B8286F">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μg/L</w:t>
            </w:r>
          </w:p>
        </w:tc>
        <w:tc>
          <w:tcPr>
            <w:tcW w:w="3892" w:type="dxa"/>
            <w:tcBorders>
              <w:tl2br w:val="nil"/>
              <w:tr2bl w:val="nil"/>
            </w:tcBorders>
            <w:shd w:val="clear" w:color="auto" w:fill="auto"/>
            <w:noWrap/>
            <w:vAlign w:val="center"/>
          </w:tcPr>
          <w:p w14:paraId="4513386D">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5F4D321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trPr>
        <w:tc>
          <w:tcPr>
            <w:tcW w:w="2977" w:type="dxa"/>
            <w:tcBorders>
              <w:tl2br w:val="nil"/>
              <w:tr2bl w:val="nil"/>
            </w:tcBorders>
            <w:shd w:val="clear" w:color="auto" w:fill="auto"/>
            <w:vAlign w:val="center"/>
          </w:tcPr>
          <w:p w14:paraId="13686359">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氯苯</w:t>
            </w:r>
          </w:p>
        </w:tc>
        <w:tc>
          <w:tcPr>
            <w:tcW w:w="0" w:type="auto"/>
            <w:tcBorders>
              <w:tl2br w:val="nil"/>
              <w:tr2bl w:val="nil"/>
            </w:tcBorders>
            <w:shd w:val="clear" w:color="auto" w:fill="auto"/>
            <w:noWrap/>
            <w:vAlign w:val="center"/>
          </w:tcPr>
          <w:p w14:paraId="4BCFB222">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μg/L</w:t>
            </w:r>
          </w:p>
        </w:tc>
        <w:tc>
          <w:tcPr>
            <w:tcW w:w="3892" w:type="dxa"/>
            <w:tcBorders>
              <w:tl2br w:val="nil"/>
              <w:tr2bl w:val="nil"/>
            </w:tcBorders>
            <w:shd w:val="clear" w:color="auto" w:fill="auto"/>
            <w:noWrap/>
            <w:vAlign w:val="center"/>
          </w:tcPr>
          <w:p w14:paraId="59E9ECC2">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38693BE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trPr>
        <w:tc>
          <w:tcPr>
            <w:tcW w:w="2977" w:type="dxa"/>
            <w:tcBorders>
              <w:tl2br w:val="nil"/>
              <w:tr2bl w:val="nil"/>
            </w:tcBorders>
            <w:shd w:val="clear" w:color="auto" w:fill="auto"/>
            <w:vAlign w:val="center"/>
          </w:tcPr>
          <w:p w14:paraId="5FCA72A8">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对-二氯苯</w:t>
            </w:r>
          </w:p>
        </w:tc>
        <w:tc>
          <w:tcPr>
            <w:tcW w:w="0" w:type="auto"/>
            <w:tcBorders>
              <w:tl2br w:val="nil"/>
              <w:tr2bl w:val="nil"/>
            </w:tcBorders>
            <w:shd w:val="clear" w:color="auto" w:fill="auto"/>
            <w:noWrap/>
            <w:vAlign w:val="center"/>
          </w:tcPr>
          <w:p w14:paraId="2DC3C59C">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μg/L</w:t>
            </w:r>
          </w:p>
        </w:tc>
        <w:tc>
          <w:tcPr>
            <w:tcW w:w="3892" w:type="dxa"/>
            <w:tcBorders>
              <w:tl2br w:val="nil"/>
              <w:tr2bl w:val="nil"/>
            </w:tcBorders>
            <w:shd w:val="clear" w:color="auto" w:fill="auto"/>
            <w:noWrap/>
            <w:vAlign w:val="center"/>
          </w:tcPr>
          <w:p w14:paraId="2C4B71C2">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6CB6FC0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45" w:hRule="atLeast"/>
        </w:trPr>
        <w:tc>
          <w:tcPr>
            <w:tcW w:w="2977" w:type="dxa"/>
            <w:tcBorders>
              <w:tl2br w:val="nil"/>
              <w:tr2bl w:val="nil"/>
            </w:tcBorders>
            <w:shd w:val="clear" w:color="auto" w:fill="auto"/>
            <w:vAlign w:val="center"/>
          </w:tcPr>
          <w:p w14:paraId="51E15D5F">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邻-二氯苯</w:t>
            </w:r>
          </w:p>
        </w:tc>
        <w:tc>
          <w:tcPr>
            <w:tcW w:w="0" w:type="auto"/>
            <w:tcBorders>
              <w:tl2br w:val="nil"/>
              <w:tr2bl w:val="nil"/>
            </w:tcBorders>
            <w:shd w:val="clear" w:color="auto" w:fill="auto"/>
            <w:noWrap/>
            <w:vAlign w:val="center"/>
          </w:tcPr>
          <w:p w14:paraId="3E15A530">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μg/L</w:t>
            </w:r>
          </w:p>
        </w:tc>
        <w:tc>
          <w:tcPr>
            <w:tcW w:w="3892" w:type="dxa"/>
            <w:tcBorders>
              <w:tl2br w:val="nil"/>
              <w:tr2bl w:val="nil"/>
            </w:tcBorders>
            <w:shd w:val="clear" w:color="auto" w:fill="auto"/>
            <w:noWrap/>
            <w:vAlign w:val="center"/>
          </w:tcPr>
          <w:p w14:paraId="29F1AA7B">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3655E8D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trPr>
        <w:tc>
          <w:tcPr>
            <w:tcW w:w="2977" w:type="dxa"/>
            <w:tcBorders>
              <w:tl2br w:val="nil"/>
              <w:tr2bl w:val="nil"/>
            </w:tcBorders>
            <w:shd w:val="clear" w:color="auto" w:fill="auto"/>
            <w:vAlign w:val="center"/>
          </w:tcPr>
          <w:p w14:paraId="39544321">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对-硝基氯苯</w:t>
            </w:r>
          </w:p>
        </w:tc>
        <w:tc>
          <w:tcPr>
            <w:tcW w:w="0" w:type="auto"/>
            <w:tcBorders>
              <w:tl2br w:val="nil"/>
              <w:tr2bl w:val="nil"/>
            </w:tcBorders>
            <w:shd w:val="clear" w:color="auto" w:fill="auto"/>
            <w:noWrap/>
            <w:vAlign w:val="center"/>
          </w:tcPr>
          <w:p w14:paraId="45E03D35">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μg/L</w:t>
            </w:r>
          </w:p>
        </w:tc>
        <w:tc>
          <w:tcPr>
            <w:tcW w:w="3892" w:type="dxa"/>
            <w:tcBorders>
              <w:tl2br w:val="nil"/>
              <w:tr2bl w:val="nil"/>
            </w:tcBorders>
            <w:shd w:val="clear" w:color="auto" w:fill="auto"/>
            <w:noWrap/>
            <w:vAlign w:val="center"/>
          </w:tcPr>
          <w:p w14:paraId="259888B3">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7229E24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45" w:hRule="atLeast"/>
        </w:trPr>
        <w:tc>
          <w:tcPr>
            <w:tcW w:w="2977" w:type="dxa"/>
            <w:tcBorders>
              <w:tl2br w:val="nil"/>
              <w:tr2bl w:val="nil"/>
            </w:tcBorders>
            <w:shd w:val="clear" w:color="auto" w:fill="auto"/>
            <w:vAlign w:val="center"/>
          </w:tcPr>
          <w:p w14:paraId="568937E3">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2,4-二硝基氯苯</w:t>
            </w:r>
          </w:p>
        </w:tc>
        <w:tc>
          <w:tcPr>
            <w:tcW w:w="0" w:type="auto"/>
            <w:tcBorders>
              <w:tl2br w:val="nil"/>
              <w:tr2bl w:val="nil"/>
            </w:tcBorders>
            <w:shd w:val="clear" w:color="auto" w:fill="auto"/>
            <w:noWrap/>
            <w:vAlign w:val="center"/>
          </w:tcPr>
          <w:p w14:paraId="2006B1C6">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μg/L</w:t>
            </w:r>
          </w:p>
        </w:tc>
        <w:tc>
          <w:tcPr>
            <w:tcW w:w="3892" w:type="dxa"/>
            <w:tcBorders>
              <w:tl2br w:val="nil"/>
              <w:tr2bl w:val="nil"/>
            </w:tcBorders>
            <w:shd w:val="clear" w:color="auto" w:fill="auto"/>
            <w:noWrap/>
            <w:vAlign w:val="center"/>
          </w:tcPr>
          <w:p w14:paraId="57000210">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3B04AF4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45" w:hRule="atLeast"/>
        </w:trPr>
        <w:tc>
          <w:tcPr>
            <w:tcW w:w="2977" w:type="dxa"/>
            <w:tcBorders>
              <w:tl2br w:val="nil"/>
              <w:tr2bl w:val="nil"/>
            </w:tcBorders>
            <w:shd w:val="clear" w:color="auto" w:fill="auto"/>
            <w:vAlign w:val="center"/>
          </w:tcPr>
          <w:p w14:paraId="5B273193">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苯酚</w:t>
            </w:r>
          </w:p>
        </w:tc>
        <w:tc>
          <w:tcPr>
            <w:tcW w:w="0" w:type="auto"/>
            <w:tcBorders>
              <w:tl2br w:val="nil"/>
              <w:tr2bl w:val="nil"/>
            </w:tcBorders>
            <w:shd w:val="clear" w:color="auto" w:fill="auto"/>
            <w:noWrap/>
            <w:vAlign w:val="center"/>
          </w:tcPr>
          <w:p w14:paraId="775F6AF7">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μg/L</w:t>
            </w:r>
          </w:p>
        </w:tc>
        <w:tc>
          <w:tcPr>
            <w:tcW w:w="3892" w:type="dxa"/>
            <w:tcBorders>
              <w:tl2br w:val="nil"/>
              <w:tr2bl w:val="nil"/>
            </w:tcBorders>
            <w:shd w:val="clear" w:color="auto" w:fill="auto"/>
            <w:noWrap/>
            <w:vAlign w:val="center"/>
          </w:tcPr>
          <w:p w14:paraId="31969533">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0C5D596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trPr>
        <w:tc>
          <w:tcPr>
            <w:tcW w:w="2977" w:type="dxa"/>
            <w:tcBorders>
              <w:tl2br w:val="nil"/>
              <w:tr2bl w:val="nil"/>
            </w:tcBorders>
            <w:shd w:val="clear" w:color="auto" w:fill="auto"/>
            <w:vAlign w:val="center"/>
          </w:tcPr>
          <w:p w14:paraId="35BF4C62">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间-甲酚</w:t>
            </w:r>
          </w:p>
        </w:tc>
        <w:tc>
          <w:tcPr>
            <w:tcW w:w="0" w:type="auto"/>
            <w:tcBorders>
              <w:tl2br w:val="nil"/>
              <w:tr2bl w:val="nil"/>
            </w:tcBorders>
            <w:shd w:val="clear" w:color="auto" w:fill="auto"/>
            <w:noWrap/>
            <w:vAlign w:val="center"/>
          </w:tcPr>
          <w:p w14:paraId="720A6144">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μg/L</w:t>
            </w:r>
          </w:p>
        </w:tc>
        <w:tc>
          <w:tcPr>
            <w:tcW w:w="3892" w:type="dxa"/>
            <w:tcBorders>
              <w:tl2br w:val="nil"/>
              <w:tr2bl w:val="nil"/>
            </w:tcBorders>
            <w:shd w:val="clear" w:color="auto" w:fill="auto"/>
            <w:noWrap/>
            <w:vAlign w:val="center"/>
          </w:tcPr>
          <w:p w14:paraId="739EEE6F">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1B0223C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trPr>
        <w:tc>
          <w:tcPr>
            <w:tcW w:w="2977" w:type="dxa"/>
            <w:tcBorders>
              <w:tl2br w:val="nil"/>
              <w:tr2bl w:val="nil"/>
            </w:tcBorders>
            <w:shd w:val="clear" w:color="auto" w:fill="auto"/>
            <w:vAlign w:val="center"/>
          </w:tcPr>
          <w:p w14:paraId="41C50D27">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2,4-二氯酚</w:t>
            </w:r>
          </w:p>
        </w:tc>
        <w:tc>
          <w:tcPr>
            <w:tcW w:w="0" w:type="auto"/>
            <w:tcBorders>
              <w:tl2br w:val="nil"/>
              <w:tr2bl w:val="nil"/>
            </w:tcBorders>
            <w:shd w:val="clear" w:color="auto" w:fill="auto"/>
            <w:noWrap/>
            <w:vAlign w:val="center"/>
          </w:tcPr>
          <w:p w14:paraId="6A026398">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μg/L</w:t>
            </w:r>
          </w:p>
        </w:tc>
        <w:tc>
          <w:tcPr>
            <w:tcW w:w="3892" w:type="dxa"/>
            <w:tcBorders>
              <w:tl2br w:val="nil"/>
              <w:tr2bl w:val="nil"/>
            </w:tcBorders>
            <w:shd w:val="clear" w:color="auto" w:fill="auto"/>
            <w:noWrap/>
            <w:vAlign w:val="center"/>
          </w:tcPr>
          <w:p w14:paraId="3AD4B526">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6A1617E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45" w:hRule="atLeast"/>
        </w:trPr>
        <w:tc>
          <w:tcPr>
            <w:tcW w:w="2977" w:type="dxa"/>
            <w:tcBorders>
              <w:tl2br w:val="nil"/>
              <w:tr2bl w:val="nil"/>
            </w:tcBorders>
            <w:shd w:val="clear" w:color="auto" w:fill="auto"/>
            <w:vAlign w:val="center"/>
          </w:tcPr>
          <w:p w14:paraId="681185C8">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2,4,6-三氯酚</w:t>
            </w:r>
          </w:p>
        </w:tc>
        <w:tc>
          <w:tcPr>
            <w:tcW w:w="0" w:type="auto"/>
            <w:tcBorders>
              <w:tl2br w:val="nil"/>
              <w:tr2bl w:val="nil"/>
            </w:tcBorders>
            <w:shd w:val="clear" w:color="auto" w:fill="auto"/>
            <w:noWrap/>
            <w:vAlign w:val="center"/>
          </w:tcPr>
          <w:p w14:paraId="567C0235">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μg/L</w:t>
            </w:r>
          </w:p>
        </w:tc>
        <w:tc>
          <w:tcPr>
            <w:tcW w:w="3892" w:type="dxa"/>
            <w:tcBorders>
              <w:tl2br w:val="nil"/>
              <w:tr2bl w:val="nil"/>
            </w:tcBorders>
            <w:shd w:val="clear" w:color="auto" w:fill="auto"/>
            <w:noWrap/>
            <w:vAlign w:val="center"/>
          </w:tcPr>
          <w:p w14:paraId="39CBA6AC">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6B7168C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 w:hRule="atLeast"/>
        </w:trPr>
        <w:tc>
          <w:tcPr>
            <w:tcW w:w="2977" w:type="dxa"/>
            <w:tcBorders>
              <w:tl2br w:val="nil"/>
              <w:tr2bl w:val="nil"/>
            </w:tcBorders>
            <w:shd w:val="clear" w:color="auto" w:fill="auto"/>
            <w:vAlign w:val="center"/>
          </w:tcPr>
          <w:p w14:paraId="6199612C">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邻苯二甲酸二丁酯</w:t>
            </w:r>
          </w:p>
        </w:tc>
        <w:tc>
          <w:tcPr>
            <w:tcW w:w="0" w:type="auto"/>
            <w:tcBorders>
              <w:tl2br w:val="nil"/>
              <w:tr2bl w:val="nil"/>
            </w:tcBorders>
            <w:shd w:val="clear" w:color="auto" w:fill="auto"/>
            <w:noWrap/>
            <w:vAlign w:val="center"/>
          </w:tcPr>
          <w:p w14:paraId="7B864BE0">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μg/L</w:t>
            </w:r>
          </w:p>
        </w:tc>
        <w:tc>
          <w:tcPr>
            <w:tcW w:w="3892" w:type="dxa"/>
            <w:tcBorders>
              <w:tl2br w:val="nil"/>
              <w:tr2bl w:val="nil"/>
            </w:tcBorders>
            <w:shd w:val="clear" w:color="auto" w:fill="auto"/>
            <w:noWrap/>
            <w:vAlign w:val="center"/>
          </w:tcPr>
          <w:p w14:paraId="0D873DEE">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502D35E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35" w:hRule="atLeast"/>
        </w:trPr>
        <w:tc>
          <w:tcPr>
            <w:tcW w:w="2977" w:type="dxa"/>
            <w:tcBorders>
              <w:tl2br w:val="nil"/>
              <w:tr2bl w:val="nil"/>
            </w:tcBorders>
            <w:shd w:val="clear" w:color="auto" w:fill="auto"/>
            <w:vAlign w:val="center"/>
          </w:tcPr>
          <w:p w14:paraId="1B4D00AF">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邻苯二甲酸二辛酯</w:t>
            </w:r>
          </w:p>
        </w:tc>
        <w:tc>
          <w:tcPr>
            <w:tcW w:w="0" w:type="auto"/>
            <w:tcBorders>
              <w:tl2br w:val="nil"/>
              <w:tr2bl w:val="nil"/>
            </w:tcBorders>
            <w:shd w:val="clear" w:color="auto" w:fill="auto"/>
            <w:noWrap/>
            <w:vAlign w:val="center"/>
          </w:tcPr>
          <w:p w14:paraId="181F3844">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μg/L</w:t>
            </w:r>
          </w:p>
        </w:tc>
        <w:tc>
          <w:tcPr>
            <w:tcW w:w="3892" w:type="dxa"/>
            <w:tcBorders>
              <w:tl2br w:val="nil"/>
              <w:tr2bl w:val="nil"/>
            </w:tcBorders>
            <w:shd w:val="clear" w:color="auto" w:fill="auto"/>
            <w:noWrap/>
            <w:vAlign w:val="center"/>
          </w:tcPr>
          <w:p w14:paraId="4C05FB5A">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3C5888E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30" w:hRule="atLeast"/>
        </w:trPr>
        <w:tc>
          <w:tcPr>
            <w:tcW w:w="2977" w:type="dxa"/>
            <w:tcBorders>
              <w:tl2br w:val="nil"/>
              <w:tr2bl w:val="nil"/>
            </w:tcBorders>
            <w:shd w:val="clear" w:color="auto" w:fill="auto"/>
            <w:vAlign w:val="center"/>
          </w:tcPr>
          <w:p w14:paraId="7E462959">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丙烯腈</w:t>
            </w:r>
          </w:p>
        </w:tc>
        <w:tc>
          <w:tcPr>
            <w:tcW w:w="0" w:type="auto"/>
            <w:tcBorders>
              <w:tl2br w:val="nil"/>
              <w:tr2bl w:val="nil"/>
            </w:tcBorders>
            <w:shd w:val="clear" w:color="auto" w:fill="auto"/>
            <w:noWrap/>
            <w:vAlign w:val="center"/>
          </w:tcPr>
          <w:p w14:paraId="6DDD3DFB">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3892" w:type="dxa"/>
            <w:tcBorders>
              <w:tl2br w:val="nil"/>
              <w:tr2bl w:val="nil"/>
            </w:tcBorders>
            <w:shd w:val="clear" w:color="auto" w:fill="auto"/>
            <w:noWrap/>
            <w:vAlign w:val="center"/>
          </w:tcPr>
          <w:p w14:paraId="6BFB0FAA">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5A440E2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51" w:hRule="atLeast"/>
        </w:trPr>
        <w:tc>
          <w:tcPr>
            <w:tcW w:w="2977" w:type="dxa"/>
            <w:tcBorders>
              <w:tl2br w:val="nil"/>
              <w:tr2bl w:val="nil"/>
            </w:tcBorders>
            <w:shd w:val="clear" w:color="auto" w:fill="auto"/>
            <w:vAlign w:val="center"/>
          </w:tcPr>
          <w:p w14:paraId="1AA008CD">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总硒</w:t>
            </w:r>
          </w:p>
        </w:tc>
        <w:tc>
          <w:tcPr>
            <w:tcW w:w="0" w:type="auto"/>
            <w:tcBorders>
              <w:tl2br w:val="nil"/>
              <w:tr2bl w:val="nil"/>
            </w:tcBorders>
            <w:shd w:val="clear" w:color="auto" w:fill="auto"/>
            <w:noWrap/>
            <w:vAlign w:val="center"/>
          </w:tcPr>
          <w:p w14:paraId="243B121A">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μg/L</w:t>
            </w:r>
          </w:p>
        </w:tc>
        <w:tc>
          <w:tcPr>
            <w:tcW w:w="3892" w:type="dxa"/>
            <w:tcBorders>
              <w:tl2br w:val="nil"/>
              <w:tr2bl w:val="nil"/>
            </w:tcBorders>
            <w:shd w:val="clear" w:color="auto" w:fill="auto"/>
            <w:noWrap/>
            <w:vAlign w:val="center"/>
          </w:tcPr>
          <w:p w14:paraId="11557F8A">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ND</w:t>
            </w:r>
          </w:p>
        </w:tc>
      </w:tr>
      <w:tr w14:paraId="6DF72FD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30" w:hRule="atLeast"/>
        </w:trPr>
        <w:tc>
          <w:tcPr>
            <w:tcW w:w="2977" w:type="dxa"/>
            <w:tcBorders>
              <w:tl2br w:val="nil"/>
              <w:tr2bl w:val="nil"/>
            </w:tcBorders>
            <w:shd w:val="clear" w:color="auto" w:fill="auto"/>
            <w:vAlign w:val="center"/>
          </w:tcPr>
          <w:p w14:paraId="7A1AE053">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总有机碳</w:t>
            </w:r>
          </w:p>
        </w:tc>
        <w:tc>
          <w:tcPr>
            <w:tcW w:w="0" w:type="auto"/>
            <w:tcBorders>
              <w:tl2br w:val="nil"/>
              <w:tr2bl w:val="nil"/>
            </w:tcBorders>
            <w:shd w:val="clear" w:color="auto" w:fill="auto"/>
            <w:noWrap/>
            <w:vAlign w:val="center"/>
          </w:tcPr>
          <w:p w14:paraId="6F4ABF43">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mg/L</w:t>
            </w:r>
          </w:p>
        </w:tc>
        <w:tc>
          <w:tcPr>
            <w:tcW w:w="3892" w:type="dxa"/>
            <w:tcBorders>
              <w:tl2br w:val="nil"/>
              <w:tr2bl w:val="nil"/>
            </w:tcBorders>
            <w:shd w:val="clear" w:color="auto" w:fill="auto"/>
            <w:noWrap/>
            <w:vAlign w:val="center"/>
          </w:tcPr>
          <w:p w14:paraId="0434D5D8">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3.1</w:t>
            </w:r>
          </w:p>
        </w:tc>
      </w:tr>
      <w:tr w14:paraId="1755A94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30" w:hRule="atLeast"/>
        </w:trPr>
        <w:tc>
          <w:tcPr>
            <w:tcW w:w="2977" w:type="dxa"/>
            <w:tcBorders>
              <w:tl2br w:val="nil"/>
              <w:tr2bl w:val="nil"/>
            </w:tcBorders>
            <w:shd w:val="clear" w:color="auto" w:fill="auto"/>
            <w:vAlign w:val="center"/>
          </w:tcPr>
          <w:p w14:paraId="3B30E48B">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有机质</w:t>
            </w:r>
          </w:p>
        </w:tc>
        <w:tc>
          <w:tcPr>
            <w:tcW w:w="2030" w:type="dxa"/>
            <w:tcBorders>
              <w:tl2br w:val="nil"/>
              <w:tr2bl w:val="nil"/>
            </w:tcBorders>
            <w:shd w:val="clear" w:color="auto" w:fill="auto"/>
            <w:vAlign w:val="center"/>
          </w:tcPr>
          <w:p w14:paraId="40DD6F01">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3892" w:type="dxa"/>
            <w:tcBorders>
              <w:tl2br w:val="nil"/>
              <w:tr2bl w:val="nil"/>
            </w:tcBorders>
            <w:shd w:val="clear" w:color="auto" w:fill="auto"/>
            <w:vAlign w:val="center"/>
          </w:tcPr>
          <w:p w14:paraId="0D2A2A1E">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7.53</w:t>
            </w:r>
          </w:p>
        </w:tc>
      </w:tr>
      <w:tr w14:paraId="4FEE18B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38" w:hRule="atLeast"/>
        </w:trPr>
        <w:tc>
          <w:tcPr>
            <w:tcW w:w="2977" w:type="dxa"/>
            <w:tcBorders>
              <w:tl2br w:val="nil"/>
              <w:tr2bl w:val="nil"/>
            </w:tcBorders>
            <w:shd w:val="clear" w:color="auto" w:fill="auto"/>
            <w:vAlign w:val="center"/>
          </w:tcPr>
          <w:p w14:paraId="3C2F1342">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水溶性盐总量</w:t>
            </w:r>
          </w:p>
        </w:tc>
        <w:tc>
          <w:tcPr>
            <w:tcW w:w="2030" w:type="dxa"/>
            <w:tcBorders>
              <w:tl2br w:val="nil"/>
              <w:tr2bl w:val="nil"/>
            </w:tcBorders>
            <w:shd w:val="clear" w:color="auto" w:fill="auto"/>
            <w:vAlign w:val="center"/>
          </w:tcPr>
          <w:p w14:paraId="7A7C8835">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g/kg</w:t>
            </w:r>
          </w:p>
        </w:tc>
        <w:tc>
          <w:tcPr>
            <w:tcW w:w="3892" w:type="dxa"/>
            <w:tcBorders>
              <w:tl2br w:val="nil"/>
              <w:tr2bl w:val="nil"/>
            </w:tcBorders>
            <w:shd w:val="clear" w:color="auto" w:fill="auto"/>
            <w:vAlign w:val="center"/>
          </w:tcPr>
          <w:p w14:paraId="3A355154">
            <w:pPr>
              <w:pStyle w:val="4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1.0</w:t>
            </w:r>
          </w:p>
        </w:tc>
      </w:tr>
      <w:bookmarkEnd w:id="168"/>
    </w:tbl>
    <w:p w14:paraId="7EA863F2">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注：pH为无量纲；L表示小于方法检出限</w:t>
      </w:r>
    </w:p>
    <w:p w14:paraId="75FC996F">
      <w:pPr>
        <w:pStyle w:val="25"/>
        <w:bidi w:val="0"/>
        <w:rPr>
          <w:rFonts w:hint="default" w:ascii="Times New Roman" w:hAnsi="Times New Roman" w:cs="Times New Roman"/>
          <w:color w:val="auto"/>
          <w:highlight w:val="none"/>
        </w:rPr>
      </w:pPr>
      <w:bookmarkStart w:id="169" w:name="_Hlk150849235"/>
      <w:r>
        <w:rPr>
          <w:rFonts w:hint="default" w:ascii="Times New Roman" w:hAnsi="Times New Roman" w:cs="Times New Roman"/>
          <w:color w:val="auto"/>
          <w:highlight w:val="none"/>
        </w:rPr>
        <w:t>根据《固体废物 浸出毒性浸出方法 水平振荡法》（HJ557-2010）配置的浸出液的试验结果，</w:t>
      </w:r>
      <w:bookmarkEnd w:id="169"/>
      <w:r>
        <w:rPr>
          <w:rFonts w:hint="default" w:ascii="Times New Roman" w:hAnsi="Times New Roman" w:cs="Times New Roman"/>
          <w:color w:val="auto"/>
          <w:highlight w:val="none"/>
        </w:rPr>
        <w:t>浸出液中任何一种污染物的浓度均未超过《污水综合排放标准》（GB8978-1996）中最高允许排放浓度，且pH值在6~9范围之内，因此，本项目利用的煤矸石属于第</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1 \* ROMAN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I</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类一般工业固体废物。</w:t>
      </w:r>
    </w:p>
    <w:p w14:paraId="26AA7868">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④回填可行性</w:t>
      </w:r>
    </w:p>
    <w:p w14:paraId="3DF69268">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本项目在回填活动前已开展环境本底调查，并按照《建设用地土壤污染风险评估技术导则》（HJ25.3-2019）等相关标准开展环境风险评估，形成了环境风险评估报告并通过专家评审（</w:t>
      </w:r>
      <w:r>
        <w:rPr>
          <w:rFonts w:hint="default" w:ascii="Times New Roman" w:hAnsi="Times New Roman" w:cs="Times New Roman"/>
          <w:color w:val="auto"/>
          <w:highlight w:val="none"/>
          <w:lang w:val="en-US" w:eastAsia="zh-CN"/>
        </w:rPr>
        <w:t>见</w:t>
      </w:r>
      <w:r>
        <w:rPr>
          <w:rFonts w:hint="default" w:ascii="Times New Roman" w:hAnsi="Times New Roman" w:cs="Times New Roman"/>
          <w:color w:val="auto"/>
          <w:highlight w:val="none"/>
        </w:rPr>
        <w:t>附件），风险评估报告重点评估项目对地下水、地表水及周边土壤的环境污染风险，结合环境风险评估结果，回填材料煤矸石属第I类一般工业固体废物，煤矸石中可溶性重金属含量较低，对土壤和地下水水质的影响轻微，淋溶水不会对地下水和周边土壤环境造成明显影响，评估结论为对周边环境风险可接受。距项目最近的地表水体</w:t>
      </w:r>
      <w:r>
        <w:rPr>
          <w:rFonts w:hint="default" w:ascii="Times New Roman" w:hAnsi="Times New Roman" w:cs="Times New Roman"/>
          <w:color w:val="auto"/>
          <w:highlight w:val="none"/>
          <w:lang w:val="en-US" w:eastAsia="zh-CN"/>
        </w:rPr>
        <w:t>城子</w:t>
      </w:r>
      <w:r>
        <w:rPr>
          <w:rFonts w:hint="default" w:ascii="Times New Roman" w:hAnsi="Times New Roman" w:cs="Times New Roman"/>
          <w:color w:val="auto"/>
          <w:highlight w:val="none"/>
        </w:rPr>
        <w:t>河位于项目区东侧</w:t>
      </w:r>
      <w:r>
        <w:rPr>
          <w:rFonts w:hint="default" w:ascii="Times New Roman" w:hAnsi="Times New Roman" w:cs="Times New Roman"/>
          <w:color w:val="auto"/>
          <w:highlight w:val="none"/>
          <w:lang w:val="en-US" w:eastAsia="zh-CN"/>
        </w:rPr>
        <w:t>150</w:t>
      </w:r>
      <w:r>
        <w:rPr>
          <w:rFonts w:hint="default" w:ascii="Times New Roman" w:hAnsi="Times New Roman" w:cs="Times New Roman"/>
          <w:color w:val="auto"/>
          <w:highlight w:val="none"/>
        </w:rPr>
        <w:t>m，本项目不设置停车库，不产生地面冲洗水，工作人员产生的生活污水依托周围村屯防渗旱厕处理，定期清掏，外运堆肥，因此本项目建设不存在地表水污染风险。因此，本项目利用煤矸石对废弃采坑进行回填复垦是可行的，对地下水、地表水及周边土壤的环境污染风险可接受。在生态恢复期，加强对地下水和周边土壤的监测，当监测发现超出环境质量本底值的20%后，应当采取相应的对策措施。</w:t>
      </w:r>
    </w:p>
    <w:p w14:paraId="5618EEA1">
      <w:pPr>
        <w:numPr>
          <w:ilvl w:val="0"/>
          <w:numId w:val="0"/>
        </w:numPr>
        <w:bidi w:val="0"/>
        <w:ind w:left="0" w:leftChars="0" w:firstLine="480" w:firstLineChars="200"/>
        <w:rPr>
          <w:rFonts w:hint="eastAsia" w:cs="Times New Roman"/>
          <w:color w:val="auto"/>
          <w:highlight w:val="none"/>
          <w:lang w:val="en-US" w:eastAsia="zh-CN"/>
        </w:rPr>
      </w:pPr>
      <w:r>
        <w:rPr>
          <w:rFonts w:hint="eastAsia" w:cs="Times New Roman"/>
          <w:color w:val="auto"/>
          <w:kern w:val="2"/>
          <w:sz w:val="24"/>
          <w:szCs w:val="24"/>
          <w:lang w:val="en-US" w:eastAsia="zh-CN" w:bidi="ar-SA"/>
        </w:rPr>
        <w:t>4</w:t>
      </w:r>
      <w:r>
        <w:rPr>
          <w:rFonts w:hint="eastAsia" w:ascii="Times New Roman" w:hAnsi="Times New Roman" w:eastAsia="宋体" w:cs="Times New Roman"/>
          <w:color w:val="auto"/>
          <w:kern w:val="2"/>
          <w:sz w:val="24"/>
          <w:szCs w:val="24"/>
          <w:lang w:val="en-US" w:eastAsia="zh-CN" w:bidi="ar-SA"/>
        </w:rPr>
        <w:t>、</w:t>
      </w:r>
      <w:r>
        <w:rPr>
          <w:rFonts w:hint="eastAsia" w:cs="Times New Roman"/>
          <w:color w:val="auto"/>
          <w:highlight w:val="none"/>
          <w:lang w:val="en-US" w:eastAsia="zh-CN"/>
        </w:rPr>
        <w:t>防渗工程</w:t>
      </w:r>
    </w:p>
    <w:p w14:paraId="43998E9D">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回填库区侧壁采用改性压实粘土类衬层或具有同等以上隔水效力的其他材料防渗衬层，其防渗性能应至少相当于渗透系数为 1.0×10</w:t>
      </w:r>
      <w:r>
        <w:rPr>
          <w:rFonts w:hint="default" w:ascii="Times New Roman" w:hAnsi="Times New Roman" w:eastAsia="宋体" w:cs="Times New Roman"/>
          <w:color w:val="auto"/>
          <w:highlight w:val="none"/>
          <w:vertAlign w:val="superscript"/>
          <w:lang w:val="en-US" w:eastAsia="zh-CN"/>
        </w:rPr>
        <w:t>-5</w:t>
      </w:r>
      <w:r>
        <w:rPr>
          <w:rFonts w:hint="default" w:ascii="Times New Roman" w:hAnsi="Times New Roman" w:eastAsia="宋体" w:cs="Times New Roman"/>
          <w:color w:val="auto"/>
          <w:highlight w:val="none"/>
          <w:lang w:val="en-US" w:eastAsia="zh-CN"/>
        </w:rPr>
        <w:t xml:space="preserve"> cm/s 且厚度为0.75 m的天然基础层。</w:t>
      </w:r>
    </w:p>
    <w:p w14:paraId="7D99E599">
      <w:pPr>
        <w:bidi w:val="0"/>
        <w:rPr>
          <w:rFonts w:hint="default" w:ascii="Times New Roman" w:hAnsi="Times New Roman" w:cs="Times New Roman"/>
          <w:color w:val="auto"/>
          <w:highlight w:val="none"/>
        </w:rPr>
      </w:pPr>
      <w:r>
        <w:rPr>
          <w:rFonts w:hint="eastAsia" w:cs="Times New Roman"/>
          <w:color w:val="auto"/>
          <w:highlight w:val="none"/>
          <w:lang w:val="en-US" w:eastAsia="zh-CN"/>
        </w:rPr>
        <w:t>5、</w:t>
      </w:r>
      <w:r>
        <w:rPr>
          <w:rFonts w:hint="default" w:ascii="Times New Roman" w:hAnsi="Times New Roman" w:cs="Times New Roman"/>
          <w:color w:val="auto"/>
          <w:highlight w:val="none"/>
        </w:rPr>
        <w:t>挡土墙工程</w:t>
      </w:r>
    </w:p>
    <w:p w14:paraId="17AD4482">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为了对东南侧坡脚堆积物提供阻挡支撑，在该区域坡脚设置一道挡土墙。采用直立式路墙，地面墙高2m。</w:t>
      </w:r>
    </w:p>
    <w:p w14:paraId="574520A6">
      <w:pPr>
        <w:bidi w:val="0"/>
        <w:rPr>
          <w:rFonts w:hint="default" w:ascii="Times New Roman" w:hAnsi="Times New Roman" w:cs="Times New Roman"/>
          <w:color w:val="auto"/>
          <w:highlight w:val="none"/>
        </w:rPr>
      </w:pPr>
      <w:r>
        <w:rPr>
          <w:rFonts w:hint="eastAsia" w:cs="Times New Roman"/>
          <w:color w:val="auto"/>
          <w:highlight w:val="none"/>
          <w:lang w:val="en-US" w:eastAsia="zh-CN"/>
        </w:rPr>
        <w:t>6</w:t>
      </w:r>
      <w:r>
        <w:rPr>
          <w:rFonts w:hint="default" w:ascii="Times New Roman" w:hAnsi="Times New Roman" w:cs="Times New Roman"/>
          <w:color w:val="auto"/>
          <w:highlight w:val="none"/>
        </w:rPr>
        <w:t>、截排水沟工程</w:t>
      </w:r>
    </w:p>
    <w:p w14:paraId="043A64BB">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根据地质条件及地形变化，以“截、排和引导”为原则，布置坡顶截排水工程，依据设计标准和设计原则，结合场地实际情况，距边坡顶边 3-5m顺坡向布设截排水沟。</w:t>
      </w:r>
    </w:p>
    <w:p w14:paraId="5297123A">
      <w:pPr>
        <w:bidi w:val="0"/>
        <w:rPr>
          <w:rFonts w:hint="default" w:ascii="Times New Roman" w:hAnsi="Times New Roman" w:cs="Times New Roman"/>
          <w:color w:val="auto"/>
          <w:highlight w:val="none"/>
        </w:rPr>
      </w:pPr>
      <w:r>
        <w:rPr>
          <w:rFonts w:hint="eastAsia" w:cs="Times New Roman"/>
          <w:color w:val="auto"/>
          <w:highlight w:val="none"/>
          <w:lang w:val="en-US" w:eastAsia="zh-CN"/>
        </w:rPr>
        <w:t>7</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植被恢复工程</w:t>
      </w:r>
    </w:p>
    <w:p w14:paraId="5BDAF19A">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为恢复项目区的生态环境、增加林地面积、改良土壤、提高空气质量，在场地平整区域开展植被恢复工程。在该区种植子松和撒播草籽，子松株高为 1.5m，采用梅花形布置树穴，树穴规格为0.6mx0.6mx0.8m，株行距 2.0m。种草前在该区域覆土 10cm，撒播草籽选用紫羊茅、早熟禾混合草籽(混合比例 1:3)10-12g/m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p>
    <w:p w14:paraId="75DBBC96">
      <w:pPr>
        <w:pStyle w:val="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3.1.4.2</w:t>
      </w:r>
      <w:r>
        <w:rPr>
          <w:rFonts w:hint="default" w:ascii="Times New Roman" w:hAnsi="Times New Roman" w:cs="Times New Roman"/>
          <w:color w:val="auto"/>
          <w:highlight w:val="none"/>
          <w:lang w:val="en-US" w:eastAsia="zh-CN"/>
        </w:rPr>
        <w:t>其他废弃采石场生态修复方案</w:t>
      </w:r>
    </w:p>
    <w:p w14:paraId="6714E972">
      <w:pPr>
        <w:rPr>
          <w:rFonts w:hint="default" w:ascii="Times New Roman" w:hAnsi="Times New Roman" w:cs="Times New Roman"/>
          <w:b w:val="0"/>
          <w:bCs/>
          <w:color w:val="auto"/>
          <w:highlight w:val="none"/>
          <w:lang w:val="en-US" w:eastAsia="zh-CN"/>
        </w:rPr>
      </w:pPr>
      <w:r>
        <w:rPr>
          <w:rFonts w:hint="default" w:ascii="Times New Roman" w:hAnsi="Times New Roman" w:cs="Times New Roman"/>
          <w:b w:val="0"/>
          <w:bCs/>
          <w:color w:val="auto"/>
          <w:highlight w:val="none"/>
          <w:lang w:val="en-US" w:eastAsia="zh-CN"/>
        </w:rPr>
        <w:t>本项目除2#场地外，还有7处废弃采石场进行修复，修复方案相似，基本为危岩清理、建筑清理工程、场地平整、CBS植被混凝土边坡绿化工程、挡土墙工程，截排水沟工程、植被恢复工程。</w:t>
      </w:r>
    </w:p>
    <w:p w14:paraId="09DEC520">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危岩清理边坡整形工程</w:t>
      </w:r>
    </w:p>
    <w:p w14:paraId="423D0F34">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采用人工清除的方法对坡面表层风化或被裂隙、节理等结构面切割出的岩块，以及已从母岩剥离、脱落但仍停留在坡体上威胁坡脚安全的孤石进行清除适当修整，使坡体表面尽可能平整顺直。</w:t>
      </w:r>
    </w:p>
    <w:p w14:paraId="560E223B">
      <w:pPr>
        <w:pStyle w:val="25"/>
        <w:numPr>
          <w:ilvl w:val="0"/>
          <w:numId w:val="0"/>
        </w:numPr>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kern w:val="2"/>
          <w:sz w:val="24"/>
          <w:szCs w:val="24"/>
          <w:highlight w:val="none"/>
          <w:lang w:val="en-US" w:eastAsia="zh-CN" w:bidi="ar-SA"/>
        </w:rPr>
        <w:t>2</w:t>
      </w:r>
      <w:r>
        <w:rPr>
          <w:rFonts w:hint="default" w:ascii="Times New Roman" w:hAnsi="Times New Roman" w:eastAsia="宋体" w:cs="Times New Roman"/>
          <w:color w:val="auto"/>
          <w:kern w:val="2"/>
          <w:sz w:val="24"/>
          <w:szCs w:val="24"/>
          <w:highlight w:val="none"/>
          <w:lang w:val="en-US" w:eastAsia="zh-CN" w:bidi="ar-SA"/>
        </w:rPr>
        <w:t>、</w:t>
      </w:r>
      <w:r>
        <w:rPr>
          <w:rFonts w:hint="default" w:ascii="Times New Roman" w:hAnsi="Times New Roman" w:cs="Times New Roman"/>
          <w:color w:val="auto"/>
          <w:kern w:val="2"/>
          <w:sz w:val="24"/>
          <w:szCs w:val="24"/>
          <w:highlight w:val="none"/>
          <w:lang w:val="en-US" w:eastAsia="zh-CN" w:bidi="ar-SA"/>
        </w:rPr>
        <w:t>建筑</w:t>
      </w:r>
      <w:r>
        <w:rPr>
          <w:rFonts w:hint="default" w:ascii="Times New Roman" w:hAnsi="Times New Roman" w:cs="Times New Roman"/>
          <w:color w:val="auto"/>
          <w:highlight w:val="none"/>
        </w:rPr>
        <w:t>清理工程</w:t>
      </w:r>
    </w:p>
    <w:p w14:paraId="3B7D08AB">
      <w:pPr>
        <w:pStyle w:val="25"/>
        <w:numPr>
          <w:ilvl w:val="0"/>
          <w:numId w:val="0"/>
        </w:numPr>
        <w:bidi w:val="0"/>
        <w:ind w:firstLine="480" w:firstLineChars="20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清理工程主要针对项目区</w:t>
      </w:r>
      <w:r>
        <w:rPr>
          <w:rFonts w:hint="default" w:ascii="Times New Roman" w:hAnsi="Times New Roman" w:cs="Times New Roman"/>
          <w:color w:val="auto"/>
          <w:highlight w:val="none"/>
          <w:lang w:val="en-US" w:eastAsia="zh-CN"/>
        </w:rPr>
        <w:t>内的</w:t>
      </w:r>
      <w:r>
        <w:rPr>
          <w:rFonts w:hint="default" w:ascii="Times New Roman" w:hAnsi="Times New Roman" w:cs="Times New Roman"/>
          <w:color w:val="auto"/>
          <w:highlight w:val="none"/>
        </w:rPr>
        <w:t>房屋，主要工程内容为机械推覆地上建筑物，清除地下建筑基础部分，破除地平，对推覆后的建筑残土进行清运场地平整工程</w:t>
      </w:r>
      <w:r>
        <w:rPr>
          <w:rFonts w:hint="default" w:ascii="Times New Roman" w:hAnsi="Times New Roman" w:cs="Times New Roman"/>
          <w:color w:val="auto"/>
          <w:highlight w:val="none"/>
          <w:lang w:eastAsia="zh-CN"/>
        </w:rPr>
        <w:t>。</w:t>
      </w:r>
    </w:p>
    <w:p w14:paraId="46C26C9A">
      <w:pPr>
        <w:pStyle w:val="25"/>
        <w:numPr>
          <w:ilvl w:val="0"/>
          <w:numId w:val="0"/>
        </w:numPr>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kern w:val="2"/>
          <w:sz w:val="24"/>
          <w:szCs w:val="24"/>
          <w:highlight w:val="none"/>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w:t>
      </w:r>
      <w:r>
        <w:rPr>
          <w:rFonts w:hint="default" w:ascii="Times New Roman" w:hAnsi="Times New Roman" w:cs="Times New Roman"/>
          <w:color w:val="auto"/>
          <w:highlight w:val="none"/>
        </w:rPr>
        <w:t>场地平整工程主要针对为对坡下2级平台，按设计标高采取随坡就势、削高填低的平整原则进行场地平整；当区内高差变化过大，场地平整后会使场地内坡度过大，则采取缓斜坡过渡的工程措施。</w:t>
      </w:r>
    </w:p>
    <w:p w14:paraId="76492C9A">
      <w:pPr>
        <w:pStyle w:val="25"/>
        <w:numPr>
          <w:ilvl w:val="0"/>
          <w:numId w:val="0"/>
        </w:numPr>
        <w:bidi w:val="0"/>
        <w:ind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kern w:val="2"/>
          <w:sz w:val="24"/>
          <w:szCs w:val="24"/>
          <w:highlight w:val="none"/>
          <w:lang w:val="en-US" w:eastAsia="zh-CN" w:bidi="ar-SA"/>
        </w:rPr>
        <w:t>4</w:t>
      </w:r>
      <w:r>
        <w:rPr>
          <w:rFonts w:hint="default" w:ascii="Times New Roman" w:hAnsi="Times New Roman" w:eastAsia="宋体" w:cs="Times New Roman"/>
          <w:color w:val="auto"/>
          <w:kern w:val="2"/>
          <w:sz w:val="24"/>
          <w:szCs w:val="24"/>
          <w:highlight w:val="none"/>
          <w:lang w:val="en-US" w:eastAsia="zh-CN" w:bidi="ar-SA"/>
        </w:rPr>
        <w:t>、</w:t>
      </w:r>
      <w:r>
        <w:rPr>
          <w:rFonts w:hint="default" w:ascii="Times New Roman" w:hAnsi="Times New Roman" w:cs="Times New Roman"/>
          <w:color w:val="auto"/>
          <w:highlight w:val="none"/>
        </w:rPr>
        <w:t>挡土墙</w:t>
      </w:r>
      <w:r>
        <w:rPr>
          <w:rFonts w:hint="default" w:ascii="Times New Roman" w:hAnsi="Times New Roman" w:cs="Times New Roman"/>
          <w:color w:val="auto"/>
          <w:highlight w:val="none"/>
          <w:lang w:val="en-US" w:eastAsia="zh-CN"/>
        </w:rPr>
        <w:t>高度均为3m，基础埋深1m，墙顶宽度0.5m，墙底宽度1.5m。</w:t>
      </w:r>
    </w:p>
    <w:p w14:paraId="2E67AC13">
      <w:pPr>
        <w:pStyle w:val="25"/>
        <w:numPr>
          <w:ilvl w:val="0"/>
          <w:numId w:val="0"/>
        </w:numPr>
        <w:bidi w:val="0"/>
        <w:ind w:firstLine="480" w:firstLineChars="20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kern w:val="2"/>
          <w:sz w:val="24"/>
          <w:szCs w:val="24"/>
          <w:highlight w:val="none"/>
          <w:lang w:val="en-US" w:eastAsia="zh-CN" w:bidi="ar-SA"/>
        </w:rPr>
        <w:t>5、截</w:t>
      </w:r>
      <w:r>
        <w:rPr>
          <w:rFonts w:hint="default" w:ascii="Times New Roman" w:hAnsi="Times New Roman" w:cs="Times New Roman"/>
          <w:color w:val="auto"/>
          <w:highlight w:val="none"/>
          <w:lang w:val="en-US" w:eastAsia="zh-CN"/>
        </w:rPr>
        <w:t>排水沟</w:t>
      </w:r>
      <w:r>
        <w:rPr>
          <w:rFonts w:hint="default" w:ascii="Times New Roman" w:hAnsi="Times New Roman" w:cs="Times New Roman"/>
          <w:color w:val="auto"/>
          <w:highlight w:val="none"/>
        </w:rPr>
        <w:t>根据场地条件，设计截排水沟断面为矩形，断面尺寸宽x深(bxh)为400mmx400mm。沟壁及沟底采用 MU30浆砌石砌筑，厚度均为300mm</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沟壁及沟底均采用M7.5砌体砂浆抹面，厚20mmm。沟端接自然冲沟或边坡外围截排水沟</w:t>
      </w:r>
      <w:r>
        <w:rPr>
          <w:rFonts w:hint="default" w:ascii="Times New Roman" w:hAnsi="Times New Roman" w:cs="Times New Roman"/>
          <w:color w:val="auto"/>
          <w:highlight w:val="none"/>
          <w:lang w:eastAsia="zh-CN"/>
        </w:rPr>
        <w:t>。</w:t>
      </w:r>
    </w:p>
    <w:p w14:paraId="5A41162A">
      <w:pPr>
        <w:pStyle w:val="25"/>
        <w:numPr>
          <w:ilvl w:val="0"/>
          <w:numId w:val="0"/>
        </w:numPr>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kern w:val="2"/>
          <w:sz w:val="24"/>
          <w:szCs w:val="24"/>
          <w:highlight w:val="none"/>
          <w:lang w:val="en-US" w:eastAsia="zh-CN" w:bidi="ar-SA"/>
        </w:rPr>
        <w:t>6、</w:t>
      </w:r>
      <w:r>
        <w:rPr>
          <w:rFonts w:hint="default" w:ascii="Times New Roman" w:hAnsi="Times New Roman" w:cs="Times New Roman"/>
          <w:color w:val="auto"/>
          <w:highlight w:val="none"/>
        </w:rPr>
        <w:t>CBS植被混凝土边坡绿化工程</w:t>
      </w:r>
    </w:p>
    <w:p w14:paraId="0DFC2B1E">
      <w:pPr>
        <w:pStyle w:val="25"/>
        <w:numPr>
          <w:ilvl w:val="0"/>
          <w:numId w:val="0"/>
        </w:numPr>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结合类似工程经验，坡面防护采用采用挂网+CBS植被混凝土绿化工艺，主要设计内容为</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锚杆施工、CBS 抗滑缓释营养棒(填充 AB 菌)、铺设镀锌铁丝网、喷射 CBS 植被混凝土基材层、喷种子面层、安装喷灌系统养护等。</w:t>
      </w:r>
    </w:p>
    <w:p w14:paraId="73536BE8">
      <w:pPr>
        <w:pStyle w:val="25"/>
        <w:numPr>
          <w:ilvl w:val="0"/>
          <w:numId w:val="5"/>
        </w:numPr>
        <w:bidi w:val="0"/>
        <w:ind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植被恢复：本项目项目区恢复为樟子松及草本植物。</w:t>
      </w:r>
    </w:p>
    <w:p w14:paraId="1F744768">
      <w:pPr>
        <w:pStyle w:val="5"/>
        <w:bidi w:val="0"/>
        <w:ind w:left="0" w:leftChars="0" w:firstLine="482" w:firstLineChars="2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 3.1.4.3废弃工业场地生态修复方案</w:t>
      </w:r>
    </w:p>
    <w:p w14:paraId="1981E964">
      <w:pPr>
        <w:pStyle w:val="25"/>
        <w:numPr>
          <w:ilvl w:val="0"/>
          <w:numId w:val="0"/>
        </w:numPr>
        <w:bidi w:val="0"/>
        <w:ind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废弃工业场地为21#、25#、41#、45#，其中41#、45#为煤矸石场地，修复内容主要为清理工程、场地平整、植被恢复。</w:t>
      </w:r>
    </w:p>
    <w:p w14:paraId="6C02DC13">
      <w:pPr>
        <w:pStyle w:val="25"/>
        <w:numPr>
          <w:ilvl w:val="0"/>
          <w:numId w:val="0"/>
        </w:numPr>
        <w:bidi w:val="0"/>
        <w:ind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清理工程:对项目区内房屋、围墙进行拆除、清理。</w:t>
      </w:r>
    </w:p>
    <w:p w14:paraId="4FE1253E">
      <w:pPr>
        <w:pStyle w:val="25"/>
        <w:numPr>
          <w:ilvl w:val="0"/>
          <w:numId w:val="0"/>
        </w:numPr>
        <w:bidi w:val="0"/>
        <w:ind w:left="480" w:leftChars="20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场地平整工程:对项目区内的地形进行挖高填低平整。</w:t>
      </w:r>
      <w:r>
        <w:rPr>
          <w:rFonts w:hint="default" w:ascii="Times New Roman" w:hAnsi="Times New Roman" w:cs="Times New Roman"/>
          <w:color w:val="auto"/>
          <w:highlight w:val="none"/>
          <w:lang w:val="en-US" w:eastAsia="zh-CN"/>
        </w:rPr>
        <w:br w:type="textWrapping"/>
      </w:r>
      <w:r>
        <w:rPr>
          <w:rFonts w:hint="default" w:ascii="Times New Roman" w:hAnsi="Times New Roman" w:cs="Times New Roman"/>
          <w:color w:val="auto"/>
          <w:highlight w:val="none"/>
          <w:lang w:val="en-US" w:eastAsia="zh-CN"/>
        </w:rPr>
        <w:t>植被恢复：本项目项目区恢复为樟子松及草本植物。</w:t>
      </w:r>
    </w:p>
    <w:p w14:paraId="4D1D94E6">
      <w:pPr>
        <w:pStyle w:val="5"/>
        <w:bidi w:val="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3.1.4.4回填边界</w:t>
      </w:r>
    </w:p>
    <w:p w14:paraId="5BE1F957">
      <w:pP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本项目各项目区拐点坐标见下表。</w:t>
      </w:r>
    </w:p>
    <w:p w14:paraId="75ACCC19">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表3-1-</w:t>
      </w:r>
      <w:r>
        <w:rPr>
          <w:rFonts w:hint="default" w:ascii="Times New Roman" w:hAnsi="Times New Roman" w:cs="Times New Roman"/>
          <w:color w:val="auto"/>
          <w:highlight w:val="none"/>
          <w:lang w:val="en-US" w:eastAsia="zh-CN"/>
        </w:rPr>
        <w:t>7各项目区</w:t>
      </w:r>
      <w:r>
        <w:rPr>
          <w:rFonts w:hint="default" w:ascii="Times New Roman" w:hAnsi="Times New Roman" w:cs="Times New Roman"/>
          <w:color w:val="auto"/>
          <w:highlight w:val="none"/>
        </w:rPr>
        <w:t>拐点坐标（大地2000坐标系）</w:t>
      </w:r>
    </w:p>
    <w:tbl>
      <w:tblPr>
        <w:tblStyle w:val="20"/>
        <w:tblW w:w="9059" w:type="dxa"/>
        <w:tblInd w:w="93"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1957"/>
        <w:gridCol w:w="3279"/>
        <w:gridCol w:w="3823"/>
      </w:tblGrid>
      <w:tr w14:paraId="0888A6E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9059" w:type="dxa"/>
            <w:gridSpan w:val="3"/>
            <w:tcBorders>
              <w:tl2br w:val="nil"/>
              <w:tr2bl w:val="nil"/>
            </w:tcBorders>
            <w:shd w:val="clear" w:color="auto" w:fill="auto"/>
            <w:noWrap/>
            <w:vAlign w:val="center"/>
          </w:tcPr>
          <w:p w14:paraId="599C3D8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w:t>
            </w:r>
          </w:p>
        </w:tc>
      </w:tr>
      <w:tr w14:paraId="0F10786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7B06FDF8">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3279" w:type="dxa"/>
            <w:tcBorders>
              <w:tl2br w:val="nil"/>
              <w:tr2bl w:val="nil"/>
            </w:tcBorders>
            <w:shd w:val="clear" w:color="auto" w:fill="auto"/>
            <w:noWrap/>
            <w:vAlign w:val="center"/>
          </w:tcPr>
          <w:p w14:paraId="02D0F9C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X=422617.0750</w:t>
            </w:r>
          </w:p>
        </w:tc>
        <w:tc>
          <w:tcPr>
            <w:tcW w:w="3823" w:type="dxa"/>
            <w:tcBorders>
              <w:tl2br w:val="nil"/>
              <w:tr2bl w:val="nil"/>
            </w:tcBorders>
            <w:shd w:val="clear" w:color="auto" w:fill="auto"/>
            <w:noWrap/>
            <w:vAlign w:val="center"/>
          </w:tcPr>
          <w:p w14:paraId="1B22B68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Y=5030696.7392</w:t>
            </w:r>
          </w:p>
        </w:tc>
      </w:tr>
      <w:tr w14:paraId="26CDC30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3368ED7C">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3279" w:type="dxa"/>
            <w:tcBorders>
              <w:tl2br w:val="nil"/>
              <w:tr2bl w:val="nil"/>
            </w:tcBorders>
            <w:shd w:val="clear" w:color="auto" w:fill="auto"/>
            <w:noWrap/>
            <w:vAlign w:val="center"/>
          </w:tcPr>
          <w:p w14:paraId="2A90CB7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X=422617.6545</w:t>
            </w:r>
          </w:p>
        </w:tc>
        <w:tc>
          <w:tcPr>
            <w:tcW w:w="3823" w:type="dxa"/>
            <w:tcBorders>
              <w:tl2br w:val="nil"/>
              <w:tr2bl w:val="nil"/>
            </w:tcBorders>
            <w:shd w:val="clear" w:color="auto" w:fill="auto"/>
            <w:noWrap/>
            <w:vAlign w:val="center"/>
          </w:tcPr>
          <w:p w14:paraId="52AB50A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Y=5030568.8021</w:t>
            </w:r>
          </w:p>
        </w:tc>
      </w:tr>
      <w:tr w14:paraId="4534609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0127E811">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w:t>
            </w:r>
          </w:p>
        </w:tc>
        <w:tc>
          <w:tcPr>
            <w:tcW w:w="3279" w:type="dxa"/>
            <w:tcBorders>
              <w:tl2br w:val="nil"/>
              <w:tr2bl w:val="nil"/>
            </w:tcBorders>
            <w:shd w:val="clear" w:color="auto" w:fill="auto"/>
            <w:noWrap/>
            <w:vAlign w:val="center"/>
          </w:tcPr>
          <w:p w14:paraId="1AE663D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X=422751.1157</w:t>
            </w:r>
          </w:p>
        </w:tc>
        <w:tc>
          <w:tcPr>
            <w:tcW w:w="3823" w:type="dxa"/>
            <w:tcBorders>
              <w:tl2br w:val="nil"/>
              <w:tr2bl w:val="nil"/>
            </w:tcBorders>
            <w:shd w:val="clear" w:color="auto" w:fill="auto"/>
            <w:noWrap/>
            <w:vAlign w:val="center"/>
          </w:tcPr>
          <w:p w14:paraId="2F05BB8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Y=5030462.9578</w:t>
            </w:r>
          </w:p>
        </w:tc>
      </w:tr>
      <w:tr w14:paraId="47E59C3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421B1244">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w:t>
            </w:r>
          </w:p>
        </w:tc>
        <w:tc>
          <w:tcPr>
            <w:tcW w:w="3279" w:type="dxa"/>
            <w:tcBorders>
              <w:tl2br w:val="nil"/>
              <w:tr2bl w:val="nil"/>
            </w:tcBorders>
            <w:shd w:val="clear" w:color="auto" w:fill="auto"/>
            <w:noWrap/>
            <w:vAlign w:val="center"/>
          </w:tcPr>
          <w:p w14:paraId="7E25E52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X=422876.5469</w:t>
            </w:r>
          </w:p>
        </w:tc>
        <w:tc>
          <w:tcPr>
            <w:tcW w:w="3823" w:type="dxa"/>
            <w:tcBorders>
              <w:tl2br w:val="nil"/>
              <w:tr2bl w:val="nil"/>
            </w:tcBorders>
            <w:shd w:val="clear" w:color="auto" w:fill="auto"/>
            <w:noWrap/>
            <w:vAlign w:val="center"/>
          </w:tcPr>
          <w:p w14:paraId="70CF9BA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Y=5030537.5458</w:t>
            </w:r>
          </w:p>
        </w:tc>
      </w:tr>
      <w:tr w14:paraId="66D3A72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0CFD1A13">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3279" w:type="dxa"/>
            <w:tcBorders>
              <w:tl2br w:val="nil"/>
              <w:tr2bl w:val="nil"/>
            </w:tcBorders>
            <w:shd w:val="clear" w:color="auto" w:fill="auto"/>
            <w:noWrap/>
            <w:vAlign w:val="center"/>
          </w:tcPr>
          <w:p w14:paraId="04B6DF5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X=422908.7404</w:t>
            </w:r>
          </w:p>
        </w:tc>
        <w:tc>
          <w:tcPr>
            <w:tcW w:w="3823" w:type="dxa"/>
            <w:tcBorders>
              <w:tl2br w:val="nil"/>
              <w:tr2bl w:val="nil"/>
            </w:tcBorders>
            <w:shd w:val="clear" w:color="auto" w:fill="auto"/>
            <w:noWrap/>
            <w:vAlign w:val="center"/>
          </w:tcPr>
          <w:p w14:paraId="5B15631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Y=5030615.4308</w:t>
            </w:r>
          </w:p>
        </w:tc>
      </w:tr>
      <w:tr w14:paraId="502DE38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5ACF169F">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w:t>
            </w:r>
          </w:p>
        </w:tc>
        <w:tc>
          <w:tcPr>
            <w:tcW w:w="3279" w:type="dxa"/>
            <w:tcBorders>
              <w:tl2br w:val="nil"/>
              <w:tr2bl w:val="nil"/>
            </w:tcBorders>
            <w:shd w:val="clear" w:color="auto" w:fill="auto"/>
            <w:noWrap/>
            <w:vAlign w:val="center"/>
          </w:tcPr>
          <w:p w14:paraId="160C7E0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X=422780.3343</w:t>
            </w:r>
          </w:p>
        </w:tc>
        <w:tc>
          <w:tcPr>
            <w:tcW w:w="3823" w:type="dxa"/>
            <w:tcBorders>
              <w:tl2br w:val="nil"/>
              <w:tr2bl w:val="nil"/>
            </w:tcBorders>
            <w:shd w:val="clear" w:color="auto" w:fill="auto"/>
            <w:noWrap/>
            <w:vAlign w:val="center"/>
          </w:tcPr>
          <w:p w14:paraId="0B23150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Y=5030815.6383</w:t>
            </w:r>
          </w:p>
        </w:tc>
      </w:tr>
      <w:tr w14:paraId="61E2FC8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9059" w:type="dxa"/>
            <w:gridSpan w:val="3"/>
            <w:tcBorders>
              <w:tl2br w:val="nil"/>
              <w:tr2bl w:val="nil"/>
            </w:tcBorders>
            <w:shd w:val="clear" w:color="auto" w:fill="auto"/>
            <w:noWrap/>
            <w:vAlign w:val="center"/>
          </w:tcPr>
          <w:p w14:paraId="33328A7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14#</w:t>
            </w:r>
          </w:p>
        </w:tc>
      </w:tr>
      <w:tr w14:paraId="5861F20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4BF762AC">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3279" w:type="dxa"/>
            <w:tcBorders>
              <w:tl2br w:val="nil"/>
              <w:tr2bl w:val="nil"/>
            </w:tcBorders>
            <w:shd w:val="clear" w:color="auto" w:fill="auto"/>
            <w:noWrap/>
            <w:vAlign w:val="center"/>
          </w:tcPr>
          <w:p w14:paraId="2605FC3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X=422493.0346</w:t>
            </w:r>
          </w:p>
        </w:tc>
        <w:tc>
          <w:tcPr>
            <w:tcW w:w="3823" w:type="dxa"/>
            <w:tcBorders>
              <w:tl2br w:val="nil"/>
              <w:tr2bl w:val="nil"/>
            </w:tcBorders>
            <w:shd w:val="clear" w:color="auto" w:fill="auto"/>
            <w:noWrap/>
            <w:vAlign w:val="center"/>
          </w:tcPr>
          <w:p w14:paraId="433F180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Y=5027738.6454</w:t>
            </w:r>
          </w:p>
        </w:tc>
      </w:tr>
      <w:tr w14:paraId="2028F84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29FBE8BC">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3279" w:type="dxa"/>
            <w:tcBorders>
              <w:tl2br w:val="nil"/>
              <w:tr2bl w:val="nil"/>
            </w:tcBorders>
            <w:shd w:val="clear" w:color="auto" w:fill="auto"/>
            <w:noWrap/>
            <w:vAlign w:val="center"/>
          </w:tcPr>
          <w:p w14:paraId="68520F3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X=422492.2819</w:t>
            </w:r>
          </w:p>
        </w:tc>
        <w:tc>
          <w:tcPr>
            <w:tcW w:w="3823" w:type="dxa"/>
            <w:tcBorders>
              <w:tl2br w:val="nil"/>
              <w:tr2bl w:val="nil"/>
            </w:tcBorders>
            <w:shd w:val="clear" w:color="auto" w:fill="auto"/>
            <w:noWrap/>
            <w:vAlign w:val="center"/>
          </w:tcPr>
          <w:p w14:paraId="704FC79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Y=5027746.8646</w:t>
            </w:r>
          </w:p>
        </w:tc>
      </w:tr>
      <w:tr w14:paraId="2EAC566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5ADE3675">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w:t>
            </w:r>
          </w:p>
        </w:tc>
        <w:tc>
          <w:tcPr>
            <w:tcW w:w="3279" w:type="dxa"/>
            <w:tcBorders>
              <w:tl2br w:val="nil"/>
              <w:tr2bl w:val="nil"/>
            </w:tcBorders>
            <w:shd w:val="clear" w:color="auto" w:fill="auto"/>
            <w:noWrap/>
            <w:vAlign w:val="center"/>
          </w:tcPr>
          <w:p w14:paraId="661890B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X=422493.4989</w:t>
            </w:r>
          </w:p>
        </w:tc>
        <w:tc>
          <w:tcPr>
            <w:tcW w:w="3823" w:type="dxa"/>
            <w:tcBorders>
              <w:tl2br w:val="nil"/>
              <w:tr2bl w:val="nil"/>
            </w:tcBorders>
            <w:shd w:val="clear" w:color="auto" w:fill="auto"/>
            <w:noWrap/>
            <w:vAlign w:val="center"/>
          </w:tcPr>
          <w:p w14:paraId="42986A4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Y=5027753.4151</w:t>
            </w:r>
          </w:p>
        </w:tc>
      </w:tr>
      <w:tr w14:paraId="4626D09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6BF8A18D">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w:t>
            </w:r>
          </w:p>
        </w:tc>
        <w:tc>
          <w:tcPr>
            <w:tcW w:w="3279" w:type="dxa"/>
            <w:tcBorders>
              <w:tl2br w:val="nil"/>
              <w:tr2bl w:val="nil"/>
            </w:tcBorders>
            <w:shd w:val="clear" w:color="auto" w:fill="auto"/>
            <w:noWrap/>
            <w:vAlign w:val="center"/>
          </w:tcPr>
          <w:p w14:paraId="0F5CE9F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X=422494.6154</w:t>
            </w:r>
          </w:p>
        </w:tc>
        <w:tc>
          <w:tcPr>
            <w:tcW w:w="3823" w:type="dxa"/>
            <w:tcBorders>
              <w:tl2br w:val="nil"/>
              <w:tr2bl w:val="nil"/>
            </w:tcBorders>
            <w:shd w:val="clear" w:color="auto" w:fill="auto"/>
            <w:noWrap/>
            <w:vAlign w:val="center"/>
          </w:tcPr>
          <w:p w14:paraId="7B9CF87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Y=5027756.4111</w:t>
            </w:r>
          </w:p>
        </w:tc>
      </w:tr>
      <w:tr w14:paraId="71A2CBD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5268FA60">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3279" w:type="dxa"/>
            <w:tcBorders>
              <w:tl2br w:val="nil"/>
              <w:tr2bl w:val="nil"/>
            </w:tcBorders>
            <w:shd w:val="clear" w:color="auto" w:fill="auto"/>
            <w:noWrap/>
            <w:vAlign w:val="center"/>
          </w:tcPr>
          <w:p w14:paraId="618F248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X=422494.9151</w:t>
            </w:r>
          </w:p>
        </w:tc>
        <w:tc>
          <w:tcPr>
            <w:tcW w:w="3823" w:type="dxa"/>
            <w:tcBorders>
              <w:tl2br w:val="nil"/>
              <w:tr2bl w:val="nil"/>
            </w:tcBorders>
            <w:shd w:val="clear" w:color="auto" w:fill="auto"/>
            <w:noWrap/>
            <w:vAlign w:val="center"/>
          </w:tcPr>
          <w:p w14:paraId="0AFAE83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Y=5027757.3469</w:t>
            </w:r>
          </w:p>
        </w:tc>
      </w:tr>
      <w:tr w14:paraId="0B72673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3BE4BCF6">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w:t>
            </w:r>
          </w:p>
        </w:tc>
        <w:tc>
          <w:tcPr>
            <w:tcW w:w="3279" w:type="dxa"/>
            <w:tcBorders>
              <w:tl2br w:val="nil"/>
              <w:tr2bl w:val="nil"/>
            </w:tcBorders>
            <w:shd w:val="clear" w:color="auto" w:fill="auto"/>
            <w:noWrap/>
            <w:vAlign w:val="center"/>
          </w:tcPr>
          <w:p w14:paraId="4E0A012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X=422495.7840</w:t>
            </w:r>
          </w:p>
        </w:tc>
        <w:tc>
          <w:tcPr>
            <w:tcW w:w="3823" w:type="dxa"/>
            <w:tcBorders>
              <w:tl2br w:val="nil"/>
              <w:tr2bl w:val="nil"/>
            </w:tcBorders>
            <w:shd w:val="clear" w:color="auto" w:fill="auto"/>
            <w:noWrap/>
            <w:vAlign w:val="center"/>
          </w:tcPr>
          <w:p w14:paraId="226689B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Y=5027761.0695</w:t>
            </w:r>
          </w:p>
        </w:tc>
      </w:tr>
      <w:tr w14:paraId="0BA1A0B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9059" w:type="dxa"/>
            <w:gridSpan w:val="3"/>
            <w:tcBorders>
              <w:tl2br w:val="nil"/>
              <w:tr2bl w:val="nil"/>
            </w:tcBorders>
            <w:shd w:val="clear" w:color="auto" w:fill="auto"/>
            <w:noWrap/>
            <w:vAlign w:val="center"/>
          </w:tcPr>
          <w:p w14:paraId="1EDC128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15#</w:t>
            </w:r>
          </w:p>
        </w:tc>
      </w:tr>
      <w:tr w14:paraId="19851CF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1AA34ED4">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3279" w:type="dxa"/>
            <w:tcBorders>
              <w:tl2br w:val="nil"/>
              <w:tr2bl w:val="nil"/>
            </w:tcBorders>
            <w:shd w:val="clear" w:color="auto" w:fill="auto"/>
            <w:noWrap/>
            <w:vAlign w:val="center"/>
          </w:tcPr>
          <w:p w14:paraId="0471C06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X=422349.9114</w:t>
            </w:r>
          </w:p>
        </w:tc>
        <w:tc>
          <w:tcPr>
            <w:tcW w:w="3823" w:type="dxa"/>
            <w:tcBorders>
              <w:tl2br w:val="nil"/>
              <w:tr2bl w:val="nil"/>
            </w:tcBorders>
            <w:shd w:val="clear" w:color="auto" w:fill="auto"/>
            <w:noWrap/>
            <w:vAlign w:val="center"/>
          </w:tcPr>
          <w:p w14:paraId="7F88471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Y=5027627.5648</w:t>
            </w:r>
          </w:p>
        </w:tc>
      </w:tr>
      <w:tr w14:paraId="69679E8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3411610A">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3279" w:type="dxa"/>
            <w:tcBorders>
              <w:tl2br w:val="nil"/>
              <w:tr2bl w:val="nil"/>
            </w:tcBorders>
            <w:shd w:val="clear" w:color="auto" w:fill="auto"/>
            <w:noWrap/>
            <w:vAlign w:val="center"/>
          </w:tcPr>
          <w:p w14:paraId="03E77FA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X=422358.8260</w:t>
            </w:r>
          </w:p>
        </w:tc>
        <w:tc>
          <w:tcPr>
            <w:tcW w:w="3823" w:type="dxa"/>
            <w:tcBorders>
              <w:tl2br w:val="nil"/>
              <w:tr2bl w:val="nil"/>
            </w:tcBorders>
            <w:shd w:val="clear" w:color="auto" w:fill="auto"/>
            <w:noWrap/>
            <w:vAlign w:val="center"/>
          </w:tcPr>
          <w:p w14:paraId="4E436C3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Y=5027633.0703</w:t>
            </w:r>
          </w:p>
        </w:tc>
      </w:tr>
      <w:tr w14:paraId="37FB7A6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46C24191">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w:t>
            </w:r>
          </w:p>
        </w:tc>
        <w:tc>
          <w:tcPr>
            <w:tcW w:w="3279" w:type="dxa"/>
            <w:tcBorders>
              <w:tl2br w:val="nil"/>
              <w:tr2bl w:val="nil"/>
            </w:tcBorders>
            <w:shd w:val="clear" w:color="auto" w:fill="auto"/>
            <w:noWrap/>
            <w:vAlign w:val="center"/>
          </w:tcPr>
          <w:p w14:paraId="19D9334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X=422363.3394</w:t>
            </w:r>
          </w:p>
        </w:tc>
        <w:tc>
          <w:tcPr>
            <w:tcW w:w="3823" w:type="dxa"/>
            <w:tcBorders>
              <w:tl2br w:val="nil"/>
              <w:tr2bl w:val="nil"/>
            </w:tcBorders>
            <w:shd w:val="clear" w:color="auto" w:fill="auto"/>
            <w:noWrap/>
            <w:vAlign w:val="center"/>
          </w:tcPr>
          <w:p w14:paraId="25EB40C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Y=5027635.7998</w:t>
            </w:r>
          </w:p>
        </w:tc>
      </w:tr>
      <w:tr w14:paraId="4071C61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647577D0">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w:t>
            </w:r>
          </w:p>
        </w:tc>
        <w:tc>
          <w:tcPr>
            <w:tcW w:w="3279" w:type="dxa"/>
            <w:tcBorders>
              <w:tl2br w:val="nil"/>
              <w:tr2bl w:val="nil"/>
            </w:tcBorders>
            <w:shd w:val="clear" w:color="auto" w:fill="auto"/>
            <w:noWrap/>
            <w:vAlign w:val="center"/>
          </w:tcPr>
          <w:p w14:paraId="32C623D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X=422369.2360</w:t>
            </w:r>
          </w:p>
        </w:tc>
        <w:tc>
          <w:tcPr>
            <w:tcW w:w="3823" w:type="dxa"/>
            <w:tcBorders>
              <w:tl2br w:val="nil"/>
              <w:tr2bl w:val="nil"/>
            </w:tcBorders>
            <w:shd w:val="clear" w:color="auto" w:fill="auto"/>
            <w:noWrap/>
            <w:vAlign w:val="center"/>
          </w:tcPr>
          <w:p w14:paraId="576C592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Y=5027638.3165</w:t>
            </w:r>
          </w:p>
        </w:tc>
      </w:tr>
      <w:tr w14:paraId="33CBEAD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46262387">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3279" w:type="dxa"/>
            <w:tcBorders>
              <w:tl2br w:val="nil"/>
              <w:tr2bl w:val="nil"/>
            </w:tcBorders>
            <w:shd w:val="clear" w:color="auto" w:fill="auto"/>
            <w:noWrap/>
            <w:vAlign w:val="center"/>
          </w:tcPr>
          <w:p w14:paraId="69873E1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X=422378.2645</w:t>
            </w:r>
          </w:p>
        </w:tc>
        <w:tc>
          <w:tcPr>
            <w:tcW w:w="3823" w:type="dxa"/>
            <w:tcBorders>
              <w:tl2br w:val="nil"/>
              <w:tr2bl w:val="nil"/>
            </w:tcBorders>
            <w:shd w:val="clear" w:color="auto" w:fill="auto"/>
            <w:noWrap/>
            <w:vAlign w:val="center"/>
          </w:tcPr>
          <w:p w14:paraId="04F53D2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Y=5027638.1034</w:t>
            </w:r>
          </w:p>
        </w:tc>
      </w:tr>
      <w:tr w14:paraId="24600CC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73C325B2">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w:t>
            </w:r>
          </w:p>
        </w:tc>
        <w:tc>
          <w:tcPr>
            <w:tcW w:w="3279" w:type="dxa"/>
            <w:tcBorders>
              <w:tl2br w:val="nil"/>
              <w:tr2bl w:val="nil"/>
            </w:tcBorders>
            <w:shd w:val="clear" w:color="auto" w:fill="auto"/>
            <w:noWrap/>
            <w:vAlign w:val="center"/>
          </w:tcPr>
          <w:p w14:paraId="7B7D47B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X=422385.1348</w:t>
            </w:r>
          </w:p>
        </w:tc>
        <w:tc>
          <w:tcPr>
            <w:tcW w:w="3823" w:type="dxa"/>
            <w:tcBorders>
              <w:tl2br w:val="nil"/>
              <w:tr2bl w:val="nil"/>
            </w:tcBorders>
            <w:shd w:val="clear" w:color="auto" w:fill="auto"/>
            <w:noWrap/>
            <w:vAlign w:val="center"/>
          </w:tcPr>
          <w:p w14:paraId="172FECC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Y=5027634.7293</w:t>
            </w:r>
          </w:p>
        </w:tc>
      </w:tr>
      <w:tr w14:paraId="154AC3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65304752">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w:t>
            </w:r>
          </w:p>
        </w:tc>
        <w:tc>
          <w:tcPr>
            <w:tcW w:w="3279" w:type="dxa"/>
            <w:tcBorders>
              <w:tl2br w:val="nil"/>
              <w:tr2bl w:val="nil"/>
            </w:tcBorders>
            <w:shd w:val="clear" w:color="auto" w:fill="auto"/>
            <w:noWrap/>
            <w:vAlign w:val="center"/>
          </w:tcPr>
          <w:p w14:paraId="515D240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X=422387.9295</w:t>
            </w:r>
          </w:p>
        </w:tc>
        <w:tc>
          <w:tcPr>
            <w:tcW w:w="3823" w:type="dxa"/>
            <w:tcBorders>
              <w:tl2br w:val="nil"/>
              <w:tr2bl w:val="nil"/>
            </w:tcBorders>
            <w:shd w:val="clear" w:color="auto" w:fill="auto"/>
            <w:noWrap/>
            <w:vAlign w:val="center"/>
          </w:tcPr>
          <w:p w14:paraId="7FC16CA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Y=5027628.7955</w:t>
            </w:r>
          </w:p>
        </w:tc>
      </w:tr>
      <w:tr w14:paraId="644718E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45805C13">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w:t>
            </w:r>
          </w:p>
        </w:tc>
        <w:tc>
          <w:tcPr>
            <w:tcW w:w="3279" w:type="dxa"/>
            <w:tcBorders>
              <w:tl2br w:val="nil"/>
              <w:tr2bl w:val="nil"/>
            </w:tcBorders>
            <w:shd w:val="clear" w:color="auto" w:fill="auto"/>
            <w:noWrap/>
            <w:vAlign w:val="center"/>
          </w:tcPr>
          <w:p w14:paraId="6CFB9EA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X=422394.1008</w:t>
            </w:r>
          </w:p>
        </w:tc>
        <w:tc>
          <w:tcPr>
            <w:tcW w:w="3823" w:type="dxa"/>
            <w:tcBorders>
              <w:tl2br w:val="nil"/>
              <w:tr2bl w:val="nil"/>
            </w:tcBorders>
            <w:shd w:val="clear" w:color="auto" w:fill="auto"/>
            <w:noWrap/>
            <w:vAlign w:val="center"/>
          </w:tcPr>
          <w:p w14:paraId="6A1F159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Y=5027627.6322</w:t>
            </w:r>
          </w:p>
        </w:tc>
      </w:tr>
      <w:tr w14:paraId="25DCE71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532BA217">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w:t>
            </w:r>
          </w:p>
        </w:tc>
        <w:tc>
          <w:tcPr>
            <w:tcW w:w="3279" w:type="dxa"/>
            <w:tcBorders>
              <w:tl2br w:val="nil"/>
              <w:tr2bl w:val="nil"/>
            </w:tcBorders>
            <w:shd w:val="clear" w:color="auto" w:fill="auto"/>
            <w:noWrap/>
            <w:vAlign w:val="center"/>
          </w:tcPr>
          <w:p w14:paraId="1A6EA5F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X=422401.0871</w:t>
            </w:r>
          </w:p>
        </w:tc>
        <w:tc>
          <w:tcPr>
            <w:tcW w:w="3823" w:type="dxa"/>
            <w:tcBorders>
              <w:tl2br w:val="nil"/>
              <w:tr2bl w:val="nil"/>
            </w:tcBorders>
            <w:shd w:val="clear" w:color="auto" w:fill="auto"/>
            <w:noWrap/>
            <w:vAlign w:val="center"/>
          </w:tcPr>
          <w:p w14:paraId="0765BA6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Y=5027634.1476</w:t>
            </w:r>
          </w:p>
        </w:tc>
      </w:tr>
      <w:tr w14:paraId="77C29EB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56435546">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w:t>
            </w:r>
          </w:p>
        </w:tc>
        <w:tc>
          <w:tcPr>
            <w:tcW w:w="3279" w:type="dxa"/>
            <w:tcBorders>
              <w:tl2br w:val="nil"/>
              <w:tr2bl w:val="nil"/>
            </w:tcBorders>
            <w:shd w:val="clear" w:color="auto" w:fill="auto"/>
            <w:noWrap/>
            <w:vAlign w:val="center"/>
          </w:tcPr>
          <w:p w14:paraId="6F29CA9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X=422404.9297</w:t>
            </w:r>
          </w:p>
        </w:tc>
        <w:tc>
          <w:tcPr>
            <w:tcW w:w="3823" w:type="dxa"/>
            <w:tcBorders>
              <w:tl2br w:val="nil"/>
              <w:tr2bl w:val="nil"/>
            </w:tcBorders>
            <w:shd w:val="clear" w:color="auto" w:fill="auto"/>
            <w:noWrap/>
            <w:vAlign w:val="center"/>
          </w:tcPr>
          <w:p w14:paraId="2C7AB4A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Y=5027646.1314</w:t>
            </w:r>
          </w:p>
        </w:tc>
      </w:tr>
      <w:tr w14:paraId="6AAAA1C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1022C228">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11</w:t>
            </w:r>
          </w:p>
        </w:tc>
        <w:tc>
          <w:tcPr>
            <w:tcW w:w="3279" w:type="dxa"/>
            <w:tcBorders>
              <w:tl2br w:val="nil"/>
              <w:tr2bl w:val="nil"/>
            </w:tcBorders>
            <w:shd w:val="clear" w:color="auto" w:fill="auto"/>
            <w:noWrap/>
            <w:vAlign w:val="center"/>
          </w:tcPr>
          <w:p w14:paraId="5D3D232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X=422418.4468</w:t>
            </w:r>
          </w:p>
        </w:tc>
        <w:tc>
          <w:tcPr>
            <w:tcW w:w="3823" w:type="dxa"/>
            <w:tcBorders>
              <w:tl2br w:val="nil"/>
              <w:tr2bl w:val="nil"/>
            </w:tcBorders>
            <w:shd w:val="clear" w:color="auto" w:fill="auto"/>
            <w:noWrap/>
            <w:vAlign w:val="center"/>
          </w:tcPr>
          <w:p w14:paraId="581A3CE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Y=5027650.5550</w:t>
            </w:r>
          </w:p>
        </w:tc>
      </w:tr>
      <w:tr w14:paraId="272D661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27679082">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w:t>
            </w:r>
          </w:p>
        </w:tc>
        <w:tc>
          <w:tcPr>
            <w:tcW w:w="3279" w:type="dxa"/>
            <w:tcBorders>
              <w:tl2br w:val="nil"/>
              <w:tr2bl w:val="nil"/>
            </w:tcBorders>
            <w:shd w:val="clear" w:color="auto" w:fill="auto"/>
            <w:noWrap/>
            <w:vAlign w:val="center"/>
          </w:tcPr>
          <w:p w14:paraId="6A5A84A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X=422431.8400</w:t>
            </w:r>
          </w:p>
        </w:tc>
        <w:tc>
          <w:tcPr>
            <w:tcW w:w="3823" w:type="dxa"/>
            <w:tcBorders>
              <w:tl2br w:val="nil"/>
              <w:tr2bl w:val="nil"/>
            </w:tcBorders>
            <w:shd w:val="clear" w:color="auto" w:fill="auto"/>
            <w:noWrap/>
            <w:vAlign w:val="center"/>
          </w:tcPr>
          <w:p w14:paraId="302D54D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Y=5027647.2411</w:t>
            </w:r>
          </w:p>
        </w:tc>
      </w:tr>
      <w:tr w14:paraId="110F04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702621F5">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13</w:t>
            </w:r>
          </w:p>
        </w:tc>
        <w:tc>
          <w:tcPr>
            <w:tcW w:w="3279" w:type="dxa"/>
            <w:tcBorders>
              <w:tl2br w:val="nil"/>
              <w:tr2bl w:val="nil"/>
            </w:tcBorders>
            <w:shd w:val="clear" w:color="auto" w:fill="auto"/>
            <w:noWrap/>
            <w:vAlign w:val="center"/>
          </w:tcPr>
          <w:p w14:paraId="068FAF3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X=422435.5703</w:t>
            </w:r>
          </w:p>
        </w:tc>
        <w:tc>
          <w:tcPr>
            <w:tcW w:w="3823" w:type="dxa"/>
            <w:tcBorders>
              <w:tl2br w:val="nil"/>
              <w:tr2bl w:val="nil"/>
            </w:tcBorders>
            <w:shd w:val="clear" w:color="auto" w:fill="auto"/>
            <w:noWrap/>
            <w:vAlign w:val="center"/>
          </w:tcPr>
          <w:p w14:paraId="643351E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Y=5027620.7371</w:t>
            </w:r>
          </w:p>
        </w:tc>
      </w:tr>
      <w:tr w14:paraId="138F6D2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5C9A014B">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14</w:t>
            </w:r>
          </w:p>
        </w:tc>
        <w:tc>
          <w:tcPr>
            <w:tcW w:w="3279" w:type="dxa"/>
            <w:tcBorders>
              <w:tl2br w:val="nil"/>
              <w:tr2bl w:val="nil"/>
            </w:tcBorders>
            <w:shd w:val="clear" w:color="auto" w:fill="auto"/>
            <w:noWrap/>
            <w:vAlign w:val="center"/>
          </w:tcPr>
          <w:p w14:paraId="79F38E8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X=422456.9575</w:t>
            </w:r>
          </w:p>
        </w:tc>
        <w:tc>
          <w:tcPr>
            <w:tcW w:w="3823" w:type="dxa"/>
            <w:tcBorders>
              <w:tl2br w:val="nil"/>
              <w:tr2bl w:val="nil"/>
            </w:tcBorders>
            <w:shd w:val="clear" w:color="auto" w:fill="auto"/>
            <w:noWrap/>
            <w:vAlign w:val="center"/>
          </w:tcPr>
          <w:p w14:paraId="076D73D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Y=5027526.4769</w:t>
            </w:r>
          </w:p>
        </w:tc>
      </w:tr>
      <w:tr w14:paraId="5CADA82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51F3A150">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15</w:t>
            </w:r>
          </w:p>
        </w:tc>
        <w:tc>
          <w:tcPr>
            <w:tcW w:w="3279" w:type="dxa"/>
            <w:tcBorders>
              <w:tl2br w:val="nil"/>
              <w:tr2bl w:val="nil"/>
            </w:tcBorders>
            <w:shd w:val="clear" w:color="auto" w:fill="auto"/>
            <w:noWrap/>
            <w:vAlign w:val="center"/>
          </w:tcPr>
          <w:p w14:paraId="3890BA1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X=422422.1178</w:t>
            </w:r>
          </w:p>
        </w:tc>
        <w:tc>
          <w:tcPr>
            <w:tcW w:w="3823" w:type="dxa"/>
            <w:tcBorders>
              <w:tl2br w:val="nil"/>
              <w:tr2bl w:val="nil"/>
            </w:tcBorders>
            <w:shd w:val="clear" w:color="auto" w:fill="auto"/>
            <w:noWrap/>
            <w:vAlign w:val="center"/>
          </w:tcPr>
          <w:p w14:paraId="21D1B9F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Y=5027452.1295</w:t>
            </w:r>
          </w:p>
        </w:tc>
      </w:tr>
      <w:tr w14:paraId="71BB3CA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669E969F">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16</w:t>
            </w:r>
          </w:p>
        </w:tc>
        <w:tc>
          <w:tcPr>
            <w:tcW w:w="3279" w:type="dxa"/>
            <w:tcBorders>
              <w:tl2br w:val="nil"/>
              <w:tr2bl w:val="nil"/>
            </w:tcBorders>
            <w:shd w:val="clear" w:color="auto" w:fill="auto"/>
            <w:noWrap/>
            <w:vAlign w:val="center"/>
          </w:tcPr>
          <w:p w14:paraId="0CA8D93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X=422301.7394</w:t>
            </w:r>
          </w:p>
        </w:tc>
        <w:tc>
          <w:tcPr>
            <w:tcW w:w="3823" w:type="dxa"/>
            <w:tcBorders>
              <w:tl2br w:val="nil"/>
              <w:tr2bl w:val="nil"/>
            </w:tcBorders>
            <w:shd w:val="clear" w:color="auto" w:fill="auto"/>
            <w:noWrap/>
            <w:vAlign w:val="center"/>
          </w:tcPr>
          <w:p w14:paraId="07C7AC2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Y=5027479.2443</w:t>
            </w:r>
          </w:p>
        </w:tc>
      </w:tr>
      <w:tr w14:paraId="46A64CD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69A2B061">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17</w:t>
            </w:r>
          </w:p>
        </w:tc>
        <w:tc>
          <w:tcPr>
            <w:tcW w:w="3279" w:type="dxa"/>
            <w:tcBorders>
              <w:tl2br w:val="nil"/>
              <w:tr2bl w:val="nil"/>
            </w:tcBorders>
            <w:shd w:val="clear" w:color="auto" w:fill="auto"/>
            <w:noWrap/>
            <w:vAlign w:val="center"/>
          </w:tcPr>
          <w:p w14:paraId="7F5DE72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X=422325.2696</w:t>
            </w:r>
          </w:p>
        </w:tc>
        <w:tc>
          <w:tcPr>
            <w:tcW w:w="3823" w:type="dxa"/>
            <w:tcBorders>
              <w:tl2br w:val="nil"/>
              <w:tr2bl w:val="nil"/>
            </w:tcBorders>
            <w:shd w:val="clear" w:color="auto" w:fill="auto"/>
            <w:noWrap/>
            <w:vAlign w:val="center"/>
          </w:tcPr>
          <w:p w14:paraId="5662C07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Y=5027619.9930</w:t>
            </w:r>
          </w:p>
        </w:tc>
      </w:tr>
      <w:tr w14:paraId="540D090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9059" w:type="dxa"/>
            <w:gridSpan w:val="3"/>
            <w:tcBorders>
              <w:tl2br w:val="nil"/>
              <w:tr2bl w:val="nil"/>
            </w:tcBorders>
            <w:shd w:val="clear" w:color="auto" w:fill="auto"/>
            <w:noWrap/>
            <w:vAlign w:val="center"/>
          </w:tcPr>
          <w:p w14:paraId="54E331F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16#</w:t>
            </w:r>
          </w:p>
        </w:tc>
      </w:tr>
      <w:tr w14:paraId="7EA7336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65800D0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w:t>
            </w:r>
          </w:p>
        </w:tc>
        <w:tc>
          <w:tcPr>
            <w:tcW w:w="3279" w:type="dxa"/>
            <w:tcBorders>
              <w:tl2br w:val="nil"/>
              <w:tr2bl w:val="nil"/>
            </w:tcBorders>
            <w:shd w:val="clear" w:color="auto" w:fill="auto"/>
            <w:noWrap/>
            <w:vAlign w:val="center"/>
          </w:tcPr>
          <w:p w14:paraId="7B4EB1C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X=422514.2550</w:t>
            </w:r>
          </w:p>
        </w:tc>
        <w:tc>
          <w:tcPr>
            <w:tcW w:w="3823" w:type="dxa"/>
            <w:tcBorders>
              <w:tl2br w:val="nil"/>
              <w:tr2bl w:val="nil"/>
            </w:tcBorders>
            <w:shd w:val="clear" w:color="auto" w:fill="auto"/>
            <w:noWrap/>
            <w:vAlign w:val="center"/>
          </w:tcPr>
          <w:p w14:paraId="0FEA8CE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Y=5026894.3190</w:t>
            </w:r>
          </w:p>
        </w:tc>
      </w:tr>
      <w:tr w14:paraId="1513987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557F5B3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w:t>
            </w:r>
          </w:p>
        </w:tc>
        <w:tc>
          <w:tcPr>
            <w:tcW w:w="3279" w:type="dxa"/>
            <w:tcBorders>
              <w:tl2br w:val="nil"/>
              <w:tr2bl w:val="nil"/>
            </w:tcBorders>
            <w:shd w:val="clear" w:color="auto" w:fill="auto"/>
            <w:noWrap/>
            <w:vAlign w:val="center"/>
          </w:tcPr>
          <w:p w14:paraId="1654E2A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X=422514.2220</w:t>
            </w:r>
          </w:p>
        </w:tc>
        <w:tc>
          <w:tcPr>
            <w:tcW w:w="3823" w:type="dxa"/>
            <w:tcBorders>
              <w:tl2br w:val="nil"/>
              <w:tr2bl w:val="nil"/>
            </w:tcBorders>
            <w:shd w:val="clear" w:color="auto" w:fill="auto"/>
            <w:noWrap/>
            <w:vAlign w:val="center"/>
          </w:tcPr>
          <w:p w14:paraId="06DF42E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Y=5026894.4629</w:t>
            </w:r>
          </w:p>
        </w:tc>
      </w:tr>
      <w:tr w14:paraId="27EB4FB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13B5B3F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w:t>
            </w:r>
          </w:p>
        </w:tc>
        <w:tc>
          <w:tcPr>
            <w:tcW w:w="3279" w:type="dxa"/>
            <w:tcBorders>
              <w:tl2br w:val="nil"/>
              <w:tr2bl w:val="nil"/>
            </w:tcBorders>
            <w:shd w:val="clear" w:color="auto" w:fill="auto"/>
            <w:noWrap/>
            <w:vAlign w:val="center"/>
          </w:tcPr>
          <w:p w14:paraId="57344CA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X=422514.2210</w:t>
            </w:r>
          </w:p>
        </w:tc>
        <w:tc>
          <w:tcPr>
            <w:tcW w:w="3823" w:type="dxa"/>
            <w:tcBorders>
              <w:tl2br w:val="nil"/>
              <w:tr2bl w:val="nil"/>
            </w:tcBorders>
            <w:shd w:val="clear" w:color="auto" w:fill="auto"/>
            <w:noWrap/>
            <w:vAlign w:val="center"/>
          </w:tcPr>
          <w:p w14:paraId="4566696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Y=5026894.4677</w:t>
            </w:r>
          </w:p>
        </w:tc>
      </w:tr>
      <w:tr w14:paraId="7FD7C80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67985CB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w:t>
            </w:r>
          </w:p>
        </w:tc>
        <w:tc>
          <w:tcPr>
            <w:tcW w:w="3279" w:type="dxa"/>
            <w:tcBorders>
              <w:tl2br w:val="nil"/>
              <w:tr2bl w:val="nil"/>
            </w:tcBorders>
            <w:shd w:val="clear" w:color="auto" w:fill="auto"/>
            <w:noWrap/>
            <w:vAlign w:val="center"/>
          </w:tcPr>
          <w:p w14:paraId="16D107C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X=422514.0739</w:t>
            </w:r>
          </w:p>
        </w:tc>
        <w:tc>
          <w:tcPr>
            <w:tcW w:w="3823" w:type="dxa"/>
            <w:tcBorders>
              <w:tl2br w:val="nil"/>
              <w:tr2bl w:val="nil"/>
            </w:tcBorders>
            <w:shd w:val="clear" w:color="auto" w:fill="auto"/>
            <w:noWrap/>
            <w:vAlign w:val="center"/>
          </w:tcPr>
          <w:p w14:paraId="3E65749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Y=5026895.3733</w:t>
            </w:r>
          </w:p>
        </w:tc>
      </w:tr>
      <w:tr w14:paraId="15A72A4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64C516E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w:t>
            </w:r>
          </w:p>
        </w:tc>
        <w:tc>
          <w:tcPr>
            <w:tcW w:w="3279" w:type="dxa"/>
            <w:tcBorders>
              <w:tl2br w:val="nil"/>
              <w:tr2bl w:val="nil"/>
            </w:tcBorders>
            <w:shd w:val="clear" w:color="auto" w:fill="auto"/>
            <w:noWrap/>
            <w:vAlign w:val="center"/>
          </w:tcPr>
          <w:p w14:paraId="24DAC48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X=422513.2334</w:t>
            </w:r>
          </w:p>
        </w:tc>
        <w:tc>
          <w:tcPr>
            <w:tcW w:w="3823" w:type="dxa"/>
            <w:tcBorders>
              <w:tl2br w:val="nil"/>
              <w:tr2bl w:val="nil"/>
            </w:tcBorders>
            <w:shd w:val="clear" w:color="auto" w:fill="auto"/>
            <w:noWrap/>
            <w:vAlign w:val="center"/>
          </w:tcPr>
          <w:p w14:paraId="402D908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Y=5026901.0698</w:t>
            </w:r>
          </w:p>
        </w:tc>
      </w:tr>
      <w:tr w14:paraId="27B8140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7DC6365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6</w:t>
            </w:r>
          </w:p>
        </w:tc>
        <w:tc>
          <w:tcPr>
            <w:tcW w:w="3279" w:type="dxa"/>
            <w:tcBorders>
              <w:tl2br w:val="nil"/>
              <w:tr2bl w:val="nil"/>
            </w:tcBorders>
            <w:shd w:val="clear" w:color="auto" w:fill="auto"/>
            <w:noWrap/>
            <w:vAlign w:val="center"/>
          </w:tcPr>
          <w:p w14:paraId="4CECEE1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X=422512.4055</w:t>
            </w:r>
          </w:p>
        </w:tc>
        <w:tc>
          <w:tcPr>
            <w:tcW w:w="3823" w:type="dxa"/>
            <w:tcBorders>
              <w:tl2br w:val="nil"/>
              <w:tr2bl w:val="nil"/>
            </w:tcBorders>
            <w:shd w:val="clear" w:color="auto" w:fill="auto"/>
            <w:noWrap/>
            <w:vAlign w:val="center"/>
          </w:tcPr>
          <w:p w14:paraId="2F21B23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Y=5026906.9069</w:t>
            </w:r>
          </w:p>
        </w:tc>
      </w:tr>
      <w:tr w14:paraId="6D6A8E2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9059" w:type="dxa"/>
            <w:gridSpan w:val="3"/>
            <w:tcBorders>
              <w:tl2br w:val="nil"/>
              <w:tr2bl w:val="nil"/>
            </w:tcBorders>
            <w:shd w:val="clear" w:color="auto" w:fill="auto"/>
            <w:noWrap/>
            <w:vAlign w:val="center"/>
          </w:tcPr>
          <w:p w14:paraId="73E58DC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21#</w:t>
            </w:r>
          </w:p>
        </w:tc>
      </w:tr>
      <w:tr w14:paraId="1CA4537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08C4913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w:t>
            </w:r>
          </w:p>
        </w:tc>
        <w:tc>
          <w:tcPr>
            <w:tcW w:w="3279" w:type="dxa"/>
            <w:tcBorders>
              <w:tl2br w:val="nil"/>
              <w:tr2bl w:val="nil"/>
            </w:tcBorders>
            <w:shd w:val="clear" w:color="auto" w:fill="auto"/>
            <w:noWrap/>
            <w:vAlign w:val="center"/>
          </w:tcPr>
          <w:p w14:paraId="30A2481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X=422592.2066</w:t>
            </w:r>
          </w:p>
        </w:tc>
        <w:tc>
          <w:tcPr>
            <w:tcW w:w="3823" w:type="dxa"/>
            <w:tcBorders>
              <w:tl2br w:val="nil"/>
              <w:tr2bl w:val="nil"/>
            </w:tcBorders>
            <w:shd w:val="clear" w:color="auto" w:fill="auto"/>
            <w:noWrap/>
            <w:vAlign w:val="center"/>
          </w:tcPr>
          <w:p w14:paraId="687606A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Y=5026106.2279</w:t>
            </w:r>
          </w:p>
        </w:tc>
      </w:tr>
      <w:tr w14:paraId="204080E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5DD43FF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w:t>
            </w:r>
          </w:p>
        </w:tc>
        <w:tc>
          <w:tcPr>
            <w:tcW w:w="3279" w:type="dxa"/>
            <w:tcBorders>
              <w:tl2br w:val="nil"/>
              <w:tr2bl w:val="nil"/>
            </w:tcBorders>
            <w:shd w:val="clear" w:color="auto" w:fill="auto"/>
            <w:noWrap/>
            <w:vAlign w:val="center"/>
          </w:tcPr>
          <w:p w14:paraId="6431F08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X=422704.4316</w:t>
            </w:r>
          </w:p>
        </w:tc>
        <w:tc>
          <w:tcPr>
            <w:tcW w:w="3823" w:type="dxa"/>
            <w:tcBorders>
              <w:tl2br w:val="nil"/>
              <w:tr2bl w:val="nil"/>
            </w:tcBorders>
            <w:shd w:val="clear" w:color="auto" w:fill="auto"/>
            <w:noWrap/>
            <w:vAlign w:val="center"/>
          </w:tcPr>
          <w:p w14:paraId="2BD8BDE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Y=5025904.2317</w:t>
            </w:r>
          </w:p>
        </w:tc>
      </w:tr>
      <w:tr w14:paraId="7C813DA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537AC34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w:t>
            </w:r>
          </w:p>
        </w:tc>
        <w:tc>
          <w:tcPr>
            <w:tcW w:w="3279" w:type="dxa"/>
            <w:tcBorders>
              <w:tl2br w:val="nil"/>
              <w:tr2bl w:val="nil"/>
            </w:tcBorders>
            <w:shd w:val="clear" w:color="auto" w:fill="auto"/>
            <w:noWrap/>
            <w:vAlign w:val="center"/>
          </w:tcPr>
          <w:p w14:paraId="355A71C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X=422858.8813</w:t>
            </w:r>
          </w:p>
        </w:tc>
        <w:tc>
          <w:tcPr>
            <w:tcW w:w="3823" w:type="dxa"/>
            <w:tcBorders>
              <w:tl2br w:val="nil"/>
              <w:tr2bl w:val="nil"/>
            </w:tcBorders>
            <w:shd w:val="clear" w:color="auto" w:fill="auto"/>
            <w:noWrap/>
            <w:vAlign w:val="center"/>
          </w:tcPr>
          <w:p w14:paraId="40CB6A6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Y=5026004.4832</w:t>
            </w:r>
          </w:p>
        </w:tc>
      </w:tr>
      <w:tr w14:paraId="5E23745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4BAD6A5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w:t>
            </w:r>
          </w:p>
        </w:tc>
        <w:tc>
          <w:tcPr>
            <w:tcW w:w="3279" w:type="dxa"/>
            <w:tcBorders>
              <w:tl2br w:val="nil"/>
              <w:tr2bl w:val="nil"/>
            </w:tcBorders>
            <w:shd w:val="clear" w:color="auto" w:fill="auto"/>
            <w:noWrap/>
            <w:vAlign w:val="center"/>
          </w:tcPr>
          <w:p w14:paraId="6EE8B3A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X=422734.8174</w:t>
            </w:r>
          </w:p>
        </w:tc>
        <w:tc>
          <w:tcPr>
            <w:tcW w:w="3823" w:type="dxa"/>
            <w:tcBorders>
              <w:tl2br w:val="nil"/>
              <w:tr2bl w:val="nil"/>
            </w:tcBorders>
            <w:shd w:val="clear" w:color="auto" w:fill="auto"/>
            <w:noWrap/>
            <w:vAlign w:val="center"/>
          </w:tcPr>
          <w:p w14:paraId="14A413E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Y=5026157.0574</w:t>
            </w:r>
          </w:p>
        </w:tc>
      </w:tr>
      <w:tr w14:paraId="7653DE3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9059" w:type="dxa"/>
            <w:gridSpan w:val="3"/>
            <w:tcBorders>
              <w:tl2br w:val="nil"/>
              <w:tr2bl w:val="nil"/>
            </w:tcBorders>
            <w:shd w:val="clear" w:color="auto" w:fill="auto"/>
            <w:noWrap/>
            <w:vAlign w:val="center"/>
          </w:tcPr>
          <w:p w14:paraId="0279158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25#</w:t>
            </w:r>
          </w:p>
        </w:tc>
      </w:tr>
      <w:tr w14:paraId="63D20FD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58E45B99">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3279" w:type="dxa"/>
            <w:tcBorders>
              <w:tl2br w:val="nil"/>
              <w:tr2bl w:val="nil"/>
            </w:tcBorders>
            <w:shd w:val="clear" w:color="auto" w:fill="auto"/>
            <w:noWrap/>
            <w:vAlign w:val="center"/>
          </w:tcPr>
          <w:p w14:paraId="36C5A31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X=425323.0129</w:t>
            </w:r>
          </w:p>
        </w:tc>
        <w:tc>
          <w:tcPr>
            <w:tcW w:w="3823" w:type="dxa"/>
            <w:tcBorders>
              <w:tl2br w:val="nil"/>
              <w:tr2bl w:val="nil"/>
            </w:tcBorders>
            <w:shd w:val="clear" w:color="auto" w:fill="auto"/>
            <w:noWrap/>
            <w:vAlign w:val="center"/>
          </w:tcPr>
          <w:p w14:paraId="3E635B9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Y=5025987.0809</w:t>
            </w:r>
          </w:p>
        </w:tc>
      </w:tr>
      <w:tr w14:paraId="42D3373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4A3576CD">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3279" w:type="dxa"/>
            <w:tcBorders>
              <w:tl2br w:val="nil"/>
              <w:tr2bl w:val="nil"/>
            </w:tcBorders>
            <w:shd w:val="clear" w:color="auto" w:fill="auto"/>
            <w:noWrap/>
            <w:vAlign w:val="center"/>
          </w:tcPr>
          <w:p w14:paraId="115975E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X=425349.3501</w:t>
            </w:r>
          </w:p>
        </w:tc>
        <w:tc>
          <w:tcPr>
            <w:tcW w:w="3823" w:type="dxa"/>
            <w:tcBorders>
              <w:tl2br w:val="nil"/>
              <w:tr2bl w:val="nil"/>
            </w:tcBorders>
            <w:shd w:val="clear" w:color="auto" w:fill="auto"/>
            <w:noWrap/>
            <w:vAlign w:val="center"/>
          </w:tcPr>
          <w:p w14:paraId="1098CA0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Y=5025980.7335</w:t>
            </w:r>
          </w:p>
        </w:tc>
      </w:tr>
      <w:tr w14:paraId="302BC9C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29F9BA1E">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w:t>
            </w:r>
          </w:p>
        </w:tc>
        <w:tc>
          <w:tcPr>
            <w:tcW w:w="3279" w:type="dxa"/>
            <w:tcBorders>
              <w:tl2br w:val="nil"/>
              <w:tr2bl w:val="nil"/>
            </w:tcBorders>
            <w:shd w:val="clear" w:color="auto" w:fill="auto"/>
            <w:noWrap/>
            <w:vAlign w:val="center"/>
          </w:tcPr>
          <w:p w14:paraId="64383AD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X=425284.8971</w:t>
            </w:r>
          </w:p>
        </w:tc>
        <w:tc>
          <w:tcPr>
            <w:tcW w:w="3823" w:type="dxa"/>
            <w:tcBorders>
              <w:tl2br w:val="nil"/>
              <w:tr2bl w:val="nil"/>
            </w:tcBorders>
            <w:shd w:val="clear" w:color="auto" w:fill="auto"/>
            <w:noWrap/>
            <w:vAlign w:val="center"/>
          </w:tcPr>
          <w:p w14:paraId="2E95B34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Y=5026046.6245</w:t>
            </w:r>
          </w:p>
        </w:tc>
      </w:tr>
      <w:tr w14:paraId="021ED6E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0ED42E0E">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w:t>
            </w:r>
          </w:p>
        </w:tc>
        <w:tc>
          <w:tcPr>
            <w:tcW w:w="3279" w:type="dxa"/>
            <w:tcBorders>
              <w:tl2br w:val="nil"/>
              <w:tr2bl w:val="nil"/>
            </w:tcBorders>
            <w:shd w:val="clear" w:color="auto" w:fill="auto"/>
            <w:noWrap/>
            <w:vAlign w:val="center"/>
          </w:tcPr>
          <w:p w14:paraId="232E254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X=425193.9167</w:t>
            </w:r>
          </w:p>
        </w:tc>
        <w:tc>
          <w:tcPr>
            <w:tcW w:w="3823" w:type="dxa"/>
            <w:tcBorders>
              <w:tl2br w:val="nil"/>
              <w:tr2bl w:val="nil"/>
            </w:tcBorders>
            <w:shd w:val="clear" w:color="auto" w:fill="auto"/>
            <w:noWrap/>
            <w:vAlign w:val="center"/>
          </w:tcPr>
          <w:p w14:paraId="12C899A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Y=5026140.1968</w:t>
            </w:r>
          </w:p>
        </w:tc>
      </w:tr>
      <w:tr w14:paraId="41F45A9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36A3BF98">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3279" w:type="dxa"/>
            <w:tcBorders>
              <w:tl2br w:val="nil"/>
              <w:tr2bl w:val="nil"/>
            </w:tcBorders>
            <w:shd w:val="clear" w:color="auto" w:fill="auto"/>
            <w:noWrap/>
            <w:vAlign w:val="center"/>
          </w:tcPr>
          <w:p w14:paraId="27B90D1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X=425141.1802</w:t>
            </w:r>
          </w:p>
        </w:tc>
        <w:tc>
          <w:tcPr>
            <w:tcW w:w="3823" w:type="dxa"/>
            <w:tcBorders>
              <w:tl2br w:val="nil"/>
              <w:tr2bl w:val="nil"/>
            </w:tcBorders>
            <w:shd w:val="clear" w:color="auto" w:fill="auto"/>
            <w:noWrap/>
            <w:vAlign w:val="center"/>
          </w:tcPr>
          <w:p w14:paraId="2351E7C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Y=5026118.8838</w:t>
            </w:r>
          </w:p>
        </w:tc>
      </w:tr>
      <w:tr w14:paraId="4135BB4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41372D45">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w:t>
            </w:r>
          </w:p>
        </w:tc>
        <w:tc>
          <w:tcPr>
            <w:tcW w:w="3279" w:type="dxa"/>
            <w:tcBorders>
              <w:tl2br w:val="nil"/>
              <w:tr2bl w:val="nil"/>
            </w:tcBorders>
            <w:shd w:val="clear" w:color="auto" w:fill="auto"/>
            <w:noWrap/>
            <w:vAlign w:val="center"/>
          </w:tcPr>
          <w:p w14:paraId="3F1046D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X=425175.3162</w:t>
            </w:r>
          </w:p>
        </w:tc>
        <w:tc>
          <w:tcPr>
            <w:tcW w:w="3823" w:type="dxa"/>
            <w:tcBorders>
              <w:tl2br w:val="nil"/>
              <w:tr2bl w:val="nil"/>
            </w:tcBorders>
            <w:shd w:val="clear" w:color="auto" w:fill="auto"/>
            <w:noWrap/>
            <w:vAlign w:val="center"/>
          </w:tcPr>
          <w:p w14:paraId="4B50EA4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Y=5026027.9473</w:t>
            </w:r>
          </w:p>
        </w:tc>
      </w:tr>
      <w:tr w14:paraId="2C35938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473202C7">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w:t>
            </w:r>
          </w:p>
        </w:tc>
        <w:tc>
          <w:tcPr>
            <w:tcW w:w="3279" w:type="dxa"/>
            <w:tcBorders>
              <w:tl2br w:val="nil"/>
              <w:tr2bl w:val="nil"/>
            </w:tcBorders>
            <w:shd w:val="clear" w:color="auto" w:fill="auto"/>
            <w:noWrap/>
            <w:vAlign w:val="center"/>
          </w:tcPr>
          <w:p w14:paraId="0635103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X=425227.1703</w:t>
            </w:r>
          </w:p>
        </w:tc>
        <w:tc>
          <w:tcPr>
            <w:tcW w:w="3823" w:type="dxa"/>
            <w:tcBorders>
              <w:tl2br w:val="nil"/>
              <w:tr2bl w:val="nil"/>
            </w:tcBorders>
            <w:shd w:val="clear" w:color="auto" w:fill="auto"/>
            <w:noWrap/>
            <w:vAlign w:val="center"/>
          </w:tcPr>
          <w:p w14:paraId="439F537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Y=5026015.7652</w:t>
            </w:r>
          </w:p>
        </w:tc>
      </w:tr>
      <w:tr w14:paraId="60C1079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03742880">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w:t>
            </w:r>
          </w:p>
        </w:tc>
        <w:tc>
          <w:tcPr>
            <w:tcW w:w="3279" w:type="dxa"/>
            <w:tcBorders>
              <w:tl2br w:val="nil"/>
              <w:tr2bl w:val="nil"/>
            </w:tcBorders>
            <w:shd w:val="clear" w:color="auto" w:fill="auto"/>
            <w:noWrap/>
            <w:vAlign w:val="center"/>
          </w:tcPr>
          <w:p w14:paraId="517C485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X=425276.1308</w:t>
            </w:r>
          </w:p>
        </w:tc>
        <w:tc>
          <w:tcPr>
            <w:tcW w:w="3823" w:type="dxa"/>
            <w:tcBorders>
              <w:tl2br w:val="nil"/>
              <w:tr2bl w:val="nil"/>
            </w:tcBorders>
            <w:shd w:val="clear" w:color="auto" w:fill="auto"/>
            <w:noWrap/>
            <w:vAlign w:val="center"/>
          </w:tcPr>
          <w:p w14:paraId="0870641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Y=5026015.2052</w:t>
            </w:r>
          </w:p>
        </w:tc>
      </w:tr>
      <w:tr w14:paraId="242423E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50BDEB66">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w:t>
            </w:r>
          </w:p>
        </w:tc>
        <w:tc>
          <w:tcPr>
            <w:tcW w:w="3279" w:type="dxa"/>
            <w:tcBorders>
              <w:tl2br w:val="nil"/>
              <w:tr2bl w:val="nil"/>
            </w:tcBorders>
            <w:shd w:val="clear" w:color="auto" w:fill="auto"/>
            <w:noWrap/>
            <w:vAlign w:val="center"/>
          </w:tcPr>
          <w:p w14:paraId="16371C7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X=425323.0129</w:t>
            </w:r>
          </w:p>
        </w:tc>
        <w:tc>
          <w:tcPr>
            <w:tcW w:w="3823" w:type="dxa"/>
            <w:tcBorders>
              <w:tl2br w:val="nil"/>
              <w:tr2bl w:val="nil"/>
            </w:tcBorders>
            <w:shd w:val="clear" w:color="auto" w:fill="auto"/>
            <w:noWrap/>
            <w:vAlign w:val="center"/>
          </w:tcPr>
          <w:p w14:paraId="4F8CCB0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Y=5025987.0809</w:t>
            </w:r>
          </w:p>
        </w:tc>
      </w:tr>
      <w:tr w14:paraId="0220B57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9059" w:type="dxa"/>
            <w:gridSpan w:val="3"/>
            <w:tcBorders>
              <w:tl2br w:val="nil"/>
              <w:tr2bl w:val="nil"/>
            </w:tcBorders>
            <w:shd w:val="clear" w:color="auto" w:fill="auto"/>
            <w:noWrap/>
            <w:vAlign w:val="center"/>
          </w:tcPr>
          <w:p w14:paraId="635E969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31#</w:t>
            </w:r>
          </w:p>
        </w:tc>
      </w:tr>
      <w:tr w14:paraId="1A6F2D3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3F205760">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3279" w:type="dxa"/>
            <w:tcBorders>
              <w:tl2br w:val="nil"/>
              <w:tr2bl w:val="nil"/>
            </w:tcBorders>
            <w:shd w:val="clear" w:color="auto" w:fill="auto"/>
            <w:noWrap/>
            <w:vAlign w:val="center"/>
          </w:tcPr>
          <w:p w14:paraId="0098767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X=416601.2469</w:t>
            </w:r>
          </w:p>
        </w:tc>
        <w:tc>
          <w:tcPr>
            <w:tcW w:w="3823" w:type="dxa"/>
            <w:tcBorders>
              <w:tl2br w:val="nil"/>
              <w:tr2bl w:val="nil"/>
            </w:tcBorders>
            <w:shd w:val="clear" w:color="auto" w:fill="auto"/>
            <w:noWrap/>
            <w:vAlign w:val="center"/>
          </w:tcPr>
          <w:p w14:paraId="3C24A45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Y=5023439.9238</w:t>
            </w:r>
          </w:p>
        </w:tc>
      </w:tr>
      <w:tr w14:paraId="2477D0C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0AD8BB7B">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3279" w:type="dxa"/>
            <w:tcBorders>
              <w:tl2br w:val="nil"/>
              <w:tr2bl w:val="nil"/>
            </w:tcBorders>
            <w:shd w:val="clear" w:color="auto" w:fill="auto"/>
            <w:noWrap/>
            <w:vAlign w:val="center"/>
          </w:tcPr>
          <w:p w14:paraId="08486ED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X=416559.7201</w:t>
            </w:r>
          </w:p>
        </w:tc>
        <w:tc>
          <w:tcPr>
            <w:tcW w:w="3823" w:type="dxa"/>
            <w:tcBorders>
              <w:tl2br w:val="nil"/>
              <w:tr2bl w:val="nil"/>
            </w:tcBorders>
            <w:shd w:val="clear" w:color="auto" w:fill="auto"/>
            <w:noWrap/>
            <w:vAlign w:val="center"/>
          </w:tcPr>
          <w:p w14:paraId="562576E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Y=5023420.2027</w:t>
            </w:r>
          </w:p>
        </w:tc>
      </w:tr>
      <w:tr w14:paraId="0963850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569D2FA8">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w:t>
            </w:r>
          </w:p>
        </w:tc>
        <w:tc>
          <w:tcPr>
            <w:tcW w:w="3279" w:type="dxa"/>
            <w:tcBorders>
              <w:tl2br w:val="nil"/>
              <w:tr2bl w:val="nil"/>
            </w:tcBorders>
            <w:shd w:val="clear" w:color="auto" w:fill="auto"/>
            <w:noWrap/>
            <w:vAlign w:val="center"/>
          </w:tcPr>
          <w:p w14:paraId="036A513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X=416513.5891</w:t>
            </w:r>
          </w:p>
        </w:tc>
        <w:tc>
          <w:tcPr>
            <w:tcW w:w="3823" w:type="dxa"/>
            <w:tcBorders>
              <w:tl2br w:val="nil"/>
              <w:tr2bl w:val="nil"/>
            </w:tcBorders>
            <w:shd w:val="clear" w:color="auto" w:fill="auto"/>
            <w:noWrap/>
            <w:vAlign w:val="center"/>
          </w:tcPr>
          <w:p w14:paraId="69A3E19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Y=5023359.5335</w:t>
            </w:r>
          </w:p>
        </w:tc>
      </w:tr>
      <w:tr w14:paraId="251C0E1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5A076EF8">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w:t>
            </w:r>
          </w:p>
        </w:tc>
        <w:tc>
          <w:tcPr>
            <w:tcW w:w="3279" w:type="dxa"/>
            <w:tcBorders>
              <w:tl2br w:val="nil"/>
              <w:tr2bl w:val="nil"/>
            </w:tcBorders>
            <w:shd w:val="clear" w:color="auto" w:fill="auto"/>
            <w:noWrap/>
            <w:vAlign w:val="center"/>
          </w:tcPr>
          <w:p w14:paraId="7565201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X=416544.5828</w:t>
            </w:r>
          </w:p>
        </w:tc>
        <w:tc>
          <w:tcPr>
            <w:tcW w:w="3823" w:type="dxa"/>
            <w:tcBorders>
              <w:tl2br w:val="nil"/>
              <w:tr2bl w:val="nil"/>
            </w:tcBorders>
            <w:shd w:val="clear" w:color="auto" w:fill="auto"/>
            <w:noWrap/>
            <w:vAlign w:val="center"/>
          </w:tcPr>
          <w:p w14:paraId="1C0975F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Y=5023308.4860</w:t>
            </w:r>
          </w:p>
        </w:tc>
      </w:tr>
      <w:tr w14:paraId="3B2AC86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6954BD6C">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3279" w:type="dxa"/>
            <w:tcBorders>
              <w:tl2br w:val="nil"/>
              <w:tr2bl w:val="nil"/>
            </w:tcBorders>
            <w:shd w:val="clear" w:color="auto" w:fill="auto"/>
            <w:noWrap/>
            <w:vAlign w:val="center"/>
          </w:tcPr>
          <w:p w14:paraId="21E79F8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X=416603.3421</w:t>
            </w:r>
          </w:p>
        </w:tc>
        <w:tc>
          <w:tcPr>
            <w:tcW w:w="3823" w:type="dxa"/>
            <w:tcBorders>
              <w:tl2br w:val="nil"/>
              <w:tr2bl w:val="nil"/>
            </w:tcBorders>
            <w:shd w:val="clear" w:color="auto" w:fill="auto"/>
            <w:noWrap/>
            <w:vAlign w:val="center"/>
          </w:tcPr>
          <w:p w14:paraId="0F948FE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Y=5023259.7137</w:t>
            </w:r>
          </w:p>
        </w:tc>
      </w:tr>
      <w:tr w14:paraId="0B26E82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3DED040F">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w:t>
            </w:r>
          </w:p>
        </w:tc>
        <w:tc>
          <w:tcPr>
            <w:tcW w:w="3279" w:type="dxa"/>
            <w:tcBorders>
              <w:tl2br w:val="nil"/>
              <w:tr2bl w:val="nil"/>
            </w:tcBorders>
            <w:shd w:val="clear" w:color="auto" w:fill="auto"/>
            <w:noWrap/>
            <w:vAlign w:val="center"/>
          </w:tcPr>
          <w:p w14:paraId="2FA05FE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X=416638.1303</w:t>
            </w:r>
          </w:p>
        </w:tc>
        <w:tc>
          <w:tcPr>
            <w:tcW w:w="3823" w:type="dxa"/>
            <w:tcBorders>
              <w:tl2br w:val="nil"/>
              <w:tr2bl w:val="nil"/>
            </w:tcBorders>
            <w:shd w:val="clear" w:color="auto" w:fill="auto"/>
            <w:noWrap/>
            <w:vAlign w:val="center"/>
          </w:tcPr>
          <w:p w14:paraId="5ED2E60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Y=5023182.8162</w:t>
            </w:r>
          </w:p>
        </w:tc>
      </w:tr>
      <w:tr w14:paraId="1810881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6A83B95F">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w:t>
            </w:r>
          </w:p>
        </w:tc>
        <w:tc>
          <w:tcPr>
            <w:tcW w:w="3279" w:type="dxa"/>
            <w:tcBorders>
              <w:tl2br w:val="nil"/>
              <w:tr2bl w:val="nil"/>
            </w:tcBorders>
            <w:shd w:val="clear" w:color="auto" w:fill="auto"/>
            <w:noWrap/>
            <w:vAlign w:val="center"/>
          </w:tcPr>
          <w:p w14:paraId="33FD61E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X=416734.2861</w:t>
            </w:r>
          </w:p>
        </w:tc>
        <w:tc>
          <w:tcPr>
            <w:tcW w:w="3823" w:type="dxa"/>
            <w:tcBorders>
              <w:tl2br w:val="nil"/>
              <w:tr2bl w:val="nil"/>
            </w:tcBorders>
            <w:shd w:val="clear" w:color="auto" w:fill="auto"/>
            <w:noWrap/>
            <w:vAlign w:val="center"/>
          </w:tcPr>
          <w:p w14:paraId="18A4EAE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Y=5023160.0002</w:t>
            </w:r>
          </w:p>
        </w:tc>
      </w:tr>
      <w:tr w14:paraId="74B4A0A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3D7C0FF7">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w:t>
            </w:r>
          </w:p>
        </w:tc>
        <w:tc>
          <w:tcPr>
            <w:tcW w:w="3279" w:type="dxa"/>
            <w:tcBorders>
              <w:tl2br w:val="nil"/>
              <w:tr2bl w:val="nil"/>
            </w:tcBorders>
            <w:shd w:val="clear" w:color="auto" w:fill="auto"/>
            <w:noWrap/>
            <w:vAlign w:val="center"/>
          </w:tcPr>
          <w:p w14:paraId="0D18CA2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X=416757.2475</w:t>
            </w:r>
          </w:p>
        </w:tc>
        <w:tc>
          <w:tcPr>
            <w:tcW w:w="3823" w:type="dxa"/>
            <w:tcBorders>
              <w:tl2br w:val="nil"/>
              <w:tr2bl w:val="nil"/>
            </w:tcBorders>
            <w:shd w:val="clear" w:color="auto" w:fill="auto"/>
            <w:noWrap/>
            <w:vAlign w:val="center"/>
          </w:tcPr>
          <w:p w14:paraId="0588857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Y=5023185.9189</w:t>
            </w:r>
          </w:p>
        </w:tc>
      </w:tr>
      <w:tr w14:paraId="25B7648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7C64305F">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w:t>
            </w:r>
          </w:p>
        </w:tc>
        <w:tc>
          <w:tcPr>
            <w:tcW w:w="3279" w:type="dxa"/>
            <w:tcBorders>
              <w:tl2br w:val="nil"/>
              <w:tr2bl w:val="nil"/>
            </w:tcBorders>
            <w:shd w:val="clear" w:color="auto" w:fill="auto"/>
            <w:noWrap/>
            <w:vAlign w:val="center"/>
          </w:tcPr>
          <w:p w14:paraId="59DD395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X=416733.4460</w:t>
            </w:r>
          </w:p>
        </w:tc>
        <w:tc>
          <w:tcPr>
            <w:tcW w:w="3823" w:type="dxa"/>
            <w:tcBorders>
              <w:tl2br w:val="nil"/>
              <w:tr2bl w:val="nil"/>
            </w:tcBorders>
            <w:shd w:val="clear" w:color="auto" w:fill="auto"/>
            <w:noWrap/>
            <w:vAlign w:val="center"/>
          </w:tcPr>
          <w:p w14:paraId="4F78B05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Y=5023251.0166</w:t>
            </w:r>
          </w:p>
        </w:tc>
      </w:tr>
      <w:tr w14:paraId="1CAAE5F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19D42210">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w:t>
            </w:r>
          </w:p>
        </w:tc>
        <w:tc>
          <w:tcPr>
            <w:tcW w:w="3279" w:type="dxa"/>
            <w:tcBorders>
              <w:tl2br w:val="nil"/>
              <w:tr2bl w:val="nil"/>
            </w:tcBorders>
            <w:shd w:val="clear" w:color="auto" w:fill="auto"/>
            <w:noWrap/>
            <w:vAlign w:val="center"/>
          </w:tcPr>
          <w:p w14:paraId="346325A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X=416698.2323</w:t>
            </w:r>
          </w:p>
        </w:tc>
        <w:tc>
          <w:tcPr>
            <w:tcW w:w="3823" w:type="dxa"/>
            <w:tcBorders>
              <w:tl2br w:val="nil"/>
              <w:tr2bl w:val="nil"/>
            </w:tcBorders>
            <w:shd w:val="clear" w:color="auto" w:fill="auto"/>
            <w:noWrap/>
            <w:vAlign w:val="center"/>
          </w:tcPr>
          <w:p w14:paraId="589ED10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Y=5023242.0031</w:t>
            </w:r>
          </w:p>
        </w:tc>
      </w:tr>
      <w:tr w14:paraId="531C58D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25FF3E1E">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11</w:t>
            </w:r>
          </w:p>
        </w:tc>
        <w:tc>
          <w:tcPr>
            <w:tcW w:w="3279" w:type="dxa"/>
            <w:tcBorders>
              <w:tl2br w:val="nil"/>
              <w:tr2bl w:val="nil"/>
            </w:tcBorders>
            <w:shd w:val="clear" w:color="auto" w:fill="auto"/>
            <w:noWrap/>
            <w:vAlign w:val="center"/>
          </w:tcPr>
          <w:p w14:paraId="58F9838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X=416685.2598</w:t>
            </w:r>
          </w:p>
        </w:tc>
        <w:tc>
          <w:tcPr>
            <w:tcW w:w="3823" w:type="dxa"/>
            <w:tcBorders>
              <w:tl2br w:val="nil"/>
              <w:tr2bl w:val="nil"/>
            </w:tcBorders>
            <w:shd w:val="clear" w:color="auto" w:fill="auto"/>
            <w:noWrap/>
            <w:vAlign w:val="center"/>
          </w:tcPr>
          <w:p w14:paraId="212305A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Y=5023265.2304</w:t>
            </w:r>
          </w:p>
        </w:tc>
      </w:tr>
      <w:tr w14:paraId="2419F2B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4EB86B5E">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w:t>
            </w:r>
          </w:p>
        </w:tc>
        <w:tc>
          <w:tcPr>
            <w:tcW w:w="3279" w:type="dxa"/>
            <w:tcBorders>
              <w:tl2br w:val="nil"/>
              <w:tr2bl w:val="nil"/>
            </w:tcBorders>
            <w:shd w:val="clear" w:color="auto" w:fill="auto"/>
            <w:noWrap/>
            <w:vAlign w:val="center"/>
          </w:tcPr>
          <w:p w14:paraId="681E4D0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X=416705.7475</w:t>
            </w:r>
          </w:p>
        </w:tc>
        <w:tc>
          <w:tcPr>
            <w:tcW w:w="3823" w:type="dxa"/>
            <w:tcBorders>
              <w:tl2br w:val="nil"/>
              <w:tr2bl w:val="nil"/>
            </w:tcBorders>
            <w:shd w:val="clear" w:color="auto" w:fill="auto"/>
            <w:noWrap/>
            <w:vAlign w:val="center"/>
          </w:tcPr>
          <w:p w14:paraId="451CC80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Y=5023289.9228</w:t>
            </w:r>
          </w:p>
        </w:tc>
      </w:tr>
      <w:tr w14:paraId="1A0ADF4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319CDAAE">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13</w:t>
            </w:r>
          </w:p>
        </w:tc>
        <w:tc>
          <w:tcPr>
            <w:tcW w:w="3279" w:type="dxa"/>
            <w:tcBorders>
              <w:tl2br w:val="nil"/>
              <w:tr2bl w:val="nil"/>
            </w:tcBorders>
            <w:shd w:val="clear" w:color="auto" w:fill="auto"/>
            <w:noWrap/>
            <w:vAlign w:val="center"/>
          </w:tcPr>
          <w:p w14:paraId="7A18326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X=416729.3503</w:t>
            </w:r>
          </w:p>
        </w:tc>
        <w:tc>
          <w:tcPr>
            <w:tcW w:w="3823" w:type="dxa"/>
            <w:tcBorders>
              <w:tl2br w:val="nil"/>
              <w:tr2bl w:val="nil"/>
            </w:tcBorders>
            <w:shd w:val="clear" w:color="auto" w:fill="auto"/>
            <w:noWrap/>
            <w:vAlign w:val="center"/>
          </w:tcPr>
          <w:p w14:paraId="5184D1B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Y=5023290.9307</w:t>
            </w:r>
          </w:p>
        </w:tc>
      </w:tr>
      <w:tr w14:paraId="146F2D4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0D0EC850">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14</w:t>
            </w:r>
          </w:p>
        </w:tc>
        <w:tc>
          <w:tcPr>
            <w:tcW w:w="3279" w:type="dxa"/>
            <w:tcBorders>
              <w:tl2br w:val="nil"/>
              <w:tr2bl w:val="nil"/>
            </w:tcBorders>
            <w:shd w:val="clear" w:color="auto" w:fill="auto"/>
            <w:noWrap/>
            <w:vAlign w:val="center"/>
          </w:tcPr>
          <w:p w14:paraId="0F19EB7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X=416724.1775</w:t>
            </w:r>
          </w:p>
        </w:tc>
        <w:tc>
          <w:tcPr>
            <w:tcW w:w="3823" w:type="dxa"/>
            <w:tcBorders>
              <w:tl2br w:val="nil"/>
              <w:tr2bl w:val="nil"/>
            </w:tcBorders>
            <w:shd w:val="clear" w:color="auto" w:fill="auto"/>
            <w:noWrap/>
            <w:vAlign w:val="center"/>
          </w:tcPr>
          <w:p w14:paraId="4FC2C49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Y=5023307.7236</w:t>
            </w:r>
          </w:p>
        </w:tc>
      </w:tr>
      <w:tr w14:paraId="70DCFA9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232904E6">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15</w:t>
            </w:r>
          </w:p>
        </w:tc>
        <w:tc>
          <w:tcPr>
            <w:tcW w:w="3279" w:type="dxa"/>
            <w:tcBorders>
              <w:tl2br w:val="nil"/>
              <w:tr2bl w:val="nil"/>
            </w:tcBorders>
            <w:shd w:val="clear" w:color="auto" w:fill="auto"/>
            <w:noWrap/>
            <w:vAlign w:val="center"/>
          </w:tcPr>
          <w:p w14:paraId="1FB5EEC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X=416696.4102</w:t>
            </w:r>
          </w:p>
        </w:tc>
        <w:tc>
          <w:tcPr>
            <w:tcW w:w="3823" w:type="dxa"/>
            <w:tcBorders>
              <w:tl2br w:val="nil"/>
              <w:tr2bl w:val="nil"/>
            </w:tcBorders>
            <w:shd w:val="clear" w:color="auto" w:fill="auto"/>
            <w:noWrap/>
            <w:vAlign w:val="center"/>
          </w:tcPr>
          <w:p w14:paraId="7C2247C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Y=5023316.1421</w:t>
            </w:r>
          </w:p>
        </w:tc>
      </w:tr>
      <w:tr w14:paraId="584F3B9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30633138">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16</w:t>
            </w:r>
          </w:p>
        </w:tc>
        <w:tc>
          <w:tcPr>
            <w:tcW w:w="3279" w:type="dxa"/>
            <w:tcBorders>
              <w:tl2br w:val="nil"/>
              <w:tr2bl w:val="nil"/>
            </w:tcBorders>
            <w:shd w:val="clear" w:color="auto" w:fill="auto"/>
            <w:noWrap/>
            <w:vAlign w:val="center"/>
          </w:tcPr>
          <w:p w14:paraId="040C845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X=416709.1733</w:t>
            </w:r>
          </w:p>
        </w:tc>
        <w:tc>
          <w:tcPr>
            <w:tcW w:w="3823" w:type="dxa"/>
            <w:tcBorders>
              <w:tl2br w:val="nil"/>
              <w:tr2bl w:val="nil"/>
            </w:tcBorders>
            <w:shd w:val="clear" w:color="auto" w:fill="auto"/>
            <w:noWrap/>
            <w:vAlign w:val="center"/>
          </w:tcPr>
          <w:p w14:paraId="166D162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Y=5023381.0094</w:t>
            </w:r>
          </w:p>
        </w:tc>
      </w:tr>
      <w:tr w14:paraId="5076DAD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7090F19F">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17</w:t>
            </w:r>
          </w:p>
        </w:tc>
        <w:tc>
          <w:tcPr>
            <w:tcW w:w="3279" w:type="dxa"/>
            <w:tcBorders>
              <w:tl2br w:val="nil"/>
              <w:tr2bl w:val="nil"/>
            </w:tcBorders>
            <w:shd w:val="clear" w:color="auto" w:fill="auto"/>
            <w:noWrap/>
            <w:vAlign w:val="center"/>
          </w:tcPr>
          <w:p w14:paraId="40C2A3A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X=416769.6988</w:t>
            </w:r>
          </w:p>
        </w:tc>
        <w:tc>
          <w:tcPr>
            <w:tcW w:w="3823" w:type="dxa"/>
            <w:tcBorders>
              <w:tl2br w:val="nil"/>
              <w:tr2bl w:val="nil"/>
            </w:tcBorders>
            <w:shd w:val="clear" w:color="auto" w:fill="auto"/>
            <w:noWrap/>
            <w:vAlign w:val="center"/>
          </w:tcPr>
          <w:p w14:paraId="69F48C5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Y=5023383.3219</w:t>
            </w:r>
          </w:p>
        </w:tc>
      </w:tr>
      <w:tr w14:paraId="4E96C8F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6EA4F414">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18</w:t>
            </w:r>
          </w:p>
        </w:tc>
        <w:tc>
          <w:tcPr>
            <w:tcW w:w="3279" w:type="dxa"/>
            <w:tcBorders>
              <w:tl2br w:val="nil"/>
              <w:tr2bl w:val="nil"/>
            </w:tcBorders>
            <w:shd w:val="clear" w:color="auto" w:fill="auto"/>
            <w:noWrap/>
            <w:vAlign w:val="center"/>
          </w:tcPr>
          <w:p w14:paraId="4BDC321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X=416787.4481</w:t>
            </w:r>
          </w:p>
        </w:tc>
        <w:tc>
          <w:tcPr>
            <w:tcW w:w="3823" w:type="dxa"/>
            <w:tcBorders>
              <w:tl2br w:val="nil"/>
              <w:tr2bl w:val="nil"/>
            </w:tcBorders>
            <w:shd w:val="clear" w:color="auto" w:fill="auto"/>
            <w:noWrap/>
            <w:vAlign w:val="center"/>
          </w:tcPr>
          <w:p w14:paraId="7201F92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Y=5023413.7244</w:t>
            </w:r>
          </w:p>
        </w:tc>
      </w:tr>
      <w:tr w14:paraId="682BB7D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3024D01D">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19</w:t>
            </w:r>
          </w:p>
        </w:tc>
        <w:tc>
          <w:tcPr>
            <w:tcW w:w="3279" w:type="dxa"/>
            <w:tcBorders>
              <w:tl2br w:val="nil"/>
              <w:tr2bl w:val="nil"/>
            </w:tcBorders>
            <w:shd w:val="clear" w:color="auto" w:fill="auto"/>
            <w:noWrap/>
            <w:vAlign w:val="center"/>
          </w:tcPr>
          <w:p w14:paraId="1CEE7CC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X=416742.8092</w:t>
            </w:r>
          </w:p>
        </w:tc>
        <w:tc>
          <w:tcPr>
            <w:tcW w:w="3823" w:type="dxa"/>
            <w:tcBorders>
              <w:tl2br w:val="nil"/>
              <w:tr2bl w:val="nil"/>
            </w:tcBorders>
            <w:shd w:val="clear" w:color="auto" w:fill="auto"/>
            <w:noWrap/>
            <w:vAlign w:val="center"/>
          </w:tcPr>
          <w:p w14:paraId="4E14C5C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Y=5023413.7317</w:t>
            </w:r>
          </w:p>
        </w:tc>
      </w:tr>
      <w:tr w14:paraId="099687C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3EB3EC2E">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w:t>
            </w:r>
          </w:p>
        </w:tc>
        <w:tc>
          <w:tcPr>
            <w:tcW w:w="3279" w:type="dxa"/>
            <w:tcBorders>
              <w:tl2br w:val="nil"/>
              <w:tr2bl w:val="nil"/>
            </w:tcBorders>
            <w:shd w:val="clear" w:color="auto" w:fill="auto"/>
            <w:noWrap/>
            <w:vAlign w:val="center"/>
          </w:tcPr>
          <w:p w14:paraId="683A9A3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X=416735.4500</w:t>
            </w:r>
          </w:p>
        </w:tc>
        <w:tc>
          <w:tcPr>
            <w:tcW w:w="3823" w:type="dxa"/>
            <w:tcBorders>
              <w:tl2br w:val="nil"/>
              <w:tr2bl w:val="nil"/>
            </w:tcBorders>
            <w:shd w:val="clear" w:color="auto" w:fill="auto"/>
            <w:noWrap/>
            <w:vAlign w:val="center"/>
          </w:tcPr>
          <w:p w14:paraId="24F0B25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Y=5023441.2907</w:t>
            </w:r>
          </w:p>
        </w:tc>
      </w:tr>
      <w:tr w14:paraId="5F1548F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9059" w:type="dxa"/>
            <w:gridSpan w:val="3"/>
            <w:tcBorders>
              <w:tl2br w:val="nil"/>
              <w:tr2bl w:val="nil"/>
            </w:tcBorders>
            <w:shd w:val="clear" w:color="auto" w:fill="auto"/>
            <w:noWrap/>
            <w:vAlign w:val="center"/>
          </w:tcPr>
          <w:p w14:paraId="3CD52C1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41#</w:t>
            </w:r>
          </w:p>
        </w:tc>
      </w:tr>
      <w:tr w14:paraId="6C7FE9D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7DB3FED1">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3279" w:type="dxa"/>
            <w:tcBorders>
              <w:tl2br w:val="nil"/>
              <w:tr2bl w:val="nil"/>
            </w:tcBorders>
            <w:shd w:val="clear" w:color="auto" w:fill="auto"/>
            <w:noWrap/>
            <w:vAlign w:val="center"/>
          </w:tcPr>
          <w:p w14:paraId="26FD4E1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X=420405.3569</w:t>
            </w:r>
          </w:p>
        </w:tc>
        <w:tc>
          <w:tcPr>
            <w:tcW w:w="3823" w:type="dxa"/>
            <w:tcBorders>
              <w:tl2br w:val="nil"/>
              <w:tr2bl w:val="nil"/>
            </w:tcBorders>
            <w:shd w:val="clear" w:color="auto" w:fill="auto"/>
            <w:noWrap/>
            <w:vAlign w:val="center"/>
          </w:tcPr>
          <w:p w14:paraId="05CC982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Y=5024948.1131</w:t>
            </w:r>
          </w:p>
        </w:tc>
      </w:tr>
      <w:tr w14:paraId="61D2748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56CEEF7C">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3279" w:type="dxa"/>
            <w:tcBorders>
              <w:tl2br w:val="nil"/>
              <w:tr2bl w:val="nil"/>
            </w:tcBorders>
            <w:shd w:val="clear" w:color="auto" w:fill="auto"/>
            <w:noWrap/>
            <w:vAlign w:val="center"/>
          </w:tcPr>
          <w:p w14:paraId="708ED00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X=420326.3346</w:t>
            </w:r>
          </w:p>
        </w:tc>
        <w:tc>
          <w:tcPr>
            <w:tcW w:w="3823" w:type="dxa"/>
            <w:tcBorders>
              <w:tl2br w:val="nil"/>
              <w:tr2bl w:val="nil"/>
            </w:tcBorders>
            <w:shd w:val="clear" w:color="auto" w:fill="auto"/>
            <w:noWrap/>
            <w:vAlign w:val="center"/>
          </w:tcPr>
          <w:p w14:paraId="5585E70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Y=5024857.8542</w:t>
            </w:r>
          </w:p>
        </w:tc>
      </w:tr>
      <w:tr w14:paraId="566A27D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1F84D91E">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w:t>
            </w:r>
          </w:p>
        </w:tc>
        <w:tc>
          <w:tcPr>
            <w:tcW w:w="3279" w:type="dxa"/>
            <w:tcBorders>
              <w:tl2br w:val="nil"/>
              <w:tr2bl w:val="nil"/>
            </w:tcBorders>
            <w:shd w:val="clear" w:color="auto" w:fill="auto"/>
            <w:noWrap/>
            <w:vAlign w:val="center"/>
          </w:tcPr>
          <w:p w14:paraId="62D7C5E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X=420385.0937</w:t>
            </w:r>
          </w:p>
        </w:tc>
        <w:tc>
          <w:tcPr>
            <w:tcW w:w="3823" w:type="dxa"/>
            <w:tcBorders>
              <w:tl2br w:val="nil"/>
              <w:tr2bl w:val="nil"/>
            </w:tcBorders>
            <w:shd w:val="clear" w:color="auto" w:fill="auto"/>
            <w:noWrap/>
            <w:vAlign w:val="center"/>
          </w:tcPr>
          <w:p w14:paraId="13D372A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Y=5024816.5333</w:t>
            </w:r>
          </w:p>
        </w:tc>
      </w:tr>
      <w:tr w14:paraId="3C1BD3A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645C00AA">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w:t>
            </w:r>
          </w:p>
        </w:tc>
        <w:tc>
          <w:tcPr>
            <w:tcW w:w="3279" w:type="dxa"/>
            <w:tcBorders>
              <w:tl2br w:val="nil"/>
              <w:tr2bl w:val="nil"/>
            </w:tcBorders>
            <w:shd w:val="clear" w:color="auto" w:fill="auto"/>
            <w:noWrap/>
            <w:vAlign w:val="center"/>
          </w:tcPr>
          <w:p w14:paraId="79470FF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X=420452.7618</w:t>
            </w:r>
          </w:p>
        </w:tc>
        <w:tc>
          <w:tcPr>
            <w:tcW w:w="3823" w:type="dxa"/>
            <w:tcBorders>
              <w:tl2br w:val="nil"/>
              <w:tr2bl w:val="nil"/>
            </w:tcBorders>
            <w:shd w:val="clear" w:color="auto" w:fill="auto"/>
            <w:noWrap/>
            <w:vAlign w:val="center"/>
          </w:tcPr>
          <w:p w14:paraId="26FFD00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Y=5024711.8995</w:t>
            </w:r>
          </w:p>
        </w:tc>
      </w:tr>
      <w:tr w14:paraId="2D69F72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0B12720C">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3279" w:type="dxa"/>
            <w:tcBorders>
              <w:tl2br w:val="nil"/>
              <w:tr2bl w:val="nil"/>
            </w:tcBorders>
            <w:shd w:val="clear" w:color="auto" w:fill="auto"/>
            <w:noWrap/>
            <w:vAlign w:val="center"/>
          </w:tcPr>
          <w:p w14:paraId="56A68CD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X=420614.2575</w:t>
            </w:r>
          </w:p>
        </w:tc>
        <w:tc>
          <w:tcPr>
            <w:tcW w:w="3823" w:type="dxa"/>
            <w:tcBorders>
              <w:tl2br w:val="nil"/>
              <w:tr2bl w:val="nil"/>
            </w:tcBorders>
            <w:shd w:val="clear" w:color="auto" w:fill="auto"/>
            <w:noWrap/>
            <w:vAlign w:val="center"/>
          </w:tcPr>
          <w:p w14:paraId="03C140D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Y=5024832.0495</w:t>
            </w:r>
          </w:p>
        </w:tc>
      </w:tr>
      <w:tr w14:paraId="63E0CB1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7C77B765">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w:t>
            </w:r>
          </w:p>
        </w:tc>
        <w:tc>
          <w:tcPr>
            <w:tcW w:w="3279" w:type="dxa"/>
            <w:tcBorders>
              <w:tl2br w:val="nil"/>
              <w:tr2bl w:val="nil"/>
            </w:tcBorders>
            <w:shd w:val="clear" w:color="auto" w:fill="auto"/>
            <w:noWrap/>
            <w:vAlign w:val="center"/>
          </w:tcPr>
          <w:p w14:paraId="753E2C1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X=420621.4377</w:t>
            </w:r>
          </w:p>
        </w:tc>
        <w:tc>
          <w:tcPr>
            <w:tcW w:w="3823" w:type="dxa"/>
            <w:tcBorders>
              <w:tl2br w:val="nil"/>
              <w:tr2bl w:val="nil"/>
            </w:tcBorders>
            <w:shd w:val="clear" w:color="auto" w:fill="auto"/>
            <w:noWrap/>
            <w:vAlign w:val="center"/>
          </w:tcPr>
          <w:p w14:paraId="474029B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Y=5024956.9603</w:t>
            </w:r>
          </w:p>
        </w:tc>
      </w:tr>
      <w:tr w14:paraId="7A3D46A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9059" w:type="dxa"/>
            <w:gridSpan w:val="3"/>
            <w:tcBorders>
              <w:tl2br w:val="nil"/>
              <w:tr2bl w:val="nil"/>
            </w:tcBorders>
            <w:shd w:val="clear" w:color="auto" w:fill="auto"/>
            <w:noWrap/>
            <w:vAlign w:val="center"/>
          </w:tcPr>
          <w:p w14:paraId="3E045F3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45#</w:t>
            </w:r>
          </w:p>
        </w:tc>
      </w:tr>
      <w:tr w14:paraId="3E2E3A6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29A6FE08">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3279" w:type="dxa"/>
            <w:tcBorders>
              <w:tl2br w:val="nil"/>
              <w:tr2bl w:val="nil"/>
            </w:tcBorders>
            <w:shd w:val="clear" w:color="auto" w:fill="auto"/>
            <w:noWrap/>
            <w:vAlign w:val="center"/>
          </w:tcPr>
          <w:p w14:paraId="39C6336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X=417359.1278</w:t>
            </w:r>
          </w:p>
        </w:tc>
        <w:tc>
          <w:tcPr>
            <w:tcW w:w="3823" w:type="dxa"/>
            <w:tcBorders>
              <w:tl2br w:val="nil"/>
              <w:tr2bl w:val="nil"/>
            </w:tcBorders>
            <w:shd w:val="clear" w:color="auto" w:fill="auto"/>
            <w:noWrap/>
            <w:vAlign w:val="center"/>
          </w:tcPr>
          <w:p w14:paraId="72ABBD2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Y=5023443.2007</w:t>
            </w:r>
          </w:p>
        </w:tc>
      </w:tr>
      <w:tr w14:paraId="6FE2DD5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62A52DAD">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3279" w:type="dxa"/>
            <w:tcBorders>
              <w:tl2br w:val="nil"/>
              <w:tr2bl w:val="nil"/>
            </w:tcBorders>
            <w:shd w:val="clear" w:color="auto" w:fill="auto"/>
            <w:noWrap/>
            <w:vAlign w:val="center"/>
          </w:tcPr>
          <w:p w14:paraId="6D92101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X=417129.8751</w:t>
            </w:r>
          </w:p>
        </w:tc>
        <w:tc>
          <w:tcPr>
            <w:tcW w:w="3823" w:type="dxa"/>
            <w:tcBorders>
              <w:tl2br w:val="nil"/>
              <w:tr2bl w:val="nil"/>
            </w:tcBorders>
            <w:shd w:val="clear" w:color="auto" w:fill="auto"/>
            <w:noWrap/>
            <w:vAlign w:val="center"/>
          </w:tcPr>
          <w:p w14:paraId="0DACA30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Y=5023319.8857</w:t>
            </w:r>
          </w:p>
        </w:tc>
      </w:tr>
      <w:tr w14:paraId="32B6809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6DE732FF">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w:t>
            </w:r>
          </w:p>
        </w:tc>
        <w:tc>
          <w:tcPr>
            <w:tcW w:w="3279" w:type="dxa"/>
            <w:tcBorders>
              <w:tl2br w:val="nil"/>
              <w:tr2bl w:val="nil"/>
            </w:tcBorders>
            <w:shd w:val="clear" w:color="auto" w:fill="auto"/>
            <w:noWrap/>
            <w:vAlign w:val="center"/>
          </w:tcPr>
          <w:p w14:paraId="43B1B50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X=417085.8704</w:t>
            </w:r>
          </w:p>
        </w:tc>
        <w:tc>
          <w:tcPr>
            <w:tcW w:w="3823" w:type="dxa"/>
            <w:tcBorders>
              <w:tl2br w:val="nil"/>
              <w:tr2bl w:val="nil"/>
            </w:tcBorders>
            <w:shd w:val="clear" w:color="auto" w:fill="auto"/>
            <w:noWrap/>
            <w:vAlign w:val="center"/>
          </w:tcPr>
          <w:p w14:paraId="4EDE6F1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Y=5023115.6575</w:t>
            </w:r>
          </w:p>
        </w:tc>
      </w:tr>
      <w:tr w14:paraId="27E3235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0C020BAA">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w:t>
            </w:r>
          </w:p>
        </w:tc>
        <w:tc>
          <w:tcPr>
            <w:tcW w:w="3279" w:type="dxa"/>
            <w:tcBorders>
              <w:tl2br w:val="nil"/>
              <w:tr2bl w:val="nil"/>
            </w:tcBorders>
            <w:shd w:val="clear" w:color="auto" w:fill="auto"/>
            <w:noWrap/>
            <w:vAlign w:val="center"/>
          </w:tcPr>
          <w:p w14:paraId="22B243E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X=417410.1245</w:t>
            </w:r>
          </w:p>
        </w:tc>
        <w:tc>
          <w:tcPr>
            <w:tcW w:w="3823" w:type="dxa"/>
            <w:tcBorders>
              <w:tl2br w:val="nil"/>
              <w:tr2bl w:val="nil"/>
            </w:tcBorders>
            <w:shd w:val="clear" w:color="auto" w:fill="auto"/>
            <w:noWrap/>
            <w:vAlign w:val="center"/>
          </w:tcPr>
          <w:p w14:paraId="3ECCA21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Y=5023180.3753</w:t>
            </w:r>
          </w:p>
        </w:tc>
      </w:tr>
      <w:tr w14:paraId="324E597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9059" w:type="dxa"/>
            <w:gridSpan w:val="3"/>
            <w:tcBorders>
              <w:tl2br w:val="nil"/>
              <w:tr2bl w:val="nil"/>
            </w:tcBorders>
            <w:shd w:val="clear" w:color="auto" w:fill="auto"/>
            <w:noWrap/>
            <w:vAlign w:val="center"/>
          </w:tcPr>
          <w:p w14:paraId="2B1C3FAE">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47#</w:t>
            </w:r>
          </w:p>
        </w:tc>
      </w:tr>
      <w:tr w14:paraId="1A571EE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65E32AF4">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3279" w:type="dxa"/>
            <w:tcBorders>
              <w:tl2br w:val="nil"/>
              <w:tr2bl w:val="nil"/>
            </w:tcBorders>
            <w:shd w:val="clear" w:color="auto" w:fill="auto"/>
            <w:noWrap/>
            <w:vAlign w:val="center"/>
          </w:tcPr>
          <w:p w14:paraId="2A04E77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X=416233.4307</w:t>
            </w:r>
          </w:p>
        </w:tc>
        <w:tc>
          <w:tcPr>
            <w:tcW w:w="3823" w:type="dxa"/>
            <w:tcBorders>
              <w:tl2br w:val="nil"/>
              <w:tr2bl w:val="nil"/>
            </w:tcBorders>
            <w:shd w:val="clear" w:color="auto" w:fill="auto"/>
            <w:noWrap/>
            <w:vAlign w:val="center"/>
          </w:tcPr>
          <w:p w14:paraId="5EAC9D8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Y=5023992.0099</w:t>
            </w:r>
          </w:p>
        </w:tc>
      </w:tr>
      <w:tr w14:paraId="495262E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662675E5">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3279" w:type="dxa"/>
            <w:tcBorders>
              <w:tl2br w:val="nil"/>
              <w:tr2bl w:val="nil"/>
            </w:tcBorders>
            <w:shd w:val="clear" w:color="auto" w:fill="auto"/>
            <w:noWrap/>
            <w:vAlign w:val="center"/>
          </w:tcPr>
          <w:p w14:paraId="3EB9CAC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X=416298.6306</w:t>
            </w:r>
          </w:p>
        </w:tc>
        <w:tc>
          <w:tcPr>
            <w:tcW w:w="3823" w:type="dxa"/>
            <w:tcBorders>
              <w:tl2br w:val="nil"/>
              <w:tr2bl w:val="nil"/>
            </w:tcBorders>
            <w:shd w:val="clear" w:color="auto" w:fill="auto"/>
            <w:noWrap/>
            <w:vAlign w:val="center"/>
          </w:tcPr>
          <w:p w14:paraId="45AFEA5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Y=5023886.0542</w:t>
            </w:r>
          </w:p>
        </w:tc>
      </w:tr>
      <w:tr w14:paraId="53A86E1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2DA3F85B">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w:t>
            </w:r>
          </w:p>
        </w:tc>
        <w:tc>
          <w:tcPr>
            <w:tcW w:w="3279" w:type="dxa"/>
            <w:tcBorders>
              <w:tl2br w:val="nil"/>
              <w:tr2bl w:val="nil"/>
            </w:tcBorders>
            <w:shd w:val="clear" w:color="auto" w:fill="auto"/>
            <w:noWrap/>
            <w:vAlign w:val="center"/>
          </w:tcPr>
          <w:p w14:paraId="2766108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X=416385.8329</w:t>
            </w:r>
          </w:p>
        </w:tc>
        <w:tc>
          <w:tcPr>
            <w:tcW w:w="3823" w:type="dxa"/>
            <w:tcBorders>
              <w:tl2br w:val="nil"/>
              <w:tr2bl w:val="nil"/>
            </w:tcBorders>
            <w:shd w:val="clear" w:color="auto" w:fill="auto"/>
            <w:noWrap/>
            <w:vAlign w:val="center"/>
          </w:tcPr>
          <w:p w14:paraId="44AE0CB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Y=5023799.5013</w:t>
            </w:r>
          </w:p>
        </w:tc>
      </w:tr>
      <w:tr w14:paraId="5C90505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334BD8AF">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w:t>
            </w:r>
          </w:p>
        </w:tc>
        <w:tc>
          <w:tcPr>
            <w:tcW w:w="3279" w:type="dxa"/>
            <w:tcBorders>
              <w:tl2br w:val="nil"/>
              <w:tr2bl w:val="nil"/>
            </w:tcBorders>
            <w:shd w:val="clear" w:color="auto" w:fill="auto"/>
            <w:noWrap/>
            <w:vAlign w:val="center"/>
          </w:tcPr>
          <w:p w14:paraId="3BFE890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X=416480.0219</w:t>
            </w:r>
          </w:p>
        </w:tc>
        <w:tc>
          <w:tcPr>
            <w:tcW w:w="3823" w:type="dxa"/>
            <w:tcBorders>
              <w:tl2br w:val="nil"/>
              <w:tr2bl w:val="nil"/>
            </w:tcBorders>
            <w:shd w:val="clear" w:color="auto" w:fill="auto"/>
            <w:noWrap/>
            <w:vAlign w:val="center"/>
          </w:tcPr>
          <w:p w14:paraId="3E7A168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Y=5023908.7132</w:t>
            </w:r>
          </w:p>
        </w:tc>
      </w:tr>
      <w:tr w14:paraId="333C707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2C336D89">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3279" w:type="dxa"/>
            <w:tcBorders>
              <w:tl2br w:val="nil"/>
              <w:tr2bl w:val="nil"/>
            </w:tcBorders>
            <w:shd w:val="clear" w:color="auto" w:fill="auto"/>
            <w:noWrap/>
            <w:vAlign w:val="center"/>
          </w:tcPr>
          <w:p w14:paraId="51FDAE7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X=416428.2975</w:t>
            </w:r>
          </w:p>
        </w:tc>
        <w:tc>
          <w:tcPr>
            <w:tcW w:w="3823" w:type="dxa"/>
            <w:tcBorders>
              <w:tl2br w:val="nil"/>
              <w:tr2bl w:val="nil"/>
            </w:tcBorders>
            <w:shd w:val="clear" w:color="auto" w:fill="auto"/>
            <w:noWrap/>
            <w:vAlign w:val="center"/>
          </w:tcPr>
          <w:p w14:paraId="7678B3B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Y=5024018.8877</w:t>
            </w:r>
          </w:p>
        </w:tc>
      </w:tr>
      <w:tr w14:paraId="2B45D3A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2405BD8B">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w:t>
            </w:r>
          </w:p>
        </w:tc>
        <w:tc>
          <w:tcPr>
            <w:tcW w:w="3279" w:type="dxa"/>
            <w:tcBorders>
              <w:tl2br w:val="nil"/>
              <w:tr2bl w:val="nil"/>
            </w:tcBorders>
            <w:shd w:val="clear" w:color="auto" w:fill="auto"/>
            <w:noWrap/>
            <w:vAlign w:val="center"/>
          </w:tcPr>
          <w:p w14:paraId="7D2FE99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X=416324.7901</w:t>
            </w:r>
          </w:p>
        </w:tc>
        <w:tc>
          <w:tcPr>
            <w:tcW w:w="3823" w:type="dxa"/>
            <w:tcBorders>
              <w:tl2br w:val="nil"/>
              <w:tr2bl w:val="nil"/>
            </w:tcBorders>
            <w:shd w:val="clear" w:color="auto" w:fill="auto"/>
            <w:noWrap/>
            <w:vAlign w:val="center"/>
          </w:tcPr>
          <w:p w14:paraId="1A9F8C4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Y=5024039.3247</w:t>
            </w:r>
          </w:p>
        </w:tc>
      </w:tr>
      <w:tr w14:paraId="749E9BB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9059" w:type="dxa"/>
            <w:gridSpan w:val="3"/>
            <w:tcBorders>
              <w:tl2br w:val="nil"/>
              <w:tr2bl w:val="nil"/>
            </w:tcBorders>
            <w:shd w:val="clear" w:color="auto" w:fill="auto"/>
            <w:noWrap/>
            <w:vAlign w:val="center"/>
          </w:tcPr>
          <w:p w14:paraId="1B0DEF0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59#</w:t>
            </w:r>
          </w:p>
        </w:tc>
      </w:tr>
      <w:tr w14:paraId="4D5BC45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19357FE9">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3279" w:type="dxa"/>
            <w:tcBorders>
              <w:tl2br w:val="nil"/>
              <w:tr2bl w:val="nil"/>
            </w:tcBorders>
            <w:shd w:val="clear" w:color="auto" w:fill="auto"/>
            <w:noWrap/>
            <w:vAlign w:val="center"/>
          </w:tcPr>
          <w:p w14:paraId="1E264F8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X=424487.5673</w:t>
            </w:r>
          </w:p>
        </w:tc>
        <w:tc>
          <w:tcPr>
            <w:tcW w:w="3823" w:type="dxa"/>
            <w:tcBorders>
              <w:tl2br w:val="nil"/>
              <w:tr2bl w:val="nil"/>
            </w:tcBorders>
            <w:shd w:val="clear" w:color="auto" w:fill="auto"/>
            <w:noWrap/>
            <w:vAlign w:val="center"/>
          </w:tcPr>
          <w:p w14:paraId="580B81F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Y=5029825.5733</w:t>
            </w:r>
          </w:p>
        </w:tc>
      </w:tr>
      <w:tr w14:paraId="70E191B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615C3F21">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3279" w:type="dxa"/>
            <w:tcBorders>
              <w:tl2br w:val="nil"/>
              <w:tr2bl w:val="nil"/>
            </w:tcBorders>
            <w:shd w:val="clear" w:color="auto" w:fill="auto"/>
            <w:noWrap/>
            <w:vAlign w:val="center"/>
          </w:tcPr>
          <w:p w14:paraId="3BAF81D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X=424555.2680</w:t>
            </w:r>
          </w:p>
        </w:tc>
        <w:tc>
          <w:tcPr>
            <w:tcW w:w="3823" w:type="dxa"/>
            <w:tcBorders>
              <w:tl2br w:val="nil"/>
              <w:tr2bl w:val="nil"/>
            </w:tcBorders>
            <w:shd w:val="clear" w:color="auto" w:fill="auto"/>
            <w:noWrap/>
            <w:vAlign w:val="center"/>
          </w:tcPr>
          <w:p w14:paraId="313FC2F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Y=5029682.8566</w:t>
            </w:r>
          </w:p>
        </w:tc>
      </w:tr>
      <w:tr w14:paraId="145C4BA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6D5875AD">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w:t>
            </w:r>
          </w:p>
        </w:tc>
        <w:tc>
          <w:tcPr>
            <w:tcW w:w="3279" w:type="dxa"/>
            <w:tcBorders>
              <w:tl2br w:val="nil"/>
              <w:tr2bl w:val="nil"/>
            </w:tcBorders>
            <w:shd w:val="clear" w:color="auto" w:fill="auto"/>
            <w:noWrap/>
            <w:vAlign w:val="center"/>
          </w:tcPr>
          <w:p w14:paraId="2F1CC41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X=424564.1304</w:t>
            </w:r>
          </w:p>
        </w:tc>
        <w:tc>
          <w:tcPr>
            <w:tcW w:w="3823" w:type="dxa"/>
            <w:tcBorders>
              <w:tl2br w:val="nil"/>
              <w:tr2bl w:val="nil"/>
            </w:tcBorders>
            <w:shd w:val="clear" w:color="auto" w:fill="auto"/>
            <w:noWrap/>
            <w:vAlign w:val="center"/>
          </w:tcPr>
          <w:p w14:paraId="2956A2D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Y=5029504.2608</w:t>
            </w:r>
          </w:p>
        </w:tc>
      </w:tr>
      <w:tr w14:paraId="296AC2E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09113787">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w:t>
            </w:r>
          </w:p>
        </w:tc>
        <w:tc>
          <w:tcPr>
            <w:tcW w:w="3279" w:type="dxa"/>
            <w:tcBorders>
              <w:tl2br w:val="nil"/>
              <w:tr2bl w:val="nil"/>
            </w:tcBorders>
            <w:shd w:val="clear" w:color="auto" w:fill="auto"/>
            <w:noWrap/>
            <w:vAlign w:val="center"/>
          </w:tcPr>
          <w:p w14:paraId="3018ECF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X=424641.3399</w:t>
            </w:r>
          </w:p>
        </w:tc>
        <w:tc>
          <w:tcPr>
            <w:tcW w:w="3823" w:type="dxa"/>
            <w:tcBorders>
              <w:tl2br w:val="nil"/>
              <w:tr2bl w:val="nil"/>
            </w:tcBorders>
            <w:shd w:val="clear" w:color="auto" w:fill="auto"/>
            <w:noWrap/>
            <w:vAlign w:val="center"/>
          </w:tcPr>
          <w:p w14:paraId="2F677E7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Y=5029502.3749</w:t>
            </w:r>
          </w:p>
        </w:tc>
      </w:tr>
      <w:tr w14:paraId="3255C18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18DDE1DA">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3279" w:type="dxa"/>
            <w:tcBorders>
              <w:tl2br w:val="nil"/>
              <w:tr2bl w:val="nil"/>
            </w:tcBorders>
            <w:shd w:val="clear" w:color="auto" w:fill="auto"/>
            <w:noWrap/>
            <w:vAlign w:val="center"/>
          </w:tcPr>
          <w:p w14:paraId="6A74662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X=424639.7097</w:t>
            </w:r>
          </w:p>
        </w:tc>
        <w:tc>
          <w:tcPr>
            <w:tcW w:w="3823" w:type="dxa"/>
            <w:tcBorders>
              <w:tl2br w:val="nil"/>
              <w:tr2bl w:val="nil"/>
            </w:tcBorders>
            <w:shd w:val="clear" w:color="auto" w:fill="auto"/>
            <w:noWrap/>
            <w:vAlign w:val="center"/>
          </w:tcPr>
          <w:p w14:paraId="4D32C3C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Y=5029633.7469</w:t>
            </w:r>
          </w:p>
        </w:tc>
      </w:tr>
      <w:tr w14:paraId="17C38C3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04FB9DFF">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w:t>
            </w:r>
          </w:p>
        </w:tc>
        <w:tc>
          <w:tcPr>
            <w:tcW w:w="3279" w:type="dxa"/>
            <w:tcBorders>
              <w:tl2br w:val="nil"/>
              <w:tr2bl w:val="nil"/>
            </w:tcBorders>
            <w:shd w:val="clear" w:color="auto" w:fill="auto"/>
            <w:noWrap/>
            <w:vAlign w:val="center"/>
          </w:tcPr>
          <w:p w14:paraId="5A723A4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X=424555.3836</w:t>
            </w:r>
          </w:p>
        </w:tc>
        <w:tc>
          <w:tcPr>
            <w:tcW w:w="3823" w:type="dxa"/>
            <w:tcBorders>
              <w:tl2br w:val="nil"/>
              <w:tr2bl w:val="nil"/>
            </w:tcBorders>
            <w:shd w:val="clear" w:color="auto" w:fill="auto"/>
            <w:noWrap/>
            <w:vAlign w:val="center"/>
          </w:tcPr>
          <w:p w14:paraId="43E0CF5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Y=5029870.9792</w:t>
            </w:r>
          </w:p>
        </w:tc>
      </w:tr>
      <w:tr w14:paraId="56A2DCE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9059" w:type="dxa"/>
            <w:gridSpan w:val="3"/>
            <w:tcBorders>
              <w:tl2br w:val="nil"/>
              <w:tr2bl w:val="nil"/>
            </w:tcBorders>
            <w:shd w:val="clear" w:color="auto" w:fill="auto"/>
            <w:noWrap/>
            <w:vAlign w:val="center"/>
          </w:tcPr>
          <w:p w14:paraId="3AC1D6C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60#</w:t>
            </w:r>
          </w:p>
        </w:tc>
      </w:tr>
      <w:tr w14:paraId="1CCD5B7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2A30C3BF">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3279" w:type="dxa"/>
            <w:tcBorders>
              <w:tl2br w:val="nil"/>
              <w:tr2bl w:val="nil"/>
            </w:tcBorders>
            <w:shd w:val="clear" w:color="auto" w:fill="auto"/>
            <w:noWrap/>
            <w:vAlign w:val="center"/>
          </w:tcPr>
          <w:p w14:paraId="070C1D1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X=424802.8677</w:t>
            </w:r>
          </w:p>
        </w:tc>
        <w:tc>
          <w:tcPr>
            <w:tcW w:w="3823" w:type="dxa"/>
            <w:tcBorders>
              <w:tl2br w:val="nil"/>
              <w:tr2bl w:val="nil"/>
            </w:tcBorders>
            <w:shd w:val="clear" w:color="auto" w:fill="auto"/>
            <w:noWrap/>
            <w:vAlign w:val="center"/>
          </w:tcPr>
          <w:p w14:paraId="73DECE7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Y=5028660.4548</w:t>
            </w:r>
          </w:p>
        </w:tc>
      </w:tr>
      <w:tr w14:paraId="4A3CAE2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39C76A12">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3279" w:type="dxa"/>
            <w:tcBorders>
              <w:tl2br w:val="nil"/>
              <w:tr2bl w:val="nil"/>
            </w:tcBorders>
            <w:shd w:val="clear" w:color="auto" w:fill="auto"/>
            <w:noWrap/>
            <w:vAlign w:val="center"/>
          </w:tcPr>
          <w:p w14:paraId="46A9423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X=424865.6698</w:t>
            </w:r>
          </w:p>
        </w:tc>
        <w:tc>
          <w:tcPr>
            <w:tcW w:w="3823" w:type="dxa"/>
            <w:tcBorders>
              <w:tl2br w:val="nil"/>
              <w:tr2bl w:val="nil"/>
            </w:tcBorders>
            <w:shd w:val="clear" w:color="auto" w:fill="auto"/>
            <w:noWrap/>
            <w:vAlign w:val="center"/>
          </w:tcPr>
          <w:p w14:paraId="62DBBE0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Y=5028548.7211</w:t>
            </w:r>
          </w:p>
        </w:tc>
      </w:tr>
      <w:tr w14:paraId="7709350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42519C1D">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w:t>
            </w:r>
          </w:p>
        </w:tc>
        <w:tc>
          <w:tcPr>
            <w:tcW w:w="3279" w:type="dxa"/>
            <w:tcBorders>
              <w:tl2br w:val="nil"/>
              <w:tr2bl w:val="nil"/>
            </w:tcBorders>
            <w:shd w:val="clear" w:color="auto" w:fill="auto"/>
            <w:noWrap/>
            <w:vAlign w:val="center"/>
          </w:tcPr>
          <w:p w14:paraId="320E426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X=424953.5139</w:t>
            </w:r>
          </w:p>
        </w:tc>
        <w:tc>
          <w:tcPr>
            <w:tcW w:w="3823" w:type="dxa"/>
            <w:tcBorders>
              <w:tl2br w:val="nil"/>
              <w:tr2bl w:val="nil"/>
            </w:tcBorders>
            <w:shd w:val="clear" w:color="auto" w:fill="auto"/>
            <w:noWrap/>
            <w:vAlign w:val="center"/>
          </w:tcPr>
          <w:p w14:paraId="6493E75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Y=5028594.4288</w:t>
            </w:r>
          </w:p>
        </w:tc>
      </w:tr>
      <w:tr w14:paraId="1B05D54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957" w:type="dxa"/>
            <w:tcBorders>
              <w:tl2br w:val="nil"/>
              <w:tr2bl w:val="nil"/>
            </w:tcBorders>
            <w:shd w:val="clear" w:color="auto" w:fill="auto"/>
            <w:noWrap/>
            <w:vAlign w:val="center"/>
          </w:tcPr>
          <w:p w14:paraId="42E6B609">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w:t>
            </w:r>
          </w:p>
        </w:tc>
        <w:tc>
          <w:tcPr>
            <w:tcW w:w="3279" w:type="dxa"/>
            <w:tcBorders>
              <w:tl2br w:val="nil"/>
              <w:tr2bl w:val="nil"/>
            </w:tcBorders>
            <w:shd w:val="clear" w:color="auto" w:fill="auto"/>
            <w:noWrap/>
            <w:vAlign w:val="center"/>
          </w:tcPr>
          <w:p w14:paraId="118BCD9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X=424896.2396</w:t>
            </w:r>
          </w:p>
        </w:tc>
        <w:tc>
          <w:tcPr>
            <w:tcW w:w="3823" w:type="dxa"/>
            <w:tcBorders>
              <w:tl2br w:val="nil"/>
              <w:tr2bl w:val="nil"/>
            </w:tcBorders>
            <w:shd w:val="clear" w:color="auto" w:fill="auto"/>
            <w:noWrap/>
            <w:vAlign w:val="center"/>
          </w:tcPr>
          <w:p w14:paraId="5B31FAA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Y=5028695.8930</w:t>
            </w:r>
          </w:p>
        </w:tc>
      </w:tr>
    </w:tbl>
    <w:p w14:paraId="6541744B">
      <w:pPr>
        <w:pStyle w:val="39"/>
        <w:rPr>
          <w:rFonts w:hint="default" w:ascii="Times New Roman" w:hAnsi="Times New Roman" w:cs="Times New Roman"/>
          <w:color w:val="auto"/>
          <w:szCs w:val="32"/>
          <w:highlight w:val="none"/>
        </w:rPr>
      </w:pPr>
      <w:bookmarkStart w:id="170" w:name="_Toc31325"/>
      <w:r>
        <w:rPr>
          <w:rFonts w:hint="default" w:ascii="Times New Roman" w:hAnsi="Times New Roman" w:cs="Times New Roman"/>
          <w:color w:val="auto"/>
          <w:highlight w:val="none"/>
        </w:rPr>
        <w:t>3.1.5公用工程</w:t>
      </w:r>
      <w:bookmarkEnd w:id="170"/>
    </w:p>
    <w:p w14:paraId="1B17552A">
      <w:pPr>
        <w:pStyle w:val="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3.1.5.1给水</w:t>
      </w:r>
    </w:p>
    <w:p w14:paraId="014AAE11">
      <w:pPr>
        <w:pStyle w:val="25"/>
        <w:ind w:firstLine="480"/>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1、2#项目区</w:t>
      </w:r>
    </w:p>
    <w:p w14:paraId="5EF792CC">
      <w:pPr>
        <w:pStyle w:val="2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本项目2#项目区用水主要为</w:t>
      </w:r>
      <w:bookmarkStart w:id="171" w:name="OLE_LINK30"/>
      <w:r>
        <w:rPr>
          <w:rFonts w:hint="default" w:ascii="Times New Roman" w:hAnsi="Times New Roman" w:cs="Times New Roman"/>
          <w:color w:val="auto"/>
          <w:highlight w:val="none"/>
          <w:lang w:val="en-US" w:eastAsia="zh-CN"/>
        </w:rPr>
        <w:t>施工场地洒水抑尘用水、道路洒水及回填作业区洒水抑尘用水，回填区洒水抑尘用水优先采用坑内经沉淀后雨水，采用洒水罐车抽运回填单元喷洒，不足部分由罐车拉运来的市政新鲜水补给。</w:t>
      </w:r>
      <w:r>
        <w:rPr>
          <w:rFonts w:hint="eastAsia" w:cs="Times New Roman"/>
          <w:color w:val="auto"/>
          <w:highlight w:val="none"/>
          <w:lang w:val="en-US" w:eastAsia="zh-CN"/>
        </w:rPr>
        <w:t>运输车辆不在厂内进行清洗。</w:t>
      </w:r>
    </w:p>
    <w:bookmarkEnd w:id="171"/>
    <w:p w14:paraId="1A616C37">
      <w:pPr>
        <w:pStyle w:val="2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①施工场地洒水抑尘用水</w:t>
      </w:r>
    </w:p>
    <w:p w14:paraId="7E2950A7">
      <w:pPr>
        <w:pStyle w:val="2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根据施工经验，施工区域每天洒水降尘4次，每次需喷洒用水1.0m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，即4m3/d，施工期按1个月计算，则施工场地抑尘用水量共计为120m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w:t>
      </w:r>
    </w:p>
    <w:p w14:paraId="56FDB648">
      <w:pPr>
        <w:pStyle w:val="2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②道路洒水</w:t>
      </w:r>
    </w:p>
    <w:p w14:paraId="6528E84E">
      <w:pPr>
        <w:pStyle w:val="2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本项目进场道路需定期洒水抑尘，本次评价参考黑龙江省《用水定额》（DB23/T727-2021），道路洒水抑尘用水标准按2L/m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·d，道路面积为1000m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，则道路抑尘用水量为2m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/d，每年按180天考虑，年用水量约为360m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w:t>
      </w:r>
    </w:p>
    <w:p w14:paraId="1B08A3EE">
      <w:pPr>
        <w:pStyle w:val="2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③回填作业区洒水抑尘用水</w:t>
      </w:r>
    </w:p>
    <w:p w14:paraId="684EC0B3">
      <w:pPr>
        <w:pStyle w:val="2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本项目煤矸石回填压实后，为防止粉尘产生，每天需洒水降尘，回填作业区抑尘用水量按2.5L/m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·d计算，则回填作业区洒水抑尘平均总用水量为10m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/d，每年按180天考虑，年用水量约为1800m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w:t>
      </w:r>
    </w:p>
    <w:p w14:paraId="19685653">
      <w:pPr>
        <w:pStyle w:val="2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综上所述2#总用水量为2280m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/a。</w:t>
      </w:r>
    </w:p>
    <w:p w14:paraId="136E1FEB">
      <w:pPr>
        <w:pStyle w:val="25"/>
        <w:bidi w:val="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2、其它项目区</w:t>
      </w:r>
    </w:p>
    <w:p w14:paraId="029D6FB7">
      <w:pPr>
        <w:pStyle w:val="2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本项目其他项目区用水主要为施工场地洒水抑尘用水、道路洒水用水，用水由罐车拉运来的市政新鲜水补给。</w:t>
      </w:r>
    </w:p>
    <w:p w14:paraId="58B7781A">
      <w:pPr>
        <w:pStyle w:val="2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①施工场地洒水抑尘用水</w:t>
      </w:r>
    </w:p>
    <w:p w14:paraId="063FF632">
      <w:pPr>
        <w:pStyle w:val="2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根据施工经验，施工区域每天洒水降尘4次，每次需喷洒用水1.0m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，即4m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/d，施工期按1个月计算，则施工场地抑尘用水量共计为120m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w:t>
      </w:r>
    </w:p>
    <w:p w14:paraId="72092ADF">
      <w:pPr>
        <w:pStyle w:val="2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②道路洒水</w:t>
      </w:r>
    </w:p>
    <w:p w14:paraId="2F2D1FE6">
      <w:pPr>
        <w:pStyle w:val="2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本项目进场道路需定期洒水抑尘，本次评价参考黑龙江省《用水定额》（DB23/T727-2021），道路洒水抑尘用水标准按2L/m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·d，道路面积均为1000m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，则道路抑尘用水量为2m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/d，每年按180天考虑，年用水量约为360m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w:t>
      </w:r>
    </w:p>
    <w:p w14:paraId="60010537">
      <w:pPr>
        <w:pStyle w:val="2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综上所述：其余项目区用水量为480m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/a。</w:t>
      </w:r>
    </w:p>
    <w:p w14:paraId="5591AD73">
      <w:pPr>
        <w:pStyle w:val="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3.1.5.2排水</w:t>
      </w:r>
    </w:p>
    <w:p w14:paraId="657DF34B">
      <w:pPr>
        <w:keepNext w:val="0"/>
        <w:keepLines w:val="0"/>
        <w:pageBreakBefore w:val="0"/>
        <w:widowControl w:val="0"/>
        <w:kinsoku/>
        <w:wordWrap/>
        <w:overflowPunct/>
        <w:topLinePunct w:val="0"/>
        <w:bidi w:val="0"/>
        <w:snapToGrid/>
        <w:spacing w:line="360" w:lineRule="auto"/>
        <w:ind w:left="0" w:firstLine="48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spacing w:val="0"/>
          <w:sz w:val="24"/>
          <w:szCs w:val="24"/>
          <w:highlight w:val="none"/>
          <w:lang w:val="en-US" w:eastAsia="zh-CN"/>
        </w:rPr>
        <w:t>本项目</w:t>
      </w:r>
      <w:r>
        <w:rPr>
          <w:rFonts w:hint="default" w:ascii="Times New Roman" w:hAnsi="Times New Roman" w:cs="Times New Roman"/>
          <w:color w:val="auto"/>
          <w:spacing w:val="0"/>
          <w:sz w:val="24"/>
          <w:szCs w:val="24"/>
          <w:highlight w:val="none"/>
          <w:lang w:val="en-US" w:eastAsia="zh-CN"/>
        </w:rPr>
        <w:t>所有项目区</w:t>
      </w:r>
      <w:r>
        <w:rPr>
          <w:rFonts w:hint="default" w:ascii="Times New Roman" w:hAnsi="Times New Roman" w:eastAsia="宋体" w:cs="Times New Roman"/>
          <w:color w:val="auto"/>
          <w:spacing w:val="0"/>
          <w:sz w:val="24"/>
          <w:szCs w:val="24"/>
          <w:highlight w:val="none"/>
          <w:lang w:val="en-US" w:eastAsia="zh-CN"/>
        </w:rPr>
        <w:t>无生活污水产生，抑尘用水均入渗或</w:t>
      </w:r>
      <w:r>
        <w:rPr>
          <w:rFonts w:hint="default" w:ascii="Times New Roman" w:hAnsi="Times New Roman" w:cs="Times New Roman"/>
          <w:color w:val="auto"/>
          <w:spacing w:val="0"/>
          <w:sz w:val="24"/>
          <w:szCs w:val="24"/>
          <w:highlight w:val="none"/>
          <w:lang w:val="en-US" w:eastAsia="zh-CN"/>
        </w:rPr>
        <w:t>挥发</w:t>
      </w:r>
      <w:r>
        <w:rPr>
          <w:rFonts w:hint="default" w:ascii="Times New Roman" w:hAnsi="Times New Roman" w:eastAsia="宋体" w:cs="Times New Roman"/>
          <w:color w:val="auto"/>
          <w:spacing w:val="0"/>
          <w:sz w:val="24"/>
          <w:szCs w:val="24"/>
          <w:highlight w:val="none"/>
          <w:lang w:val="en-US" w:eastAsia="zh-CN"/>
        </w:rPr>
        <w:t>，无污水排放。</w:t>
      </w:r>
      <w:r>
        <w:rPr>
          <w:rFonts w:hint="default" w:ascii="Times New Roman" w:hAnsi="Times New Roman" w:cs="Times New Roman"/>
          <w:color w:val="auto"/>
          <w:highlight w:val="none"/>
          <w:lang w:val="en-US" w:eastAsia="zh-CN"/>
        </w:rPr>
        <w:t>水平衡图见图3-1-1~2。</w:t>
      </w:r>
    </w:p>
    <w:p w14:paraId="6884C0A3">
      <w:pPr>
        <w:pStyle w:val="25"/>
        <w:spacing w:line="240" w:lineRule="auto"/>
        <w:ind w:firstLine="48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object>
          <v:shape id="_x0000_i1025" o:spt="75" type="#_x0000_t75" style="height:182.25pt;width:332.05pt;" o:ole="t" filled="f" o:preferrelative="t" stroked="f" coordsize="21600,21600">
            <v:path/>
            <v:fill on="f" focussize="0,0"/>
            <v:stroke on="f"/>
            <v:imagedata r:id="rId48" o:title=""/>
            <o:lock v:ext="edit" aspectratio="f"/>
            <w10:wrap type="none"/>
            <w10:anchorlock/>
          </v:shape>
          <o:OLEObject Type="Embed" ProgID="Visio.Drawing.11" ShapeID="_x0000_i1025" DrawAspect="Content" ObjectID="_1468075725" r:id="rId47">
            <o:LockedField>false</o:LockedField>
          </o:OLEObject>
        </w:object>
      </w:r>
    </w:p>
    <w:p w14:paraId="6DB2F921">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图3-1-1   2#项目区水平衡图</w:t>
      </w:r>
    </w:p>
    <w:p w14:paraId="4616E639">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object>
          <v:shape id="_x0000_i1026" o:spt="75" type="#_x0000_t75" style="height:214.35pt;width:379.1pt;" o:ole="t" filled="f" o:preferrelative="t" stroked="f" coordsize="21600,21600">
            <v:path/>
            <v:fill on="f" focussize="0,0"/>
            <v:stroke on="f"/>
            <v:imagedata r:id="rId50" o:title=""/>
            <o:lock v:ext="edit" aspectratio="f"/>
            <w10:wrap type="none"/>
            <w10:anchorlock/>
          </v:shape>
          <o:OLEObject Type="Embed" ProgID="Visio.Drawing.11" ShapeID="_x0000_i1026" DrawAspect="Content" ObjectID="_1468075726" r:id="rId49">
            <o:LockedField>false</o:LockedField>
          </o:OLEObject>
        </w:object>
      </w:r>
    </w:p>
    <w:p w14:paraId="39EE54A2">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图3-1-2   其他项目区水平衡图</w:t>
      </w:r>
    </w:p>
    <w:p w14:paraId="03C9EB45">
      <w:pPr>
        <w:pStyle w:val="25"/>
        <w:spacing w:line="240" w:lineRule="auto"/>
        <w:ind w:firstLine="480"/>
        <w:jc w:val="center"/>
        <w:rPr>
          <w:rFonts w:hint="default" w:ascii="Times New Roman" w:hAnsi="Times New Roman" w:cs="Times New Roman"/>
          <w:color w:val="auto"/>
          <w:highlight w:val="none"/>
          <w:lang w:val="en-US" w:eastAsia="zh-CN"/>
        </w:rPr>
      </w:pPr>
    </w:p>
    <w:p w14:paraId="539424F2">
      <w:pPr>
        <w:pStyle w:val="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3.1.5.3供电</w:t>
      </w:r>
    </w:p>
    <w:p w14:paraId="755A32A6">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由</w:t>
      </w:r>
      <w:r>
        <w:rPr>
          <w:rFonts w:hint="default" w:ascii="Times New Roman" w:hAnsi="Times New Roman" w:cs="Times New Roman"/>
          <w:color w:val="auto"/>
          <w:highlight w:val="none"/>
          <w:lang w:val="en-US" w:eastAsia="zh-CN"/>
        </w:rPr>
        <w:t>市政供电</w:t>
      </w:r>
      <w:r>
        <w:rPr>
          <w:rFonts w:hint="default" w:ascii="Times New Roman" w:hAnsi="Times New Roman" w:cs="Times New Roman"/>
          <w:color w:val="auto"/>
          <w:highlight w:val="none"/>
        </w:rPr>
        <w:t>提供。</w:t>
      </w:r>
    </w:p>
    <w:p w14:paraId="2056093C">
      <w:pPr>
        <w:pStyle w:val="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3.1.5.4供热</w:t>
      </w:r>
    </w:p>
    <w:p w14:paraId="1FAD1140">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场地内</w:t>
      </w:r>
      <w:r>
        <w:rPr>
          <w:rFonts w:hint="default" w:ascii="Times New Roman" w:hAnsi="Times New Roman" w:cs="Times New Roman"/>
          <w:color w:val="auto"/>
          <w:highlight w:val="none"/>
        </w:rPr>
        <w:t>无办公室等构筑物，无需采暖。</w:t>
      </w:r>
    </w:p>
    <w:p w14:paraId="4D7B7E8B">
      <w:pPr>
        <w:pStyle w:val="39"/>
        <w:bidi w:val="0"/>
        <w:rPr>
          <w:rFonts w:hint="default" w:ascii="Times New Roman" w:hAnsi="Times New Roman" w:cs="Times New Roman"/>
          <w:color w:val="auto"/>
          <w:highlight w:val="none"/>
        </w:rPr>
      </w:pPr>
      <w:bookmarkStart w:id="172" w:name="_Toc9407"/>
      <w:r>
        <w:rPr>
          <w:rFonts w:hint="default" w:ascii="Times New Roman" w:hAnsi="Times New Roman" w:cs="Times New Roman"/>
          <w:color w:val="auto"/>
          <w:highlight w:val="none"/>
        </w:rPr>
        <w:t>3.1.6主要设备</w:t>
      </w:r>
      <w:bookmarkEnd w:id="172"/>
    </w:p>
    <w:p w14:paraId="2E57B6E4">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本项目共12个项目区，每个项目区分别设置推土机、铲车等，具体每个项目区设备见下表。</w:t>
      </w:r>
    </w:p>
    <w:p w14:paraId="30482D22">
      <w:pPr>
        <w:rPr>
          <w:rFonts w:hint="default" w:ascii="Times New Roman" w:hAnsi="Times New Roman" w:cs="Times New Roman"/>
          <w:color w:val="auto"/>
          <w:highlight w:val="none"/>
          <w:lang w:val="en-US" w:eastAsia="zh-CN"/>
        </w:rPr>
      </w:pPr>
    </w:p>
    <w:p w14:paraId="15B2807A">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表3-1-</w:t>
      </w:r>
      <w:r>
        <w:rPr>
          <w:rFonts w:hint="default" w:ascii="Times New Roman" w:hAnsi="Times New Roman" w:cs="Times New Roman"/>
          <w:color w:val="auto"/>
          <w:highlight w:val="none"/>
          <w:lang w:val="en-US" w:eastAsia="zh-CN"/>
        </w:rPr>
        <w:t>8</w:t>
      </w:r>
      <w:r>
        <w:rPr>
          <w:rFonts w:hint="default" w:ascii="Times New Roman" w:hAnsi="Times New Roman" w:cs="Times New Roman"/>
          <w:color w:val="auto"/>
          <w:highlight w:val="none"/>
        </w:rPr>
        <w:t>主要设备一览表</w:t>
      </w:r>
    </w:p>
    <w:tbl>
      <w:tblPr>
        <w:tblStyle w:val="2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61"/>
        <w:gridCol w:w="1419"/>
        <w:gridCol w:w="1068"/>
        <w:gridCol w:w="1778"/>
        <w:gridCol w:w="3915"/>
      </w:tblGrid>
      <w:tr w14:paraId="27E22D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 w:hRule="atLeast"/>
        </w:trPr>
        <w:tc>
          <w:tcPr>
            <w:tcW w:w="574" w:type="pct"/>
            <w:tcBorders>
              <w:tl2br w:val="nil"/>
              <w:tr2bl w:val="nil"/>
            </w:tcBorders>
            <w:vAlign w:val="center"/>
          </w:tcPr>
          <w:p w14:paraId="7BF783F6">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768" w:type="pct"/>
            <w:tcBorders>
              <w:tl2br w:val="nil"/>
              <w:tr2bl w:val="nil"/>
            </w:tcBorders>
            <w:vAlign w:val="center"/>
          </w:tcPr>
          <w:p w14:paraId="618E64AF">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名称</w:t>
            </w:r>
          </w:p>
        </w:tc>
        <w:tc>
          <w:tcPr>
            <w:tcW w:w="578" w:type="pct"/>
            <w:tcBorders>
              <w:tl2br w:val="nil"/>
              <w:tr2bl w:val="nil"/>
            </w:tcBorders>
            <w:vAlign w:val="center"/>
          </w:tcPr>
          <w:p w14:paraId="2EB97234">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数量</w:t>
            </w:r>
          </w:p>
        </w:tc>
        <w:tc>
          <w:tcPr>
            <w:tcW w:w="962" w:type="pct"/>
            <w:tcBorders>
              <w:tl2br w:val="nil"/>
              <w:tr2bl w:val="nil"/>
            </w:tcBorders>
            <w:vAlign w:val="center"/>
          </w:tcPr>
          <w:p w14:paraId="1B5F0C8F">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型号规格</w:t>
            </w:r>
          </w:p>
        </w:tc>
        <w:tc>
          <w:tcPr>
            <w:tcW w:w="2116" w:type="pct"/>
            <w:tcBorders>
              <w:tl2br w:val="nil"/>
              <w:tr2bl w:val="nil"/>
            </w:tcBorders>
            <w:vAlign w:val="center"/>
          </w:tcPr>
          <w:p w14:paraId="2871915C">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备注</w:t>
            </w:r>
          </w:p>
        </w:tc>
      </w:tr>
      <w:tr w14:paraId="30907A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 w:hRule="atLeast"/>
        </w:trPr>
        <w:tc>
          <w:tcPr>
            <w:tcW w:w="5000" w:type="pct"/>
            <w:gridSpan w:val="5"/>
            <w:tcBorders>
              <w:tl2br w:val="nil"/>
              <w:tr2bl w:val="nil"/>
            </w:tcBorders>
            <w:vAlign w:val="center"/>
          </w:tcPr>
          <w:p w14:paraId="473803CC">
            <w:pPr>
              <w:pStyle w:val="44"/>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2#项目区</w:t>
            </w:r>
          </w:p>
        </w:tc>
      </w:tr>
      <w:tr w14:paraId="5ABDC7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4" w:type="pct"/>
            <w:tcBorders>
              <w:tl2br w:val="nil"/>
              <w:tr2bl w:val="nil"/>
            </w:tcBorders>
            <w:vAlign w:val="center"/>
          </w:tcPr>
          <w:p w14:paraId="2B068760">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768" w:type="pct"/>
            <w:tcBorders>
              <w:tl2br w:val="nil"/>
              <w:tr2bl w:val="nil"/>
            </w:tcBorders>
            <w:vAlign w:val="center"/>
          </w:tcPr>
          <w:p w14:paraId="34842CAA">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推土机</w:t>
            </w:r>
          </w:p>
        </w:tc>
        <w:tc>
          <w:tcPr>
            <w:tcW w:w="578" w:type="pct"/>
            <w:tcBorders>
              <w:tl2br w:val="nil"/>
              <w:tr2bl w:val="nil"/>
            </w:tcBorders>
            <w:vAlign w:val="center"/>
          </w:tcPr>
          <w:p w14:paraId="4DB257D7">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1台</w:t>
            </w:r>
          </w:p>
        </w:tc>
        <w:tc>
          <w:tcPr>
            <w:tcW w:w="962" w:type="pct"/>
            <w:tcBorders>
              <w:tl2br w:val="nil"/>
              <w:tr2bl w:val="nil"/>
            </w:tcBorders>
            <w:vAlign w:val="center"/>
          </w:tcPr>
          <w:p w14:paraId="4DE0A407">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2116" w:type="pct"/>
            <w:tcBorders>
              <w:tl2br w:val="nil"/>
              <w:tr2bl w:val="nil"/>
            </w:tcBorders>
            <w:vAlign w:val="center"/>
          </w:tcPr>
          <w:p w14:paraId="3E0180FA">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平铺煤矸石</w:t>
            </w:r>
          </w:p>
        </w:tc>
      </w:tr>
      <w:tr w14:paraId="1536E6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4" w:type="pct"/>
            <w:tcBorders>
              <w:tl2br w:val="nil"/>
              <w:tr2bl w:val="nil"/>
            </w:tcBorders>
            <w:vAlign w:val="center"/>
          </w:tcPr>
          <w:p w14:paraId="3DAA6433">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768" w:type="pct"/>
            <w:tcBorders>
              <w:tl2br w:val="nil"/>
              <w:tr2bl w:val="nil"/>
            </w:tcBorders>
            <w:vAlign w:val="center"/>
          </w:tcPr>
          <w:p w14:paraId="4CD2C15B">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压实机</w:t>
            </w:r>
          </w:p>
        </w:tc>
        <w:tc>
          <w:tcPr>
            <w:tcW w:w="578" w:type="pct"/>
            <w:tcBorders>
              <w:tl2br w:val="nil"/>
              <w:tr2bl w:val="nil"/>
            </w:tcBorders>
            <w:vAlign w:val="center"/>
          </w:tcPr>
          <w:p w14:paraId="4C50AF2D">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1台</w:t>
            </w:r>
          </w:p>
        </w:tc>
        <w:tc>
          <w:tcPr>
            <w:tcW w:w="962" w:type="pct"/>
            <w:tcBorders>
              <w:tl2br w:val="nil"/>
              <w:tr2bl w:val="nil"/>
            </w:tcBorders>
            <w:vAlign w:val="center"/>
          </w:tcPr>
          <w:p w14:paraId="4E5D397F">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2116" w:type="pct"/>
            <w:tcBorders>
              <w:tl2br w:val="nil"/>
              <w:tr2bl w:val="nil"/>
            </w:tcBorders>
            <w:vAlign w:val="center"/>
          </w:tcPr>
          <w:p w14:paraId="6973A968">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压实煤矸石</w:t>
            </w:r>
          </w:p>
        </w:tc>
      </w:tr>
      <w:tr w14:paraId="5AAB81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4" w:type="pct"/>
            <w:tcBorders>
              <w:tl2br w:val="nil"/>
              <w:tr2bl w:val="nil"/>
            </w:tcBorders>
            <w:vAlign w:val="center"/>
          </w:tcPr>
          <w:p w14:paraId="763C6A43">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768" w:type="pct"/>
            <w:tcBorders>
              <w:tl2br w:val="nil"/>
              <w:tr2bl w:val="nil"/>
            </w:tcBorders>
            <w:vAlign w:val="center"/>
          </w:tcPr>
          <w:p w14:paraId="06C5905E">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自卸翻斗车</w:t>
            </w:r>
          </w:p>
        </w:tc>
        <w:tc>
          <w:tcPr>
            <w:tcW w:w="578" w:type="pct"/>
            <w:tcBorders>
              <w:tl2br w:val="nil"/>
              <w:tr2bl w:val="nil"/>
            </w:tcBorders>
            <w:vAlign w:val="center"/>
          </w:tcPr>
          <w:p w14:paraId="64401BB8">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辆</w:t>
            </w:r>
          </w:p>
        </w:tc>
        <w:tc>
          <w:tcPr>
            <w:tcW w:w="962" w:type="pct"/>
            <w:tcBorders>
              <w:tl2br w:val="nil"/>
              <w:tr2bl w:val="nil"/>
            </w:tcBorders>
            <w:vAlign w:val="center"/>
          </w:tcPr>
          <w:p w14:paraId="0A745D2E">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2116" w:type="pct"/>
            <w:tcBorders>
              <w:tl2br w:val="nil"/>
              <w:tr2bl w:val="nil"/>
            </w:tcBorders>
            <w:vAlign w:val="center"/>
          </w:tcPr>
          <w:p w14:paraId="2D276070">
            <w:pPr>
              <w:pStyle w:val="44"/>
              <w:bidi w:val="0"/>
              <w:jc w:val="cente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运输</w:t>
            </w:r>
          </w:p>
        </w:tc>
      </w:tr>
      <w:tr w14:paraId="76A17E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4" w:type="pct"/>
            <w:tcBorders>
              <w:tl2br w:val="nil"/>
              <w:tr2bl w:val="nil"/>
            </w:tcBorders>
            <w:vAlign w:val="center"/>
          </w:tcPr>
          <w:p w14:paraId="009028A9">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768" w:type="pct"/>
            <w:tcBorders>
              <w:tl2br w:val="nil"/>
              <w:tr2bl w:val="nil"/>
            </w:tcBorders>
            <w:vAlign w:val="center"/>
          </w:tcPr>
          <w:p w14:paraId="35747F83">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铲车</w:t>
            </w:r>
          </w:p>
        </w:tc>
        <w:tc>
          <w:tcPr>
            <w:tcW w:w="578" w:type="pct"/>
            <w:tcBorders>
              <w:tl2br w:val="nil"/>
              <w:tr2bl w:val="nil"/>
            </w:tcBorders>
            <w:vAlign w:val="center"/>
          </w:tcPr>
          <w:p w14:paraId="514C8D32">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1台</w:t>
            </w:r>
          </w:p>
        </w:tc>
        <w:tc>
          <w:tcPr>
            <w:tcW w:w="962" w:type="pct"/>
            <w:tcBorders>
              <w:tl2br w:val="nil"/>
              <w:tr2bl w:val="nil"/>
            </w:tcBorders>
            <w:vAlign w:val="center"/>
          </w:tcPr>
          <w:p w14:paraId="00D19CD9">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2116" w:type="pct"/>
            <w:tcBorders>
              <w:tl2br w:val="nil"/>
              <w:tr2bl w:val="nil"/>
            </w:tcBorders>
            <w:vAlign w:val="center"/>
          </w:tcPr>
          <w:p w14:paraId="047AD09B">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铲运煤矸石</w:t>
            </w:r>
          </w:p>
        </w:tc>
      </w:tr>
      <w:tr w14:paraId="394873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4" w:type="pct"/>
            <w:tcBorders>
              <w:tl2br w:val="nil"/>
              <w:tr2bl w:val="nil"/>
            </w:tcBorders>
            <w:vAlign w:val="center"/>
          </w:tcPr>
          <w:p w14:paraId="2C7A6428">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768" w:type="pct"/>
            <w:tcBorders>
              <w:tl2br w:val="nil"/>
              <w:tr2bl w:val="nil"/>
            </w:tcBorders>
            <w:vAlign w:val="center"/>
          </w:tcPr>
          <w:p w14:paraId="6E6111FE">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洒水车</w:t>
            </w:r>
          </w:p>
        </w:tc>
        <w:tc>
          <w:tcPr>
            <w:tcW w:w="578" w:type="pct"/>
            <w:tcBorders>
              <w:tl2br w:val="nil"/>
              <w:tr2bl w:val="nil"/>
            </w:tcBorders>
            <w:vAlign w:val="center"/>
          </w:tcPr>
          <w:p w14:paraId="1CFC37B5">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1辆</w:t>
            </w:r>
          </w:p>
        </w:tc>
        <w:tc>
          <w:tcPr>
            <w:tcW w:w="962" w:type="pct"/>
            <w:tcBorders>
              <w:tl2br w:val="nil"/>
              <w:tr2bl w:val="nil"/>
            </w:tcBorders>
            <w:vAlign w:val="center"/>
          </w:tcPr>
          <w:p w14:paraId="12F1ED1A">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2116" w:type="pct"/>
            <w:tcBorders>
              <w:tl2br w:val="nil"/>
              <w:tr2bl w:val="nil"/>
            </w:tcBorders>
            <w:vAlign w:val="center"/>
          </w:tcPr>
          <w:p w14:paraId="6621C9D2">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洒水抑尘</w:t>
            </w:r>
          </w:p>
        </w:tc>
      </w:tr>
      <w:tr w14:paraId="7233CC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5"/>
            <w:tcBorders>
              <w:tl2br w:val="nil"/>
              <w:tr2bl w:val="nil"/>
            </w:tcBorders>
            <w:vAlign w:val="center"/>
          </w:tcPr>
          <w:p w14:paraId="69DA46B7">
            <w:pPr>
              <w:pStyle w:val="44"/>
              <w:bidi w:val="0"/>
              <w:jc w:val="center"/>
              <w:rPr>
                <w:rFonts w:hint="default" w:ascii="Times New Roman" w:hAnsi="Times New Roman" w:eastAsia="宋体" w:cs="Times New Roman"/>
                <w:color w:val="auto"/>
                <w:highlight w:val="none"/>
                <w:lang w:val="en-US" w:eastAsia="zh-CN"/>
              </w:rPr>
            </w:pPr>
            <w:bookmarkStart w:id="173" w:name="_Toc982"/>
            <w:r>
              <w:rPr>
                <w:rFonts w:hint="default" w:ascii="Times New Roman" w:hAnsi="Times New Roman" w:cs="Times New Roman"/>
                <w:color w:val="auto"/>
                <w:highlight w:val="none"/>
                <w:lang w:val="en-US" w:eastAsia="zh-CN"/>
              </w:rPr>
              <w:t>其他每个项目区</w:t>
            </w:r>
          </w:p>
        </w:tc>
      </w:tr>
      <w:tr w14:paraId="75317E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4" w:type="pct"/>
            <w:tcBorders>
              <w:tl2br w:val="nil"/>
              <w:tr2bl w:val="nil"/>
            </w:tcBorders>
            <w:shd w:val="clear" w:color="auto" w:fill="auto"/>
            <w:vAlign w:val="center"/>
          </w:tcPr>
          <w:p w14:paraId="64A025B7">
            <w:pPr>
              <w:pStyle w:val="44"/>
              <w:bidi w:val="0"/>
              <w:ind w:firstLine="0" w:firstLineChars="0"/>
              <w:jc w:val="center"/>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highlight w:val="none"/>
              </w:rPr>
              <w:t>1</w:t>
            </w:r>
          </w:p>
        </w:tc>
        <w:tc>
          <w:tcPr>
            <w:tcW w:w="768" w:type="pct"/>
            <w:tcBorders>
              <w:tl2br w:val="nil"/>
              <w:tr2bl w:val="nil"/>
            </w:tcBorders>
            <w:shd w:val="clear" w:color="auto" w:fill="auto"/>
            <w:vAlign w:val="center"/>
          </w:tcPr>
          <w:p w14:paraId="2CE375A8">
            <w:pPr>
              <w:pStyle w:val="44"/>
              <w:bidi w:val="0"/>
              <w:ind w:firstLine="0" w:firstLineChars="0"/>
              <w:jc w:val="center"/>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highlight w:val="none"/>
              </w:rPr>
              <w:t>推土机</w:t>
            </w:r>
          </w:p>
        </w:tc>
        <w:tc>
          <w:tcPr>
            <w:tcW w:w="578" w:type="pct"/>
            <w:tcBorders>
              <w:tl2br w:val="nil"/>
              <w:tr2bl w:val="nil"/>
            </w:tcBorders>
            <w:shd w:val="clear" w:color="auto" w:fill="auto"/>
            <w:vAlign w:val="center"/>
          </w:tcPr>
          <w:p w14:paraId="70F92328">
            <w:pPr>
              <w:pStyle w:val="44"/>
              <w:bidi w:val="0"/>
              <w:ind w:firstLine="0" w:firstLineChars="0"/>
              <w:jc w:val="center"/>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highlight w:val="none"/>
              </w:rPr>
              <w:t>1台</w:t>
            </w:r>
          </w:p>
        </w:tc>
        <w:tc>
          <w:tcPr>
            <w:tcW w:w="962" w:type="pct"/>
            <w:tcBorders>
              <w:tl2br w:val="nil"/>
              <w:tr2bl w:val="nil"/>
            </w:tcBorders>
            <w:vAlign w:val="center"/>
          </w:tcPr>
          <w:p w14:paraId="50EB796B">
            <w:pPr>
              <w:pStyle w:val="44"/>
              <w:bidi w:val="0"/>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2116" w:type="pct"/>
            <w:tcBorders>
              <w:tl2br w:val="nil"/>
              <w:tr2bl w:val="nil"/>
            </w:tcBorders>
            <w:vAlign w:val="center"/>
          </w:tcPr>
          <w:p w14:paraId="0E9DE78B">
            <w:pPr>
              <w:pStyle w:val="44"/>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平整土地</w:t>
            </w:r>
          </w:p>
        </w:tc>
      </w:tr>
      <w:tr w14:paraId="2C5398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4" w:type="pct"/>
            <w:tcBorders>
              <w:tl2br w:val="nil"/>
              <w:tr2bl w:val="nil"/>
            </w:tcBorders>
            <w:shd w:val="clear" w:color="auto" w:fill="auto"/>
            <w:vAlign w:val="center"/>
          </w:tcPr>
          <w:p w14:paraId="4BA50B61">
            <w:pPr>
              <w:pStyle w:val="44"/>
              <w:bidi w:val="0"/>
              <w:ind w:firstLine="0" w:firstLineChars="0"/>
              <w:jc w:val="center"/>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highlight w:val="none"/>
              </w:rPr>
              <w:t>2</w:t>
            </w:r>
          </w:p>
        </w:tc>
        <w:tc>
          <w:tcPr>
            <w:tcW w:w="768" w:type="pct"/>
            <w:tcBorders>
              <w:tl2br w:val="nil"/>
              <w:tr2bl w:val="nil"/>
            </w:tcBorders>
            <w:shd w:val="clear" w:color="auto" w:fill="auto"/>
            <w:vAlign w:val="center"/>
          </w:tcPr>
          <w:p w14:paraId="36A778BD">
            <w:pPr>
              <w:pStyle w:val="44"/>
              <w:bidi w:val="0"/>
              <w:ind w:firstLine="0" w:firstLineChars="0"/>
              <w:jc w:val="center"/>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highlight w:val="none"/>
              </w:rPr>
              <w:t>压实机</w:t>
            </w:r>
          </w:p>
        </w:tc>
        <w:tc>
          <w:tcPr>
            <w:tcW w:w="578" w:type="pct"/>
            <w:tcBorders>
              <w:tl2br w:val="nil"/>
              <w:tr2bl w:val="nil"/>
            </w:tcBorders>
            <w:shd w:val="clear" w:color="auto" w:fill="auto"/>
            <w:vAlign w:val="center"/>
          </w:tcPr>
          <w:p w14:paraId="3597E1DD">
            <w:pPr>
              <w:pStyle w:val="44"/>
              <w:bidi w:val="0"/>
              <w:ind w:firstLine="0" w:firstLineChars="0"/>
              <w:jc w:val="center"/>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highlight w:val="none"/>
              </w:rPr>
              <w:t>1台</w:t>
            </w:r>
          </w:p>
        </w:tc>
        <w:tc>
          <w:tcPr>
            <w:tcW w:w="962" w:type="pct"/>
            <w:tcBorders>
              <w:tl2br w:val="nil"/>
              <w:tr2bl w:val="nil"/>
            </w:tcBorders>
            <w:vAlign w:val="center"/>
          </w:tcPr>
          <w:p w14:paraId="2339428B">
            <w:pPr>
              <w:pStyle w:val="44"/>
              <w:bidi w:val="0"/>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2116" w:type="pct"/>
            <w:tcBorders>
              <w:tl2br w:val="nil"/>
              <w:tr2bl w:val="nil"/>
            </w:tcBorders>
            <w:vAlign w:val="center"/>
          </w:tcPr>
          <w:p w14:paraId="56E7A2CD">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平整土地</w:t>
            </w:r>
          </w:p>
        </w:tc>
      </w:tr>
      <w:tr w14:paraId="768901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4" w:type="pct"/>
            <w:tcBorders>
              <w:tl2br w:val="nil"/>
              <w:tr2bl w:val="nil"/>
            </w:tcBorders>
            <w:shd w:val="clear" w:color="auto" w:fill="auto"/>
            <w:vAlign w:val="center"/>
          </w:tcPr>
          <w:p w14:paraId="133873EC">
            <w:pPr>
              <w:pStyle w:val="44"/>
              <w:bidi w:val="0"/>
              <w:ind w:firstLine="0" w:firstLineChars="0"/>
              <w:jc w:val="center"/>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highlight w:val="none"/>
              </w:rPr>
              <w:t>3</w:t>
            </w:r>
          </w:p>
        </w:tc>
        <w:tc>
          <w:tcPr>
            <w:tcW w:w="768" w:type="pct"/>
            <w:tcBorders>
              <w:tl2br w:val="nil"/>
              <w:tr2bl w:val="nil"/>
            </w:tcBorders>
            <w:shd w:val="clear" w:color="auto" w:fill="auto"/>
            <w:vAlign w:val="center"/>
          </w:tcPr>
          <w:p w14:paraId="3579E223">
            <w:pPr>
              <w:pStyle w:val="44"/>
              <w:bidi w:val="0"/>
              <w:ind w:firstLine="0" w:firstLineChars="0"/>
              <w:jc w:val="center"/>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highlight w:val="none"/>
              </w:rPr>
              <w:t>自卸翻斗车</w:t>
            </w:r>
          </w:p>
        </w:tc>
        <w:tc>
          <w:tcPr>
            <w:tcW w:w="578" w:type="pct"/>
            <w:tcBorders>
              <w:tl2br w:val="nil"/>
              <w:tr2bl w:val="nil"/>
            </w:tcBorders>
            <w:shd w:val="clear" w:color="auto" w:fill="auto"/>
            <w:vAlign w:val="center"/>
          </w:tcPr>
          <w:p w14:paraId="64B86158">
            <w:pPr>
              <w:pStyle w:val="44"/>
              <w:bidi w:val="0"/>
              <w:ind w:firstLine="0" w:firstLineChars="0"/>
              <w:jc w:val="center"/>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辆</w:t>
            </w:r>
          </w:p>
        </w:tc>
        <w:tc>
          <w:tcPr>
            <w:tcW w:w="962" w:type="pct"/>
            <w:tcBorders>
              <w:tl2br w:val="nil"/>
              <w:tr2bl w:val="nil"/>
            </w:tcBorders>
            <w:vAlign w:val="center"/>
          </w:tcPr>
          <w:p w14:paraId="2CDC0765">
            <w:pPr>
              <w:pStyle w:val="44"/>
              <w:bidi w:val="0"/>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2116" w:type="pct"/>
            <w:tcBorders>
              <w:tl2br w:val="nil"/>
              <w:tr2bl w:val="nil"/>
            </w:tcBorders>
            <w:vAlign w:val="center"/>
          </w:tcPr>
          <w:p w14:paraId="7211D615">
            <w:pPr>
              <w:pStyle w:val="44"/>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运输土方</w:t>
            </w:r>
          </w:p>
        </w:tc>
      </w:tr>
      <w:tr w14:paraId="304CB0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4" w:type="pct"/>
            <w:tcBorders>
              <w:tl2br w:val="nil"/>
              <w:tr2bl w:val="nil"/>
            </w:tcBorders>
            <w:shd w:val="clear" w:color="auto" w:fill="auto"/>
            <w:vAlign w:val="center"/>
          </w:tcPr>
          <w:p w14:paraId="4D69B840">
            <w:pPr>
              <w:pStyle w:val="44"/>
              <w:bidi w:val="0"/>
              <w:ind w:firstLine="0" w:firstLineChars="0"/>
              <w:jc w:val="center"/>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highlight w:val="none"/>
              </w:rPr>
              <w:t>4</w:t>
            </w:r>
          </w:p>
        </w:tc>
        <w:tc>
          <w:tcPr>
            <w:tcW w:w="768" w:type="pct"/>
            <w:tcBorders>
              <w:tl2br w:val="nil"/>
              <w:tr2bl w:val="nil"/>
            </w:tcBorders>
            <w:shd w:val="clear" w:color="auto" w:fill="auto"/>
            <w:vAlign w:val="center"/>
          </w:tcPr>
          <w:p w14:paraId="01C06011">
            <w:pPr>
              <w:pStyle w:val="44"/>
              <w:bidi w:val="0"/>
              <w:ind w:firstLine="0" w:firstLineChars="0"/>
              <w:jc w:val="center"/>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highlight w:val="none"/>
              </w:rPr>
              <w:t>铲车</w:t>
            </w:r>
          </w:p>
        </w:tc>
        <w:tc>
          <w:tcPr>
            <w:tcW w:w="578" w:type="pct"/>
            <w:tcBorders>
              <w:tl2br w:val="nil"/>
              <w:tr2bl w:val="nil"/>
            </w:tcBorders>
            <w:shd w:val="clear" w:color="auto" w:fill="auto"/>
            <w:vAlign w:val="center"/>
          </w:tcPr>
          <w:p w14:paraId="02C600B0">
            <w:pPr>
              <w:pStyle w:val="44"/>
              <w:bidi w:val="0"/>
              <w:ind w:firstLine="0" w:firstLineChars="0"/>
              <w:jc w:val="center"/>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highlight w:val="none"/>
              </w:rPr>
              <w:t>1台</w:t>
            </w:r>
          </w:p>
        </w:tc>
        <w:tc>
          <w:tcPr>
            <w:tcW w:w="962" w:type="pct"/>
            <w:tcBorders>
              <w:tl2br w:val="nil"/>
              <w:tr2bl w:val="nil"/>
            </w:tcBorders>
            <w:vAlign w:val="center"/>
          </w:tcPr>
          <w:p w14:paraId="69147663">
            <w:pPr>
              <w:pStyle w:val="44"/>
              <w:bidi w:val="0"/>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2116" w:type="pct"/>
            <w:tcBorders>
              <w:tl2br w:val="nil"/>
              <w:tr2bl w:val="nil"/>
            </w:tcBorders>
            <w:vAlign w:val="center"/>
          </w:tcPr>
          <w:p w14:paraId="0F73BA0D">
            <w:pPr>
              <w:pStyle w:val="44"/>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平整地面</w:t>
            </w:r>
          </w:p>
        </w:tc>
      </w:tr>
      <w:tr w14:paraId="3D3640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4" w:type="pct"/>
            <w:shd w:val="clear" w:color="auto" w:fill="auto"/>
            <w:vAlign w:val="center"/>
          </w:tcPr>
          <w:p w14:paraId="2B8E6436">
            <w:pPr>
              <w:pStyle w:val="44"/>
              <w:bidi w:val="0"/>
              <w:ind w:firstLine="0" w:firstLineChars="0"/>
              <w:jc w:val="center"/>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highlight w:val="none"/>
              </w:rPr>
              <w:t>5</w:t>
            </w:r>
          </w:p>
        </w:tc>
        <w:tc>
          <w:tcPr>
            <w:tcW w:w="768" w:type="pct"/>
            <w:shd w:val="clear" w:color="auto" w:fill="auto"/>
            <w:vAlign w:val="center"/>
          </w:tcPr>
          <w:p w14:paraId="76B1C3A6">
            <w:pPr>
              <w:pStyle w:val="44"/>
              <w:bidi w:val="0"/>
              <w:ind w:firstLine="0" w:firstLineChars="0"/>
              <w:jc w:val="center"/>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highlight w:val="none"/>
              </w:rPr>
              <w:t>洒水车</w:t>
            </w:r>
          </w:p>
        </w:tc>
        <w:tc>
          <w:tcPr>
            <w:tcW w:w="0" w:type="auto"/>
            <w:shd w:val="clear" w:color="auto" w:fill="auto"/>
            <w:vAlign w:val="center"/>
          </w:tcPr>
          <w:p w14:paraId="1317DE13">
            <w:pPr>
              <w:pStyle w:val="44"/>
              <w:bidi w:val="0"/>
              <w:ind w:firstLine="0" w:firstLineChars="0"/>
              <w:jc w:val="center"/>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highlight w:val="none"/>
              </w:rPr>
              <w:t>1辆</w:t>
            </w:r>
          </w:p>
        </w:tc>
        <w:tc>
          <w:tcPr>
            <w:tcW w:w="962" w:type="pct"/>
            <w:vAlign w:val="center"/>
          </w:tcPr>
          <w:p w14:paraId="2951862F">
            <w:pPr>
              <w:pStyle w:val="44"/>
              <w:bidi w:val="0"/>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0" w:type="auto"/>
          </w:tcPr>
          <w:p w14:paraId="24C66D66">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洒水抑尘</w:t>
            </w:r>
          </w:p>
        </w:tc>
      </w:tr>
    </w:tbl>
    <w:p w14:paraId="2B766E4B">
      <w:pPr>
        <w:pStyle w:val="39"/>
        <w:keepNext w:val="0"/>
        <w:pageBreakBefore w:val="0"/>
        <w:kinsoku/>
        <w:wordWrap/>
        <w:overflowPunct/>
        <w:topLinePunct w:val="0"/>
        <w:autoSpaceDE/>
        <w:autoSpaceDN/>
        <w:bidi w:val="0"/>
        <w:adjustRightInd w:val="0"/>
        <w:snapToGrid w:val="0"/>
        <w:spacing w:after="0" w:line="360" w:lineRule="auto"/>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3.1.7总平面布置合理性</w:t>
      </w:r>
      <w:bookmarkEnd w:id="173"/>
    </w:p>
    <w:p w14:paraId="645F5433">
      <w:pPr>
        <w:keepNext w:val="0"/>
        <w:keepLines w:val="0"/>
        <w:pageBreakBefore w:val="0"/>
        <w:widowControl w:val="0"/>
        <w:kinsoku/>
        <w:wordWrap/>
        <w:overflowPunct/>
        <w:topLinePunct w:val="0"/>
        <w:autoSpaceDE/>
        <w:autoSpaceDN/>
        <w:bidi w:val="0"/>
        <w:adjustRightInd w:val="0"/>
        <w:snapToGrid w:val="0"/>
        <w:spacing w:line="360" w:lineRule="auto"/>
        <w:ind w:firstLine="454"/>
        <w:textAlignment w:val="auto"/>
        <w:rPr>
          <w:rFonts w:hint="default" w:ascii="Times New Roman" w:hAnsi="Times New Roman" w:eastAsia="宋体" w:cs="Times New Roman"/>
          <w:color w:val="auto"/>
          <w:sz w:val="24"/>
          <w:szCs w:val="24"/>
          <w:highlight w:val="none"/>
          <w:lang w:val="en-US" w:eastAsia="zh-CN"/>
        </w:rPr>
      </w:pPr>
      <w:bookmarkStart w:id="174" w:name="_Toc15312"/>
      <w:r>
        <w:rPr>
          <w:rFonts w:hint="default" w:ascii="Times New Roman" w:hAnsi="Times New Roman" w:eastAsia="宋体" w:cs="Times New Roman"/>
          <w:color w:val="auto"/>
          <w:sz w:val="24"/>
          <w:szCs w:val="24"/>
          <w:highlight w:val="none"/>
          <w:lang w:val="en-US" w:eastAsia="zh-CN"/>
        </w:rPr>
        <w:t>按照现有国家的方针、政策，并结合当地情况，在满足使用的要求下，做到经济、合理，尽量减少投资、降低造价，并应切实注意节约用地。总图布置中做到合理布置人流、车流的运输路线，以减少能源消耗，确保交通运输安全。</w:t>
      </w:r>
    </w:p>
    <w:p w14:paraId="0A4B752A">
      <w:pPr>
        <w:keepNext w:val="0"/>
        <w:keepLines w:val="0"/>
        <w:pageBreakBefore w:val="0"/>
        <w:widowControl w:val="0"/>
        <w:kinsoku/>
        <w:wordWrap/>
        <w:overflowPunct/>
        <w:topLinePunct w:val="0"/>
        <w:autoSpaceDE/>
        <w:autoSpaceDN/>
        <w:bidi w:val="0"/>
        <w:adjustRightInd w:val="0"/>
        <w:snapToGrid w:val="0"/>
        <w:spacing w:line="360" w:lineRule="auto"/>
        <w:ind w:firstLine="454"/>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选址位于黑龙江省</w:t>
      </w:r>
      <w:r>
        <w:rPr>
          <w:rFonts w:hint="default" w:ascii="Times New Roman" w:hAnsi="Times New Roman" w:cs="Times New Roman"/>
          <w:color w:val="auto"/>
          <w:sz w:val="24"/>
          <w:szCs w:val="24"/>
          <w:highlight w:val="none"/>
          <w:lang w:val="en-US" w:eastAsia="zh-CN"/>
        </w:rPr>
        <w:t>鸡西市城子河区</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cs="Times New Roman"/>
          <w:color w:val="auto"/>
          <w:highlight w:val="none"/>
        </w:rPr>
        <w:t>采场长约230m，宽约167m，平均深度36.7m</w:t>
      </w:r>
      <w:r>
        <w:rPr>
          <w:rFonts w:hint="default" w:ascii="Times New Roman" w:hAnsi="Times New Roman" w:eastAsia="宋体" w:cs="Times New Roman"/>
          <w:color w:val="auto"/>
          <w:sz w:val="24"/>
          <w:szCs w:val="24"/>
          <w:highlight w:val="none"/>
          <w:lang w:val="en-US" w:eastAsia="zh-CN"/>
        </w:rPr>
        <w:t>。入口位于场区</w:t>
      </w:r>
      <w:r>
        <w:rPr>
          <w:rFonts w:hint="default" w:ascii="Times New Roman" w:hAnsi="Times New Roman" w:cs="Times New Roman"/>
          <w:color w:val="auto"/>
          <w:sz w:val="24"/>
          <w:szCs w:val="24"/>
          <w:highlight w:val="none"/>
          <w:lang w:val="en-US" w:eastAsia="zh-CN"/>
        </w:rPr>
        <w:t>东</w:t>
      </w:r>
      <w:r>
        <w:rPr>
          <w:rFonts w:hint="default" w:ascii="Times New Roman" w:hAnsi="Times New Roman" w:eastAsia="宋体" w:cs="Times New Roman"/>
          <w:color w:val="auto"/>
          <w:sz w:val="24"/>
          <w:szCs w:val="24"/>
          <w:highlight w:val="none"/>
          <w:lang w:val="en-US" w:eastAsia="zh-CN"/>
        </w:rPr>
        <w:t>侧，进场道路依托项目区现有泥结碎石道路。</w:t>
      </w:r>
      <w:r>
        <w:rPr>
          <w:rFonts w:hint="default" w:ascii="Times New Roman" w:hAnsi="Times New Roman" w:cs="Times New Roman"/>
          <w:color w:val="auto"/>
          <w:sz w:val="24"/>
          <w:szCs w:val="24"/>
          <w:highlight w:val="none"/>
          <w:lang w:val="en-US" w:eastAsia="zh-CN"/>
        </w:rPr>
        <w:t>回填采坑为不规则长方形，采坑西高东低、北高南低，</w:t>
      </w:r>
      <w:r>
        <w:rPr>
          <w:rFonts w:hint="default" w:ascii="Times New Roman" w:hAnsi="Times New Roman" w:eastAsia="宋体" w:cs="Times New Roman"/>
          <w:color w:val="auto"/>
          <w:sz w:val="24"/>
          <w:szCs w:val="24"/>
          <w:highlight w:val="none"/>
          <w:lang w:val="en-US" w:eastAsia="zh-CN"/>
        </w:rPr>
        <w:t>露天</w:t>
      </w:r>
      <w:r>
        <w:rPr>
          <w:rFonts w:hint="default" w:ascii="Times New Roman" w:hAnsi="Times New Roman" w:cs="Times New Roman"/>
          <w:color w:val="auto"/>
          <w:sz w:val="24"/>
          <w:szCs w:val="24"/>
          <w:highlight w:val="none"/>
          <w:lang w:val="en-US" w:eastAsia="zh-CN"/>
        </w:rPr>
        <w:t>采坑西侧、南</w:t>
      </w:r>
      <w:r>
        <w:rPr>
          <w:rFonts w:hint="default" w:ascii="Times New Roman" w:hAnsi="Times New Roman" w:eastAsia="宋体" w:cs="Times New Roman"/>
          <w:color w:val="auto"/>
          <w:sz w:val="24"/>
          <w:szCs w:val="24"/>
          <w:highlight w:val="none"/>
          <w:lang w:val="en-US" w:eastAsia="zh-CN"/>
        </w:rPr>
        <w:t>侧坡脚设置</w:t>
      </w:r>
      <w:r>
        <w:rPr>
          <w:rFonts w:hint="default" w:ascii="Times New Roman" w:hAnsi="Times New Roman" w:cs="Times New Roman"/>
          <w:color w:val="auto"/>
          <w:sz w:val="24"/>
          <w:szCs w:val="24"/>
          <w:highlight w:val="none"/>
          <w:lang w:val="en-US" w:eastAsia="zh-CN"/>
        </w:rPr>
        <w:t>截水沟，</w:t>
      </w:r>
      <w:r>
        <w:rPr>
          <w:rFonts w:hint="default" w:ascii="Times New Roman" w:hAnsi="Times New Roman" w:eastAsia="宋体" w:cs="Times New Roman"/>
          <w:color w:val="auto"/>
          <w:sz w:val="24"/>
          <w:szCs w:val="24"/>
          <w:highlight w:val="none"/>
          <w:lang w:val="en-US" w:eastAsia="zh-CN"/>
        </w:rPr>
        <w:t>减少雨水对覆盖土的冲刷和向</w:t>
      </w:r>
      <w:r>
        <w:rPr>
          <w:rFonts w:hint="default" w:ascii="Times New Roman" w:hAnsi="Times New Roman" w:cs="Times New Roman"/>
          <w:color w:val="auto"/>
          <w:sz w:val="24"/>
          <w:szCs w:val="24"/>
          <w:highlight w:val="none"/>
          <w:lang w:val="en-US" w:eastAsia="zh-CN"/>
        </w:rPr>
        <w:t>采坑</w:t>
      </w:r>
      <w:r>
        <w:rPr>
          <w:rFonts w:hint="default" w:ascii="Times New Roman" w:hAnsi="Times New Roman" w:eastAsia="宋体" w:cs="Times New Roman"/>
          <w:color w:val="auto"/>
          <w:sz w:val="24"/>
          <w:szCs w:val="24"/>
          <w:highlight w:val="none"/>
          <w:lang w:val="en-US" w:eastAsia="zh-CN"/>
        </w:rPr>
        <w:t>的渗漏。</w:t>
      </w:r>
      <w:r>
        <w:rPr>
          <w:rFonts w:hint="default" w:ascii="Times New Roman" w:hAnsi="Times New Roman" w:cs="Times New Roman"/>
          <w:color w:val="auto"/>
          <w:sz w:val="24"/>
          <w:szCs w:val="24"/>
          <w:highlight w:val="none"/>
          <w:lang w:val="en-US" w:eastAsia="zh-CN"/>
        </w:rPr>
        <w:t>各项目区</w:t>
      </w:r>
      <w:r>
        <w:rPr>
          <w:rFonts w:hint="default" w:ascii="Times New Roman" w:hAnsi="Times New Roman" w:eastAsia="宋体" w:cs="Times New Roman"/>
          <w:color w:val="auto"/>
          <w:sz w:val="24"/>
          <w:szCs w:val="24"/>
          <w:highlight w:val="none"/>
          <w:lang w:val="en-US" w:eastAsia="zh-CN"/>
        </w:rPr>
        <w:t>总平面布置图见</w:t>
      </w:r>
      <w:r>
        <w:rPr>
          <w:rFonts w:hint="default" w:ascii="Times New Roman" w:hAnsi="Times New Roman" w:cs="Times New Roman"/>
          <w:color w:val="auto"/>
          <w:sz w:val="24"/>
          <w:szCs w:val="24"/>
          <w:highlight w:val="none"/>
          <w:lang w:val="en-US" w:eastAsia="zh-CN"/>
        </w:rPr>
        <w:t>附图3</w:t>
      </w:r>
      <w:r>
        <w:rPr>
          <w:rFonts w:hint="default" w:ascii="Times New Roman" w:hAnsi="Times New Roman" w:eastAsia="宋体" w:cs="Times New Roman"/>
          <w:color w:val="auto"/>
          <w:sz w:val="24"/>
          <w:szCs w:val="24"/>
          <w:highlight w:val="none"/>
          <w:lang w:val="en-US" w:eastAsia="zh-CN"/>
        </w:rPr>
        <w:t>。</w:t>
      </w:r>
    </w:p>
    <w:p w14:paraId="0B4914F7">
      <w:pPr>
        <w:pStyle w:val="25"/>
        <w:keepNext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color w:val="auto"/>
          <w:lang w:val="en-US" w:eastAsia="zh-CN"/>
        </w:rPr>
        <w:sectPr>
          <w:pgSz w:w="11905" w:h="16838"/>
          <w:pgMar w:top="1440" w:right="1440" w:bottom="1440" w:left="1440" w:header="720" w:footer="992" w:gutter="0"/>
          <w:pgBorders>
            <w:top w:val="none" w:sz="0" w:space="0"/>
            <w:left w:val="none" w:sz="0" w:space="0"/>
            <w:bottom w:val="none" w:sz="0" w:space="0"/>
            <w:right w:val="none" w:sz="0" w:space="0"/>
          </w:pgBorders>
          <w:pgNumType w:fmt="decimal"/>
          <w:cols w:space="0" w:num="1"/>
          <w:rtlGutter w:val="0"/>
          <w:docGrid w:type="lines" w:linePitch="333" w:charSpace="0"/>
        </w:sectPr>
      </w:pPr>
    </w:p>
    <w:p w14:paraId="47B0E804">
      <w:pPr>
        <w:pStyle w:val="39"/>
        <w:rPr>
          <w:rFonts w:hint="default" w:ascii="Times New Roman" w:hAnsi="Times New Roman" w:cs="Times New Roman"/>
          <w:color w:val="auto"/>
          <w:highlight w:val="none"/>
        </w:rPr>
      </w:pPr>
      <w:r>
        <w:rPr>
          <w:rFonts w:hint="default" w:ascii="Times New Roman" w:hAnsi="Times New Roman" w:cs="Times New Roman"/>
          <w:color w:val="auto"/>
          <w:highlight w:val="none"/>
        </w:rPr>
        <w:t>3.1.8劳动定员与工作制度</w:t>
      </w:r>
      <w:bookmarkEnd w:id="174"/>
    </w:p>
    <w:p w14:paraId="68C1C3C2">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（1）劳动定员</w:t>
      </w:r>
    </w:p>
    <w:p w14:paraId="6C7FCF4D">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各项目区</w:t>
      </w:r>
      <w:r>
        <w:rPr>
          <w:rFonts w:hint="default" w:ascii="Times New Roman" w:hAnsi="Times New Roman" w:cs="Times New Roman"/>
          <w:color w:val="auto"/>
          <w:highlight w:val="none"/>
        </w:rPr>
        <w:t>劳动定员</w:t>
      </w:r>
      <w:r>
        <w:rPr>
          <w:rFonts w:hint="default" w:ascii="Times New Roman" w:hAnsi="Times New Roman" w:cs="Times New Roman"/>
          <w:color w:val="auto"/>
          <w:highlight w:val="none"/>
          <w:lang w:val="en-US" w:eastAsia="zh-CN"/>
        </w:rPr>
        <w:t>约10</w:t>
      </w:r>
      <w:r>
        <w:rPr>
          <w:rFonts w:hint="default" w:ascii="Times New Roman" w:hAnsi="Times New Roman" w:cs="Times New Roman"/>
          <w:color w:val="auto"/>
          <w:highlight w:val="none"/>
        </w:rPr>
        <w:t>人。</w:t>
      </w:r>
    </w:p>
    <w:p w14:paraId="7E40B767">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（2）工作制度</w:t>
      </w:r>
    </w:p>
    <w:p w14:paraId="13C8E321">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施工期</w:t>
      </w:r>
      <w:r>
        <w:rPr>
          <w:rFonts w:hint="default" w:ascii="Times New Roman" w:hAnsi="Times New Roman" w:cs="Times New Roman"/>
          <w:color w:val="auto"/>
          <w:highlight w:val="none"/>
        </w:rPr>
        <w:t>年工作</w:t>
      </w:r>
      <w:r>
        <w:rPr>
          <w:rFonts w:hint="default" w:ascii="Times New Roman" w:hAnsi="Times New Roman" w:cs="Times New Roman"/>
          <w:color w:val="auto"/>
          <w:highlight w:val="none"/>
          <w:lang w:val="en-US" w:eastAsia="zh-CN"/>
        </w:rPr>
        <w:t>210</w:t>
      </w:r>
      <w:r>
        <w:rPr>
          <w:rFonts w:hint="default" w:ascii="Times New Roman" w:hAnsi="Times New Roman" w:cs="Times New Roman"/>
          <w:color w:val="auto"/>
          <w:highlight w:val="none"/>
        </w:rPr>
        <w:t>天，日工作</w:t>
      </w:r>
      <w:r>
        <w:rPr>
          <w:rFonts w:hint="default" w:ascii="Times New Roman" w:hAnsi="Times New Roman" w:cs="Times New Roman"/>
          <w:color w:val="auto"/>
          <w:highlight w:val="none"/>
          <w:lang w:val="en-US" w:eastAsia="zh-CN"/>
        </w:rPr>
        <w:t>8</w:t>
      </w:r>
      <w:r>
        <w:rPr>
          <w:rFonts w:hint="default" w:ascii="Times New Roman" w:hAnsi="Times New Roman" w:cs="Times New Roman"/>
          <w:color w:val="auto"/>
          <w:highlight w:val="none"/>
        </w:rPr>
        <w:t>小时。</w:t>
      </w:r>
    </w:p>
    <w:p w14:paraId="29EA1E52">
      <w:pPr>
        <w:pStyle w:val="25"/>
        <w:ind w:firstLine="48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（3）</w:t>
      </w:r>
      <w:r>
        <w:rPr>
          <w:rFonts w:hint="default" w:ascii="Times New Roman" w:hAnsi="Times New Roman" w:cs="Times New Roman"/>
          <w:color w:val="auto"/>
          <w:highlight w:val="none"/>
          <w:lang w:val="en-US" w:eastAsia="zh-CN"/>
        </w:rPr>
        <w:t>本项目所在项目区</w:t>
      </w:r>
      <w:r>
        <w:rPr>
          <w:rFonts w:hint="default" w:ascii="Times New Roman" w:hAnsi="Times New Roman" w:cs="Times New Roman"/>
          <w:color w:val="auto"/>
          <w:highlight w:val="none"/>
        </w:rPr>
        <w:t>施工期</w:t>
      </w:r>
      <w:r>
        <w:rPr>
          <w:rFonts w:hint="default" w:ascii="Times New Roman" w:hAnsi="Times New Roman" w:cs="Times New Roman"/>
          <w:color w:val="auto"/>
          <w:highlight w:val="none"/>
          <w:lang w:val="en-US" w:eastAsia="zh-CN"/>
        </w:rPr>
        <w:t>均为12</w:t>
      </w:r>
      <w:r>
        <w:rPr>
          <w:rFonts w:hint="default" w:ascii="Times New Roman" w:hAnsi="Times New Roman" w:cs="Times New Roman"/>
          <w:color w:val="auto"/>
          <w:highlight w:val="none"/>
        </w:rPr>
        <w:t>个月</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项目区同时施工，</w:t>
      </w:r>
      <w:r>
        <w:rPr>
          <w:rFonts w:hint="default" w:ascii="Times New Roman" w:hAnsi="Times New Roman" w:cs="Times New Roman"/>
          <w:color w:val="auto"/>
          <w:highlight w:val="none"/>
        </w:rPr>
        <w:t>为202</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年</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月-202</w:t>
      </w:r>
      <w:r>
        <w:rPr>
          <w:rFonts w:hint="default" w:ascii="Times New Roman" w:hAnsi="Times New Roman" w:cs="Times New Roman"/>
          <w:color w:val="auto"/>
          <w:highlight w:val="none"/>
          <w:lang w:val="en-US" w:eastAsia="zh-CN"/>
        </w:rPr>
        <w:t>6</w:t>
      </w:r>
      <w:r>
        <w:rPr>
          <w:rFonts w:hint="default" w:ascii="Times New Roman" w:hAnsi="Times New Roman" w:cs="Times New Roman"/>
          <w:color w:val="auto"/>
          <w:highlight w:val="none"/>
        </w:rPr>
        <w:t>年</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月（每年</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月至</w:t>
      </w:r>
      <w:r>
        <w:rPr>
          <w:rFonts w:hint="default" w:ascii="Times New Roman" w:hAnsi="Times New Roman" w:cs="Times New Roman"/>
          <w:color w:val="auto"/>
          <w:highlight w:val="none"/>
          <w:lang w:val="en-US" w:eastAsia="zh-CN"/>
        </w:rPr>
        <w:t>11</w:t>
      </w:r>
      <w:r>
        <w:rPr>
          <w:rFonts w:hint="default" w:ascii="Times New Roman" w:hAnsi="Times New Roman" w:cs="Times New Roman"/>
          <w:color w:val="auto"/>
          <w:highlight w:val="none"/>
        </w:rPr>
        <w:t>月）；</w:t>
      </w:r>
      <w:r>
        <w:rPr>
          <w:rFonts w:hint="default" w:ascii="Times New Roman" w:hAnsi="Times New Roman" w:cs="Times New Roman"/>
          <w:color w:val="auto"/>
          <w:highlight w:val="none"/>
          <w:lang w:val="en-US" w:eastAsia="zh-CN"/>
        </w:rPr>
        <w:t>冬季停产期间进未覆土的的回填区进行遮盖。</w:t>
      </w:r>
    </w:p>
    <w:p w14:paraId="159A02D0">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生态恢复期：回填复垦结束后。</w:t>
      </w:r>
    </w:p>
    <w:p w14:paraId="506AA2EE">
      <w:pPr>
        <w:pStyle w:val="39"/>
        <w:rPr>
          <w:rFonts w:hint="default" w:ascii="Times New Roman" w:hAnsi="Times New Roman" w:cs="Times New Roman"/>
          <w:color w:val="auto"/>
          <w:highlight w:val="none"/>
        </w:rPr>
      </w:pPr>
      <w:bookmarkStart w:id="175" w:name="_Toc1111"/>
      <w:r>
        <w:rPr>
          <w:rFonts w:hint="default" w:ascii="Times New Roman" w:hAnsi="Times New Roman" w:cs="Times New Roman"/>
          <w:color w:val="auto"/>
          <w:highlight w:val="none"/>
        </w:rPr>
        <w:t>3.1.9土石方平衡</w:t>
      </w:r>
      <w:bookmarkEnd w:id="175"/>
    </w:p>
    <w:p w14:paraId="25F9553C">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表3-1-</w:t>
      </w:r>
      <w:r>
        <w:rPr>
          <w:rFonts w:hint="default" w:ascii="Times New Roman" w:hAnsi="Times New Roman" w:cs="Times New Roman"/>
          <w:color w:val="auto"/>
          <w:highlight w:val="none"/>
          <w:lang w:val="en-US" w:eastAsia="zh-CN"/>
        </w:rPr>
        <w:t>9</w:t>
      </w:r>
      <w:r>
        <w:rPr>
          <w:rFonts w:hint="default" w:ascii="Times New Roman" w:hAnsi="Times New Roman" w:cs="Times New Roman"/>
          <w:color w:val="auto"/>
          <w:highlight w:val="none"/>
        </w:rPr>
        <w:t>本工程土方平衡一览表</w:t>
      </w:r>
    </w:p>
    <w:tbl>
      <w:tblPr>
        <w:tblStyle w:val="5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6"/>
        <w:gridCol w:w="1124"/>
        <w:gridCol w:w="962"/>
        <w:gridCol w:w="1038"/>
        <w:gridCol w:w="875"/>
        <w:gridCol w:w="762"/>
        <w:gridCol w:w="1109"/>
        <w:gridCol w:w="682"/>
        <w:gridCol w:w="899"/>
        <w:gridCol w:w="645"/>
      </w:tblGrid>
      <w:tr w14:paraId="162B79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909" w:type="pct"/>
            <w:gridSpan w:val="2"/>
            <w:vMerge w:val="restart"/>
            <w:tcBorders>
              <w:tl2br w:val="nil"/>
              <w:tr2bl w:val="nil"/>
            </w:tcBorders>
            <w:vAlign w:val="center"/>
          </w:tcPr>
          <w:p w14:paraId="2F4767F0">
            <w:pPr>
              <w:pStyle w:val="44"/>
              <w:bidi w:val="0"/>
              <w:rPr>
                <w:rFonts w:hint="default"/>
                <w:color w:val="auto"/>
                <w:lang w:val="en-US" w:eastAsia="zh-CN"/>
              </w:rPr>
            </w:pPr>
            <w:r>
              <w:rPr>
                <w:rFonts w:hint="eastAsia"/>
                <w:color w:val="auto"/>
                <w:lang w:val="en-US" w:eastAsia="zh-CN"/>
              </w:rPr>
              <w:t>2#项目</w:t>
            </w:r>
          </w:p>
        </w:tc>
        <w:tc>
          <w:tcPr>
            <w:tcW w:w="564" w:type="pct"/>
            <w:vMerge w:val="restart"/>
            <w:tcBorders>
              <w:tl2br w:val="nil"/>
              <w:tr2bl w:val="nil"/>
            </w:tcBorders>
            <w:vAlign w:val="center"/>
          </w:tcPr>
          <w:p w14:paraId="505F491C">
            <w:pPr>
              <w:pStyle w:val="44"/>
              <w:bidi w:val="0"/>
              <w:rPr>
                <w:color w:val="auto"/>
              </w:rPr>
            </w:pPr>
            <w:r>
              <w:rPr>
                <w:color w:val="auto"/>
              </w:rPr>
              <w:t>挖方</w:t>
            </w:r>
          </w:p>
        </w:tc>
        <w:tc>
          <w:tcPr>
            <w:tcW w:w="609" w:type="pct"/>
            <w:vMerge w:val="restart"/>
            <w:tcBorders>
              <w:tl2br w:val="nil"/>
              <w:tr2bl w:val="nil"/>
            </w:tcBorders>
            <w:vAlign w:val="center"/>
          </w:tcPr>
          <w:p w14:paraId="08A4E717">
            <w:pPr>
              <w:pStyle w:val="44"/>
              <w:bidi w:val="0"/>
              <w:rPr>
                <w:color w:val="auto"/>
              </w:rPr>
            </w:pPr>
            <w:r>
              <w:rPr>
                <w:color w:val="auto"/>
              </w:rPr>
              <w:t>填方</w:t>
            </w:r>
          </w:p>
        </w:tc>
        <w:tc>
          <w:tcPr>
            <w:tcW w:w="513" w:type="pct"/>
            <w:vMerge w:val="restart"/>
            <w:tcBorders>
              <w:tl2br w:val="nil"/>
              <w:tr2bl w:val="nil"/>
            </w:tcBorders>
            <w:vAlign w:val="center"/>
          </w:tcPr>
          <w:p w14:paraId="628D6BAD">
            <w:pPr>
              <w:pStyle w:val="44"/>
              <w:bidi w:val="0"/>
              <w:rPr>
                <w:color w:val="auto"/>
              </w:rPr>
            </w:pPr>
            <w:r>
              <w:rPr>
                <w:color w:val="auto"/>
              </w:rPr>
              <w:t>外借方</w:t>
            </w:r>
          </w:p>
        </w:tc>
        <w:tc>
          <w:tcPr>
            <w:tcW w:w="447" w:type="pct"/>
            <w:vMerge w:val="restart"/>
            <w:tcBorders>
              <w:tl2br w:val="nil"/>
              <w:tr2bl w:val="nil"/>
            </w:tcBorders>
            <w:vAlign w:val="center"/>
          </w:tcPr>
          <w:p w14:paraId="01EA6803">
            <w:pPr>
              <w:pStyle w:val="44"/>
              <w:bidi w:val="0"/>
              <w:rPr>
                <w:color w:val="auto"/>
              </w:rPr>
            </w:pPr>
            <w:r>
              <w:rPr>
                <w:color w:val="auto"/>
              </w:rPr>
              <w:t>弃方</w:t>
            </w:r>
          </w:p>
        </w:tc>
        <w:tc>
          <w:tcPr>
            <w:tcW w:w="1050" w:type="pct"/>
            <w:gridSpan w:val="2"/>
            <w:tcBorders>
              <w:tl2br w:val="nil"/>
              <w:tr2bl w:val="nil"/>
            </w:tcBorders>
            <w:vAlign w:val="center"/>
          </w:tcPr>
          <w:p w14:paraId="59487707">
            <w:pPr>
              <w:pStyle w:val="44"/>
              <w:bidi w:val="0"/>
              <w:rPr>
                <w:color w:val="auto"/>
              </w:rPr>
            </w:pPr>
            <w:r>
              <w:rPr>
                <w:color w:val="auto"/>
              </w:rPr>
              <w:t>调入方</w:t>
            </w:r>
          </w:p>
        </w:tc>
        <w:tc>
          <w:tcPr>
            <w:tcW w:w="905" w:type="pct"/>
            <w:gridSpan w:val="2"/>
            <w:tcBorders>
              <w:tl2br w:val="nil"/>
              <w:tr2bl w:val="nil"/>
            </w:tcBorders>
            <w:vAlign w:val="center"/>
          </w:tcPr>
          <w:p w14:paraId="76C6F719">
            <w:pPr>
              <w:pStyle w:val="44"/>
              <w:bidi w:val="0"/>
              <w:rPr>
                <w:color w:val="auto"/>
              </w:rPr>
            </w:pPr>
            <w:r>
              <w:rPr>
                <w:color w:val="auto"/>
              </w:rPr>
              <w:t>调出方</w:t>
            </w:r>
          </w:p>
        </w:tc>
      </w:tr>
      <w:tr w14:paraId="2FC9B5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909" w:type="pct"/>
            <w:gridSpan w:val="2"/>
            <w:vMerge w:val="continue"/>
            <w:tcBorders>
              <w:tl2br w:val="nil"/>
              <w:tr2bl w:val="nil"/>
            </w:tcBorders>
            <w:vAlign w:val="center"/>
          </w:tcPr>
          <w:p w14:paraId="264EC2BB">
            <w:pPr>
              <w:pStyle w:val="44"/>
              <w:bidi w:val="0"/>
              <w:rPr>
                <w:color w:val="auto"/>
              </w:rPr>
            </w:pPr>
          </w:p>
        </w:tc>
        <w:tc>
          <w:tcPr>
            <w:tcW w:w="564" w:type="pct"/>
            <w:vMerge w:val="continue"/>
            <w:tcBorders>
              <w:tl2br w:val="nil"/>
              <w:tr2bl w:val="nil"/>
            </w:tcBorders>
            <w:vAlign w:val="center"/>
          </w:tcPr>
          <w:p w14:paraId="566D176E">
            <w:pPr>
              <w:pStyle w:val="44"/>
              <w:bidi w:val="0"/>
              <w:rPr>
                <w:color w:val="auto"/>
              </w:rPr>
            </w:pPr>
          </w:p>
        </w:tc>
        <w:tc>
          <w:tcPr>
            <w:tcW w:w="609" w:type="pct"/>
            <w:vMerge w:val="continue"/>
            <w:tcBorders>
              <w:tl2br w:val="nil"/>
              <w:tr2bl w:val="nil"/>
            </w:tcBorders>
            <w:vAlign w:val="center"/>
          </w:tcPr>
          <w:p w14:paraId="7FA2DBC8">
            <w:pPr>
              <w:pStyle w:val="44"/>
              <w:bidi w:val="0"/>
              <w:rPr>
                <w:color w:val="auto"/>
              </w:rPr>
            </w:pPr>
          </w:p>
        </w:tc>
        <w:tc>
          <w:tcPr>
            <w:tcW w:w="513" w:type="pct"/>
            <w:vMerge w:val="continue"/>
            <w:tcBorders>
              <w:tl2br w:val="nil"/>
              <w:tr2bl w:val="nil"/>
            </w:tcBorders>
            <w:vAlign w:val="center"/>
          </w:tcPr>
          <w:p w14:paraId="233848C5">
            <w:pPr>
              <w:pStyle w:val="44"/>
              <w:bidi w:val="0"/>
              <w:rPr>
                <w:color w:val="auto"/>
              </w:rPr>
            </w:pPr>
          </w:p>
        </w:tc>
        <w:tc>
          <w:tcPr>
            <w:tcW w:w="447" w:type="pct"/>
            <w:vMerge w:val="continue"/>
            <w:tcBorders>
              <w:tl2br w:val="nil"/>
              <w:tr2bl w:val="nil"/>
            </w:tcBorders>
            <w:vAlign w:val="center"/>
          </w:tcPr>
          <w:p w14:paraId="64E35373">
            <w:pPr>
              <w:pStyle w:val="44"/>
              <w:bidi w:val="0"/>
              <w:rPr>
                <w:color w:val="auto"/>
              </w:rPr>
            </w:pPr>
          </w:p>
        </w:tc>
        <w:tc>
          <w:tcPr>
            <w:tcW w:w="650" w:type="pct"/>
            <w:tcBorders>
              <w:tl2br w:val="nil"/>
              <w:tr2bl w:val="nil"/>
            </w:tcBorders>
            <w:vAlign w:val="center"/>
          </w:tcPr>
          <w:p w14:paraId="21C150B9">
            <w:pPr>
              <w:pStyle w:val="44"/>
              <w:bidi w:val="0"/>
              <w:rPr>
                <w:color w:val="auto"/>
              </w:rPr>
            </w:pPr>
            <w:r>
              <w:rPr>
                <w:color w:val="auto"/>
              </w:rPr>
              <w:t>数量</w:t>
            </w:r>
          </w:p>
        </w:tc>
        <w:tc>
          <w:tcPr>
            <w:tcW w:w="400" w:type="pct"/>
            <w:tcBorders>
              <w:tl2br w:val="nil"/>
              <w:tr2bl w:val="nil"/>
            </w:tcBorders>
            <w:vAlign w:val="center"/>
          </w:tcPr>
          <w:p w14:paraId="387425E2">
            <w:pPr>
              <w:pStyle w:val="44"/>
              <w:bidi w:val="0"/>
              <w:rPr>
                <w:color w:val="auto"/>
              </w:rPr>
            </w:pPr>
            <w:r>
              <w:rPr>
                <w:color w:val="auto"/>
              </w:rPr>
              <w:t>来源</w:t>
            </w:r>
          </w:p>
        </w:tc>
        <w:tc>
          <w:tcPr>
            <w:tcW w:w="527" w:type="pct"/>
            <w:tcBorders>
              <w:tl2br w:val="nil"/>
              <w:tr2bl w:val="nil"/>
            </w:tcBorders>
            <w:vAlign w:val="center"/>
          </w:tcPr>
          <w:p w14:paraId="1F124EB9">
            <w:pPr>
              <w:pStyle w:val="44"/>
              <w:bidi w:val="0"/>
              <w:rPr>
                <w:color w:val="auto"/>
              </w:rPr>
            </w:pPr>
            <w:r>
              <w:rPr>
                <w:color w:val="auto"/>
              </w:rPr>
              <w:t>数量</w:t>
            </w:r>
          </w:p>
        </w:tc>
        <w:tc>
          <w:tcPr>
            <w:tcW w:w="378" w:type="pct"/>
            <w:tcBorders>
              <w:tl2br w:val="nil"/>
              <w:tr2bl w:val="nil"/>
            </w:tcBorders>
            <w:vAlign w:val="center"/>
          </w:tcPr>
          <w:p w14:paraId="351BE8C0">
            <w:pPr>
              <w:pStyle w:val="44"/>
              <w:bidi w:val="0"/>
              <w:rPr>
                <w:color w:val="auto"/>
              </w:rPr>
            </w:pPr>
            <w:r>
              <w:rPr>
                <w:color w:val="auto"/>
              </w:rPr>
              <w:t>去向</w:t>
            </w:r>
          </w:p>
        </w:tc>
      </w:tr>
      <w:tr w14:paraId="6FA854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249" w:type="pct"/>
            <w:vMerge w:val="restart"/>
            <w:tcBorders>
              <w:tl2br w:val="nil"/>
              <w:tr2bl w:val="nil"/>
            </w:tcBorders>
            <w:vAlign w:val="center"/>
          </w:tcPr>
          <w:p w14:paraId="7871457F">
            <w:pPr>
              <w:pStyle w:val="44"/>
              <w:bidi w:val="0"/>
              <w:rPr>
                <w:color w:val="auto"/>
              </w:rPr>
            </w:pPr>
            <w:r>
              <w:rPr>
                <w:color w:val="auto"/>
              </w:rPr>
              <w:t>施工期</w:t>
            </w:r>
          </w:p>
        </w:tc>
        <w:tc>
          <w:tcPr>
            <w:tcW w:w="659" w:type="pct"/>
            <w:tcBorders>
              <w:tl2br w:val="nil"/>
              <w:tr2bl w:val="nil"/>
            </w:tcBorders>
            <w:vAlign w:val="center"/>
          </w:tcPr>
          <w:p w14:paraId="0A7C49B5">
            <w:pPr>
              <w:pStyle w:val="44"/>
              <w:bidi w:val="0"/>
              <w:rPr>
                <w:color w:val="auto"/>
              </w:rPr>
            </w:pPr>
            <w:r>
              <w:rPr>
                <w:rFonts w:hint="eastAsia"/>
                <w:color w:val="auto"/>
                <w:lang w:val="en-US" w:eastAsia="zh-CN"/>
              </w:rPr>
              <w:t>截水沟、排水渠</w:t>
            </w:r>
          </w:p>
        </w:tc>
        <w:tc>
          <w:tcPr>
            <w:tcW w:w="564" w:type="pct"/>
            <w:tcBorders>
              <w:tl2br w:val="nil"/>
              <w:tr2bl w:val="nil"/>
            </w:tcBorders>
            <w:vAlign w:val="center"/>
          </w:tcPr>
          <w:p w14:paraId="0DBFB754">
            <w:pPr>
              <w:pStyle w:val="44"/>
              <w:bidi w:val="0"/>
              <w:rPr>
                <w:rFonts w:hint="eastAsia"/>
                <w:color w:val="auto"/>
                <w:lang w:val="en-US" w:eastAsia="zh-CN"/>
              </w:rPr>
            </w:pPr>
            <w:r>
              <w:rPr>
                <w:rFonts w:hint="eastAsia"/>
                <w:color w:val="auto"/>
                <w:lang w:val="en-US" w:eastAsia="zh-CN"/>
              </w:rPr>
              <w:t>0</w:t>
            </w:r>
          </w:p>
        </w:tc>
        <w:tc>
          <w:tcPr>
            <w:tcW w:w="609" w:type="pct"/>
            <w:tcBorders>
              <w:tl2br w:val="nil"/>
              <w:tr2bl w:val="nil"/>
            </w:tcBorders>
            <w:vAlign w:val="center"/>
          </w:tcPr>
          <w:p w14:paraId="52B89B2B">
            <w:pPr>
              <w:pStyle w:val="44"/>
              <w:bidi w:val="0"/>
              <w:rPr>
                <w:rFonts w:hint="eastAsia"/>
                <w:color w:val="auto"/>
                <w:lang w:val="en-US" w:eastAsia="zh-CN"/>
              </w:rPr>
            </w:pPr>
            <w:r>
              <w:rPr>
                <w:rFonts w:hint="eastAsia"/>
                <w:color w:val="auto"/>
                <w:lang w:val="en-US" w:eastAsia="zh-CN"/>
              </w:rPr>
              <w:t>0</w:t>
            </w:r>
          </w:p>
        </w:tc>
        <w:tc>
          <w:tcPr>
            <w:tcW w:w="513" w:type="pct"/>
            <w:tcBorders>
              <w:tl2br w:val="nil"/>
              <w:tr2bl w:val="nil"/>
            </w:tcBorders>
            <w:vAlign w:val="center"/>
          </w:tcPr>
          <w:p w14:paraId="1494C14C">
            <w:pPr>
              <w:pStyle w:val="44"/>
              <w:bidi w:val="0"/>
              <w:rPr>
                <w:rFonts w:hint="eastAsia"/>
                <w:color w:val="auto"/>
                <w:lang w:val="en-US" w:eastAsia="zh-CN"/>
              </w:rPr>
            </w:pPr>
            <w:r>
              <w:rPr>
                <w:rFonts w:hint="eastAsia"/>
                <w:color w:val="auto"/>
                <w:lang w:val="en-US" w:eastAsia="zh-CN"/>
              </w:rPr>
              <w:t>0</w:t>
            </w:r>
          </w:p>
        </w:tc>
        <w:tc>
          <w:tcPr>
            <w:tcW w:w="447" w:type="pct"/>
            <w:tcBorders>
              <w:tl2br w:val="nil"/>
              <w:tr2bl w:val="nil"/>
            </w:tcBorders>
            <w:vAlign w:val="center"/>
          </w:tcPr>
          <w:p w14:paraId="5DC46610">
            <w:pPr>
              <w:pStyle w:val="44"/>
              <w:bidi w:val="0"/>
              <w:rPr>
                <w:rFonts w:hint="eastAsia"/>
                <w:color w:val="auto"/>
                <w:lang w:val="en-US" w:eastAsia="zh-CN"/>
              </w:rPr>
            </w:pPr>
            <w:r>
              <w:rPr>
                <w:rFonts w:hint="eastAsia"/>
                <w:color w:val="auto"/>
                <w:lang w:val="en-US" w:eastAsia="zh-CN"/>
              </w:rPr>
              <w:t>0</w:t>
            </w:r>
          </w:p>
        </w:tc>
        <w:tc>
          <w:tcPr>
            <w:tcW w:w="650" w:type="pct"/>
            <w:tcBorders>
              <w:tl2br w:val="nil"/>
              <w:tr2bl w:val="nil"/>
            </w:tcBorders>
            <w:vAlign w:val="center"/>
          </w:tcPr>
          <w:p w14:paraId="39DF771C">
            <w:pPr>
              <w:pStyle w:val="44"/>
              <w:bidi w:val="0"/>
              <w:rPr>
                <w:rFonts w:hint="eastAsia"/>
                <w:color w:val="auto"/>
                <w:lang w:val="en-US" w:eastAsia="zh-CN"/>
              </w:rPr>
            </w:pPr>
            <w:r>
              <w:rPr>
                <w:rFonts w:hint="eastAsia"/>
                <w:color w:val="auto"/>
                <w:lang w:val="en-US" w:eastAsia="zh-CN"/>
              </w:rPr>
              <w:t>0</w:t>
            </w:r>
          </w:p>
        </w:tc>
        <w:tc>
          <w:tcPr>
            <w:tcW w:w="400" w:type="pct"/>
            <w:tcBorders>
              <w:tl2br w:val="nil"/>
              <w:tr2bl w:val="nil"/>
            </w:tcBorders>
            <w:vAlign w:val="center"/>
          </w:tcPr>
          <w:p w14:paraId="5BCD6653">
            <w:pPr>
              <w:pStyle w:val="44"/>
              <w:bidi w:val="0"/>
              <w:rPr>
                <w:rFonts w:hint="eastAsia"/>
                <w:color w:val="auto"/>
                <w:lang w:val="en-US" w:eastAsia="zh-CN"/>
              </w:rPr>
            </w:pPr>
            <w:r>
              <w:rPr>
                <w:rFonts w:hint="eastAsia"/>
                <w:color w:val="auto"/>
                <w:lang w:val="en-US" w:eastAsia="zh-CN"/>
              </w:rPr>
              <w:t>/</w:t>
            </w:r>
          </w:p>
        </w:tc>
        <w:tc>
          <w:tcPr>
            <w:tcW w:w="527" w:type="pct"/>
            <w:tcBorders>
              <w:tl2br w:val="nil"/>
              <w:tr2bl w:val="nil"/>
            </w:tcBorders>
            <w:vAlign w:val="center"/>
          </w:tcPr>
          <w:p w14:paraId="717AE3E2">
            <w:pPr>
              <w:pStyle w:val="44"/>
              <w:bidi w:val="0"/>
              <w:rPr>
                <w:rFonts w:hint="eastAsia"/>
                <w:color w:val="auto"/>
                <w:lang w:val="en-US" w:eastAsia="zh-CN"/>
              </w:rPr>
            </w:pPr>
            <w:r>
              <w:rPr>
                <w:rFonts w:hint="eastAsia"/>
                <w:color w:val="auto"/>
                <w:lang w:val="en-US" w:eastAsia="zh-CN"/>
              </w:rPr>
              <w:t>0</w:t>
            </w:r>
          </w:p>
        </w:tc>
        <w:tc>
          <w:tcPr>
            <w:tcW w:w="378" w:type="pct"/>
            <w:tcBorders>
              <w:tl2br w:val="nil"/>
              <w:tr2bl w:val="nil"/>
            </w:tcBorders>
            <w:vAlign w:val="center"/>
          </w:tcPr>
          <w:p w14:paraId="34E672B8">
            <w:pPr>
              <w:pStyle w:val="44"/>
              <w:bidi w:val="0"/>
              <w:rPr>
                <w:rFonts w:hint="eastAsia"/>
                <w:color w:val="auto"/>
                <w:lang w:val="en-US" w:eastAsia="zh-CN"/>
              </w:rPr>
            </w:pPr>
            <w:r>
              <w:rPr>
                <w:rFonts w:hint="eastAsia"/>
                <w:color w:val="auto"/>
                <w:lang w:val="en-US" w:eastAsia="zh-CN"/>
              </w:rPr>
              <w:t>/</w:t>
            </w:r>
          </w:p>
        </w:tc>
      </w:tr>
      <w:tr w14:paraId="0742C7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249" w:type="pct"/>
            <w:vMerge w:val="continue"/>
            <w:tcBorders>
              <w:tl2br w:val="nil"/>
              <w:tr2bl w:val="nil"/>
            </w:tcBorders>
            <w:vAlign w:val="center"/>
          </w:tcPr>
          <w:p w14:paraId="190C2720">
            <w:pPr>
              <w:pStyle w:val="44"/>
              <w:bidi w:val="0"/>
              <w:rPr>
                <w:color w:val="auto"/>
              </w:rPr>
            </w:pPr>
          </w:p>
        </w:tc>
        <w:tc>
          <w:tcPr>
            <w:tcW w:w="659" w:type="pct"/>
            <w:tcBorders>
              <w:tl2br w:val="nil"/>
              <w:tr2bl w:val="nil"/>
            </w:tcBorders>
            <w:vAlign w:val="center"/>
          </w:tcPr>
          <w:p w14:paraId="5D0C98C5">
            <w:pPr>
              <w:pStyle w:val="44"/>
              <w:bidi w:val="0"/>
              <w:rPr>
                <w:color w:val="auto"/>
              </w:rPr>
            </w:pPr>
            <w:r>
              <w:rPr>
                <w:rFonts w:hint="eastAsia"/>
                <w:color w:val="auto"/>
                <w:lang w:val="en-US" w:eastAsia="zh-CN"/>
              </w:rPr>
              <w:t>其他</w:t>
            </w:r>
            <w:r>
              <w:rPr>
                <w:rFonts w:hint="eastAsia"/>
                <w:color w:val="auto"/>
              </w:rPr>
              <w:t>工程</w:t>
            </w:r>
          </w:p>
        </w:tc>
        <w:tc>
          <w:tcPr>
            <w:tcW w:w="564" w:type="pct"/>
            <w:tcBorders>
              <w:tl2br w:val="nil"/>
              <w:tr2bl w:val="nil"/>
            </w:tcBorders>
            <w:vAlign w:val="center"/>
          </w:tcPr>
          <w:p w14:paraId="3F9EA06D">
            <w:pPr>
              <w:pStyle w:val="44"/>
              <w:bidi w:val="0"/>
              <w:rPr>
                <w:rFonts w:hint="eastAsia"/>
                <w:color w:val="auto"/>
                <w:lang w:val="en-US" w:eastAsia="zh-CN"/>
              </w:rPr>
            </w:pPr>
            <w:r>
              <w:rPr>
                <w:rFonts w:hint="eastAsia"/>
                <w:color w:val="auto"/>
                <w:lang w:val="en-US" w:eastAsia="zh-CN"/>
              </w:rPr>
              <w:t>0</w:t>
            </w:r>
          </w:p>
        </w:tc>
        <w:tc>
          <w:tcPr>
            <w:tcW w:w="609" w:type="pct"/>
            <w:tcBorders>
              <w:tl2br w:val="nil"/>
              <w:tr2bl w:val="nil"/>
            </w:tcBorders>
            <w:vAlign w:val="center"/>
          </w:tcPr>
          <w:p w14:paraId="2DD45A4D">
            <w:pPr>
              <w:pStyle w:val="44"/>
              <w:bidi w:val="0"/>
              <w:rPr>
                <w:rFonts w:hint="eastAsia"/>
                <w:color w:val="auto"/>
                <w:lang w:val="en-US" w:eastAsia="zh-CN"/>
              </w:rPr>
            </w:pPr>
            <w:r>
              <w:rPr>
                <w:rFonts w:hint="eastAsia"/>
                <w:color w:val="auto"/>
                <w:lang w:val="en-US" w:eastAsia="zh-CN"/>
              </w:rPr>
              <w:t>0</w:t>
            </w:r>
          </w:p>
        </w:tc>
        <w:tc>
          <w:tcPr>
            <w:tcW w:w="513" w:type="pct"/>
            <w:tcBorders>
              <w:tl2br w:val="nil"/>
              <w:tr2bl w:val="nil"/>
            </w:tcBorders>
            <w:vAlign w:val="center"/>
          </w:tcPr>
          <w:p w14:paraId="36DDAAD2">
            <w:pPr>
              <w:pStyle w:val="44"/>
              <w:bidi w:val="0"/>
              <w:rPr>
                <w:rFonts w:hint="eastAsia"/>
                <w:color w:val="auto"/>
                <w:lang w:val="en-US" w:eastAsia="zh-CN"/>
              </w:rPr>
            </w:pPr>
            <w:r>
              <w:rPr>
                <w:rFonts w:hint="eastAsia"/>
                <w:color w:val="auto"/>
                <w:lang w:val="en-US" w:eastAsia="zh-CN"/>
              </w:rPr>
              <w:t>0</w:t>
            </w:r>
          </w:p>
        </w:tc>
        <w:tc>
          <w:tcPr>
            <w:tcW w:w="447" w:type="pct"/>
            <w:tcBorders>
              <w:tl2br w:val="nil"/>
              <w:tr2bl w:val="nil"/>
            </w:tcBorders>
            <w:vAlign w:val="center"/>
          </w:tcPr>
          <w:p w14:paraId="60753D59">
            <w:pPr>
              <w:pStyle w:val="44"/>
              <w:bidi w:val="0"/>
              <w:rPr>
                <w:rFonts w:hint="eastAsia"/>
                <w:color w:val="auto"/>
                <w:lang w:val="en-US" w:eastAsia="zh-CN"/>
              </w:rPr>
            </w:pPr>
            <w:r>
              <w:rPr>
                <w:rFonts w:hint="eastAsia"/>
                <w:color w:val="auto"/>
                <w:lang w:val="en-US" w:eastAsia="zh-CN"/>
              </w:rPr>
              <w:t>0</w:t>
            </w:r>
          </w:p>
        </w:tc>
        <w:tc>
          <w:tcPr>
            <w:tcW w:w="650" w:type="pct"/>
            <w:tcBorders>
              <w:tl2br w:val="nil"/>
              <w:tr2bl w:val="nil"/>
            </w:tcBorders>
            <w:vAlign w:val="center"/>
          </w:tcPr>
          <w:p w14:paraId="6F07F93E">
            <w:pPr>
              <w:pStyle w:val="44"/>
              <w:bidi w:val="0"/>
              <w:rPr>
                <w:rFonts w:hint="eastAsia"/>
                <w:color w:val="auto"/>
                <w:lang w:val="en-US" w:eastAsia="zh-CN"/>
              </w:rPr>
            </w:pPr>
            <w:r>
              <w:rPr>
                <w:rFonts w:hint="eastAsia"/>
                <w:color w:val="auto"/>
                <w:lang w:val="en-US" w:eastAsia="zh-CN"/>
              </w:rPr>
              <w:t>0</w:t>
            </w:r>
          </w:p>
        </w:tc>
        <w:tc>
          <w:tcPr>
            <w:tcW w:w="400" w:type="pct"/>
            <w:tcBorders>
              <w:tl2br w:val="nil"/>
              <w:tr2bl w:val="nil"/>
            </w:tcBorders>
            <w:vAlign w:val="center"/>
          </w:tcPr>
          <w:p w14:paraId="35846C59">
            <w:pPr>
              <w:pStyle w:val="44"/>
              <w:bidi w:val="0"/>
              <w:rPr>
                <w:rFonts w:hint="eastAsia"/>
                <w:color w:val="auto"/>
                <w:lang w:val="en-US" w:eastAsia="zh-CN"/>
              </w:rPr>
            </w:pPr>
            <w:r>
              <w:rPr>
                <w:rFonts w:hint="eastAsia"/>
                <w:color w:val="auto"/>
                <w:lang w:val="en-US" w:eastAsia="zh-CN"/>
              </w:rPr>
              <w:t>/</w:t>
            </w:r>
          </w:p>
        </w:tc>
        <w:tc>
          <w:tcPr>
            <w:tcW w:w="527" w:type="pct"/>
            <w:tcBorders>
              <w:tl2br w:val="nil"/>
              <w:tr2bl w:val="nil"/>
            </w:tcBorders>
            <w:vAlign w:val="center"/>
          </w:tcPr>
          <w:p w14:paraId="559FBDB0">
            <w:pPr>
              <w:pStyle w:val="44"/>
              <w:bidi w:val="0"/>
              <w:rPr>
                <w:rFonts w:hint="eastAsia"/>
                <w:color w:val="auto"/>
                <w:lang w:val="en-US" w:eastAsia="zh-CN"/>
              </w:rPr>
            </w:pPr>
            <w:r>
              <w:rPr>
                <w:rFonts w:hint="eastAsia"/>
                <w:color w:val="auto"/>
                <w:lang w:val="en-US" w:eastAsia="zh-CN"/>
              </w:rPr>
              <w:t>0</w:t>
            </w:r>
          </w:p>
        </w:tc>
        <w:tc>
          <w:tcPr>
            <w:tcW w:w="378" w:type="pct"/>
            <w:tcBorders>
              <w:tl2br w:val="nil"/>
              <w:tr2bl w:val="nil"/>
            </w:tcBorders>
            <w:vAlign w:val="center"/>
          </w:tcPr>
          <w:p w14:paraId="055FAA84">
            <w:pPr>
              <w:pStyle w:val="44"/>
              <w:bidi w:val="0"/>
              <w:rPr>
                <w:rFonts w:hint="eastAsia"/>
                <w:color w:val="auto"/>
                <w:lang w:val="en-US" w:eastAsia="zh-CN"/>
              </w:rPr>
            </w:pPr>
            <w:r>
              <w:rPr>
                <w:rFonts w:hint="eastAsia"/>
                <w:color w:val="auto"/>
                <w:lang w:val="en-US" w:eastAsia="zh-CN"/>
              </w:rPr>
              <w:t>/</w:t>
            </w:r>
          </w:p>
        </w:tc>
      </w:tr>
      <w:tr w14:paraId="24A580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249" w:type="pct"/>
            <w:tcBorders>
              <w:tl2br w:val="nil"/>
              <w:tr2bl w:val="nil"/>
            </w:tcBorders>
            <w:vAlign w:val="center"/>
          </w:tcPr>
          <w:p w14:paraId="0910D17C">
            <w:pPr>
              <w:pStyle w:val="44"/>
              <w:bidi w:val="0"/>
              <w:rPr>
                <w:rFonts w:hint="default"/>
                <w:color w:val="auto"/>
                <w:lang w:val="en-US" w:eastAsia="zh-CN"/>
              </w:rPr>
            </w:pPr>
            <w:r>
              <w:rPr>
                <w:rFonts w:hint="eastAsia"/>
                <w:color w:val="auto"/>
                <w:lang w:val="en-US" w:eastAsia="zh-CN"/>
              </w:rPr>
              <w:t>回填</w:t>
            </w:r>
          </w:p>
        </w:tc>
        <w:tc>
          <w:tcPr>
            <w:tcW w:w="659" w:type="pct"/>
            <w:tcBorders>
              <w:tl2br w:val="nil"/>
              <w:tr2bl w:val="nil"/>
            </w:tcBorders>
            <w:vAlign w:val="center"/>
          </w:tcPr>
          <w:p w14:paraId="66575C3E">
            <w:pPr>
              <w:pStyle w:val="44"/>
              <w:bidi w:val="0"/>
              <w:rPr>
                <w:color w:val="auto"/>
              </w:rPr>
            </w:pPr>
            <w:r>
              <w:rPr>
                <w:color w:val="auto"/>
              </w:rPr>
              <w:t>回填工程</w:t>
            </w:r>
          </w:p>
        </w:tc>
        <w:tc>
          <w:tcPr>
            <w:tcW w:w="564" w:type="pct"/>
            <w:tcBorders>
              <w:tl2br w:val="nil"/>
              <w:tr2bl w:val="nil"/>
            </w:tcBorders>
            <w:vAlign w:val="center"/>
          </w:tcPr>
          <w:p w14:paraId="4987D9B8">
            <w:pPr>
              <w:pStyle w:val="44"/>
              <w:bidi w:val="0"/>
              <w:rPr>
                <w:rFonts w:hint="default"/>
                <w:color w:val="auto"/>
                <w:lang w:val="en-US" w:eastAsia="zh-CN"/>
              </w:rPr>
            </w:pPr>
            <w:r>
              <w:rPr>
                <w:rFonts w:hint="eastAsia"/>
                <w:color w:val="auto"/>
                <w:lang w:val="en-US" w:eastAsia="zh-CN"/>
              </w:rPr>
              <w:t>25047.92</w:t>
            </w:r>
          </w:p>
        </w:tc>
        <w:tc>
          <w:tcPr>
            <w:tcW w:w="609" w:type="pct"/>
            <w:tcBorders>
              <w:tl2br w:val="nil"/>
              <w:tr2bl w:val="nil"/>
            </w:tcBorders>
            <w:vAlign w:val="center"/>
          </w:tcPr>
          <w:p w14:paraId="25F4220A">
            <w:pPr>
              <w:pStyle w:val="44"/>
              <w:bidi w:val="0"/>
              <w:rPr>
                <w:rFonts w:hint="default"/>
                <w:color w:val="auto"/>
                <w:lang w:val="en-US" w:eastAsia="zh-CN"/>
              </w:rPr>
            </w:pPr>
            <w:r>
              <w:rPr>
                <w:rFonts w:hint="eastAsia"/>
                <w:color w:val="auto"/>
                <w:lang w:val="en-US" w:eastAsia="zh-CN"/>
              </w:rPr>
              <w:t>22007.12</w:t>
            </w:r>
          </w:p>
        </w:tc>
        <w:tc>
          <w:tcPr>
            <w:tcW w:w="513" w:type="pct"/>
            <w:tcBorders>
              <w:tl2br w:val="nil"/>
              <w:tr2bl w:val="nil"/>
            </w:tcBorders>
            <w:vAlign w:val="center"/>
          </w:tcPr>
          <w:p w14:paraId="54EFAD52">
            <w:pPr>
              <w:pStyle w:val="44"/>
              <w:bidi w:val="0"/>
              <w:rPr>
                <w:rFonts w:hint="default"/>
                <w:color w:val="auto"/>
                <w:lang w:val="en-US" w:eastAsia="zh-CN"/>
              </w:rPr>
            </w:pPr>
            <w:r>
              <w:rPr>
                <w:rFonts w:hint="eastAsia"/>
                <w:color w:val="auto"/>
                <w:lang w:val="en-US" w:eastAsia="zh-CN"/>
              </w:rPr>
              <w:t>138.6万</w:t>
            </w:r>
            <w:r>
              <w:rPr>
                <w:rFonts w:hint="default"/>
                <w:color w:val="auto"/>
              </w:rPr>
              <w:t>m3</w:t>
            </w:r>
            <w:r>
              <w:rPr>
                <w:rFonts w:hint="eastAsia"/>
                <w:color w:val="auto"/>
                <w:lang w:val="en-US" w:eastAsia="zh-CN"/>
              </w:rPr>
              <w:t>（煤矸石）</w:t>
            </w:r>
          </w:p>
        </w:tc>
        <w:tc>
          <w:tcPr>
            <w:tcW w:w="447" w:type="pct"/>
            <w:tcBorders>
              <w:tl2br w:val="nil"/>
              <w:tr2bl w:val="nil"/>
            </w:tcBorders>
            <w:vAlign w:val="center"/>
          </w:tcPr>
          <w:p w14:paraId="00A9844A">
            <w:pPr>
              <w:pStyle w:val="44"/>
              <w:bidi w:val="0"/>
              <w:rPr>
                <w:rFonts w:hint="eastAsia"/>
                <w:color w:val="auto"/>
                <w:lang w:val="en-US" w:eastAsia="zh-CN"/>
              </w:rPr>
            </w:pPr>
            <w:r>
              <w:rPr>
                <w:rFonts w:hint="eastAsia"/>
                <w:color w:val="auto"/>
                <w:lang w:val="en-US" w:eastAsia="zh-CN"/>
              </w:rPr>
              <w:t>0</w:t>
            </w:r>
          </w:p>
        </w:tc>
        <w:tc>
          <w:tcPr>
            <w:tcW w:w="650" w:type="pct"/>
            <w:tcBorders>
              <w:tl2br w:val="nil"/>
              <w:tr2bl w:val="nil"/>
            </w:tcBorders>
            <w:vAlign w:val="center"/>
          </w:tcPr>
          <w:p w14:paraId="2A13CD7E">
            <w:pPr>
              <w:pStyle w:val="44"/>
              <w:bidi w:val="0"/>
              <w:rPr>
                <w:rFonts w:hint="default"/>
                <w:color w:val="auto"/>
                <w:lang w:val="en-US"/>
              </w:rPr>
            </w:pPr>
            <w:r>
              <w:rPr>
                <w:rFonts w:hint="eastAsia"/>
                <w:color w:val="auto"/>
                <w:lang w:val="en-US" w:eastAsia="zh-CN"/>
              </w:rPr>
              <w:t>138.6万</w:t>
            </w:r>
            <w:r>
              <w:rPr>
                <w:rFonts w:hint="default"/>
                <w:color w:val="auto"/>
              </w:rPr>
              <w:t>m3</w:t>
            </w:r>
            <w:r>
              <w:rPr>
                <w:rFonts w:hint="eastAsia"/>
                <w:color w:val="auto"/>
                <w:lang w:val="en-US" w:eastAsia="zh-CN"/>
              </w:rPr>
              <w:t>（煤矸石)</w:t>
            </w:r>
          </w:p>
        </w:tc>
        <w:tc>
          <w:tcPr>
            <w:tcW w:w="400" w:type="pct"/>
            <w:tcBorders>
              <w:tl2br w:val="nil"/>
              <w:tr2bl w:val="nil"/>
            </w:tcBorders>
            <w:vAlign w:val="center"/>
          </w:tcPr>
          <w:p w14:paraId="1C68C8AC">
            <w:pPr>
              <w:pStyle w:val="44"/>
              <w:bidi w:val="0"/>
              <w:rPr>
                <w:rFonts w:hint="default"/>
                <w:color w:val="auto"/>
                <w:lang w:val="en-US" w:eastAsia="zh-CN"/>
              </w:rPr>
            </w:pPr>
            <w:r>
              <w:rPr>
                <w:rFonts w:hint="eastAsia"/>
                <w:color w:val="auto"/>
                <w:lang w:val="en-US" w:eastAsia="zh-CN"/>
              </w:rPr>
              <w:t>41#煤矸石堆场</w:t>
            </w:r>
          </w:p>
        </w:tc>
        <w:tc>
          <w:tcPr>
            <w:tcW w:w="527" w:type="pct"/>
            <w:tcBorders>
              <w:tl2br w:val="nil"/>
              <w:tr2bl w:val="nil"/>
            </w:tcBorders>
            <w:vAlign w:val="center"/>
          </w:tcPr>
          <w:p w14:paraId="44E30AEB">
            <w:pPr>
              <w:pStyle w:val="44"/>
              <w:bidi w:val="0"/>
              <w:rPr>
                <w:rFonts w:hint="eastAsia"/>
                <w:color w:val="auto"/>
                <w:lang w:val="en-US" w:eastAsia="zh-CN"/>
              </w:rPr>
            </w:pPr>
            <w:r>
              <w:rPr>
                <w:rFonts w:hint="eastAsia"/>
                <w:color w:val="auto"/>
                <w:lang w:val="en-US" w:eastAsia="zh-CN"/>
              </w:rPr>
              <w:t>0</w:t>
            </w:r>
          </w:p>
        </w:tc>
        <w:tc>
          <w:tcPr>
            <w:tcW w:w="378" w:type="pct"/>
            <w:tcBorders>
              <w:tl2br w:val="nil"/>
              <w:tr2bl w:val="nil"/>
            </w:tcBorders>
            <w:vAlign w:val="center"/>
          </w:tcPr>
          <w:p w14:paraId="3C58089F">
            <w:pPr>
              <w:pStyle w:val="44"/>
              <w:bidi w:val="0"/>
              <w:rPr>
                <w:rFonts w:hint="eastAsia"/>
                <w:color w:val="auto"/>
                <w:lang w:val="en-US" w:eastAsia="zh-CN"/>
              </w:rPr>
            </w:pPr>
            <w:r>
              <w:rPr>
                <w:rFonts w:hint="eastAsia"/>
                <w:color w:val="auto"/>
                <w:lang w:val="en-US" w:eastAsia="zh-CN"/>
              </w:rPr>
              <w:t>/</w:t>
            </w:r>
          </w:p>
        </w:tc>
      </w:tr>
      <w:tr w14:paraId="72E975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249" w:type="pct"/>
            <w:tcBorders>
              <w:tl2br w:val="nil"/>
              <w:tr2bl w:val="nil"/>
            </w:tcBorders>
            <w:vAlign w:val="center"/>
          </w:tcPr>
          <w:p w14:paraId="2309AC08">
            <w:pPr>
              <w:pStyle w:val="44"/>
              <w:bidi w:val="0"/>
              <w:rPr>
                <w:color w:val="auto"/>
              </w:rPr>
            </w:pPr>
            <w:r>
              <w:rPr>
                <w:color w:val="auto"/>
              </w:rPr>
              <w:t>生态恢复期</w:t>
            </w:r>
          </w:p>
        </w:tc>
        <w:tc>
          <w:tcPr>
            <w:tcW w:w="659" w:type="pct"/>
            <w:tcBorders>
              <w:tl2br w:val="nil"/>
              <w:tr2bl w:val="nil"/>
            </w:tcBorders>
            <w:vAlign w:val="center"/>
          </w:tcPr>
          <w:p w14:paraId="747DAE42">
            <w:pPr>
              <w:pStyle w:val="44"/>
              <w:bidi w:val="0"/>
              <w:rPr>
                <w:rFonts w:hint="eastAsia"/>
                <w:color w:val="auto"/>
                <w:lang w:eastAsia="zh-CN"/>
              </w:rPr>
            </w:pPr>
            <w:r>
              <w:rPr>
                <w:color w:val="auto"/>
              </w:rPr>
              <w:t>覆土复垦</w:t>
            </w:r>
            <w:r>
              <w:rPr>
                <w:rFonts w:hint="eastAsia"/>
                <w:color w:val="auto"/>
                <w:lang w:eastAsia="zh-CN"/>
              </w:rPr>
              <w:t>（</w:t>
            </w:r>
            <w:r>
              <w:rPr>
                <w:rFonts w:hint="eastAsia"/>
                <w:color w:val="auto"/>
                <w:lang w:val="en-US" w:eastAsia="zh-CN"/>
              </w:rPr>
              <w:t>表土</w:t>
            </w:r>
            <w:r>
              <w:rPr>
                <w:rFonts w:hint="eastAsia"/>
                <w:color w:val="auto"/>
                <w:lang w:eastAsia="zh-CN"/>
              </w:rPr>
              <w:t>）</w:t>
            </w:r>
          </w:p>
        </w:tc>
        <w:tc>
          <w:tcPr>
            <w:tcW w:w="564" w:type="pct"/>
            <w:tcBorders>
              <w:tl2br w:val="nil"/>
              <w:tr2bl w:val="nil"/>
            </w:tcBorders>
            <w:vAlign w:val="center"/>
          </w:tcPr>
          <w:p w14:paraId="06348076">
            <w:pPr>
              <w:pStyle w:val="44"/>
              <w:bidi w:val="0"/>
              <w:rPr>
                <w:rFonts w:hint="eastAsia"/>
                <w:color w:val="auto"/>
                <w:lang w:val="en-US" w:eastAsia="zh-CN"/>
              </w:rPr>
            </w:pPr>
            <w:r>
              <w:rPr>
                <w:rFonts w:hint="eastAsia"/>
                <w:color w:val="auto"/>
                <w:lang w:val="en-US" w:eastAsia="zh-CN"/>
              </w:rPr>
              <w:t>0</w:t>
            </w:r>
          </w:p>
        </w:tc>
        <w:tc>
          <w:tcPr>
            <w:tcW w:w="609" w:type="pct"/>
            <w:tcBorders>
              <w:tl2br w:val="nil"/>
              <w:tr2bl w:val="nil"/>
            </w:tcBorders>
            <w:vAlign w:val="center"/>
          </w:tcPr>
          <w:p w14:paraId="3F15B143">
            <w:pPr>
              <w:pStyle w:val="44"/>
              <w:bidi w:val="0"/>
              <w:rPr>
                <w:rFonts w:hint="default"/>
                <w:color w:val="auto"/>
                <w:lang w:val="en-US" w:eastAsia="zh-CN"/>
              </w:rPr>
            </w:pPr>
            <w:r>
              <w:rPr>
                <w:rFonts w:hint="eastAsia"/>
                <w:color w:val="auto"/>
                <w:lang w:val="en-US" w:eastAsia="zh-CN"/>
              </w:rPr>
              <w:t>64750.9</w:t>
            </w:r>
          </w:p>
        </w:tc>
        <w:tc>
          <w:tcPr>
            <w:tcW w:w="513" w:type="pct"/>
            <w:tcBorders>
              <w:tl2br w:val="nil"/>
              <w:tr2bl w:val="nil"/>
            </w:tcBorders>
            <w:vAlign w:val="center"/>
          </w:tcPr>
          <w:p w14:paraId="1A0777E0">
            <w:pPr>
              <w:pStyle w:val="44"/>
              <w:bidi w:val="0"/>
              <w:rPr>
                <w:rFonts w:hint="eastAsia"/>
                <w:color w:val="auto"/>
                <w:lang w:val="en-US" w:eastAsia="zh-CN"/>
              </w:rPr>
            </w:pPr>
            <w:r>
              <w:rPr>
                <w:rFonts w:hint="eastAsia"/>
                <w:color w:val="auto"/>
                <w:lang w:val="en-US" w:eastAsia="zh-CN"/>
              </w:rPr>
              <w:t>0</w:t>
            </w:r>
          </w:p>
        </w:tc>
        <w:tc>
          <w:tcPr>
            <w:tcW w:w="447" w:type="pct"/>
            <w:tcBorders>
              <w:tl2br w:val="nil"/>
              <w:tr2bl w:val="nil"/>
            </w:tcBorders>
            <w:vAlign w:val="center"/>
          </w:tcPr>
          <w:p w14:paraId="18C444CA">
            <w:pPr>
              <w:pStyle w:val="44"/>
              <w:bidi w:val="0"/>
              <w:rPr>
                <w:rFonts w:hint="eastAsia"/>
                <w:color w:val="auto"/>
                <w:lang w:val="en-US" w:eastAsia="zh-CN"/>
              </w:rPr>
            </w:pPr>
            <w:r>
              <w:rPr>
                <w:rFonts w:hint="eastAsia"/>
                <w:color w:val="auto"/>
                <w:lang w:val="en-US" w:eastAsia="zh-CN"/>
              </w:rPr>
              <w:t>0</w:t>
            </w:r>
          </w:p>
        </w:tc>
        <w:tc>
          <w:tcPr>
            <w:tcW w:w="650" w:type="pct"/>
            <w:tcBorders>
              <w:tl2br w:val="nil"/>
              <w:tr2bl w:val="nil"/>
            </w:tcBorders>
            <w:vAlign w:val="center"/>
          </w:tcPr>
          <w:p w14:paraId="69CCD4CB">
            <w:pPr>
              <w:pStyle w:val="44"/>
              <w:bidi w:val="0"/>
              <w:rPr>
                <w:rFonts w:hint="eastAsia"/>
                <w:color w:val="auto"/>
                <w:lang w:val="en-US" w:eastAsia="zh-CN"/>
              </w:rPr>
            </w:pPr>
            <w:r>
              <w:rPr>
                <w:rFonts w:hint="eastAsia"/>
                <w:color w:val="auto"/>
                <w:lang w:val="en-US" w:eastAsia="zh-CN"/>
              </w:rPr>
              <w:t>0</w:t>
            </w:r>
          </w:p>
        </w:tc>
        <w:tc>
          <w:tcPr>
            <w:tcW w:w="400" w:type="pct"/>
            <w:tcBorders>
              <w:tl2br w:val="nil"/>
              <w:tr2bl w:val="nil"/>
            </w:tcBorders>
            <w:vAlign w:val="center"/>
          </w:tcPr>
          <w:p w14:paraId="5209B4ED">
            <w:pPr>
              <w:pStyle w:val="44"/>
              <w:bidi w:val="0"/>
              <w:rPr>
                <w:rFonts w:hint="default"/>
                <w:color w:val="auto"/>
                <w:lang w:val="en-US" w:eastAsia="zh-CN"/>
              </w:rPr>
            </w:pPr>
            <w:r>
              <w:rPr>
                <w:rFonts w:hint="eastAsia"/>
                <w:color w:val="auto"/>
                <w:lang w:val="en-US" w:eastAsia="zh-CN"/>
              </w:rPr>
              <w:t>原场地内调配</w:t>
            </w:r>
          </w:p>
        </w:tc>
        <w:tc>
          <w:tcPr>
            <w:tcW w:w="527" w:type="pct"/>
            <w:tcBorders>
              <w:tl2br w:val="nil"/>
              <w:tr2bl w:val="nil"/>
            </w:tcBorders>
            <w:vAlign w:val="center"/>
          </w:tcPr>
          <w:p w14:paraId="66913647">
            <w:pPr>
              <w:pStyle w:val="44"/>
              <w:bidi w:val="0"/>
              <w:rPr>
                <w:rFonts w:hint="eastAsia"/>
                <w:color w:val="auto"/>
                <w:lang w:val="en-US" w:eastAsia="zh-CN"/>
              </w:rPr>
            </w:pPr>
            <w:r>
              <w:rPr>
                <w:rFonts w:hint="eastAsia"/>
                <w:color w:val="auto"/>
                <w:lang w:val="en-US" w:eastAsia="zh-CN"/>
              </w:rPr>
              <w:t>0</w:t>
            </w:r>
          </w:p>
        </w:tc>
        <w:tc>
          <w:tcPr>
            <w:tcW w:w="378" w:type="pct"/>
            <w:tcBorders>
              <w:tl2br w:val="nil"/>
              <w:tr2bl w:val="nil"/>
            </w:tcBorders>
            <w:vAlign w:val="center"/>
          </w:tcPr>
          <w:p w14:paraId="518F0DB7">
            <w:pPr>
              <w:pStyle w:val="44"/>
              <w:bidi w:val="0"/>
              <w:rPr>
                <w:rFonts w:hint="eastAsia"/>
                <w:color w:val="auto"/>
                <w:lang w:val="en-US" w:eastAsia="zh-CN"/>
              </w:rPr>
            </w:pPr>
            <w:r>
              <w:rPr>
                <w:rFonts w:hint="eastAsia"/>
                <w:color w:val="auto"/>
                <w:lang w:val="en-US" w:eastAsia="zh-CN"/>
              </w:rPr>
              <w:t>/</w:t>
            </w:r>
          </w:p>
        </w:tc>
      </w:tr>
      <w:tr w14:paraId="2B6450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909" w:type="pct"/>
            <w:gridSpan w:val="2"/>
            <w:tcBorders>
              <w:tl2br w:val="nil"/>
              <w:tr2bl w:val="nil"/>
            </w:tcBorders>
            <w:vAlign w:val="center"/>
          </w:tcPr>
          <w:p w14:paraId="487E606C">
            <w:pPr>
              <w:pStyle w:val="44"/>
              <w:bidi w:val="0"/>
              <w:rPr>
                <w:color w:val="auto"/>
              </w:rPr>
            </w:pPr>
            <w:bookmarkStart w:id="176" w:name="_Hlk148536501"/>
            <w:r>
              <w:rPr>
                <w:color w:val="auto"/>
              </w:rPr>
              <w:t>合计</w:t>
            </w:r>
          </w:p>
        </w:tc>
        <w:tc>
          <w:tcPr>
            <w:tcW w:w="564" w:type="pct"/>
            <w:tcBorders>
              <w:tl2br w:val="nil"/>
              <w:tr2bl w:val="nil"/>
            </w:tcBorders>
            <w:shd w:val="clear" w:color="auto" w:fill="auto"/>
            <w:vAlign w:val="center"/>
          </w:tcPr>
          <w:p w14:paraId="5D502000">
            <w:pPr>
              <w:pStyle w:val="44"/>
              <w:bidi w:val="0"/>
              <w:rPr>
                <w:color w:val="auto"/>
              </w:rPr>
            </w:pPr>
            <w:r>
              <w:rPr>
                <w:rFonts w:hint="eastAsia"/>
                <w:color w:val="auto"/>
                <w:lang w:val="en-US" w:eastAsia="zh-CN"/>
              </w:rPr>
              <w:t>25047.92</w:t>
            </w:r>
          </w:p>
        </w:tc>
        <w:tc>
          <w:tcPr>
            <w:tcW w:w="609" w:type="pct"/>
            <w:tcBorders>
              <w:tl2br w:val="nil"/>
              <w:tr2bl w:val="nil"/>
            </w:tcBorders>
            <w:shd w:val="clear" w:color="auto" w:fill="auto"/>
            <w:vAlign w:val="center"/>
          </w:tcPr>
          <w:p w14:paraId="0AC7D714">
            <w:pPr>
              <w:pStyle w:val="44"/>
              <w:bidi w:val="0"/>
              <w:rPr>
                <w:rFonts w:hint="default"/>
                <w:color w:val="auto"/>
                <w:lang w:val="en-US"/>
              </w:rPr>
            </w:pPr>
            <w:r>
              <w:rPr>
                <w:rFonts w:hint="eastAsia"/>
                <w:color w:val="auto"/>
                <w:lang w:val="en-US" w:eastAsia="zh-CN"/>
              </w:rPr>
              <w:t>86758.02</w:t>
            </w:r>
          </w:p>
        </w:tc>
        <w:tc>
          <w:tcPr>
            <w:tcW w:w="513" w:type="pct"/>
            <w:tcBorders>
              <w:tl2br w:val="nil"/>
              <w:tr2bl w:val="nil"/>
            </w:tcBorders>
            <w:shd w:val="clear" w:color="auto" w:fill="auto"/>
            <w:vAlign w:val="center"/>
          </w:tcPr>
          <w:p w14:paraId="15328EF2">
            <w:pPr>
              <w:pStyle w:val="44"/>
              <w:bidi w:val="0"/>
              <w:rPr>
                <w:color w:val="auto"/>
              </w:rPr>
            </w:pPr>
            <w:r>
              <w:rPr>
                <w:rFonts w:hint="eastAsia"/>
                <w:color w:val="auto"/>
                <w:lang w:val="en-US" w:eastAsia="zh-CN"/>
              </w:rPr>
              <w:t>138.6万</w:t>
            </w:r>
          </w:p>
        </w:tc>
        <w:tc>
          <w:tcPr>
            <w:tcW w:w="447" w:type="pct"/>
            <w:tcBorders>
              <w:tl2br w:val="nil"/>
              <w:tr2bl w:val="nil"/>
            </w:tcBorders>
            <w:shd w:val="clear" w:color="auto" w:fill="auto"/>
            <w:vAlign w:val="center"/>
          </w:tcPr>
          <w:p w14:paraId="6C2BB3EA">
            <w:pPr>
              <w:pStyle w:val="44"/>
              <w:bidi w:val="0"/>
              <w:rPr>
                <w:rFonts w:hint="eastAsia"/>
                <w:color w:val="auto"/>
                <w:lang w:val="en-US" w:eastAsia="zh-CN"/>
              </w:rPr>
            </w:pPr>
            <w:r>
              <w:rPr>
                <w:rFonts w:hint="eastAsia"/>
                <w:color w:val="auto"/>
                <w:lang w:val="en-US" w:eastAsia="zh-CN"/>
              </w:rPr>
              <w:t>0</w:t>
            </w:r>
          </w:p>
        </w:tc>
        <w:tc>
          <w:tcPr>
            <w:tcW w:w="650" w:type="pct"/>
            <w:tcBorders>
              <w:tl2br w:val="nil"/>
              <w:tr2bl w:val="nil"/>
            </w:tcBorders>
            <w:shd w:val="clear" w:color="auto" w:fill="auto"/>
            <w:vAlign w:val="center"/>
          </w:tcPr>
          <w:p w14:paraId="7152900D">
            <w:pPr>
              <w:pStyle w:val="44"/>
              <w:bidi w:val="0"/>
              <w:rPr>
                <w:color w:val="auto"/>
              </w:rPr>
            </w:pPr>
            <w:r>
              <w:rPr>
                <w:rFonts w:hint="eastAsia"/>
                <w:color w:val="auto"/>
                <w:lang w:val="en-US" w:eastAsia="zh-CN"/>
              </w:rPr>
              <w:t>138.6万</w:t>
            </w:r>
          </w:p>
        </w:tc>
        <w:tc>
          <w:tcPr>
            <w:tcW w:w="400" w:type="pct"/>
            <w:tcBorders>
              <w:tl2br w:val="nil"/>
              <w:tr2bl w:val="nil"/>
            </w:tcBorders>
            <w:shd w:val="clear" w:color="auto" w:fill="auto"/>
            <w:vAlign w:val="center"/>
          </w:tcPr>
          <w:p w14:paraId="5991DEDE">
            <w:pPr>
              <w:pStyle w:val="44"/>
              <w:bidi w:val="0"/>
              <w:rPr>
                <w:rFonts w:hint="default"/>
                <w:color w:val="auto"/>
                <w:lang w:val="en-US" w:eastAsia="zh-CN"/>
              </w:rPr>
            </w:pPr>
            <w:r>
              <w:rPr>
                <w:rFonts w:hint="eastAsia"/>
                <w:color w:val="auto"/>
                <w:lang w:val="en-US" w:eastAsia="zh-CN"/>
              </w:rPr>
              <w:t>/</w:t>
            </w:r>
          </w:p>
        </w:tc>
        <w:tc>
          <w:tcPr>
            <w:tcW w:w="527" w:type="pct"/>
            <w:tcBorders>
              <w:tl2br w:val="nil"/>
              <w:tr2bl w:val="nil"/>
            </w:tcBorders>
            <w:shd w:val="clear" w:color="auto" w:fill="auto"/>
            <w:vAlign w:val="center"/>
          </w:tcPr>
          <w:p w14:paraId="752BC74E">
            <w:pPr>
              <w:pStyle w:val="44"/>
              <w:bidi w:val="0"/>
              <w:rPr>
                <w:rFonts w:hint="eastAsia"/>
                <w:color w:val="auto"/>
                <w:lang w:val="en-US" w:eastAsia="zh-CN"/>
              </w:rPr>
            </w:pPr>
            <w:r>
              <w:rPr>
                <w:rFonts w:hint="eastAsia"/>
                <w:color w:val="auto"/>
                <w:lang w:val="en-US" w:eastAsia="zh-CN"/>
              </w:rPr>
              <w:t>0</w:t>
            </w:r>
          </w:p>
        </w:tc>
        <w:tc>
          <w:tcPr>
            <w:tcW w:w="378" w:type="pct"/>
            <w:tcBorders>
              <w:tl2br w:val="nil"/>
              <w:tr2bl w:val="nil"/>
            </w:tcBorders>
            <w:shd w:val="clear" w:color="auto" w:fill="auto"/>
            <w:vAlign w:val="center"/>
          </w:tcPr>
          <w:p w14:paraId="14E0B291">
            <w:pPr>
              <w:pStyle w:val="44"/>
              <w:bidi w:val="0"/>
              <w:rPr>
                <w:rFonts w:hint="default"/>
                <w:color w:val="auto"/>
                <w:lang w:val="en-US" w:eastAsia="zh-CN"/>
              </w:rPr>
            </w:pPr>
            <w:r>
              <w:rPr>
                <w:rFonts w:hint="eastAsia"/>
                <w:color w:val="auto"/>
                <w:lang w:val="en-US" w:eastAsia="zh-CN"/>
              </w:rPr>
              <w:t>/</w:t>
            </w:r>
          </w:p>
        </w:tc>
      </w:tr>
      <w:bookmarkEnd w:id="176"/>
      <w:tr w14:paraId="0CB961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909" w:type="pct"/>
            <w:gridSpan w:val="2"/>
            <w:vMerge w:val="restart"/>
            <w:tcBorders>
              <w:tl2br w:val="nil"/>
              <w:tr2bl w:val="nil"/>
            </w:tcBorders>
            <w:vAlign w:val="center"/>
          </w:tcPr>
          <w:p w14:paraId="631A9571">
            <w:pPr>
              <w:pStyle w:val="44"/>
              <w:bidi w:val="0"/>
              <w:rPr>
                <w:rFonts w:hint="default"/>
                <w:color w:val="auto"/>
                <w:lang w:val="en-US" w:eastAsia="zh-CN"/>
              </w:rPr>
            </w:pPr>
            <w:r>
              <w:rPr>
                <w:rFonts w:hint="eastAsia"/>
                <w:color w:val="auto"/>
                <w:lang w:val="en-US" w:eastAsia="zh-CN"/>
              </w:rPr>
              <w:t>14#项目</w:t>
            </w:r>
          </w:p>
        </w:tc>
        <w:tc>
          <w:tcPr>
            <w:tcW w:w="564" w:type="pct"/>
            <w:vMerge w:val="restart"/>
            <w:tcBorders>
              <w:tl2br w:val="nil"/>
              <w:tr2bl w:val="nil"/>
            </w:tcBorders>
            <w:vAlign w:val="center"/>
          </w:tcPr>
          <w:p w14:paraId="46708805">
            <w:pPr>
              <w:pStyle w:val="44"/>
              <w:bidi w:val="0"/>
              <w:rPr>
                <w:color w:val="auto"/>
              </w:rPr>
            </w:pPr>
            <w:r>
              <w:rPr>
                <w:color w:val="auto"/>
              </w:rPr>
              <w:t>挖方</w:t>
            </w:r>
          </w:p>
        </w:tc>
        <w:tc>
          <w:tcPr>
            <w:tcW w:w="609" w:type="pct"/>
            <w:vMerge w:val="restart"/>
            <w:tcBorders>
              <w:tl2br w:val="nil"/>
              <w:tr2bl w:val="nil"/>
            </w:tcBorders>
            <w:vAlign w:val="center"/>
          </w:tcPr>
          <w:p w14:paraId="4059D8D2">
            <w:pPr>
              <w:pStyle w:val="44"/>
              <w:bidi w:val="0"/>
              <w:rPr>
                <w:color w:val="auto"/>
              </w:rPr>
            </w:pPr>
            <w:r>
              <w:rPr>
                <w:color w:val="auto"/>
              </w:rPr>
              <w:t>填方</w:t>
            </w:r>
          </w:p>
        </w:tc>
        <w:tc>
          <w:tcPr>
            <w:tcW w:w="513" w:type="pct"/>
            <w:vMerge w:val="restart"/>
            <w:tcBorders>
              <w:tl2br w:val="nil"/>
              <w:tr2bl w:val="nil"/>
            </w:tcBorders>
            <w:vAlign w:val="center"/>
          </w:tcPr>
          <w:p w14:paraId="642DB8FF">
            <w:pPr>
              <w:pStyle w:val="44"/>
              <w:bidi w:val="0"/>
              <w:rPr>
                <w:color w:val="auto"/>
              </w:rPr>
            </w:pPr>
            <w:r>
              <w:rPr>
                <w:color w:val="auto"/>
              </w:rPr>
              <w:t>外借方</w:t>
            </w:r>
          </w:p>
        </w:tc>
        <w:tc>
          <w:tcPr>
            <w:tcW w:w="447" w:type="pct"/>
            <w:vMerge w:val="restart"/>
            <w:tcBorders>
              <w:tl2br w:val="nil"/>
              <w:tr2bl w:val="nil"/>
            </w:tcBorders>
            <w:vAlign w:val="center"/>
          </w:tcPr>
          <w:p w14:paraId="3AB11041">
            <w:pPr>
              <w:pStyle w:val="44"/>
              <w:bidi w:val="0"/>
              <w:rPr>
                <w:color w:val="auto"/>
              </w:rPr>
            </w:pPr>
            <w:r>
              <w:rPr>
                <w:color w:val="auto"/>
              </w:rPr>
              <w:t>弃方</w:t>
            </w:r>
          </w:p>
        </w:tc>
        <w:tc>
          <w:tcPr>
            <w:tcW w:w="1050" w:type="pct"/>
            <w:gridSpan w:val="2"/>
            <w:tcBorders>
              <w:tl2br w:val="nil"/>
              <w:tr2bl w:val="nil"/>
            </w:tcBorders>
            <w:vAlign w:val="center"/>
          </w:tcPr>
          <w:p w14:paraId="662E780F">
            <w:pPr>
              <w:pStyle w:val="44"/>
              <w:bidi w:val="0"/>
              <w:rPr>
                <w:color w:val="auto"/>
              </w:rPr>
            </w:pPr>
            <w:r>
              <w:rPr>
                <w:color w:val="auto"/>
              </w:rPr>
              <w:t>调入方</w:t>
            </w:r>
          </w:p>
        </w:tc>
        <w:tc>
          <w:tcPr>
            <w:tcW w:w="905" w:type="pct"/>
            <w:gridSpan w:val="2"/>
            <w:tcBorders>
              <w:tl2br w:val="nil"/>
              <w:tr2bl w:val="nil"/>
            </w:tcBorders>
            <w:vAlign w:val="center"/>
          </w:tcPr>
          <w:p w14:paraId="44F6D013">
            <w:pPr>
              <w:pStyle w:val="44"/>
              <w:bidi w:val="0"/>
              <w:rPr>
                <w:color w:val="auto"/>
              </w:rPr>
            </w:pPr>
            <w:r>
              <w:rPr>
                <w:color w:val="auto"/>
              </w:rPr>
              <w:t>调出方</w:t>
            </w:r>
          </w:p>
        </w:tc>
      </w:tr>
      <w:tr w14:paraId="0B949F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909" w:type="pct"/>
            <w:gridSpan w:val="2"/>
            <w:vMerge w:val="continue"/>
            <w:tcBorders>
              <w:tl2br w:val="nil"/>
              <w:tr2bl w:val="nil"/>
            </w:tcBorders>
            <w:vAlign w:val="center"/>
          </w:tcPr>
          <w:p w14:paraId="6487F600">
            <w:pPr>
              <w:pStyle w:val="44"/>
              <w:bidi w:val="0"/>
              <w:rPr>
                <w:color w:val="auto"/>
              </w:rPr>
            </w:pPr>
          </w:p>
        </w:tc>
        <w:tc>
          <w:tcPr>
            <w:tcW w:w="564" w:type="pct"/>
            <w:vMerge w:val="continue"/>
            <w:tcBorders>
              <w:tl2br w:val="nil"/>
              <w:tr2bl w:val="nil"/>
            </w:tcBorders>
            <w:vAlign w:val="center"/>
          </w:tcPr>
          <w:p w14:paraId="181B122D">
            <w:pPr>
              <w:pStyle w:val="44"/>
              <w:bidi w:val="0"/>
              <w:rPr>
                <w:color w:val="auto"/>
              </w:rPr>
            </w:pPr>
          </w:p>
        </w:tc>
        <w:tc>
          <w:tcPr>
            <w:tcW w:w="609" w:type="pct"/>
            <w:vMerge w:val="continue"/>
            <w:tcBorders>
              <w:tl2br w:val="nil"/>
              <w:tr2bl w:val="nil"/>
            </w:tcBorders>
            <w:vAlign w:val="center"/>
          </w:tcPr>
          <w:p w14:paraId="76C29F24">
            <w:pPr>
              <w:pStyle w:val="44"/>
              <w:bidi w:val="0"/>
              <w:rPr>
                <w:color w:val="auto"/>
              </w:rPr>
            </w:pPr>
          </w:p>
        </w:tc>
        <w:tc>
          <w:tcPr>
            <w:tcW w:w="513" w:type="pct"/>
            <w:vMerge w:val="continue"/>
            <w:tcBorders>
              <w:tl2br w:val="nil"/>
              <w:tr2bl w:val="nil"/>
            </w:tcBorders>
            <w:vAlign w:val="center"/>
          </w:tcPr>
          <w:p w14:paraId="3A98AA98">
            <w:pPr>
              <w:pStyle w:val="44"/>
              <w:bidi w:val="0"/>
              <w:rPr>
                <w:color w:val="auto"/>
              </w:rPr>
            </w:pPr>
          </w:p>
        </w:tc>
        <w:tc>
          <w:tcPr>
            <w:tcW w:w="447" w:type="pct"/>
            <w:vMerge w:val="continue"/>
            <w:tcBorders>
              <w:tl2br w:val="nil"/>
              <w:tr2bl w:val="nil"/>
            </w:tcBorders>
            <w:vAlign w:val="center"/>
          </w:tcPr>
          <w:p w14:paraId="6C7A429A">
            <w:pPr>
              <w:pStyle w:val="44"/>
              <w:bidi w:val="0"/>
              <w:rPr>
                <w:color w:val="auto"/>
              </w:rPr>
            </w:pPr>
          </w:p>
        </w:tc>
        <w:tc>
          <w:tcPr>
            <w:tcW w:w="650" w:type="pct"/>
            <w:tcBorders>
              <w:tl2br w:val="nil"/>
              <w:tr2bl w:val="nil"/>
            </w:tcBorders>
            <w:vAlign w:val="center"/>
          </w:tcPr>
          <w:p w14:paraId="0C6D4837">
            <w:pPr>
              <w:pStyle w:val="44"/>
              <w:bidi w:val="0"/>
              <w:rPr>
                <w:color w:val="auto"/>
              </w:rPr>
            </w:pPr>
            <w:r>
              <w:rPr>
                <w:color w:val="auto"/>
              </w:rPr>
              <w:t>数量</w:t>
            </w:r>
          </w:p>
        </w:tc>
        <w:tc>
          <w:tcPr>
            <w:tcW w:w="400" w:type="pct"/>
            <w:tcBorders>
              <w:tl2br w:val="nil"/>
              <w:tr2bl w:val="nil"/>
            </w:tcBorders>
            <w:vAlign w:val="center"/>
          </w:tcPr>
          <w:p w14:paraId="52CD5DA0">
            <w:pPr>
              <w:pStyle w:val="44"/>
              <w:bidi w:val="0"/>
              <w:rPr>
                <w:color w:val="auto"/>
              </w:rPr>
            </w:pPr>
            <w:r>
              <w:rPr>
                <w:color w:val="auto"/>
              </w:rPr>
              <w:t>来源</w:t>
            </w:r>
          </w:p>
        </w:tc>
        <w:tc>
          <w:tcPr>
            <w:tcW w:w="527" w:type="pct"/>
            <w:tcBorders>
              <w:tl2br w:val="nil"/>
              <w:tr2bl w:val="nil"/>
            </w:tcBorders>
            <w:vAlign w:val="center"/>
          </w:tcPr>
          <w:p w14:paraId="0AB005E6">
            <w:pPr>
              <w:pStyle w:val="44"/>
              <w:bidi w:val="0"/>
              <w:rPr>
                <w:color w:val="auto"/>
              </w:rPr>
            </w:pPr>
            <w:r>
              <w:rPr>
                <w:color w:val="auto"/>
              </w:rPr>
              <w:t>数量</w:t>
            </w:r>
          </w:p>
        </w:tc>
        <w:tc>
          <w:tcPr>
            <w:tcW w:w="378" w:type="pct"/>
            <w:tcBorders>
              <w:tl2br w:val="nil"/>
              <w:tr2bl w:val="nil"/>
            </w:tcBorders>
            <w:vAlign w:val="center"/>
          </w:tcPr>
          <w:p w14:paraId="03B956AC">
            <w:pPr>
              <w:pStyle w:val="44"/>
              <w:bidi w:val="0"/>
              <w:rPr>
                <w:color w:val="auto"/>
              </w:rPr>
            </w:pPr>
            <w:r>
              <w:rPr>
                <w:color w:val="auto"/>
              </w:rPr>
              <w:t>去向</w:t>
            </w:r>
          </w:p>
        </w:tc>
      </w:tr>
      <w:tr w14:paraId="74DAA9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249" w:type="pct"/>
            <w:tcBorders>
              <w:tl2br w:val="nil"/>
              <w:tr2bl w:val="nil"/>
            </w:tcBorders>
            <w:vAlign w:val="center"/>
          </w:tcPr>
          <w:p w14:paraId="5BBCAE35">
            <w:pPr>
              <w:pStyle w:val="44"/>
              <w:bidi w:val="0"/>
              <w:rPr>
                <w:color w:val="auto"/>
              </w:rPr>
            </w:pPr>
            <w:r>
              <w:rPr>
                <w:color w:val="auto"/>
              </w:rPr>
              <w:t>生态恢复期</w:t>
            </w:r>
          </w:p>
        </w:tc>
        <w:tc>
          <w:tcPr>
            <w:tcW w:w="659" w:type="pct"/>
            <w:tcBorders>
              <w:tl2br w:val="nil"/>
              <w:tr2bl w:val="nil"/>
            </w:tcBorders>
            <w:vAlign w:val="center"/>
          </w:tcPr>
          <w:p w14:paraId="0617658D">
            <w:pPr>
              <w:pStyle w:val="44"/>
              <w:bidi w:val="0"/>
              <w:rPr>
                <w:rFonts w:hint="eastAsia"/>
                <w:color w:val="auto"/>
                <w:lang w:eastAsia="zh-CN"/>
              </w:rPr>
            </w:pPr>
            <w:r>
              <w:rPr>
                <w:color w:val="auto"/>
              </w:rPr>
              <w:t>覆土复垦</w:t>
            </w:r>
          </w:p>
        </w:tc>
        <w:tc>
          <w:tcPr>
            <w:tcW w:w="564" w:type="pct"/>
            <w:tcBorders>
              <w:tl2br w:val="nil"/>
              <w:tr2bl w:val="nil"/>
            </w:tcBorders>
            <w:vAlign w:val="center"/>
          </w:tcPr>
          <w:p w14:paraId="1034A0D3">
            <w:pPr>
              <w:pStyle w:val="44"/>
              <w:bidi w:val="0"/>
              <w:rPr>
                <w:rFonts w:hint="eastAsia"/>
                <w:color w:val="auto"/>
                <w:lang w:val="en-US" w:eastAsia="zh-CN"/>
              </w:rPr>
            </w:pPr>
            <w:r>
              <w:rPr>
                <w:rFonts w:hint="eastAsia"/>
                <w:color w:val="auto"/>
                <w:lang w:val="en-US" w:eastAsia="zh-CN"/>
              </w:rPr>
              <w:t>76828</w:t>
            </w:r>
          </w:p>
        </w:tc>
        <w:tc>
          <w:tcPr>
            <w:tcW w:w="609" w:type="pct"/>
            <w:tcBorders>
              <w:tl2br w:val="nil"/>
              <w:tr2bl w:val="nil"/>
            </w:tcBorders>
            <w:vAlign w:val="center"/>
          </w:tcPr>
          <w:p w14:paraId="4EE085E8">
            <w:pPr>
              <w:pStyle w:val="44"/>
              <w:bidi w:val="0"/>
              <w:rPr>
                <w:rFonts w:hint="default"/>
                <w:color w:val="auto"/>
                <w:lang w:val="en-US" w:eastAsia="zh-CN"/>
              </w:rPr>
            </w:pPr>
            <w:r>
              <w:rPr>
                <w:rFonts w:hint="default"/>
                <w:color w:val="auto"/>
                <w:lang w:val="en-US" w:eastAsia="zh-CN"/>
              </w:rPr>
              <w:t>133949.9</w:t>
            </w:r>
          </w:p>
        </w:tc>
        <w:tc>
          <w:tcPr>
            <w:tcW w:w="513" w:type="pct"/>
            <w:tcBorders>
              <w:tl2br w:val="nil"/>
              <w:tr2bl w:val="nil"/>
            </w:tcBorders>
            <w:vAlign w:val="center"/>
          </w:tcPr>
          <w:p w14:paraId="6C0E3A85">
            <w:pPr>
              <w:pStyle w:val="44"/>
              <w:bidi w:val="0"/>
              <w:rPr>
                <w:color w:val="auto"/>
              </w:rPr>
            </w:pPr>
            <w:r>
              <w:rPr>
                <w:rFonts w:hint="eastAsia"/>
                <w:color w:val="auto"/>
                <w:lang w:val="en-US" w:eastAsia="zh-CN"/>
              </w:rPr>
              <w:t>0</w:t>
            </w:r>
          </w:p>
        </w:tc>
        <w:tc>
          <w:tcPr>
            <w:tcW w:w="447" w:type="pct"/>
            <w:tcBorders>
              <w:tl2br w:val="nil"/>
              <w:tr2bl w:val="nil"/>
            </w:tcBorders>
            <w:vAlign w:val="center"/>
          </w:tcPr>
          <w:p w14:paraId="579AEC43">
            <w:pPr>
              <w:pStyle w:val="44"/>
              <w:bidi w:val="0"/>
              <w:rPr>
                <w:rFonts w:hint="eastAsia"/>
                <w:color w:val="auto"/>
                <w:lang w:val="en-US" w:eastAsia="zh-CN"/>
              </w:rPr>
            </w:pPr>
            <w:r>
              <w:rPr>
                <w:rFonts w:hint="eastAsia"/>
                <w:color w:val="auto"/>
                <w:lang w:val="en-US" w:eastAsia="zh-CN"/>
              </w:rPr>
              <w:t>0</w:t>
            </w:r>
          </w:p>
        </w:tc>
        <w:tc>
          <w:tcPr>
            <w:tcW w:w="1109" w:type="dxa"/>
            <w:tcBorders>
              <w:tl2br w:val="nil"/>
              <w:tr2bl w:val="nil"/>
            </w:tcBorders>
            <w:vAlign w:val="center"/>
          </w:tcPr>
          <w:p w14:paraId="1D3D9582">
            <w:pPr>
              <w:pStyle w:val="44"/>
              <w:bidi w:val="0"/>
              <w:rPr>
                <w:rFonts w:hint="eastAsia"/>
                <w:color w:val="auto"/>
                <w:lang w:val="en-US" w:eastAsia="zh-CN"/>
              </w:rPr>
            </w:pPr>
            <w:r>
              <w:rPr>
                <w:rFonts w:hint="eastAsia"/>
                <w:color w:val="auto"/>
                <w:lang w:val="en-US" w:eastAsia="zh-CN"/>
              </w:rPr>
              <w:t>57121.9</w:t>
            </w:r>
          </w:p>
        </w:tc>
        <w:tc>
          <w:tcPr>
            <w:tcW w:w="682" w:type="dxa"/>
            <w:tcBorders>
              <w:tl2br w:val="nil"/>
              <w:tr2bl w:val="nil"/>
            </w:tcBorders>
            <w:vAlign w:val="center"/>
          </w:tcPr>
          <w:p w14:paraId="78FFA733">
            <w:pPr>
              <w:pStyle w:val="44"/>
              <w:bidi w:val="0"/>
              <w:rPr>
                <w:rFonts w:hint="default"/>
                <w:color w:val="auto"/>
                <w:lang w:val="en-US" w:eastAsia="zh-CN"/>
              </w:rPr>
            </w:pPr>
            <w:r>
              <w:rPr>
                <w:rFonts w:hint="eastAsia"/>
                <w:color w:val="auto"/>
                <w:lang w:val="en-US" w:eastAsia="zh-CN"/>
              </w:rPr>
              <w:t>41号地块</w:t>
            </w:r>
          </w:p>
        </w:tc>
        <w:tc>
          <w:tcPr>
            <w:tcW w:w="527" w:type="pct"/>
            <w:tcBorders>
              <w:tl2br w:val="nil"/>
              <w:tr2bl w:val="nil"/>
            </w:tcBorders>
            <w:vAlign w:val="center"/>
          </w:tcPr>
          <w:p w14:paraId="79F63222">
            <w:pPr>
              <w:pStyle w:val="44"/>
              <w:bidi w:val="0"/>
              <w:rPr>
                <w:rFonts w:hint="default"/>
                <w:color w:val="auto"/>
                <w:lang w:val="en-US" w:eastAsia="zh-CN"/>
              </w:rPr>
            </w:pPr>
            <w:r>
              <w:rPr>
                <w:rFonts w:hint="eastAsia"/>
                <w:color w:val="auto"/>
                <w:lang w:val="en-US" w:eastAsia="zh-CN"/>
              </w:rPr>
              <w:t>0</w:t>
            </w:r>
          </w:p>
        </w:tc>
        <w:tc>
          <w:tcPr>
            <w:tcW w:w="378" w:type="pct"/>
            <w:tcBorders>
              <w:tl2br w:val="nil"/>
              <w:tr2bl w:val="nil"/>
            </w:tcBorders>
            <w:vAlign w:val="center"/>
          </w:tcPr>
          <w:p w14:paraId="37400D82">
            <w:pPr>
              <w:pStyle w:val="44"/>
              <w:bidi w:val="0"/>
              <w:rPr>
                <w:rFonts w:hint="eastAsia"/>
                <w:color w:val="auto"/>
                <w:lang w:val="en-US" w:eastAsia="zh-CN"/>
              </w:rPr>
            </w:pPr>
            <w:r>
              <w:rPr>
                <w:rFonts w:hint="eastAsia"/>
                <w:color w:val="auto"/>
                <w:lang w:val="en-US" w:eastAsia="zh-CN"/>
              </w:rPr>
              <w:t>/</w:t>
            </w:r>
          </w:p>
        </w:tc>
      </w:tr>
      <w:tr w14:paraId="476C86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909" w:type="pct"/>
            <w:gridSpan w:val="2"/>
            <w:vMerge w:val="restart"/>
            <w:tcBorders>
              <w:tl2br w:val="nil"/>
              <w:tr2bl w:val="nil"/>
            </w:tcBorders>
            <w:vAlign w:val="center"/>
          </w:tcPr>
          <w:p w14:paraId="14626DB8">
            <w:pPr>
              <w:pStyle w:val="44"/>
              <w:bidi w:val="0"/>
              <w:rPr>
                <w:rFonts w:hint="default"/>
                <w:color w:val="auto"/>
                <w:lang w:val="en-US" w:eastAsia="zh-CN"/>
              </w:rPr>
            </w:pPr>
            <w:r>
              <w:rPr>
                <w:rFonts w:hint="eastAsia"/>
                <w:color w:val="auto"/>
                <w:lang w:val="en-US" w:eastAsia="zh-CN"/>
              </w:rPr>
              <w:t>15#项目</w:t>
            </w:r>
          </w:p>
        </w:tc>
        <w:tc>
          <w:tcPr>
            <w:tcW w:w="564" w:type="pct"/>
            <w:vMerge w:val="restart"/>
            <w:tcBorders>
              <w:tl2br w:val="nil"/>
              <w:tr2bl w:val="nil"/>
            </w:tcBorders>
            <w:vAlign w:val="center"/>
          </w:tcPr>
          <w:p w14:paraId="70129A16">
            <w:pPr>
              <w:pStyle w:val="44"/>
              <w:bidi w:val="0"/>
              <w:rPr>
                <w:color w:val="auto"/>
              </w:rPr>
            </w:pPr>
            <w:r>
              <w:rPr>
                <w:color w:val="auto"/>
              </w:rPr>
              <w:t>挖方</w:t>
            </w:r>
          </w:p>
        </w:tc>
        <w:tc>
          <w:tcPr>
            <w:tcW w:w="609" w:type="pct"/>
            <w:vMerge w:val="restart"/>
            <w:tcBorders>
              <w:tl2br w:val="nil"/>
              <w:tr2bl w:val="nil"/>
            </w:tcBorders>
            <w:vAlign w:val="center"/>
          </w:tcPr>
          <w:p w14:paraId="235295BD">
            <w:pPr>
              <w:pStyle w:val="44"/>
              <w:bidi w:val="0"/>
              <w:rPr>
                <w:color w:val="auto"/>
              </w:rPr>
            </w:pPr>
            <w:r>
              <w:rPr>
                <w:color w:val="auto"/>
              </w:rPr>
              <w:t>填方</w:t>
            </w:r>
          </w:p>
        </w:tc>
        <w:tc>
          <w:tcPr>
            <w:tcW w:w="513" w:type="pct"/>
            <w:vMerge w:val="restart"/>
            <w:tcBorders>
              <w:tl2br w:val="nil"/>
              <w:tr2bl w:val="nil"/>
            </w:tcBorders>
            <w:vAlign w:val="center"/>
          </w:tcPr>
          <w:p w14:paraId="7E72B0E8">
            <w:pPr>
              <w:pStyle w:val="44"/>
              <w:bidi w:val="0"/>
              <w:rPr>
                <w:color w:val="auto"/>
              </w:rPr>
            </w:pPr>
            <w:r>
              <w:rPr>
                <w:color w:val="auto"/>
              </w:rPr>
              <w:t>外借方</w:t>
            </w:r>
          </w:p>
        </w:tc>
        <w:tc>
          <w:tcPr>
            <w:tcW w:w="447" w:type="pct"/>
            <w:vMerge w:val="restart"/>
            <w:tcBorders>
              <w:tl2br w:val="nil"/>
              <w:tr2bl w:val="nil"/>
            </w:tcBorders>
            <w:vAlign w:val="center"/>
          </w:tcPr>
          <w:p w14:paraId="1660B661">
            <w:pPr>
              <w:pStyle w:val="44"/>
              <w:bidi w:val="0"/>
              <w:rPr>
                <w:color w:val="auto"/>
              </w:rPr>
            </w:pPr>
            <w:r>
              <w:rPr>
                <w:color w:val="auto"/>
              </w:rPr>
              <w:t>弃方</w:t>
            </w:r>
          </w:p>
        </w:tc>
        <w:tc>
          <w:tcPr>
            <w:tcW w:w="1050" w:type="pct"/>
            <w:gridSpan w:val="2"/>
            <w:tcBorders>
              <w:tl2br w:val="nil"/>
              <w:tr2bl w:val="nil"/>
            </w:tcBorders>
            <w:vAlign w:val="center"/>
          </w:tcPr>
          <w:p w14:paraId="5727CD1F">
            <w:pPr>
              <w:pStyle w:val="44"/>
              <w:bidi w:val="0"/>
              <w:rPr>
                <w:color w:val="auto"/>
              </w:rPr>
            </w:pPr>
            <w:r>
              <w:rPr>
                <w:color w:val="auto"/>
              </w:rPr>
              <w:t>调入方</w:t>
            </w:r>
          </w:p>
        </w:tc>
        <w:tc>
          <w:tcPr>
            <w:tcW w:w="905" w:type="pct"/>
            <w:gridSpan w:val="2"/>
            <w:tcBorders>
              <w:tl2br w:val="nil"/>
              <w:tr2bl w:val="nil"/>
            </w:tcBorders>
            <w:vAlign w:val="center"/>
          </w:tcPr>
          <w:p w14:paraId="1ABEE276">
            <w:pPr>
              <w:pStyle w:val="44"/>
              <w:bidi w:val="0"/>
              <w:rPr>
                <w:color w:val="auto"/>
              </w:rPr>
            </w:pPr>
            <w:r>
              <w:rPr>
                <w:color w:val="auto"/>
              </w:rPr>
              <w:t>调出方</w:t>
            </w:r>
          </w:p>
        </w:tc>
      </w:tr>
      <w:tr w14:paraId="56B07F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909" w:type="pct"/>
            <w:gridSpan w:val="2"/>
            <w:vMerge w:val="continue"/>
            <w:tcBorders>
              <w:tl2br w:val="nil"/>
              <w:tr2bl w:val="nil"/>
            </w:tcBorders>
            <w:vAlign w:val="center"/>
          </w:tcPr>
          <w:p w14:paraId="1C39D845">
            <w:pPr>
              <w:pStyle w:val="44"/>
              <w:bidi w:val="0"/>
              <w:rPr>
                <w:color w:val="auto"/>
              </w:rPr>
            </w:pPr>
          </w:p>
        </w:tc>
        <w:tc>
          <w:tcPr>
            <w:tcW w:w="564" w:type="pct"/>
            <w:vMerge w:val="continue"/>
            <w:tcBorders>
              <w:tl2br w:val="nil"/>
              <w:tr2bl w:val="nil"/>
            </w:tcBorders>
            <w:vAlign w:val="center"/>
          </w:tcPr>
          <w:p w14:paraId="380AB27E">
            <w:pPr>
              <w:pStyle w:val="44"/>
              <w:bidi w:val="0"/>
              <w:rPr>
                <w:color w:val="auto"/>
              </w:rPr>
            </w:pPr>
          </w:p>
        </w:tc>
        <w:tc>
          <w:tcPr>
            <w:tcW w:w="609" w:type="pct"/>
            <w:vMerge w:val="continue"/>
            <w:tcBorders>
              <w:tl2br w:val="nil"/>
              <w:tr2bl w:val="nil"/>
            </w:tcBorders>
            <w:vAlign w:val="center"/>
          </w:tcPr>
          <w:p w14:paraId="012F7F53">
            <w:pPr>
              <w:pStyle w:val="44"/>
              <w:bidi w:val="0"/>
              <w:rPr>
                <w:color w:val="auto"/>
              </w:rPr>
            </w:pPr>
          </w:p>
        </w:tc>
        <w:tc>
          <w:tcPr>
            <w:tcW w:w="513" w:type="pct"/>
            <w:vMerge w:val="continue"/>
            <w:tcBorders>
              <w:tl2br w:val="nil"/>
              <w:tr2bl w:val="nil"/>
            </w:tcBorders>
            <w:vAlign w:val="center"/>
          </w:tcPr>
          <w:p w14:paraId="540C160B">
            <w:pPr>
              <w:pStyle w:val="44"/>
              <w:bidi w:val="0"/>
              <w:rPr>
                <w:color w:val="auto"/>
              </w:rPr>
            </w:pPr>
          </w:p>
        </w:tc>
        <w:tc>
          <w:tcPr>
            <w:tcW w:w="447" w:type="pct"/>
            <w:vMerge w:val="continue"/>
            <w:tcBorders>
              <w:tl2br w:val="nil"/>
              <w:tr2bl w:val="nil"/>
            </w:tcBorders>
            <w:vAlign w:val="center"/>
          </w:tcPr>
          <w:p w14:paraId="4841A67D">
            <w:pPr>
              <w:pStyle w:val="44"/>
              <w:bidi w:val="0"/>
              <w:rPr>
                <w:color w:val="auto"/>
              </w:rPr>
            </w:pPr>
          </w:p>
        </w:tc>
        <w:tc>
          <w:tcPr>
            <w:tcW w:w="650" w:type="pct"/>
            <w:tcBorders>
              <w:tl2br w:val="nil"/>
              <w:tr2bl w:val="nil"/>
            </w:tcBorders>
            <w:vAlign w:val="center"/>
          </w:tcPr>
          <w:p w14:paraId="3FDD0BD9">
            <w:pPr>
              <w:pStyle w:val="44"/>
              <w:bidi w:val="0"/>
              <w:rPr>
                <w:color w:val="auto"/>
              </w:rPr>
            </w:pPr>
            <w:r>
              <w:rPr>
                <w:color w:val="auto"/>
              </w:rPr>
              <w:t>数量</w:t>
            </w:r>
          </w:p>
        </w:tc>
        <w:tc>
          <w:tcPr>
            <w:tcW w:w="400" w:type="pct"/>
            <w:tcBorders>
              <w:tl2br w:val="nil"/>
              <w:tr2bl w:val="nil"/>
            </w:tcBorders>
            <w:vAlign w:val="center"/>
          </w:tcPr>
          <w:p w14:paraId="309CF226">
            <w:pPr>
              <w:pStyle w:val="44"/>
              <w:bidi w:val="0"/>
              <w:rPr>
                <w:color w:val="auto"/>
              </w:rPr>
            </w:pPr>
            <w:r>
              <w:rPr>
                <w:color w:val="auto"/>
              </w:rPr>
              <w:t>来源</w:t>
            </w:r>
          </w:p>
        </w:tc>
        <w:tc>
          <w:tcPr>
            <w:tcW w:w="527" w:type="pct"/>
            <w:tcBorders>
              <w:tl2br w:val="nil"/>
              <w:tr2bl w:val="nil"/>
            </w:tcBorders>
            <w:vAlign w:val="center"/>
          </w:tcPr>
          <w:p w14:paraId="3A6ABD50">
            <w:pPr>
              <w:pStyle w:val="44"/>
              <w:bidi w:val="0"/>
              <w:rPr>
                <w:color w:val="auto"/>
              </w:rPr>
            </w:pPr>
            <w:r>
              <w:rPr>
                <w:color w:val="auto"/>
              </w:rPr>
              <w:t>数量</w:t>
            </w:r>
          </w:p>
        </w:tc>
        <w:tc>
          <w:tcPr>
            <w:tcW w:w="378" w:type="pct"/>
            <w:tcBorders>
              <w:tl2br w:val="nil"/>
              <w:tr2bl w:val="nil"/>
            </w:tcBorders>
            <w:vAlign w:val="center"/>
          </w:tcPr>
          <w:p w14:paraId="02875A9D">
            <w:pPr>
              <w:pStyle w:val="44"/>
              <w:bidi w:val="0"/>
              <w:rPr>
                <w:color w:val="auto"/>
              </w:rPr>
            </w:pPr>
            <w:r>
              <w:rPr>
                <w:color w:val="auto"/>
              </w:rPr>
              <w:t>去向</w:t>
            </w:r>
          </w:p>
        </w:tc>
      </w:tr>
      <w:tr w14:paraId="6B29AE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249" w:type="pct"/>
            <w:tcBorders>
              <w:tl2br w:val="nil"/>
              <w:tr2bl w:val="nil"/>
            </w:tcBorders>
            <w:vAlign w:val="center"/>
          </w:tcPr>
          <w:p w14:paraId="73A939DA">
            <w:pPr>
              <w:pStyle w:val="44"/>
              <w:bidi w:val="0"/>
              <w:rPr>
                <w:color w:val="auto"/>
              </w:rPr>
            </w:pPr>
            <w:r>
              <w:rPr>
                <w:color w:val="auto"/>
              </w:rPr>
              <w:t>生态恢复期</w:t>
            </w:r>
          </w:p>
        </w:tc>
        <w:tc>
          <w:tcPr>
            <w:tcW w:w="659" w:type="pct"/>
            <w:tcBorders>
              <w:tl2br w:val="nil"/>
              <w:tr2bl w:val="nil"/>
            </w:tcBorders>
            <w:vAlign w:val="center"/>
          </w:tcPr>
          <w:p w14:paraId="07E94CAA">
            <w:pPr>
              <w:pStyle w:val="44"/>
              <w:bidi w:val="0"/>
              <w:rPr>
                <w:rFonts w:hint="eastAsia"/>
                <w:color w:val="auto"/>
                <w:lang w:eastAsia="zh-CN"/>
              </w:rPr>
            </w:pPr>
            <w:r>
              <w:rPr>
                <w:color w:val="auto"/>
              </w:rPr>
              <w:t>覆土复垦</w:t>
            </w:r>
          </w:p>
        </w:tc>
        <w:tc>
          <w:tcPr>
            <w:tcW w:w="564" w:type="pct"/>
            <w:tcBorders>
              <w:tl2br w:val="nil"/>
              <w:tr2bl w:val="nil"/>
            </w:tcBorders>
            <w:vAlign w:val="center"/>
          </w:tcPr>
          <w:p w14:paraId="2C57D2F7">
            <w:pPr>
              <w:pStyle w:val="44"/>
              <w:bidi w:val="0"/>
              <w:rPr>
                <w:rFonts w:hint="default"/>
                <w:color w:val="auto"/>
                <w:lang w:val="en-US" w:eastAsia="zh-CN"/>
              </w:rPr>
            </w:pPr>
            <w:r>
              <w:rPr>
                <w:rFonts w:hint="eastAsia"/>
                <w:color w:val="auto"/>
                <w:lang w:val="en-US" w:eastAsia="zh-CN"/>
              </w:rPr>
              <w:t>4854.7</w:t>
            </w:r>
          </w:p>
        </w:tc>
        <w:tc>
          <w:tcPr>
            <w:tcW w:w="609" w:type="pct"/>
            <w:tcBorders>
              <w:tl2br w:val="nil"/>
              <w:tr2bl w:val="nil"/>
            </w:tcBorders>
            <w:vAlign w:val="center"/>
          </w:tcPr>
          <w:p w14:paraId="7735BD03">
            <w:pPr>
              <w:pStyle w:val="44"/>
              <w:bidi w:val="0"/>
              <w:rPr>
                <w:rFonts w:hint="default"/>
                <w:color w:val="auto"/>
                <w:lang w:val="en-US" w:eastAsia="zh-CN"/>
              </w:rPr>
            </w:pPr>
            <w:r>
              <w:rPr>
                <w:rFonts w:hint="default"/>
                <w:color w:val="auto"/>
                <w:lang w:val="en-US" w:eastAsia="zh-CN"/>
              </w:rPr>
              <w:t>4854.7</w:t>
            </w:r>
          </w:p>
        </w:tc>
        <w:tc>
          <w:tcPr>
            <w:tcW w:w="513" w:type="pct"/>
            <w:tcBorders>
              <w:tl2br w:val="nil"/>
              <w:tr2bl w:val="nil"/>
            </w:tcBorders>
            <w:vAlign w:val="center"/>
          </w:tcPr>
          <w:p w14:paraId="2108A158">
            <w:pPr>
              <w:pStyle w:val="44"/>
              <w:bidi w:val="0"/>
              <w:rPr>
                <w:rFonts w:hint="eastAsia"/>
                <w:color w:val="auto"/>
                <w:lang w:val="en-US" w:eastAsia="zh-CN"/>
              </w:rPr>
            </w:pPr>
            <w:r>
              <w:rPr>
                <w:rFonts w:hint="eastAsia"/>
                <w:color w:val="auto"/>
                <w:lang w:val="en-US" w:eastAsia="zh-CN"/>
              </w:rPr>
              <w:t>0</w:t>
            </w:r>
          </w:p>
        </w:tc>
        <w:tc>
          <w:tcPr>
            <w:tcW w:w="447" w:type="pct"/>
            <w:tcBorders>
              <w:tl2br w:val="nil"/>
              <w:tr2bl w:val="nil"/>
            </w:tcBorders>
            <w:vAlign w:val="center"/>
          </w:tcPr>
          <w:p w14:paraId="217C6464">
            <w:pPr>
              <w:pStyle w:val="44"/>
              <w:bidi w:val="0"/>
              <w:rPr>
                <w:rFonts w:hint="eastAsia"/>
                <w:color w:val="auto"/>
                <w:lang w:val="en-US" w:eastAsia="zh-CN"/>
              </w:rPr>
            </w:pPr>
            <w:r>
              <w:rPr>
                <w:rFonts w:hint="eastAsia"/>
                <w:color w:val="auto"/>
                <w:lang w:val="en-US" w:eastAsia="zh-CN"/>
              </w:rPr>
              <w:t>0</w:t>
            </w:r>
          </w:p>
        </w:tc>
        <w:tc>
          <w:tcPr>
            <w:tcW w:w="650" w:type="pct"/>
            <w:tcBorders>
              <w:tl2br w:val="nil"/>
              <w:tr2bl w:val="nil"/>
            </w:tcBorders>
            <w:vAlign w:val="center"/>
          </w:tcPr>
          <w:p w14:paraId="66E298B7">
            <w:pPr>
              <w:pStyle w:val="44"/>
              <w:bidi w:val="0"/>
              <w:rPr>
                <w:color w:val="auto"/>
              </w:rPr>
            </w:pPr>
            <w:r>
              <w:rPr>
                <w:rFonts w:hint="eastAsia"/>
                <w:color w:val="auto"/>
                <w:lang w:val="en-US" w:eastAsia="zh-CN"/>
              </w:rPr>
              <w:t>0</w:t>
            </w:r>
          </w:p>
        </w:tc>
        <w:tc>
          <w:tcPr>
            <w:tcW w:w="400" w:type="pct"/>
            <w:tcBorders>
              <w:tl2br w:val="nil"/>
              <w:tr2bl w:val="nil"/>
            </w:tcBorders>
            <w:vAlign w:val="center"/>
          </w:tcPr>
          <w:p w14:paraId="52F3A84E">
            <w:pPr>
              <w:pStyle w:val="44"/>
              <w:bidi w:val="0"/>
              <w:rPr>
                <w:color w:val="auto"/>
              </w:rPr>
            </w:pPr>
            <w:r>
              <w:rPr>
                <w:rFonts w:hint="eastAsia"/>
                <w:color w:val="auto"/>
                <w:lang w:val="en-US" w:eastAsia="zh-CN"/>
              </w:rPr>
              <w:t>政府调配</w:t>
            </w:r>
          </w:p>
        </w:tc>
        <w:tc>
          <w:tcPr>
            <w:tcW w:w="527" w:type="pct"/>
            <w:tcBorders>
              <w:tl2br w:val="nil"/>
              <w:tr2bl w:val="nil"/>
            </w:tcBorders>
            <w:vAlign w:val="center"/>
          </w:tcPr>
          <w:p w14:paraId="40A538FF">
            <w:pPr>
              <w:pStyle w:val="44"/>
              <w:bidi w:val="0"/>
              <w:rPr>
                <w:color w:val="auto"/>
              </w:rPr>
            </w:pPr>
            <w:r>
              <w:rPr>
                <w:rFonts w:hint="eastAsia"/>
                <w:color w:val="auto"/>
                <w:lang w:val="en-US" w:eastAsia="zh-CN"/>
              </w:rPr>
              <w:t>0</w:t>
            </w:r>
          </w:p>
        </w:tc>
        <w:tc>
          <w:tcPr>
            <w:tcW w:w="378" w:type="pct"/>
            <w:tcBorders>
              <w:tl2br w:val="nil"/>
              <w:tr2bl w:val="nil"/>
            </w:tcBorders>
            <w:vAlign w:val="center"/>
          </w:tcPr>
          <w:p w14:paraId="10B54A5A">
            <w:pPr>
              <w:pStyle w:val="44"/>
              <w:bidi w:val="0"/>
              <w:rPr>
                <w:color w:val="auto"/>
              </w:rPr>
            </w:pPr>
            <w:r>
              <w:rPr>
                <w:rFonts w:hint="eastAsia"/>
                <w:color w:val="auto"/>
                <w:lang w:val="en-US" w:eastAsia="zh-CN"/>
              </w:rPr>
              <w:t>/</w:t>
            </w:r>
          </w:p>
        </w:tc>
      </w:tr>
      <w:tr w14:paraId="684763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909" w:type="pct"/>
            <w:gridSpan w:val="2"/>
            <w:vMerge w:val="restart"/>
            <w:tcBorders>
              <w:tl2br w:val="nil"/>
              <w:tr2bl w:val="nil"/>
            </w:tcBorders>
            <w:vAlign w:val="center"/>
          </w:tcPr>
          <w:p w14:paraId="25298918">
            <w:pPr>
              <w:pStyle w:val="44"/>
              <w:bidi w:val="0"/>
              <w:rPr>
                <w:rFonts w:hint="default"/>
                <w:color w:val="auto"/>
                <w:lang w:val="en-US" w:eastAsia="zh-CN"/>
              </w:rPr>
            </w:pPr>
            <w:r>
              <w:rPr>
                <w:rFonts w:hint="eastAsia"/>
                <w:color w:val="auto"/>
                <w:lang w:val="en-US" w:eastAsia="zh-CN"/>
              </w:rPr>
              <w:t>16#项目</w:t>
            </w:r>
          </w:p>
        </w:tc>
        <w:tc>
          <w:tcPr>
            <w:tcW w:w="564" w:type="pct"/>
            <w:vMerge w:val="restart"/>
            <w:tcBorders>
              <w:tl2br w:val="nil"/>
              <w:tr2bl w:val="nil"/>
            </w:tcBorders>
            <w:vAlign w:val="center"/>
          </w:tcPr>
          <w:p w14:paraId="35D26815">
            <w:pPr>
              <w:pStyle w:val="44"/>
              <w:bidi w:val="0"/>
              <w:rPr>
                <w:color w:val="auto"/>
              </w:rPr>
            </w:pPr>
            <w:r>
              <w:rPr>
                <w:color w:val="auto"/>
              </w:rPr>
              <w:t>挖方</w:t>
            </w:r>
          </w:p>
        </w:tc>
        <w:tc>
          <w:tcPr>
            <w:tcW w:w="609" w:type="pct"/>
            <w:vMerge w:val="restart"/>
            <w:tcBorders>
              <w:tl2br w:val="nil"/>
              <w:tr2bl w:val="nil"/>
            </w:tcBorders>
            <w:vAlign w:val="center"/>
          </w:tcPr>
          <w:p w14:paraId="5DF5846C">
            <w:pPr>
              <w:pStyle w:val="44"/>
              <w:bidi w:val="0"/>
              <w:rPr>
                <w:color w:val="auto"/>
              </w:rPr>
            </w:pPr>
            <w:r>
              <w:rPr>
                <w:color w:val="auto"/>
              </w:rPr>
              <w:t>填方</w:t>
            </w:r>
          </w:p>
        </w:tc>
        <w:tc>
          <w:tcPr>
            <w:tcW w:w="513" w:type="pct"/>
            <w:vMerge w:val="restart"/>
            <w:tcBorders>
              <w:tl2br w:val="nil"/>
              <w:tr2bl w:val="nil"/>
            </w:tcBorders>
            <w:vAlign w:val="center"/>
          </w:tcPr>
          <w:p w14:paraId="4620117D">
            <w:pPr>
              <w:pStyle w:val="44"/>
              <w:bidi w:val="0"/>
              <w:rPr>
                <w:color w:val="auto"/>
              </w:rPr>
            </w:pPr>
            <w:r>
              <w:rPr>
                <w:color w:val="auto"/>
              </w:rPr>
              <w:t>外借方</w:t>
            </w:r>
          </w:p>
        </w:tc>
        <w:tc>
          <w:tcPr>
            <w:tcW w:w="447" w:type="pct"/>
            <w:vMerge w:val="restart"/>
            <w:tcBorders>
              <w:tl2br w:val="nil"/>
              <w:tr2bl w:val="nil"/>
            </w:tcBorders>
            <w:vAlign w:val="center"/>
          </w:tcPr>
          <w:p w14:paraId="0EE060C5">
            <w:pPr>
              <w:pStyle w:val="44"/>
              <w:bidi w:val="0"/>
              <w:rPr>
                <w:color w:val="auto"/>
              </w:rPr>
            </w:pPr>
            <w:r>
              <w:rPr>
                <w:color w:val="auto"/>
              </w:rPr>
              <w:t>弃方</w:t>
            </w:r>
          </w:p>
        </w:tc>
        <w:tc>
          <w:tcPr>
            <w:tcW w:w="1050" w:type="pct"/>
            <w:gridSpan w:val="2"/>
            <w:tcBorders>
              <w:tl2br w:val="nil"/>
              <w:tr2bl w:val="nil"/>
            </w:tcBorders>
            <w:vAlign w:val="center"/>
          </w:tcPr>
          <w:p w14:paraId="28B34FDD">
            <w:pPr>
              <w:pStyle w:val="44"/>
              <w:bidi w:val="0"/>
              <w:rPr>
                <w:color w:val="auto"/>
              </w:rPr>
            </w:pPr>
            <w:r>
              <w:rPr>
                <w:color w:val="auto"/>
              </w:rPr>
              <w:t>调入方</w:t>
            </w:r>
          </w:p>
        </w:tc>
        <w:tc>
          <w:tcPr>
            <w:tcW w:w="905" w:type="pct"/>
            <w:gridSpan w:val="2"/>
            <w:tcBorders>
              <w:tl2br w:val="nil"/>
              <w:tr2bl w:val="nil"/>
            </w:tcBorders>
            <w:vAlign w:val="center"/>
          </w:tcPr>
          <w:p w14:paraId="705081B9">
            <w:pPr>
              <w:pStyle w:val="44"/>
              <w:bidi w:val="0"/>
              <w:rPr>
                <w:color w:val="auto"/>
              </w:rPr>
            </w:pPr>
            <w:r>
              <w:rPr>
                <w:color w:val="auto"/>
              </w:rPr>
              <w:t>调出方</w:t>
            </w:r>
          </w:p>
        </w:tc>
      </w:tr>
      <w:tr w14:paraId="1F947F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909" w:type="pct"/>
            <w:gridSpan w:val="2"/>
            <w:vMerge w:val="continue"/>
            <w:tcBorders>
              <w:tl2br w:val="nil"/>
              <w:tr2bl w:val="nil"/>
            </w:tcBorders>
            <w:vAlign w:val="center"/>
          </w:tcPr>
          <w:p w14:paraId="24D10FEE">
            <w:pPr>
              <w:pStyle w:val="44"/>
              <w:bidi w:val="0"/>
              <w:rPr>
                <w:color w:val="auto"/>
              </w:rPr>
            </w:pPr>
          </w:p>
        </w:tc>
        <w:tc>
          <w:tcPr>
            <w:tcW w:w="564" w:type="pct"/>
            <w:vMerge w:val="continue"/>
            <w:tcBorders>
              <w:tl2br w:val="nil"/>
              <w:tr2bl w:val="nil"/>
            </w:tcBorders>
            <w:vAlign w:val="center"/>
          </w:tcPr>
          <w:p w14:paraId="71195C81">
            <w:pPr>
              <w:pStyle w:val="44"/>
              <w:bidi w:val="0"/>
              <w:rPr>
                <w:color w:val="auto"/>
              </w:rPr>
            </w:pPr>
          </w:p>
        </w:tc>
        <w:tc>
          <w:tcPr>
            <w:tcW w:w="609" w:type="pct"/>
            <w:vMerge w:val="continue"/>
            <w:tcBorders>
              <w:tl2br w:val="nil"/>
              <w:tr2bl w:val="nil"/>
            </w:tcBorders>
            <w:vAlign w:val="center"/>
          </w:tcPr>
          <w:p w14:paraId="3468A332">
            <w:pPr>
              <w:pStyle w:val="44"/>
              <w:bidi w:val="0"/>
              <w:rPr>
                <w:color w:val="auto"/>
              </w:rPr>
            </w:pPr>
          </w:p>
        </w:tc>
        <w:tc>
          <w:tcPr>
            <w:tcW w:w="513" w:type="pct"/>
            <w:vMerge w:val="continue"/>
            <w:tcBorders>
              <w:tl2br w:val="nil"/>
              <w:tr2bl w:val="nil"/>
            </w:tcBorders>
            <w:vAlign w:val="center"/>
          </w:tcPr>
          <w:p w14:paraId="0A26018E">
            <w:pPr>
              <w:pStyle w:val="44"/>
              <w:bidi w:val="0"/>
              <w:rPr>
                <w:color w:val="auto"/>
              </w:rPr>
            </w:pPr>
          </w:p>
        </w:tc>
        <w:tc>
          <w:tcPr>
            <w:tcW w:w="447" w:type="pct"/>
            <w:vMerge w:val="continue"/>
            <w:tcBorders>
              <w:tl2br w:val="nil"/>
              <w:tr2bl w:val="nil"/>
            </w:tcBorders>
            <w:vAlign w:val="center"/>
          </w:tcPr>
          <w:p w14:paraId="640691B4">
            <w:pPr>
              <w:pStyle w:val="44"/>
              <w:bidi w:val="0"/>
              <w:rPr>
                <w:color w:val="auto"/>
              </w:rPr>
            </w:pPr>
          </w:p>
        </w:tc>
        <w:tc>
          <w:tcPr>
            <w:tcW w:w="650" w:type="pct"/>
            <w:tcBorders>
              <w:tl2br w:val="nil"/>
              <w:tr2bl w:val="nil"/>
            </w:tcBorders>
            <w:vAlign w:val="center"/>
          </w:tcPr>
          <w:p w14:paraId="58384BCB">
            <w:pPr>
              <w:pStyle w:val="44"/>
              <w:bidi w:val="0"/>
              <w:rPr>
                <w:color w:val="auto"/>
              </w:rPr>
            </w:pPr>
            <w:r>
              <w:rPr>
                <w:color w:val="auto"/>
              </w:rPr>
              <w:t>数量</w:t>
            </w:r>
          </w:p>
        </w:tc>
        <w:tc>
          <w:tcPr>
            <w:tcW w:w="400" w:type="pct"/>
            <w:tcBorders>
              <w:tl2br w:val="nil"/>
              <w:tr2bl w:val="nil"/>
            </w:tcBorders>
            <w:vAlign w:val="center"/>
          </w:tcPr>
          <w:p w14:paraId="3BDC1FB3">
            <w:pPr>
              <w:pStyle w:val="44"/>
              <w:bidi w:val="0"/>
              <w:rPr>
                <w:color w:val="auto"/>
              </w:rPr>
            </w:pPr>
            <w:r>
              <w:rPr>
                <w:color w:val="auto"/>
              </w:rPr>
              <w:t>来源</w:t>
            </w:r>
          </w:p>
        </w:tc>
        <w:tc>
          <w:tcPr>
            <w:tcW w:w="527" w:type="pct"/>
            <w:tcBorders>
              <w:tl2br w:val="nil"/>
              <w:tr2bl w:val="nil"/>
            </w:tcBorders>
            <w:vAlign w:val="center"/>
          </w:tcPr>
          <w:p w14:paraId="28B65BB4">
            <w:pPr>
              <w:pStyle w:val="44"/>
              <w:bidi w:val="0"/>
              <w:rPr>
                <w:color w:val="auto"/>
              </w:rPr>
            </w:pPr>
            <w:r>
              <w:rPr>
                <w:color w:val="auto"/>
              </w:rPr>
              <w:t>数量</w:t>
            </w:r>
          </w:p>
        </w:tc>
        <w:tc>
          <w:tcPr>
            <w:tcW w:w="378" w:type="pct"/>
            <w:tcBorders>
              <w:tl2br w:val="nil"/>
              <w:tr2bl w:val="nil"/>
            </w:tcBorders>
            <w:vAlign w:val="center"/>
          </w:tcPr>
          <w:p w14:paraId="39E854D7">
            <w:pPr>
              <w:pStyle w:val="44"/>
              <w:bidi w:val="0"/>
              <w:rPr>
                <w:color w:val="auto"/>
              </w:rPr>
            </w:pPr>
            <w:r>
              <w:rPr>
                <w:color w:val="auto"/>
              </w:rPr>
              <w:t>去向</w:t>
            </w:r>
          </w:p>
        </w:tc>
      </w:tr>
      <w:tr w14:paraId="2F195A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249" w:type="pct"/>
            <w:tcBorders>
              <w:tl2br w:val="nil"/>
              <w:tr2bl w:val="nil"/>
            </w:tcBorders>
            <w:vAlign w:val="center"/>
          </w:tcPr>
          <w:p w14:paraId="1C51DA60">
            <w:pPr>
              <w:pStyle w:val="44"/>
              <w:bidi w:val="0"/>
              <w:rPr>
                <w:color w:val="auto"/>
              </w:rPr>
            </w:pPr>
            <w:r>
              <w:rPr>
                <w:color w:val="auto"/>
              </w:rPr>
              <w:t>生态恢复期</w:t>
            </w:r>
          </w:p>
        </w:tc>
        <w:tc>
          <w:tcPr>
            <w:tcW w:w="659" w:type="pct"/>
            <w:tcBorders>
              <w:tl2br w:val="nil"/>
              <w:tr2bl w:val="nil"/>
            </w:tcBorders>
            <w:vAlign w:val="center"/>
          </w:tcPr>
          <w:p w14:paraId="66EC8E40">
            <w:pPr>
              <w:pStyle w:val="44"/>
              <w:bidi w:val="0"/>
              <w:rPr>
                <w:rFonts w:hint="eastAsia"/>
                <w:color w:val="auto"/>
                <w:lang w:eastAsia="zh-CN"/>
              </w:rPr>
            </w:pPr>
            <w:r>
              <w:rPr>
                <w:color w:val="auto"/>
              </w:rPr>
              <w:t>覆土复垦</w:t>
            </w:r>
            <w:r>
              <w:rPr>
                <w:rFonts w:hint="eastAsia"/>
                <w:color w:val="auto"/>
                <w:lang w:eastAsia="zh-CN"/>
              </w:rPr>
              <w:t>（</w:t>
            </w:r>
            <w:r>
              <w:rPr>
                <w:rFonts w:hint="eastAsia"/>
                <w:color w:val="auto"/>
                <w:lang w:val="en-US" w:eastAsia="zh-CN"/>
              </w:rPr>
              <w:t>表土</w:t>
            </w:r>
            <w:r>
              <w:rPr>
                <w:rFonts w:hint="eastAsia"/>
                <w:color w:val="auto"/>
                <w:lang w:eastAsia="zh-CN"/>
              </w:rPr>
              <w:t>）</w:t>
            </w:r>
          </w:p>
        </w:tc>
        <w:tc>
          <w:tcPr>
            <w:tcW w:w="564" w:type="pct"/>
            <w:tcBorders>
              <w:tl2br w:val="nil"/>
              <w:tr2bl w:val="nil"/>
            </w:tcBorders>
            <w:vAlign w:val="center"/>
          </w:tcPr>
          <w:p w14:paraId="66D79BB1">
            <w:pPr>
              <w:pStyle w:val="44"/>
              <w:bidi w:val="0"/>
              <w:rPr>
                <w:rFonts w:hint="eastAsia"/>
                <w:color w:val="auto"/>
                <w:lang w:val="en-US" w:eastAsia="zh-CN"/>
              </w:rPr>
            </w:pPr>
            <w:r>
              <w:rPr>
                <w:rFonts w:hint="default"/>
                <w:color w:val="auto"/>
                <w:lang w:val="en-US" w:eastAsia="zh-CN"/>
              </w:rPr>
              <w:t>35284. 2</w:t>
            </w:r>
          </w:p>
        </w:tc>
        <w:tc>
          <w:tcPr>
            <w:tcW w:w="609" w:type="pct"/>
            <w:tcBorders>
              <w:tl2br w:val="nil"/>
              <w:tr2bl w:val="nil"/>
            </w:tcBorders>
            <w:vAlign w:val="center"/>
          </w:tcPr>
          <w:p w14:paraId="4B5EF3C1">
            <w:pPr>
              <w:pStyle w:val="44"/>
              <w:bidi w:val="0"/>
              <w:rPr>
                <w:rFonts w:hint="default"/>
                <w:color w:val="auto"/>
                <w:lang w:val="en-US" w:eastAsia="zh-CN"/>
              </w:rPr>
            </w:pPr>
            <w:r>
              <w:rPr>
                <w:rFonts w:hint="default"/>
                <w:color w:val="auto"/>
                <w:lang w:val="en-US" w:eastAsia="zh-CN"/>
              </w:rPr>
              <w:t>1058.6</w:t>
            </w:r>
          </w:p>
        </w:tc>
        <w:tc>
          <w:tcPr>
            <w:tcW w:w="513" w:type="pct"/>
            <w:tcBorders>
              <w:tl2br w:val="nil"/>
              <w:tr2bl w:val="nil"/>
            </w:tcBorders>
            <w:vAlign w:val="center"/>
          </w:tcPr>
          <w:p w14:paraId="064723F8">
            <w:pPr>
              <w:pStyle w:val="44"/>
              <w:bidi w:val="0"/>
              <w:rPr>
                <w:color w:val="auto"/>
              </w:rPr>
            </w:pPr>
            <w:r>
              <w:rPr>
                <w:rFonts w:hint="eastAsia"/>
                <w:color w:val="auto"/>
                <w:lang w:val="en-US" w:eastAsia="zh-CN"/>
              </w:rPr>
              <w:t>0</w:t>
            </w:r>
          </w:p>
        </w:tc>
        <w:tc>
          <w:tcPr>
            <w:tcW w:w="447" w:type="pct"/>
            <w:tcBorders>
              <w:tl2br w:val="nil"/>
              <w:tr2bl w:val="nil"/>
            </w:tcBorders>
            <w:vAlign w:val="center"/>
          </w:tcPr>
          <w:p w14:paraId="78D0BE96">
            <w:pPr>
              <w:pStyle w:val="44"/>
              <w:bidi w:val="0"/>
              <w:rPr>
                <w:rFonts w:hint="eastAsia"/>
                <w:color w:val="auto"/>
                <w:lang w:val="en-US" w:eastAsia="zh-CN"/>
              </w:rPr>
            </w:pPr>
            <w:r>
              <w:rPr>
                <w:rFonts w:hint="eastAsia"/>
                <w:color w:val="auto"/>
                <w:lang w:val="en-US" w:eastAsia="zh-CN"/>
              </w:rPr>
              <w:t>0</w:t>
            </w:r>
          </w:p>
        </w:tc>
        <w:tc>
          <w:tcPr>
            <w:tcW w:w="650" w:type="pct"/>
            <w:tcBorders>
              <w:tl2br w:val="nil"/>
              <w:tr2bl w:val="nil"/>
            </w:tcBorders>
            <w:vAlign w:val="center"/>
          </w:tcPr>
          <w:p w14:paraId="298275DA">
            <w:pPr>
              <w:pStyle w:val="44"/>
              <w:bidi w:val="0"/>
              <w:rPr>
                <w:color w:val="auto"/>
              </w:rPr>
            </w:pPr>
            <w:r>
              <w:rPr>
                <w:rFonts w:hint="eastAsia"/>
                <w:color w:val="auto"/>
                <w:lang w:val="en-US" w:eastAsia="zh-CN"/>
              </w:rPr>
              <w:t>0</w:t>
            </w:r>
          </w:p>
        </w:tc>
        <w:tc>
          <w:tcPr>
            <w:tcW w:w="400" w:type="pct"/>
            <w:tcBorders>
              <w:tl2br w:val="nil"/>
              <w:tr2bl w:val="nil"/>
            </w:tcBorders>
            <w:vAlign w:val="center"/>
          </w:tcPr>
          <w:p w14:paraId="20A4D40E">
            <w:pPr>
              <w:pStyle w:val="44"/>
              <w:bidi w:val="0"/>
              <w:rPr>
                <w:color w:val="auto"/>
              </w:rPr>
            </w:pPr>
            <w:r>
              <w:rPr>
                <w:rFonts w:hint="eastAsia"/>
                <w:color w:val="auto"/>
                <w:lang w:val="en-US" w:eastAsia="zh-CN"/>
              </w:rPr>
              <w:t>/</w:t>
            </w:r>
          </w:p>
        </w:tc>
        <w:tc>
          <w:tcPr>
            <w:tcW w:w="527" w:type="pct"/>
            <w:tcBorders>
              <w:tl2br w:val="nil"/>
              <w:tr2bl w:val="nil"/>
            </w:tcBorders>
            <w:vAlign w:val="center"/>
          </w:tcPr>
          <w:p w14:paraId="26BCE446">
            <w:pPr>
              <w:pStyle w:val="44"/>
              <w:bidi w:val="0"/>
              <w:rPr>
                <w:rFonts w:hint="default"/>
                <w:color w:val="auto"/>
                <w:lang w:val="en-US" w:eastAsia="zh-CN"/>
              </w:rPr>
            </w:pPr>
            <w:r>
              <w:rPr>
                <w:rFonts w:hint="eastAsia"/>
                <w:color w:val="auto"/>
                <w:lang w:val="en-US" w:eastAsia="zh-CN"/>
              </w:rPr>
              <w:t>34225.6</w:t>
            </w:r>
          </w:p>
        </w:tc>
        <w:tc>
          <w:tcPr>
            <w:tcW w:w="378" w:type="pct"/>
            <w:tcBorders>
              <w:tl2br w:val="nil"/>
              <w:tr2bl w:val="nil"/>
            </w:tcBorders>
            <w:vAlign w:val="center"/>
          </w:tcPr>
          <w:p w14:paraId="6B05D3EB">
            <w:pPr>
              <w:pStyle w:val="44"/>
              <w:bidi w:val="0"/>
              <w:rPr>
                <w:color w:val="auto"/>
              </w:rPr>
            </w:pPr>
            <w:r>
              <w:rPr>
                <w:rFonts w:hint="eastAsia"/>
                <w:color w:val="auto"/>
                <w:lang w:val="en-US" w:eastAsia="zh-CN"/>
              </w:rPr>
              <w:t>2号地块</w:t>
            </w:r>
          </w:p>
        </w:tc>
      </w:tr>
      <w:tr w14:paraId="2F590C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909" w:type="pct"/>
            <w:gridSpan w:val="2"/>
            <w:vMerge w:val="restart"/>
            <w:tcBorders>
              <w:tl2br w:val="nil"/>
              <w:tr2bl w:val="nil"/>
            </w:tcBorders>
            <w:vAlign w:val="center"/>
          </w:tcPr>
          <w:p w14:paraId="3F2EDE31">
            <w:pPr>
              <w:pStyle w:val="44"/>
              <w:bidi w:val="0"/>
              <w:rPr>
                <w:rFonts w:hint="default"/>
                <w:color w:val="auto"/>
                <w:lang w:val="en-US" w:eastAsia="zh-CN"/>
              </w:rPr>
            </w:pPr>
            <w:r>
              <w:rPr>
                <w:rFonts w:hint="eastAsia"/>
                <w:color w:val="auto"/>
                <w:lang w:val="en-US" w:eastAsia="zh-CN"/>
              </w:rPr>
              <w:t>21#项目</w:t>
            </w:r>
          </w:p>
        </w:tc>
        <w:tc>
          <w:tcPr>
            <w:tcW w:w="564" w:type="pct"/>
            <w:vMerge w:val="restart"/>
            <w:tcBorders>
              <w:tl2br w:val="nil"/>
              <w:tr2bl w:val="nil"/>
            </w:tcBorders>
            <w:vAlign w:val="center"/>
          </w:tcPr>
          <w:p w14:paraId="7EDFEAB7">
            <w:pPr>
              <w:pStyle w:val="44"/>
              <w:bidi w:val="0"/>
              <w:rPr>
                <w:color w:val="auto"/>
              </w:rPr>
            </w:pPr>
            <w:r>
              <w:rPr>
                <w:color w:val="auto"/>
              </w:rPr>
              <w:t>挖方</w:t>
            </w:r>
          </w:p>
        </w:tc>
        <w:tc>
          <w:tcPr>
            <w:tcW w:w="609" w:type="pct"/>
            <w:vMerge w:val="restart"/>
            <w:tcBorders>
              <w:tl2br w:val="nil"/>
              <w:tr2bl w:val="nil"/>
            </w:tcBorders>
            <w:vAlign w:val="center"/>
          </w:tcPr>
          <w:p w14:paraId="1CF787F8">
            <w:pPr>
              <w:pStyle w:val="44"/>
              <w:bidi w:val="0"/>
              <w:rPr>
                <w:color w:val="auto"/>
              </w:rPr>
            </w:pPr>
            <w:r>
              <w:rPr>
                <w:color w:val="auto"/>
              </w:rPr>
              <w:t>填方</w:t>
            </w:r>
          </w:p>
        </w:tc>
        <w:tc>
          <w:tcPr>
            <w:tcW w:w="513" w:type="pct"/>
            <w:vMerge w:val="restart"/>
            <w:tcBorders>
              <w:tl2br w:val="nil"/>
              <w:tr2bl w:val="nil"/>
            </w:tcBorders>
            <w:vAlign w:val="center"/>
          </w:tcPr>
          <w:p w14:paraId="352EED1A">
            <w:pPr>
              <w:pStyle w:val="44"/>
              <w:bidi w:val="0"/>
              <w:rPr>
                <w:color w:val="auto"/>
              </w:rPr>
            </w:pPr>
            <w:r>
              <w:rPr>
                <w:color w:val="auto"/>
              </w:rPr>
              <w:t>外借方</w:t>
            </w:r>
          </w:p>
        </w:tc>
        <w:tc>
          <w:tcPr>
            <w:tcW w:w="447" w:type="pct"/>
            <w:vMerge w:val="restart"/>
            <w:tcBorders>
              <w:tl2br w:val="nil"/>
              <w:tr2bl w:val="nil"/>
            </w:tcBorders>
            <w:vAlign w:val="center"/>
          </w:tcPr>
          <w:p w14:paraId="379A3875">
            <w:pPr>
              <w:pStyle w:val="44"/>
              <w:bidi w:val="0"/>
              <w:rPr>
                <w:color w:val="auto"/>
              </w:rPr>
            </w:pPr>
            <w:r>
              <w:rPr>
                <w:color w:val="auto"/>
              </w:rPr>
              <w:t>弃方</w:t>
            </w:r>
          </w:p>
        </w:tc>
        <w:tc>
          <w:tcPr>
            <w:tcW w:w="1050" w:type="pct"/>
            <w:gridSpan w:val="2"/>
            <w:tcBorders>
              <w:tl2br w:val="nil"/>
              <w:tr2bl w:val="nil"/>
            </w:tcBorders>
            <w:vAlign w:val="center"/>
          </w:tcPr>
          <w:p w14:paraId="43834065">
            <w:pPr>
              <w:pStyle w:val="44"/>
              <w:bidi w:val="0"/>
              <w:rPr>
                <w:color w:val="auto"/>
              </w:rPr>
            </w:pPr>
            <w:r>
              <w:rPr>
                <w:color w:val="auto"/>
              </w:rPr>
              <w:t>调入方</w:t>
            </w:r>
          </w:p>
        </w:tc>
        <w:tc>
          <w:tcPr>
            <w:tcW w:w="905" w:type="pct"/>
            <w:gridSpan w:val="2"/>
            <w:tcBorders>
              <w:tl2br w:val="nil"/>
              <w:tr2bl w:val="nil"/>
            </w:tcBorders>
            <w:vAlign w:val="center"/>
          </w:tcPr>
          <w:p w14:paraId="3A871F65">
            <w:pPr>
              <w:pStyle w:val="44"/>
              <w:bidi w:val="0"/>
              <w:rPr>
                <w:color w:val="auto"/>
              </w:rPr>
            </w:pPr>
            <w:r>
              <w:rPr>
                <w:color w:val="auto"/>
              </w:rPr>
              <w:t>调出方</w:t>
            </w:r>
          </w:p>
        </w:tc>
      </w:tr>
      <w:tr w14:paraId="5AF2EF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909" w:type="pct"/>
            <w:gridSpan w:val="2"/>
            <w:vMerge w:val="continue"/>
            <w:tcBorders>
              <w:tl2br w:val="nil"/>
              <w:tr2bl w:val="nil"/>
            </w:tcBorders>
            <w:vAlign w:val="center"/>
          </w:tcPr>
          <w:p w14:paraId="37797532">
            <w:pPr>
              <w:pStyle w:val="44"/>
              <w:bidi w:val="0"/>
              <w:rPr>
                <w:color w:val="auto"/>
              </w:rPr>
            </w:pPr>
          </w:p>
        </w:tc>
        <w:tc>
          <w:tcPr>
            <w:tcW w:w="564" w:type="pct"/>
            <w:vMerge w:val="continue"/>
            <w:tcBorders>
              <w:tl2br w:val="nil"/>
              <w:tr2bl w:val="nil"/>
            </w:tcBorders>
            <w:vAlign w:val="center"/>
          </w:tcPr>
          <w:p w14:paraId="3AD9D11F">
            <w:pPr>
              <w:pStyle w:val="44"/>
              <w:bidi w:val="0"/>
              <w:rPr>
                <w:color w:val="auto"/>
              </w:rPr>
            </w:pPr>
          </w:p>
        </w:tc>
        <w:tc>
          <w:tcPr>
            <w:tcW w:w="609" w:type="pct"/>
            <w:vMerge w:val="continue"/>
            <w:tcBorders>
              <w:tl2br w:val="nil"/>
              <w:tr2bl w:val="nil"/>
            </w:tcBorders>
            <w:vAlign w:val="center"/>
          </w:tcPr>
          <w:p w14:paraId="048038DD">
            <w:pPr>
              <w:pStyle w:val="44"/>
              <w:bidi w:val="0"/>
              <w:rPr>
                <w:color w:val="auto"/>
              </w:rPr>
            </w:pPr>
          </w:p>
        </w:tc>
        <w:tc>
          <w:tcPr>
            <w:tcW w:w="513" w:type="pct"/>
            <w:vMerge w:val="continue"/>
            <w:tcBorders>
              <w:tl2br w:val="nil"/>
              <w:tr2bl w:val="nil"/>
            </w:tcBorders>
            <w:vAlign w:val="center"/>
          </w:tcPr>
          <w:p w14:paraId="6F35EDC3">
            <w:pPr>
              <w:pStyle w:val="44"/>
              <w:bidi w:val="0"/>
              <w:rPr>
                <w:color w:val="auto"/>
              </w:rPr>
            </w:pPr>
          </w:p>
        </w:tc>
        <w:tc>
          <w:tcPr>
            <w:tcW w:w="447" w:type="pct"/>
            <w:vMerge w:val="continue"/>
            <w:tcBorders>
              <w:tl2br w:val="nil"/>
              <w:tr2bl w:val="nil"/>
            </w:tcBorders>
            <w:vAlign w:val="center"/>
          </w:tcPr>
          <w:p w14:paraId="79385478">
            <w:pPr>
              <w:pStyle w:val="44"/>
              <w:bidi w:val="0"/>
              <w:rPr>
                <w:color w:val="auto"/>
              </w:rPr>
            </w:pPr>
          </w:p>
        </w:tc>
        <w:tc>
          <w:tcPr>
            <w:tcW w:w="650" w:type="pct"/>
            <w:tcBorders>
              <w:tl2br w:val="nil"/>
              <w:tr2bl w:val="nil"/>
            </w:tcBorders>
            <w:vAlign w:val="center"/>
          </w:tcPr>
          <w:p w14:paraId="4C9215DF">
            <w:pPr>
              <w:pStyle w:val="44"/>
              <w:bidi w:val="0"/>
              <w:rPr>
                <w:color w:val="auto"/>
              </w:rPr>
            </w:pPr>
            <w:r>
              <w:rPr>
                <w:color w:val="auto"/>
              </w:rPr>
              <w:t>数量</w:t>
            </w:r>
          </w:p>
        </w:tc>
        <w:tc>
          <w:tcPr>
            <w:tcW w:w="400" w:type="pct"/>
            <w:tcBorders>
              <w:tl2br w:val="nil"/>
              <w:tr2bl w:val="nil"/>
            </w:tcBorders>
            <w:vAlign w:val="center"/>
          </w:tcPr>
          <w:p w14:paraId="16094581">
            <w:pPr>
              <w:pStyle w:val="44"/>
              <w:bidi w:val="0"/>
              <w:rPr>
                <w:color w:val="auto"/>
              </w:rPr>
            </w:pPr>
            <w:r>
              <w:rPr>
                <w:color w:val="auto"/>
              </w:rPr>
              <w:t>来源</w:t>
            </w:r>
          </w:p>
        </w:tc>
        <w:tc>
          <w:tcPr>
            <w:tcW w:w="527" w:type="pct"/>
            <w:tcBorders>
              <w:tl2br w:val="nil"/>
              <w:tr2bl w:val="nil"/>
            </w:tcBorders>
            <w:vAlign w:val="center"/>
          </w:tcPr>
          <w:p w14:paraId="033663BB">
            <w:pPr>
              <w:pStyle w:val="44"/>
              <w:bidi w:val="0"/>
              <w:rPr>
                <w:color w:val="auto"/>
              </w:rPr>
            </w:pPr>
            <w:r>
              <w:rPr>
                <w:color w:val="auto"/>
              </w:rPr>
              <w:t>数量</w:t>
            </w:r>
          </w:p>
        </w:tc>
        <w:tc>
          <w:tcPr>
            <w:tcW w:w="378" w:type="pct"/>
            <w:tcBorders>
              <w:tl2br w:val="nil"/>
              <w:tr2bl w:val="nil"/>
            </w:tcBorders>
            <w:vAlign w:val="center"/>
          </w:tcPr>
          <w:p w14:paraId="63189D48">
            <w:pPr>
              <w:pStyle w:val="44"/>
              <w:bidi w:val="0"/>
              <w:rPr>
                <w:color w:val="auto"/>
              </w:rPr>
            </w:pPr>
            <w:r>
              <w:rPr>
                <w:color w:val="auto"/>
              </w:rPr>
              <w:t>去向</w:t>
            </w:r>
          </w:p>
        </w:tc>
      </w:tr>
      <w:tr w14:paraId="02D762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249" w:type="pct"/>
            <w:tcBorders>
              <w:tl2br w:val="nil"/>
              <w:tr2bl w:val="nil"/>
            </w:tcBorders>
            <w:vAlign w:val="center"/>
          </w:tcPr>
          <w:p w14:paraId="21613C57">
            <w:pPr>
              <w:pStyle w:val="44"/>
              <w:bidi w:val="0"/>
              <w:rPr>
                <w:color w:val="auto"/>
              </w:rPr>
            </w:pPr>
            <w:r>
              <w:rPr>
                <w:color w:val="auto"/>
              </w:rPr>
              <w:t>生态恢复期</w:t>
            </w:r>
          </w:p>
        </w:tc>
        <w:tc>
          <w:tcPr>
            <w:tcW w:w="659" w:type="pct"/>
            <w:tcBorders>
              <w:tl2br w:val="nil"/>
              <w:tr2bl w:val="nil"/>
            </w:tcBorders>
            <w:vAlign w:val="center"/>
          </w:tcPr>
          <w:p w14:paraId="4514B34A">
            <w:pPr>
              <w:pStyle w:val="44"/>
              <w:bidi w:val="0"/>
              <w:rPr>
                <w:rFonts w:hint="eastAsia"/>
                <w:color w:val="auto"/>
                <w:lang w:eastAsia="zh-CN"/>
              </w:rPr>
            </w:pPr>
            <w:r>
              <w:rPr>
                <w:color w:val="auto"/>
              </w:rPr>
              <w:t>覆土复垦</w:t>
            </w:r>
            <w:r>
              <w:rPr>
                <w:rFonts w:hint="eastAsia"/>
                <w:color w:val="auto"/>
                <w:lang w:eastAsia="zh-CN"/>
              </w:rPr>
              <w:t>（</w:t>
            </w:r>
            <w:r>
              <w:rPr>
                <w:rFonts w:hint="eastAsia"/>
                <w:color w:val="auto"/>
                <w:lang w:val="en-US" w:eastAsia="zh-CN"/>
              </w:rPr>
              <w:t>表土</w:t>
            </w:r>
            <w:r>
              <w:rPr>
                <w:rFonts w:hint="eastAsia"/>
                <w:color w:val="auto"/>
                <w:lang w:eastAsia="zh-CN"/>
              </w:rPr>
              <w:t>）</w:t>
            </w:r>
          </w:p>
        </w:tc>
        <w:tc>
          <w:tcPr>
            <w:tcW w:w="564" w:type="pct"/>
            <w:tcBorders>
              <w:tl2br w:val="nil"/>
              <w:tr2bl w:val="nil"/>
            </w:tcBorders>
            <w:vAlign w:val="center"/>
          </w:tcPr>
          <w:p w14:paraId="3E523EAB">
            <w:pPr>
              <w:pStyle w:val="44"/>
              <w:bidi w:val="0"/>
              <w:rPr>
                <w:rFonts w:hint="eastAsia"/>
                <w:color w:val="auto"/>
                <w:lang w:val="en-US" w:eastAsia="zh-CN"/>
              </w:rPr>
            </w:pPr>
            <w:r>
              <w:rPr>
                <w:rFonts w:hint="default"/>
                <w:color w:val="auto"/>
                <w:lang w:val="en-US" w:eastAsia="zh-CN"/>
              </w:rPr>
              <w:t>6714.8</w:t>
            </w:r>
          </w:p>
        </w:tc>
        <w:tc>
          <w:tcPr>
            <w:tcW w:w="609" w:type="pct"/>
            <w:tcBorders>
              <w:tl2br w:val="nil"/>
              <w:tr2bl w:val="nil"/>
            </w:tcBorders>
            <w:vAlign w:val="center"/>
          </w:tcPr>
          <w:p w14:paraId="62CF12D3">
            <w:pPr>
              <w:pStyle w:val="44"/>
              <w:bidi w:val="0"/>
              <w:rPr>
                <w:color w:val="auto"/>
              </w:rPr>
            </w:pPr>
            <w:r>
              <w:rPr>
                <w:rFonts w:hint="default"/>
                <w:color w:val="auto"/>
                <w:lang w:val="en-US" w:eastAsia="zh-CN"/>
              </w:rPr>
              <w:t>4681.5</w:t>
            </w:r>
          </w:p>
        </w:tc>
        <w:tc>
          <w:tcPr>
            <w:tcW w:w="513" w:type="pct"/>
            <w:tcBorders>
              <w:tl2br w:val="nil"/>
              <w:tr2bl w:val="nil"/>
            </w:tcBorders>
            <w:vAlign w:val="center"/>
          </w:tcPr>
          <w:p w14:paraId="782109F4">
            <w:pPr>
              <w:pStyle w:val="44"/>
              <w:bidi w:val="0"/>
              <w:rPr>
                <w:rFonts w:hint="eastAsia"/>
                <w:color w:val="auto"/>
                <w:lang w:eastAsia="zh-CN"/>
              </w:rPr>
            </w:pPr>
            <w:r>
              <w:rPr>
                <w:rFonts w:hint="eastAsia"/>
                <w:color w:val="auto"/>
                <w:lang w:val="en-US" w:eastAsia="zh-CN"/>
              </w:rPr>
              <w:t>0</w:t>
            </w:r>
          </w:p>
        </w:tc>
        <w:tc>
          <w:tcPr>
            <w:tcW w:w="447" w:type="pct"/>
            <w:tcBorders>
              <w:tl2br w:val="nil"/>
              <w:tr2bl w:val="nil"/>
            </w:tcBorders>
            <w:vAlign w:val="center"/>
          </w:tcPr>
          <w:p w14:paraId="76715D98">
            <w:pPr>
              <w:pStyle w:val="44"/>
              <w:bidi w:val="0"/>
              <w:rPr>
                <w:rFonts w:hint="eastAsia"/>
                <w:color w:val="auto"/>
                <w:lang w:val="en-US" w:eastAsia="zh-CN"/>
              </w:rPr>
            </w:pPr>
            <w:r>
              <w:rPr>
                <w:rFonts w:hint="eastAsia"/>
                <w:color w:val="auto"/>
                <w:lang w:val="en-US" w:eastAsia="zh-CN"/>
              </w:rPr>
              <w:t>0</w:t>
            </w:r>
          </w:p>
        </w:tc>
        <w:tc>
          <w:tcPr>
            <w:tcW w:w="650" w:type="pct"/>
            <w:tcBorders>
              <w:tl2br w:val="nil"/>
              <w:tr2bl w:val="nil"/>
            </w:tcBorders>
            <w:vAlign w:val="center"/>
          </w:tcPr>
          <w:p w14:paraId="490F1CBD">
            <w:pPr>
              <w:pStyle w:val="44"/>
              <w:bidi w:val="0"/>
              <w:rPr>
                <w:rFonts w:hint="eastAsia"/>
                <w:color w:val="auto"/>
                <w:lang w:eastAsia="zh-CN"/>
              </w:rPr>
            </w:pPr>
            <w:r>
              <w:rPr>
                <w:rFonts w:hint="eastAsia"/>
                <w:color w:val="auto"/>
                <w:lang w:val="en-US" w:eastAsia="zh-CN"/>
              </w:rPr>
              <w:t>0</w:t>
            </w:r>
          </w:p>
        </w:tc>
        <w:tc>
          <w:tcPr>
            <w:tcW w:w="400" w:type="pct"/>
            <w:tcBorders>
              <w:tl2br w:val="nil"/>
              <w:tr2bl w:val="nil"/>
            </w:tcBorders>
            <w:vAlign w:val="center"/>
          </w:tcPr>
          <w:p w14:paraId="3C00F941">
            <w:pPr>
              <w:pStyle w:val="44"/>
              <w:bidi w:val="0"/>
              <w:rPr>
                <w:color w:val="auto"/>
              </w:rPr>
            </w:pPr>
            <w:r>
              <w:rPr>
                <w:rFonts w:hint="eastAsia"/>
                <w:color w:val="auto"/>
                <w:lang w:val="en-US" w:eastAsia="zh-CN"/>
              </w:rPr>
              <w:t>/</w:t>
            </w:r>
          </w:p>
        </w:tc>
        <w:tc>
          <w:tcPr>
            <w:tcW w:w="527" w:type="pct"/>
            <w:tcBorders>
              <w:tl2br w:val="nil"/>
              <w:tr2bl w:val="nil"/>
            </w:tcBorders>
            <w:shd w:val="clear" w:color="auto" w:fill="auto"/>
            <w:vAlign w:val="center"/>
          </w:tcPr>
          <w:p w14:paraId="4324731F">
            <w:pPr>
              <w:pStyle w:val="44"/>
              <w:bidi w:val="0"/>
              <w:rPr>
                <w:rFonts w:hint="eastAsia"/>
                <w:color w:val="auto"/>
                <w:lang w:val="en-US" w:eastAsia="zh-CN"/>
              </w:rPr>
            </w:pPr>
            <w:r>
              <w:rPr>
                <w:rFonts w:hint="eastAsia"/>
                <w:color w:val="auto"/>
                <w:lang w:val="en-US" w:eastAsia="zh-CN"/>
              </w:rPr>
              <w:t>2033.3</w:t>
            </w:r>
          </w:p>
        </w:tc>
        <w:tc>
          <w:tcPr>
            <w:tcW w:w="378" w:type="pct"/>
            <w:tcBorders>
              <w:tl2br w:val="nil"/>
              <w:tr2bl w:val="nil"/>
            </w:tcBorders>
            <w:vAlign w:val="center"/>
          </w:tcPr>
          <w:p w14:paraId="26AFF3A6">
            <w:pPr>
              <w:pStyle w:val="44"/>
              <w:bidi w:val="0"/>
              <w:rPr>
                <w:color w:val="auto"/>
              </w:rPr>
            </w:pPr>
            <w:r>
              <w:rPr>
                <w:rFonts w:hint="eastAsia"/>
                <w:color w:val="auto"/>
                <w:lang w:val="en-US" w:eastAsia="zh-CN"/>
              </w:rPr>
              <w:t>2号地块</w:t>
            </w:r>
          </w:p>
        </w:tc>
      </w:tr>
      <w:tr w14:paraId="60F7C2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909" w:type="pct"/>
            <w:gridSpan w:val="2"/>
            <w:vMerge w:val="restart"/>
            <w:tcBorders>
              <w:tl2br w:val="nil"/>
              <w:tr2bl w:val="nil"/>
            </w:tcBorders>
            <w:vAlign w:val="center"/>
          </w:tcPr>
          <w:p w14:paraId="4719BFD5">
            <w:pPr>
              <w:pStyle w:val="44"/>
              <w:bidi w:val="0"/>
              <w:rPr>
                <w:rFonts w:hint="default"/>
                <w:color w:val="auto"/>
                <w:lang w:val="en-US" w:eastAsia="zh-CN"/>
              </w:rPr>
            </w:pPr>
            <w:r>
              <w:rPr>
                <w:rFonts w:hint="eastAsia"/>
                <w:color w:val="auto"/>
                <w:lang w:val="en-US" w:eastAsia="zh-CN"/>
              </w:rPr>
              <w:t>25#项目</w:t>
            </w:r>
          </w:p>
        </w:tc>
        <w:tc>
          <w:tcPr>
            <w:tcW w:w="564" w:type="pct"/>
            <w:vMerge w:val="restart"/>
            <w:tcBorders>
              <w:tl2br w:val="nil"/>
              <w:tr2bl w:val="nil"/>
            </w:tcBorders>
            <w:vAlign w:val="center"/>
          </w:tcPr>
          <w:p w14:paraId="59720D02">
            <w:pPr>
              <w:pStyle w:val="44"/>
              <w:bidi w:val="0"/>
              <w:rPr>
                <w:color w:val="auto"/>
              </w:rPr>
            </w:pPr>
            <w:r>
              <w:rPr>
                <w:color w:val="auto"/>
              </w:rPr>
              <w:t>挖方</w:t>
            </w:r>
          </w:p>
        </w:tc>
        <w:tc>
          <w:tcPr>
            <w:tcW w:w="609" w:type="pct"/>
            <w:vMerge w:val="restart"/>
            <w:tcBorders>
              <w:tl2br w:val="nil"/>
              <w:tr2bl w:val="nil"/>
            </w:tcBorders>
            <w:vAlign w:val="center"/>
          </w:tcPr>
          <w:p w14:paraId="694AC26F">
            <w:pPr>
              <w:pStyle w:val="44"/>
              <w:bidi w:val="0"/>
              <w:rPr>
                <w:color w:val="auto"/>
              </w:rPr>
            </w:pPr>
            <w:r>
              <w:rPr>
                <w:color w:val="auto"/>
              </w:rPr>
              <w:t>填方</w:t>
            </w:r>
          </w:p>
        </w:tc>
        <w:tc>
          <w:tcPr>
            <w:tcW w:w="513" w:type="pct"/>
            <w:vMerge w:val="restart"/>
            <w:tcBorders>
              <w:tl2br w:val="nil"/>
              <w:tr2bl w:val="nil"/>
            </w:tcBorders>
            <w:vAlign w:val="center"/>
          </w:tcPr>
          <w:p w14:paraId="7A33E8D6">
            <w:pPr>
              <w:pStyle w:val="44"/>
              <w:bidi w:val="0"/>
              <w:rPr>
                <w:color w:val="auto"/>
              </w:rPr>
            </w:pPr>
            <w:r>
              <w:rPr>
                <w:color w:val="auto"/>
              </w:rPr>
              <w:t>外借方</w:t>
            </w:r>
          </w:p>
        </w:tc>
        <w:tc>
          <w:tcPr>
            <w:tcW w:w="447" w:type="pct"/>
            <w:vMerge w:val="restart"/>
            <w:tcBorders>
              <w:tl2br w:val="nil"/>
              <w:tr2bl w:val="nil"/>
            </w:tcBorders>
            <w:vAlign w:val="center"/>
          </w:tcPr>
          <w:p w14:paraId="2DBEC665">
            <w:pPr>
              <w:pStyle w:val="44"/>
              <w:bidi w:val="0"/>
              <w:rPr>
                <w:color w:val="auto"/>
              </w:rPr>
            </w:pPr>
            <w:r>
              <w:rPr>
                <w:color w:val="auto"/>
              </w:rPr>
              <w:t>弃方</w:t>
            </w:r>
          </w:p>
        </w:tc>
        <w:tc>
          <w:tcPr>
            <w:tcW w:w="1050" w:type="pct"/>
            <w:gridSpan w:val="2"/>
            <w:tcBorders>
              <w:tl2br w:val="nil"/>
              <w:tr2bl w:val="nil"/>
            </w:tcBorders>
            <w:vAlign w:val="center"/>
          </w:tcPr>
          <w:p w14:paraId="030FEDB8">
            <w:pPr>
              <w:pStyle w:val="44"/>
              <w:bidi w:val="0"/>
              <w:rPr>
                <w:color w:val="auto"/>
              </w:rPr>
            </w:pPr>
            <w:r>
              <w:rPr>
                <w:color w:val="auto"/>
              </w:rPr>
              <w:t>调入方</w:t>
            </w:r>
          </w:p>
        </w:tc>
        <w:tc>
          <w:tcPr>
            <w:tcW w:w="905" w:type="pct"/>
            <w:gridSpan w:val="2"/>
            <w:tcBorders>
              <w:tl2br w:val="nil"/>
              <w:tr2bl w:val="nil"/>
            </w:tcBorders>
            <w:vAlign w:val="center"/>
          </w:tcPr>
          <w:p w14:paraId="410803E9">
            <w:pPr>
              <w:pStyle w:val="44"/>
              <w:bidi w:val="0"/>
              <w:rPr>
                <w:color w:val="auto"/>
              </w:rPr>
            </w:pPr>
            <w:r>
              <w:rPr>
                <w:color w:val="auto"/>
              </w:rPr>
              <w:t>调出方</w:t>
            </w:r>
          </w:p>
        </w:tc>
      </w:tr>
      <w:tr w14:paraId="2595C9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909" w:type="pct"/>
            <w:gridSpan w:val="2"/>
            <w:vMerge w:val="continue"/>
            <w:tcBorders>
              <w:tl2br w:val="nil"/>
              <w:tr2bl w:val="nil"/>
            </w:tcBorders>
            <w:vAlign w:val="center"/>
          </w:tcPr>
          <w:p w14:paraId="3ED4054C">
            <w:pPr>
              <w:pStyle w:val="44"/>
              <w:bidi w:val="0"/>
              <w:rPr>
                <w:color w:val="auto"/>
              </w:rPr>
            </w:pPr>
          </w:p>
        </w:tc>
        <w:tc>
          <w:tcPr>
            <w:tcW w:w="564" w:type="pct"/>
            <w:vMerge w:val="continue"/>
            <w:tcBorders>
              <w:tl2br w:val="nil"/>
              <w:tr2bl w:val="nil"/>
            </w:tcBorders>
            <w:vAlign w:val="center"/>
          </w:tcPr>
          <w:p w14:paraId="52F9FECA">
            <w:pPr>
              <w:pStyle w:val="44"/>
              <w:bidi w:val="0"/>
              <w:rPr>
                <w:color w:val="auto"/>
              </w:rPr>
            </w:pPr>
          </w:p>
        </w:tc>
        <w:tc>
          <w:tcPr>
            <w:tcW w:w="609" w:type="pct"/>
            <w:vMerge w:val="continue"/>
            <w:tcBorders>
              <w:tl2br w:val="nil"/>
              <w:tr2bl w:val="nil"/>
            </w:tcBorders>
            <w:vAlign w:val="center"/>
          </w:tcPr>
          <w:p w14:paraId="573CDF2A">
            <w:pPr>
              <w:pStyle w:val="44"/>
              <w:bidi w:val="0"/>
              <w:rPr>
                <w:color w:val="auto"/>
              </w:rPr>
            </w:pPr>
          </w:p>
        </w:tc>
        <w:tc>
          <w:tcPr>
            <w:tcW w:w="513" w:type="pct"/>
            <w:vMerge w:val="continue"/>
            <w:tcBorders>
              <w:tl2br w:val="nil"/>
              <w:tr2bl w:val="nil"/>
            </w:tcBorders>
            <w:vAlign w:val="center"/>
          </w:tcPr>
          <w:p w14:paraId="69E2DA0A">
            <w:pPr>
              <w:pStyle w:val="44"/>
              <w:bidi w:val="0"/>
              <w:rPr>
                <w:color w:val="auto"/>
              </w:rPr>
            </w:pPr>
          </w:p>
        </w:tc>
        <w:tc>
          <w:tcPr>
            <w:tcW w:w="447" w:type="pct"/>
            <w:vMerge w:val="continue"/>
            <w:tcBorders>
              <w:tl2br w:val="nil"/>
              <w:tr2bl w:val="nil"/>
            </w:tcBorders>
            <w:vAlign w:val="center"/>
          </w:tcPr>
          <w:p w14:paraId="711D5D49">
            <w:pPr>
              <w:pStyle w:val="44"/>
              <w:bidi w:val="0"/>
              <w:rPr>
                <w:color w:val="auto"/>
              </w:rPr>
            </w:pPr>
          </w:p>
        </w:tc>
        <w:tc>
          <w:tcPr>
            <w:tcW w:w="650" w:type="pct"/>
            <w:tcBorders>
              <w:tl2br w:val="nil"/>
              <w:tr2bl w:val="nil"/>
            </w:tcBorders>
            <w:vAlign w:val="center"/>
          </w:tcPr>
          <w:p w14:paraId="42A012BC">
            <w:pPr>
              <w:pStyle w:val="44"/>
              <w:bidi w:val="0"/>
              <w:rPr>
                <w:color w:val="auto"/>
              </w:rPr>
            </w:pPr>
            <w:r>
              <w:rPr>
                <w:color w:val="auto"/>
              </w:rPr>
              <w:t>数量</w:t>
            </w:r>
          </w:p>
        </w:tc>
        <w:tc>
          <w:tcPr>
            <w:tcW w:w="400" w:type="pct"/>
            <w:tcBorders>
              <w:tl2br w:val="nil"/>
              <w:tr2bl w:val="nil"/>
            </w:tcBorders>
            <w:vAlign w:val="center"/>
          </w:tcPr>
          <w:p w14:paraId="67A85387">
            <w:pPr>
              <w:pStyle w:val="44"/>
              <w:bidi w:val="0"/>
              <w:rPr>
                <w:color w:val="auto"/>
              </w:rPr>
            </w:pPr>
            <w:r>
              <w:rPr>
                <w:color w:val="auto"/>
              </w:rPr>
              <w:t>来源</w:t>
            </w:r>
          </w:p>
        </w:tc>
        <w:tc>
          <w:tcPr>
            <w:tcW w:w="527" w:type="pct"/>
            <w:tcBorders>
              <w:tl2br w:val="nil"/>
              <w:tr2bl w:val="nil"/>
            </w:tcBorders>
            <w:vAlign w:val="center"/>
          </w:tcPr>
          <w:p w14:paraId="2CF2FD53">
            <w:pPr>
              <w:pStyle w:val="44"/>
              <w:bidi w:val="0"/>
              <w:rPr>
                <w:color w:val="auto"/>
              </w:rPr>
            </w:pPr>
            <w:r>
              <w:rPr>
                <w:color w:val="auto"/>
              </w:rPr>
              <w:t>数量</w:t>
            </w:r>
          </w:p>
        </w:tc>
        <w:tc>
          <w:tcPr>
            <w:tcW w:w="378" w:type="pct"/>
            <w:tcBorders>
              <w:tl2br w:val="nil"/>
              <w:tr2bl w:val="nil"/>
            </w:tcBorders>
            <w:vAlign w:val="center"/>
          </w:tcPr>
          <w:p w14:paraId="70FEC2B7">
            <w:pPr>
              <w:pStyle w:val="44"/>
              <w:bidi w:val="0"/>
              <w:rPr>
                <w:color w:val="auto"/>
              </w:rPr>
            </w:pPr>
            <w:r>
              <w:rPr>
                <w:color w:val="auto"/>
              </w:rPr>
              <w:t>去向</w:t>
            </w:r>
          </w:p>
        </w:tc>
      </w:tr>
      <w:tr w14:paraId="5F886A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249" w:type="pct"/>
            <w:tcBorders>
              <w:tl2br w:val="nil"/>
              <w:tr2bl w:val="nil"/>
            </w:tcBorders>
            <w:vAlign w:val="center"/>
          </w:tcPr>
          <w:p w14:paraId="49D854C4">
            <w:pPr>
              <w:pStyle w:val="44"/>
              <w:bidi w:val="0"/>
              <w:rPr>
                <w:color w:val="auto"/>
              </w:rPr>
            </w:pPr>
            <w:r>
              <w:rPr>
                <w:color w:val="auto"/>
              </w:rPr>
              <w:t>施工期</w:t>
            </w:r>
          </w:p>
        </w:tc>
        <w:tc>
          <w:tcPr>
            <w:tcW w:w="659" w:type="pct"/>
            <w:tcBorders>
              <w:tl2br w:val="nil"/>
              <w:tr2bl w:val="nil"/>
            </w:tcBorders>
            <w:vAlign w:val="center"/>
          </w:tcPr>
          <w:p w14:paraId="7C6DAE67">
            <w:pPr>
              <w:pStyle w:val="44"/>
              <w:bidi w:val="0"/>
              <w:rPr>
                <w:color w:val="auto"/>
              </w:rPr>
            </w:pPr>
            <w:r>
              <w:rPr>
                <w:rFonts w:hint="eastAsia"/>
                <w:color w:val="auto"/>
                <w:lang w:val="en-US" w:eastAsia="zh-CN"/>
              </w:rPr>
              <w:t>其他</w:t>
            </w:r>
            <w:r>
              <w:rPr>
                <w:rFonts w:hint="eastAsia"/>
                <w:color w:val="auto"/>
              </w:rPr>
              <w:t>工程</w:t>
            </w:r>
          </w:p>
        </w:tc>
        <w:tc>
          <w:tcPr>
            <w:tcW w:w="564" w:type="pct"/>
            <w:tcBorders>
              <w:tl2br w:val="nil"/>
              <w:tr2bl w:val="nil"/>
            </w:tcBorders>
            <w:vAlign w:val="center"/>
          </w:tcPr>
          <w:p w14:paraId="0581EFCE">
            <w:pPr>
              <w:pStyle w:val="44"/>
              <w:bidi w:val="0"/>
              <w:rPr>
                <w:rFonts w:hint="eastAsia"/>
                <w:color w:val="auto"/>
                <w:lang w:val="en-US" w:eastAsia="zh-CN"/>
              </w:rPr>
            </w:pPr>
            <w:r>
              <w:rPr>
                <w:rFonts w:hint="default"/>
                <w:color w:val="auto"/>
                <w:lang w:val="en-US" w:eastAsia="zh-CN"/>
              </w:rPr>
              <w:t>14049.8</w:t>
            </w:r>
          </w:p>
        </w:tc>
        <w:tc>
          <w:tcPr>
            <w:tcW w:w="609" w:type="pct"/>
            <w:tcBorders>
              <w:tl2br w:val="nil"/>
              <w:tr2bl w:val="nil"/>
            </w:tcBorders>
            <w:vAlign w:val="center"/>
          </w:tcPr>
          <w:p w14:paraId="072AB8EE">
            <w:pPr>
              <w:pStyle w:val="44"/>
              <w:bidi w:val="0"/>
              <w:rPr>
                <w:rFonts w:hint="eastAsia"/>
                <w:color w:val="auto"/>
                <w:lang w:val="en-US" w:eastAsia="zh-CN"/>
              </w:rPr>
            </w:pPr>
            <w:r>
              <w:rPr>
                <w:rFonts w:hint="default"/>
                <w:color w:val="auto"/>
                <w:lang w:val="en-US" w:eastAsia="zh-CN"/>
              </w:rPr>
              <w:t>64.3</w:t>
            </w:r>
          </w:p>
        </w:tc>
        <w:tc>
          <w:tcPr>
            <w:tcW w:w="513" w:type="pct"/>
            <w:tcBorders>
              <w:tl2br w:val="nil"/>
              <w:tr2bl w:val="nil"/>
            </w:tcBorders>
            <w:vAlign w:val="center"/>
          </w:tcPr>
          <w:p w14:paraId="66126DA4">
            <w:pPr>
              <w:pStyle w:val="44"/>
              <w:bidi w:val="0"/>
              <w:rPr>
                <w:rFonts w:hint="eastAsia"/>
                <w:color w:val="auto"/>
                <w:lang w:val="en-US" w:eastAsia="zh-CN"/>
              </w:rPr>
            </w:pPr>
            <w:r>
              <w:rPr>
                <w:rFonts w:hint="eastAsia"/>
                <w:color w:val="auto"/>
                <w:lang w:val="en-US" w:eastAsia="zh-CN"/>
              </w:rPr>
              <w:t>0</w:t>
            </w:r>
          </w:p>
        </w:tc>
        <w:tc>
          <w:tcPr>
            <w:tcW w:w="447" w:type="pct"/>
            <w:tcBorders>
              <w:tl2br w:val="nil"/>
              <w:tr2bl w:val="nil"/>
            </w:tcBorders>
            <w:vAlign w:val="center"/>
          </w:tcPr>
          <w:p w14:paraId="1ECB16AF">
            <w:pPr>
              <w:pStyle w:val="44"/>
              <w:bidi w:val="0"/>
              <w:rPr>
                <w:rFonts w:hint="eastAsia"/>
                <w:color w:val="auto"/>
                <w:lang w:val="en-US" w:eastAsia="zh-CN"/>
              </w:rPr>
            </w:pPr>
            <w:r>
              <w:rPr>
                <w:rFonts w:hint="eastAsia"/>
                <w:color w:val="auto"/>
                <w:lang w:val="en-US" w:eastAsia="zh-CN"/>
              </w:rPr>
              <w:t>0</w:t>
            </w:r>
          </w:p>
        </w:tc>
        <w:tc>
          <w:tcPr>
            <w:tcW w:w="650" w:type="pct"/>
            <w:tcBorders>
              <w:tl2br w:val="nil"/>
              <w:tr2bl w:val="nil"/>
            </w:tcBorders>
            <w:vAlign w:val="center"/>
          </w:tcPr>
          <w:p w14:paraId="2C2C79C4">
            <w:pPr>
              <w:pStyle w:val="44"/>
              <w:bidi w:val="0"/>
              <w:rPr>
                <w:rFonts w:hint="eastAsia"/>
                <w:color w:val="auto"/>
                <w:lang w:val="en-US" w:eastAsia="zh-CN"/>
              </w:rPr>
            </w:pPr>
            <w:r>
              <w:rPr>
                <w:rFonts w:hint="eastAsia"/>
                <w:color w:val="auto"/>
                <w:lang w:val="en-US" w:eastAsia="zh-CN"/>
              </w:rPr>
              <w:t>0</w:t>
            </w:r>
          </w:p>
        </w:tc>
        <w:tc>
          <w:tcPr>
            <w:tcW w:w="400" w:type="pct"/>
            <w:tcBorders>
              <w:tl2br w:val="nil"/>
              <w:tr2bl w:val="nil"/>
            </w:tcBorders>
            <w:vAlign w:val="center"/>
          </w:tcPr>
          <w:p w14:paraId="174888F0">
            <w:pPr>
              <w:pStyle w:val="44"/>
              <w:bidi w:val="0"/>
              <w:rPr>
                <w:rFonts w:hint="default"/>
                <w:color w:val="auto"/>
                <w:lang w:val="en-US" w:eastAsia="zh-CN"/>
              </w:rPr>
            </w:pPr>
            <w:r>
              <w:rPr>
                <w:rFonts w:hint="eastAsia"/>
                <w:color w:val="auto"/>
                <w:lang w:val="en-US" w:eastAsia="zh-CN"/>
              </w:rPr>
              <w:t>/</w:t>
            </w:r>
          </w:p>
        </w:tc>
        <w:tc>
          <w:tcPr>
            <w:tcW w:w="527" w:type="pct"/>
            <w:tcBorders>
              <w:tl2br w:val="nil"/>
              <w:tr2bl w:val="nil"/>
            </w:tcBorders>
            <w:vAlign w:val="center"/>
          </w:tcPr>
          <w:p w14:paraId="22935E27">
            <w:pPr>
              <w:pStyle w:val="44"/>
              <w:bidi w:val="0"/>
              <w:rPr>
                <w:rFonts w:hint="eastAsia"/>
                <w:color w:val="auto"/>
                <w:lang w:val="en-US" w:eastAsia="zh-CN"/>
              </w:rPr>
            </w:pPr>
            <w:r>
              <w:rPr>
                <w:rFonts w:hint="eastAsia"/>
                <w:color w:val="auto"/>
                <w:lang w:val="en-US" w:eastAsia="zh-CN"/>
              </w:rPr>
              <w:t>13985.5</w:t>
            </w:r>
          </w:p>
        </w:tc>
        <w:tc>
          <w:tcPr>
            <w:tcW w:w="378" w:type="pct"/>
            <w:tcBorders>
              <w:tl2br w:val="nil"/>
              <w:tr2bl w:val="nil"/>
            </w:tcBorders>
            <w:vAlign w:val="center"/>
          </w:tcPr>
          <w:p w14:paraId="473988C3">
            <w:pPr>
              <w:pStyle w:val="44"/>
              <w:bidi w:val="0"/>
              <w:rPr>
                <w:rFonts w:hint="default"/>
                <w:color w:val="auto"/>
                <w:lang w:val="en-US" w:eastAsia="zh-CN"/>
              </w:rPr>
            </w:pPr>
            <w:r>
              <w:rPr>
                <w:rFonts w:hint="eastAsia"/>
                <w:color w:val="auto"/>
                <w:lang w:val="en-US" w:eastAsia="zh-CN"/>
              </w:rPr>
              <w:t>2号地块</w:t>
            </w:r>
          </w:p>
        </w:tc>
      </w:tr>
      <w:tr w14:paraId="09A012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909" w:type="pct"/>
            <w:gridSpan w:val="2"/>
            <w:vMerge w:val="restart"/>
            <w:tcBorders>
              <w:tl2br w:val="nil"/>
              <w:tr2bl w:val="nil"/>
            </w:tcBorders>
            <w:vAlign w:val="center"/>
          </w:tcPr>
          <w:p w14:paraId="02B964CC">
            <w:pPr>
              <w:pStyle w:val="44"/>
              <w:bidi w:val="0"/>
              <w:rPr>
                <w:rFonts w:hint="default"/>
                <w:color w:val="auto"/>
                <w:lang w:val="en-US" w:eastAsia="zh-CN"/>
              </w:rPr>
            </w:pPr>
            <w:r>
              <w:rPr>
                <w:rFonts w:hint="eastAsia"/>
                <w:color w:val="auto"/>
                <w:lang w:val="en-US" w:eastAsia="zh-CN"/>
              </w:rPr>
              <w:t>31#项目</w:t>
            </w:r>
          </w:p>
        </w:tc>
        <w:tc>
          <w:tcPr>
            <w:tcW w:w="564" w:type="pct"/>
            <w:vMerge w:val="restart"/>
            <w:tcBorders>
              <w:tl2br w:val="nil"/>
              <w:tr2bl w:val="nil"/>
            </w:tcBorders>
            <w:vAlign w:val="center"/>
          </w:tcPr>
          <w:p w14:paraId="195C0870">
            <w:pPr>
              <w:pStyle w:val="44"/>
              <w:bidi w:val="0"/>
              <w:rPr>
                <w:color w:val="auto"/>
              </w:rPr>
            </w:pPr>
            <w:r>
              <w:rPr>
                <w:color w:val="auto"/>
              </w:rPr>
              <w:t>挖方</w:t>
            </w:r>
          </w:p>
        </w:tc>
        <w:tc>
          <w:tcPr>
            <w:tcW w:w="609" w:type="pct"/>
            <w:vMerge w:val="restart"/>
            <w:tcBorders>
              <w:tl2br w:val="nil"/>
              <w:tr2bl w:val="nil"/>
            </w:tcBorders>
            <w:vAlign w:val="center"/>
          </w:tcPr>
          <w:p w14:paraId="4663D032">
            <w:pPr>
              <w:pStyle w:val="44"/>
              <w:bidi w:val="0"/>
              <w:rPr>
                <w:color w:val="auto"/>
              </w:rPr>
            </w:pPr>
            <w:r>
              <w:rPr>
                <w:color w:val="auto"/>
              </w:rPr>
              <w:t>填方</w:t>
            </w:r>
          </w:p>
        </w:tc>
        <w:tc>
          <w:tcPr>
            <w:tcW w:w="513" w:type="pct"/>
            <w:vMerge w:val="restart"/>
            <w:tcBorders>
              <w:tl2br w:val="nil"/>
              <w:tr2bl w:val="nil"/>
            </w:tcBorders>
            <w:vAlign w:val="center"/>
          </w:tcPr>
          <w:p w14:paraId="0DD79B51">
            <w:pPr>
              <w:pStyle w:val="44"/>
              <w:bidi w:val="0"/>
              <w:rPr>
                <w:color w:val="auto"/>
              </w:rPr>
            </w:pPr>
            <w:r>
              <w:rPr>
                <w:color w:val="auto"/>
              </w:rPr>
              <w:t>外借方</w:t>
            </w:r>
          </w:p>
        </w:tc>
        <w:tc>
          <w:tcPr>
            <w:tcW w:w="447" w:type="pct"/>
            <w:vMerge w:val="restart"/>
            <w:tcBorders>
              <w:tl2br w:val="nil"/>
              <w:tr2bl w:val="nil"/>
            </w:tcBorders>
            <w:vAlign w:val="center"/>
          </w:tcPr>
          <w:p w14:paraId="5EA97CAE">
            <w:pPr>
              <w:pStyle w:val="44"/>
              <w:bidi w:val="0"/>
              <w:rPr>
                <w:color w:val="auto"/>
              </w:rPr>
            </w:pPr>
            <w:r>
              <w:rPr>
                <w:color w:val="auto"/>
              </w:rPr>
              <w:t>弃方</w:t>
            </w:r>
          </w:p>
        </w:tc>
        <w:tc>
          <w:tcPr>
            <w:tcW w:w="1050" w:type="pct"/>
            <w:gridSpan w:val="2"/>
            <w:tcBorders>
              <w:tl2br w:val="nil"/>
              <w:tr2bl w:val="nil"/>
            </w:tcBorders>
            <w:vAlign w:val="center"/>
          </w:tcPr>
          <w:p w14:paraId="21546D7C">
            <w:pPr>
              <w:pStyle w:val="44"/>
              <w:bidi w:val="0"/>
              <w:rPr>
                <w:color w:val="auto"/>
              </w:rPr>
            </w:pPr>
            <w:r>
              <w:rPr>
                <w:color w:val="auto"/>
              </w:rPr>
              <w:t>调入方</w:t>
            </w:r>
          </w:p>
        </w:tc>
        <w:tc>
          <w:tcPr>
            <w:tcW w:w="905" w:type="pct"/>
            <w:gridSpan w:val="2"/>
            <w:tcBorders>
              <w:tl2br w:val="nil"/>
              <w:tr2bl w:val="nil"/>
            </w:tcBorders>
            <w:vAlign w:val="center"/>
          </w:tcPr>
          <w:p w14:paraId="60843678">
            <w:pPr>
              <w:pStyle w:val="44"/>
              <w:bidi w:val="0"/>
              <w:rPr>
                <w:color w:val="auto"/>
              </w:rPr>
            </w:pPr>
            <w:r>
              <w:rPr>
                <w:color w:val="auto"/>
              </w:rPr>
              <w:t>调出方</w:t>
            </w:r>
          </w:p>
        </w:tc>
      </w:tr>
      <w:tr w14:paraId="100129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909" w:type="pct"/>
            <w:gridSpan w:val="2"/>
            <w:vMerge w:val="continue"/>
            <w:tcBorders>
              <w:tl2br w:val="nil"/>
              <w:tr2bl w:val="nil"/>
            </w:tcBorders>
            <w:vAlign w:val="center"/>
          </w:tcPr>
          <w:p w14:paraId="4C8D2B2D">
            <w:pPr>
              <w:pStyle w:val="44"/>
              <w:bidi w:val="0"/>
              <w:rPr>
                <w:color w:val="auto"/>
              </w:rPr>
            </w:pPr>
          </w:p>
        </w:tc>
        <w:tc>
          <w:tcPr>
            <w:tcW w:w="564" w:type="pct"/>
            <w:vMerge w:val="continue"/>
            <w:tcBorders>
              <w:tl2br w:val="nil"/>
              <w:tr2bl w:val="nil"/>
            </w:tcBorders>
            <w:vAlign w:val="center"/>
          </w:tcPr>
          <w:p w14:paraId="44272B92">
            <w:pPr>
              <w:pStyle w:val="44"/>
              <w:bidi w:val="0"/>
              <w:rPr>
                <w:color w:val="auto"/>
              </w:rPr>
            </w:pPr>
          </w:p>
        </w:tc>
        <w:tc>
          <w:tcPr>
            <w:tcW w:w="609" w:type="pct"/>
            <w:vMerge w:val="continue"/>
            <w:tcBorders>
              <w:tl2br w:val="nil"/>
              <w:tr2bl w:val="nil"/>
            </w:tcBorders>
            <w:vAlign w:val="center"/>
          </w:tcPr>
          <w:p w14:paraId="419E3BFA">
            <w:pPr>
              <w:pStyle w:val="44"/>
              <w:bidi w:val="0"/>
              <w:rPr>
                <w:color w:val="auto"/>
              </w:rPr>
            </w:pPr>
          </w:p>
        </w:tc>
        <w:tc>
          <w:tcPr>
            <w:tcW w:w="513" w:type="pct"/>
            <w:vMerge w:val="continue"/>
            <w:tcBorders>
              <w:tl2br w:val="nil"/>
              <w:tr2bl w:val="nil"/>
            </w:tcBorders>
            <w:vAlign w:val="center"/>
          </w:tcPr>
          <w:p w14:paraId="16439C3A">
            <w:pPr>
              <w:pStyle w:val="44"/>
              <w:bidi w:val="0"/>
              <w:rPr>
                <w:color w:val="auto"/>
              </w:rPr>
            </w:pPr>
          </w:p>
        </w:tc>
        <w:tc>
          <w:tcPr>
            <w:tcW w:w="447" w:type="pct"/>
            <w:vMerge w:val="continue"/>
            <w:tcBorders>
              <w:tl2br w:val="nil"/>
              <w:tr2bl w:val="nil"/>
            </w:tcBorders>
            <w:vAlign w:val="center"/>
          </w:tcPr>
          <w:p w14:paraId="740D7D2E">
            <w:pPr>
              <w:pStyle w:val="44"/>
              <w:bidi w:val="0"/>
              <w:rPr>
                <w:color w:val="auto"/>
              </w:rPr>
            </w:pPr>
          </w:p>
        </w:tc>
        <w:tc>
          <w:tcPr>
            <w:tcW w:w="650" w:type="pct"/>
            <w:tcBorders>
              <w:tl2br w:val="nil"/>
              <w:tr2bl w:val="nil"/>
            </w:tcBorders>
            <w:vAlign w:val="center"/>
          </w:tcPr>
          <w:p w14:paraId="31F4E2D3">
            <w:pPr>
              <w:pStyle w:val="44"/>
              <w:bidi w:val="0"/>
              <w:rPr>
                <w:color w:val="auto"/>
              </w:rPr>
            </w:pPr>
            <w:r>
              <w:rPr>
                <w:color w:val="auto"/>
              </w:rPr>
              <w:t>数量</w:t>
            </w:r>
          </w:p>
        </w:tc>
        <w:tc>
          <w:tcPr>
            <w:tcW w:w="400" w:type="pct"/>
            <w:tcBorders>
              <w:tl2br w:val="nil"/>
              <w:tr2bl w:val="nil"/>
            </w:tcBorders>
            <w:vAlign w:val="center"/>
          </w:tcPr>
          <w:p w14:paraId="6D7B0198">
            <w:pPr>
              <w:pStyle w:val="44"/>
              <w:bidi w:val="0"/>
              <w:rPr>
                <w:color w:val="auto"/>
              </w:rPr>
            </w:pPr>
            <w:r>
              <w:rPr>
                <w:color w:val="auto"/>
              </w:rPr>
              <w:t>来源</w:t>
            </w:r>
          </w:p>
        </w:tc>
        <w:tc>
          <w:tcPr>
            <w:tcW w:w="527" w:type="pct"/>
            <w:tcBorders>
              <w:tl2br w:val="nil"/>
              <w:tr2bl w:val="nil"/>
            </w:tcBorders>
            <w:vAlign w:val="center"/>
          </w:tcPr>
          <w:p w14:paraId="15859DCD">
            <w:pPr>
              <w:pStyle w:val="44"/>
              <w:bidi w:val="0"/>
              <w:rPr>
                <w:color w:val="auto"/>
              </w:rPr>
            </w:pPr>
            <w:r>
              <w:rPr>
                <w:color w:val="auto"/>
              </w:rPr>
              <w:t>数量</w:t>
            </w:r>
          </w:p>
        </w:tc>
        <w:tc>
          <w:tcPr>
            <w:tcW w:w="378" w:type="pct"/>
            <w:tcBorders>
              <w:tl2br w:val="nil"/>
              <w:tr2bl w:val="nil"/>
            </w:tcBorders>
            <w:vAlign w:val="center"/>
          </w:tcPr>
          <w:p w14:paraId="54E47D12">
            <w:pPr>
              <w:pStyle w:val="44"/>
              <w:bidi w:val="0"/>
              <w:rPr>
                <w:color w:val="auto"/>
              </w:rPr>
            </w:pPr>
            <w:r>
              <w:rPr>
                <w:color w:val="auto"/>
              </w:rPr>
              <w:t>去向</w:t>
            </w:r>
          </w:p>
        </w:tc>
      </w:tr>
      <w:tr w14:paraId="25F70F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249" w:type="pct"/>
            <w:tcBorders>
              <w:tl2br w:val="nil"/>
              <w:tr2bl w:val="nil"/>
            </w:tcBorders>
            <w:vAlign w:val="center"/>
          </w:tcPr>
          <w:p w14:paraId="7976E6B6">
            <w:pPr>
              <w:pStyle w:val="44"/>
              <w:bidi w:val="0"/>
              <w:rPr>
                <w:color w:val="auto"/>
              </w:rPr>
            </w:pPr>
            <w:r>
              <w:rPr>
                <w:color w:val="auto"/>
              </w:rPr>
              <w:t>施工期</w:t>
            </w:r>
          </w:p>
        </w:tc>
        <w:tc>
          <w:tcPr>
            <w:tcW w:w="659" w:type="pct"/>
            <w:tcBorders>
              <w:tl2br w:val="nil"/>
              <w:tr2bl w:val="nil"/>
            </w:tcBorders>
            <w:vAlign w:val="center"/>
          </w:tcPr>
          <w:p w14:paraId="32CF8D47">
            <w:pPr>
              <w:pStyle w:val="44"/>
              <w:bidi w:val="0"/>
              <w:rPr>
                <w:color w:val="auto"/>
              </w:rPr>
            </w:pPr>
            <w:r>
              <w:rPr>
                <w:rFonts w:hint="eastAsia"/>
                <w:color w:val="auto"/>
                <w:lang w:val="en-US" w:eastAsia="zh-CN"/>
              </w:rPr>
              <w:t>其他</w:t>
            </w:r>
            <w:r>
              <w:rPr>
                <w:rFonts w:hint="eastAsia"/>
                <w:color w:val="auto"/>
              </w:rPr>
              <w:t>工程</w:t>
            </w:r>
          </w:p>
        </w:tc>
        <w:tc>
          <w:tcPr>
            <w:tcW w:w="564" w:type="pct"/>
            <w:tcBorders>
              <w:tl2br w:val="nil"/>
              <w:tr2bl w:val="nil"/>
            </w:tcBorders>
            <w:vAlign w:val="center"/>
          </w:tcPr>
          <w:p w14:paraId="037FBFCB">
            <w:pPr>
              <w:pStyle w:val="44"/>
              <w:bidi w:val="0"/>
              <w:rPr>
                <w:rFonts w:hint="eastAsia"/>
                <w:color w:val="auto"/>
                <w:lang w:val="en-US" w:eastAsia="zh-CN"/>
              </w:rPr>
            </w:pPr>
            <w:r>
              <w:rPr>
                <w:rFonts w:hint="default"/>
                <w:color w:val="auto"/>
                <w:lang w:val="en-US" w:eastAsia="zh-CN"/>
              </w:rPr>
              <w:t>6114</w:t>
            </w:r>
          </w:p>
        </w:tc>
        <w:tc>
          <w:tcPr>
            <w:tcW w:w="609" w:type="pct"/>
            <w:tcBorders>
              <w:tl2br w:val="nil"/>
              <w:tr2bl w:val="nil"/>
            </w:tcBorders>
            <w:vAlign w:val="center"/>
          </w:tcPr>
          <w:p w14:paraId="0735BCF1">
            <w:pPr>
              <w:pStyle w:val="44"/>
              <w:bidi w:val="0"/>
              <w:rPr>
                <w:rFonts w:hint="eastAsia"/>
                <w:color w:val="auto"/>
                <w:lang w:val="en-US" w:eastAsia="zh-CN"/>
              </w:rPr>
            </w:pPr>
            <w:r>
              <w:rPr>
                <w:rFonts w:hint="default"/>
                <w:color w:val="auto"/>
                <w:lang w:val="en-US" w:eastAsia="zh-CN"/>
              </w:rPr>
              <w:t>2238.4</w:t>
            </w:r>
          </w:p>
        </w:tc>
        <w:tc>
          <w:tcPr>
            <w:tcW w:w="513" w:type="pct"/>
            <w:tcBorders>
              <w:tl2br w:val="nil"/>
              <w:tr2bl w:val="nil"/>
            </w:tcBorders>
            <w:vAlign w:val="center"/>
          </w:tcPr>
          <w:p w14:paraId="18E89A13">
            <w:pPr>
              <w:pStyle w:val="44"/>
              <w:bidi w:val="0"/>
              <w:rPr>
                <w:rFonts w:hint="eastAsia"/>
                <w:color w:val="auto"/>
                <w:lang w:val="en-US" w:eastAsia="zh-CN"/>
              </w:rPr>
            </w:pPr>
            <w:r>
              <w:rPr>
                <w:rFonts w:hint="eastAsia"/>
                <w:color w:val="auto"/>
                <w:lang w:val="en-US" w:eastAsia="zh-CN"/>
              </w:rPr>
              <w:t>0</w:t>
            </w:r>
          </w:p>
        </w:tc>
        <w:tc>
          <w:tcPr>
            <w:tcW w:w="447" w:type="pct"/>
            <w:tcBorders>
              <w:tl2br w:val="nil"/>
              <w:tr2bl w:val="nil"/>
            </w:tcBorders>
            <w:vAlign w:val="center"/>
          </w:tcPr>
          <w:p w14:paraId="73AC35F5">
            <w:pPr>
              <w:pStyle w:val="44"/>
              <w:bidi w:val="0"/>
              <w:rPr>
                <w:rFonts w:hint="eastAsia"/>
                <w:color w:val="auto"/>
                <w:lang w:val="en-US" w:eastAsia="zh-CN"/>
              </w:rPr>
            </w:pPr>
            <w:r>
              <w:rPr>
                <w:rFonts w:hint="eastAsia"/>
                <w:color w:val="auto"/>
                <w:lang w:val="en-US" w:eastAsia="zh-CN"/>
              </w:rPr>
              <w:t>0</w:t>
            </w:r>
          </w:p>
        </w:tc>
        <w:tc>
          <w:tcPr>
            <w:tcW w:w="650" w:type="pct"/>
            <w:tcBorders>
              <w:tl2br w:val="nil"/>
              <w:tr2bl w:val="nil"/>
            </w:tcBorders>
            <w:vAlign w:val="center"/>
          </w:tcPr>
          <w:p w14:paraId="3BDE52E5">
            <w:pPr>
              <w:pStyle w:val="44"/>
              <w:bidi w:val="0"/>
              <w:rPr>
                <w:rFonts w:hint="eastAsia"/>
                <w:color w:val="auto"/>
                <w:lang w:val="en-US" w:eastAsia="zh-CN"/>
              </w:rPr>
            </w:pPr>
            <w:r>
              <w:rPr>
                <w:rFonts w:hint="eastAsia"/>
                <w:color w:val="auto"/>
                <w:lang w:val="en-US" w:eastAsia="zh-CN"/>
              </w:rPr>
              <w:t>0</w:t>
            </w:r>
          </w:p>
        </w:tc>
        <w:tc>
          <w:tcPr>
            <w:tcW w:w="400" w:type="pct"/>
            <w:tcBorders>
              <w:tl2br w:val="nil"/>
              <w:tr2bl w:val="nil"/>
            </w:tcBorders>
            <w:vAlign w:val="center"/>
          </w:tcPr>
          <w:p w14:paraId="2DA9BCD9">
            <w:pPr>
              <w:pStyle w:val="44"/>
              <w:bidi w:val="0"/>
              <w:rPr>
                <w:color w:val="auto"/>
              </w:rPr>
            </w:pPr>
            <w:r>
              <w:rPr>
                <w:rFonts w:hint="eastAsia"/>
                <w:color w:val="auto"/>
                <w:lang w:val="en-US" w:eastAsia="zh-CN"/>
              </w:rPr>
              <w:t>/</w:t>
            </w:r>
          </w:p>
        </w:tc>
        <w:tc>
          <w:tcPr>
            <w:tcW w:w="527" w:type="pct"/>
            <w:tcBorders>
              <w:tl2br w:val="nil"/>
              <w:tr2bl w:val="nil"/>
            </w:tcBorders>
            <w:shd w:val="clear" w:color="auto" w:fill="auto"/>
            <w:vAlign w:val="center"/>
          </w:tcPr>
          <w:p w14:paraId="7D83B48A">
            <w:pPr>
              <w:pStyle w:val="44"/>
              <w:bidi w:val="0"/>
              <w:rPr>
                <w:rFonts w:hint="default"/>
                <w:color w:val="auto"/>
                <w:lang w:val="en-US" w:eastAsia="zh-CN"/>
              </w:rPr>
            </w:pPr>
            <w:r>
              <w:rPr>
                <w:rFonts w:hint="eastAsia"/>
                <w:color w:val="auto"/>
                <w:lang w:val="en-US" w:eastAsia="zh-CN"/>
              </w:rPr>
              <w:t>3875.6</w:t>
            </w:r>
          </w:p>
        </w:tc>
        <w:tc>
          <w:tcPr>
            <w:tcW w:w="378" w:type="pct"/>
            <w:tcBorders>
              <w:tl2br w:val="nil"/>
              <w:tr2bl w:val="nil"/>
            </w:tcBorders>
            <w:shd w:val="clear" w:color="auto" w:fill="auto"/>
            <w:vAlign w:val="center"/>
          </w:tcPr>
          <w:p w14:paraId="29C72574">
            <w:pPr>
              <w:pStyle w:val="44"/>
              <w:bidi w:val="0"/>
              <w:rPr>
                <w:rFonts w:hint="default"/>
                <w:color w:val="auto"/>
                <w:lang w:val="en-US" w:eastAsia="zh-CN"/>
              </w:rPr>
            </w:pPr>
            <w:r>
              <w:rPr>
                <w:rFonts w:hint="eastAsia"/>
                <w:color w:val="auto"/>
                <w:lang w:val="en-US" w:eastAsia="zh-CN"/>
              </w:rPr>
              <w:t>2号地块</w:t>
            </w:r>
          </w:p>
        </w:tc>
      </w:tr>
      <w:tr w14:paraId="113DD0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249" w:type="pct"/>
            <w:tcBorders>
              <w:tl2br w:val="nil"/>
              <w:tr2bl w:val="nil"/>
            </w:tcBorders>
            <w:vAlign w:val="center"/>
          </w:tcPr>
          <w:p w14:paraId="54D67942">
            <w:pPr>
              <w:pStyle w:val="44"/>
              <w:bidi w:val="0"/>
              <w:rPr>
                <w:color w:val="auto"/>
              </w:rPr>
            </w:pPr>
            <w:r>
              <w:rPr>
                <w:color w:val="auto"/>
              </w:rPr>
              <w:t>生态恢复期</w:t>
            </w:r>
          </w:p>
        </w:tc>
        <w:tc>
          <w:tcPr>
            <w:tcW w:w="659" w:type="pct"/>
            <w:tcBorders>
              <w:tl2br w:val="nil"/>
              <w:tr2bl w:val="nil"/>
            </w:tcBorders>
            <w:vAlign w:val="center"/>
          </w:tcPr>
          <w:p w14:paraId="30B941E7">
            <w:pPr>
              <w:pStyle w:val="44"/>
              <w:bidi w:val="0"/>
              <w:rPr>
                <w:rFonts w:hint="eastAsia"/>
                <w:color w:val="auto"/>
                <w:lang w:eastAsia="zh-CN"/>
              </w:rPr>
            </w:pPr>
            <w:r>
              <w:rPr>
                <w:color w:val="auto"/>
              </w:rPr>
              <w:t>覆土复垦</w:t>
            </w:r>
          </w:p>
        </w:tc>
        <w:tc>
          <w:tcPr>
            <w:tcW w:w="564" w:type="pct"/>
            <w:tcBorders>
              <w:tl2br w:val="nil"/>
              <w:tr2bl w:val="nil"/>
            </w:tcBorders>
            <w:vAlign w:val="center"/>
          </w:tcPr>
          <w:p w14:paraId="41BD1D27">
            <w:pPr>
              <w:pStyle w:val="44"/>
              <w:bidi w:val="0"/>
              <w:rPr>
                <w:rFonts w:hint="default"/>
                <w:color w:val="auto"/>
                <w:lang w:val="en-US" w:eastAsia="zh-CN"/>
              </w:rPr>
            </w:pPr>
            <w:r>
              <w:rPr>
                <w:rFonts w:hint="eastAsia"/>
                <w:color w:val="auto"/>
                <w:lang w:val="en-US" w:eastAsia="zh-CN"/>
              </w:rPr>
              <w:t>5636</w:t>
            </w:r>
          </w:p>
        </w:tc>
        <w:tc>
          <w:tcPr>
            <w:tcW w:w="609" w:type="pct"/>
            <w:tcBorders>
              <w:tl2br w:val="nil"/>
              <w:tr2bl w:val="nil"/>
            </w:tcBorders>
            <w:vAlign w:val="center"/>
          </w:tcPr>
          <w:p w14:paraId="4DFAD252">
            <w:pPr>
              <w:pStyle w:val="44"/>
              <w:bidi w:val="0"/>
              <w:rPr>
                <w:rFonts w:hint="eastAsia"/>
                <w:color w:val="auto"/>
                <w:lang w:val="en-US" w:eastAsia="zh-CN"/>
              </w:rPr>
            </w:pPr>
            <w:r>
              <w:rPr>
                <w:rFonts w:hint="eastAsia"/>
                <w:color w:val="auto"/>
                <w:lang w:val="en-US" w:eastAsia="zh-CN"/>
              </w:rPr>
              <w:t>0</w:t>
            </w:r>
          </w:p>
        </w:tc>
        <w:tc>
          <w:tcPr>
            <w:tcW w:w="513" w:type="pct"/>
            <w:tcBorders>
              <w:tl2br w:val="nil"/>
              <w:tr2bl w:val="nil"/>
            </w:tcBorders>
            <w:vAlign w:val="center"/>
          </w:tcPr>
          <w:p w14:paraId="7BC19339">
            <w:pPr>
              <w:pStyle w:val="44"/>
              <w:bidi w:val="0"/>
              <w:rPr>
                <w:rFonts w:hint="eastAsia"/>
                <w:color w:val="auto"/>
                <w:lang w:val="en-US" w:eastAsia="zh-CN"/>
              </w:rPr>
            </w:pPr>
            <w:r>
              <w:rPr>
                <w:rFonts w:hint="eastAsia"/>
                <w:color w:val="auto"/>
                <w:lang w:val="en-US" w:eastAsia="zh-CN"/>
              </w:rPr>
              <w:t>0</w:t>
            </w:r>
          </w:p>
        </w:tc>
        <w:tc>
          <w:tcPr>
            <w:tcW w:w="447" w:type="pct"/>
            <w:tcBorders>
              <w:tl2br w:val="nil"/>
              <w:tr2bl w:val="nil"/>
            </w:tcBorders>
            <w:vAlign w:val="center"/>
          </w:tcPr>
          <w:p w14:paraId="3716E0A9">
            <w:pPr>
              <w:pStyle w:val="44"/>
              <w:bidi w:val="0"/>
              <w:rPr>
                <w:rFonts w:hint="eastAsia"/>
                <w:color w:val="auto"/>
                <w:lang w:val="en-US" w:eastAsia="zh-CN"/>
              </w:rPr>
            </w:pPr>
            <w:r>
              <w:rPr>
                <w:rFonts w:hint="eastAsia"/>
                <w:color w:val="auto"/>
                <w:lang w:val="en-US" w:eastAsia="zh-CN"/>
              </w:rPr>
              <w:t>0</w:t>
            </w:r>
          </w:p>
        </w:tc>
        <w:tc>
          <w:tcPr>
            <w:tcW w:w="650" w:type="pct"/>
            <w:tcBorders>
              <w:tl2br w:val="nil"/>
              <w:tr2bl w:val="nil"/>
            </w:tcBorders>
            <w:vAlign w:val="center"/>
          </w:tcPr>
          <w:p w14:paraId="55711BBD">
            <w:pPr>
              <w:pStyle w:val="44"/>
              <w:bidi w:val="0"/>
              <w:rPr>
                <w:rFonts w:hint="default"/>
                <w:color w:val="auto"/>
                <w:lang w:val="en-US" w:eastAsia="zh-CN"/>
              </w:rPr>
            </w:pPr>
            <w:r>
              <w:rPr>
                <w:rFonts w:hint="eastAsia"/>
                <w:color w:val="auto"/>
                <w:lang w:val="en-US" w:eastAsia="zh-CN"/>
              </w:rPr>
              <w:t>5636</w:t>
            </w:r>
          </w:p>
        </w:tc>
        <w:tc>
          <w:tcPr>
            <w:tcW w:w="400" w:type="pct"/>
            <w:tcBorders>
              <w:tl2br w:val="nil"/>
              <w:tr2bl w:val="nil"/>
            </w:tcBorders>
            <w:vAlign w:val="center"/>
          </w:tcPr>
          <w:p w14:paraId="0994C0FF">
            <w:pPr>
              <w:pStyle w:val="44"/>
              <w:bidi w:val="0"/>
              <w:rPr>
                <w:rFonts w:hint="default"/>
                <w:color w:val="auto"/>
                <w:lang w:val="en-US" w:eastAsia="zh-CN"/>
              </w:rPr>
            </w:pPr>
            <w:r>
              <w:rPr>
                <w:rFonts w:hint="eastAsia"/>
                <w:color w:val="auto"/>
                <w:lang w:val="en-US" w:eastAsia="zh-CN"/>
              </w:rPr>
              <w:t>政府调配</w:t>
            </w:r>
          </w:p>
        </w:tc>
        <w:tc>
          <w:tcPr>
            <w:tcW w:w="527" w:type="pct"/>
            <w:tcBorders>
              <w:tl2br w:val="nil"/>
              <w:tr2bl w:val="nil"/>
            </w:tcBorders>
            <w:vAlign w:val="center"/>
          </w:tcPr>
          <w:p w14:paraId="07EA7B44">
            <w:pPr>
              <w:pStyle w:val="44"/>
              <w:bidi w:val="0"/>
              <w:rPr>
                <w:rFonts w:hint="eastAsia"/>
                <w:color w:val="auto"/>
                <w:lang w:val="en-US" w:eastAsia="zh-CN"/>
              </w:rPr>
            </w:pPr>
            <w:r>
              <w:rPr>
                <w:rFonts w:hint="eastAsia"/>
                <w:color w:val="auto"/>
                <w:lang w:val="en-US" w:eastAsia="zh-CN"/>
              </w:rPr>
              <w:t>0</w:t>
            </w:r>
          </w:p>
        </w:tc>
        <w:tc>
          <w:tcPr>
            <w:tcW w:w="378" w:type="pct"/>
            <w:tcBorders>
              <w:tl2br w:val="nil"/>
              <w:tr2bl w:val="nil"/>
            </w:tcBorders>
            <w:vAlign w:val="center"/>
          </w:tcPr>
          <w:p w14:paraId="12A5765E">
            <w:pPr>
              <w:pStyle w:val="44"/>
              <w:bidi w:val="0"/>
              <w:rPr>
                <w:color w:val="auto"/>
              </w:rPr>
            </w:pPr>
            <w:r>
              <w:rPr>
                <w:rFonts w:hint="eastAsia"/>
                <w:color w:val="auto"/>
                <w:lang w:val="en-US" w:eastAsia="zh-CN"/>
              </w:rPr>
              <w:t>/</w:t>
            </w:r>
          </w:p>
        </w:tc>
      </w:tr>
      <w:tr w14:paraId="798CBF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909" w:type="pct"/>
            <w:gridSpan w:val="2"/>
            <w:vMerge w:val="restart"/>
            <w:tcBorders>
              <w:tl2br w:val="nil"/>
              <w:tr2bl w:val="nil"/>
            </w:tcBorders>
            <w:vAlign w:val="center"/>
          </w:tcPr>
          <w:p w14:paraId="604A31F9">
            <w:pPr>
              <w:pStyle w:val="44"/>
              <w:bidi w:val="0"/>
              <w:rPr>
                <w:rFonts w:hint="default"/>
                <w:color w:val="auto"/>
                <w:lang w:val="en-US" w:eastAsia="zh-CN"/>
              </w:rPr>
            </w:pPr>
            <w:r>
              <w:rPr>
                <w:rFonts w:hint="eastAsia"/>
                <w:color w:val="auto"/>
                <w:lang w:val="en-US" w:eastAsia="zh-CN"/>
              </w:rPr>
              <w:t>41#项目</w:t>
            </w:r>
          </w:p>
        </w:tc>
        <w:tc>
          <w:tcPr>
            <w:tcW w:w="564" w:type="pct"/>
            <w:vMerge w:val="restart"/>
            <w:tcBorders>
              <w:tl2br w:val="nil"/>
              <w:tr2bl w:val="nil"/>
            </w:tcBorders>
            <w:vAlign w:val="center"/>
          </w:tcPr>
          <w:p w14:paraId="5400914B">
            <w:pPr>
              <w:pStyle w:val="44"/>
              <w:bidi w:val="0"/>
              <w:rPr>
                <w:color w:val="auto"/>
              </w:rPr>
            </w:pPr>
            <w:r>
              <w:rPr>
                <w:color w:val="auto"/>
              </w:rPr>
              <w:t>挖方</w:t>
            </w:r>
          </w:p>
        </w:tc>
        <w:tc>
          <w:tcPr>
            <w:tcW w:w="609" w:type="pct"/>
            <w:vMerge w:val="restart"/>
            <w:tcBorders>
              <w:tl2br w:val="nil"/>
              <w:tr2bl w:val="nil"/>
            </w:tcBorders>
            <w:vAlign w:val="center"/>
          </w:tcPr>
          <w:p w14:paraId="7F07EA1C">
            <w:pPr>
              <w:pStyle w:val="44"/>
              <w:bidi w:val="0"/>
              <w:rPr>
                <w:color w:val="auto"/>
              </w:rPr>
            </w:pPr>
            <w:r>
              <w:rPr>
                <w:color w:val="auto"/>
              </w:rPr>
              <w:t>填方</w:t>
            </w:r>
          </w:p>
        </w:tc>
        <w:tc>
          <w:tcPr>
            <w:tcW w:w="513" w:type="pct"/>
            <w:vMerge w:val="restart"/>
            <w:tcBorders>
              <w:tl2br w:val="nil"/>
              <w:tr2bl w:val="nil"/>
            </w:tcBorders>
            <w:vAlign w:val="center"/>
          </w:tcPr>
          <w:p w14:paraId="61676520">
            <w:pPr>
              <w:pStyle w:val="44"/>
              <w:bidi w:val="0"/>
              <w:rPr>
                <w:color w:val="auto"/>
              </w:rPr>
            </w:pPr>
            <w:r>
              <w:rPr>
                <w:color w:val="auto"/>
              </w:rPr>
              <w:t>外借方</w:t>
            </w:r>
          </w:p>
        </w:tc>
        <w:tc>
          <w:tcPr>
            <w:tcW w:w="447" w:type="pct"/>
            <w:vMerge w:val="restart"/>
            <w:tcBorders>
              <w:tl2br w:val="nil"/>
              <w:tr2bl w:val="nil"/>
            </w:tcBorders>
            <w:vAlign w:val="center"/>
          </w:tcPr>
          <w:p w14:paraId="084405CF">
            <w:pPr>
              <w:pStyle w:val="44"/>
              <w:bidi w:val="0"/>
              <w:rPr>
                <w:color w:val="auto"/>
              </w:rPr>
            </w:pPr>
            <w:r>
              <w:rPr>
                <w:color w:val="auto"/>
              </w:rPr>
              <w:t>弃方</w:t>
            </w:r>
          </w:p>
        </w:tc>
        <w:tc>
          <w:tcPr>
            <w:tcW w:w="1050" w:type="pct"/>
            <w:gridSpan w:val="2"/>
            <w:tcBorders>
              <w:tl2br w:val="nil"/>
              <w:tr2bl w:val="nil"/>
            </w:tcBorders>
            <w:vAlign w:val="center"/>
          </w:tcPr>
          <w:p w14:paraId="6A4B3583">
            <w:pPr>
              <w:pStyle w:val="44"/>
              <w:bidi w:val="0"/>
              <w:rPr>
                <w:color w:val="auto"/>
              </w:rPr>
            </w:pPr>
            <w:r>
              <w:rPr>
                <w:color w:val="auto"/>
              </w:rPr>
              <w:t>调入方</w:t>
            </w:r>
          </w:p>
        </w:tc>
        <w:tc>
          <w:tcPr>
            <w:tcW w:w="905" w:type="pct"/>
            <w:gridSpan w:val="2"/>
            <w:tcBorders>
              <w:tl2br w:val="nil"/>
              <w:tr2bl w:val="nil"/>
            </w:tcBorders>
            <w:vAlign w:val="center"/>
          </w:tcPr>
          <w:p w14:paraId="62FAE37A">
            <w:pPr>
              <w:pStyle w:val="44"/>
              <w:bidi w:val="0"/>
              <w:rPr>
                <w:color w:val="auto"/>
              </w:rPr>
            </w:pPr>
            <w:r>
              <w:rPr>
                <w:color w:val="auto"/>
              </w:rPr>
              <w:t>调出方</w:t>
            </w:r>
          </w:p>
        </w:tc>
      </w:tr>
      <w:tr w14:paraId="520A39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909" w:type="pct"/>
            <w:gridSpan w:val="2"/>
            <w:vMerge w:val="continue"/>
            <w:tcBorders>
              <w:tl2br w:val="nil"/>
              <w:tr2bl w:val="nil"/>
            </w:tcBorders>
            <w:vAlign w:val="center"/>
          </w:tcPr>
          <w:p w14:paraId="7874B050">
            <w:pPr>
              <w:pStyle w:val="44"/>
              <w:bidi w:val="0"/>
              <w:rPr>
                <w:color w:val="auto"/>
              </w:rPr>
            </w:pPr>
          </w:p>
        </w:tc>
        <w:tc>
          <w:tcPr>
            <w:tcW w:w="564" w:type="pct"/>
            <w:vMerge w:val="continue"/>
            <w:tcBorders>
              <w:tl2br w:val="nil"/>
              <w:tr2bl w:val="nil"/>
            </w:tcBorders>
            <w:vAlign w:val="center"/>
          </w:tcPr>
          <w:p w14:paraId="12F7125C">
            <w:pPr>
              <w:pStyle w:val="44"/>
              <w:bidi w:val="0"/>
              <w:rPr>
                <w:color w:val="auto"/>
              </w:rPr>
            </w:pPr>
          </w:p>
        </w:tc>
        <w:tc>
          <w:tcPr>
            <w:tcW w:w="609" w:type="pct"/>
            <w:vMerge w:val="continue"/>
            <w:tcBorders>
              <w:tl2br w:val="nil"/>
              <w:tr2bl w:val="nil"/>
            </w:tcBorders>
            <w:vAlign w:val="center"/>
          </w:tcPr>
          <w:p w14:paraId="1E8E978C">
            <w:pPr>
              <w:pStyle w:val="44"/>
              <w:bidi w:val="0"/>
              <w:rPr>
                <w:color w:val="auto"/>
              </w:rPr>
            </w:pPr>
          </w:p>
        </w:tc>
        <w:tc>
          <w:tcPr>
            <w:tcW w:w="513" w:type="pct"/>
            <w:vMerge w:val="continue"/>
            <w:tcBorders>
              <w:tl2br w:val="nil"/>
              <w:tr2bl w:val="nil"/>
            </w:tcBorders>
            <w:vAlign w:val="center"/>
          </w:tcPr>
          <w:p w14:paraId="3C502D5A">
            <w:pPr>
              <w:pStyle w:val="44"/>
              <w:bidi w:val="0"/>
              <w:rPr>
                <w:color w:val="auto"/>
              </w:rPr>
            </w:pPr>
          </w:p>
        </w:tc>
        <w:tc>
          <w:tcPr>
            <w:tcW w:w="447" w:type="pct"/>
            <w:vMerge w:val="continue"/>
            <w:tcBorders>
              <w:tl2br w:val="nil"/>
              <w:tr2bl w:val="nil"/>
            </w:tcBorders>
            <w:vAlign w:val="center"/>
          </w:tcPr>
          <w:p w14:paraId="401F7637">
            <w:pPr>
              <w:pStyle w:val="44"/>
              <w:bidi w:val="0"/>
              <w:rPr>
                <w:color w:val="auto"/>
              </w:rPr>
            </w:pPr>
          </w:p>
        </w:tc>
        <w:tc>
          <w:tcPr>
            <w:tcW w:w="650" w:type="pct"/>
            <w:tcBorders>
              <w:tl2br w:val="nil"/>
              <w:tr2bl w:val="nil"/>
            </w:tcBorders>
            <w:vAlign w:val="center"/>
          </w:tcPr>
          <w:p w14:paraId="51972EC4">
            <w:pPr>
              <w:pStyle w:val="44"/>
              <w:bidi w:val="0"/>
              <w:rPr>
                <w:color w:val="auto"/>
              </w:rPr>
            </w:pPr>
            <w:r>
              <w:rPr>
                <w:color w:val="auto"/>
              </w:rPr>
              <w:t>数量</w:t>
            </w:r>
          </w:p>
        </w:tc>
        <w:tc>
          <w:tcPr>
            <w:tcW w:w="400" w:type="pct"/>
            <w:tcBorders>
              <w:tl2br w:val="nil"/>
              <w:tr2bl w:val="nil"/>
            </w:tcBorders>
            <w:vAlign w:val="center"/>
          </w:tcPr>
          <w:p w14:paraId="2EEB5017">
            <w:pPr>
              <w:pStyle w:val="44"/>
              <w:bidi w:val="0"/>
              <w:rPr>
                <w:color w:val="auto"/>
              </w:rPr>
            </w:pPr>
            <w:r>
              <w:rPr>
                <w:color w:val="auto"/>
              </w:rPr>
              <w:t>来源</w:t>
            </w:r>
          </w:p>
        </w:tc>
        <w:tc>
          <w:tcPr>
            <w:tcW w:w="527" w:type="pct"/>
            <w:tcBorders>
              <w:tl2br w:val="nil"/>
              <w:tr2bl w:val="nil"/>
            </w:tcBorders>
            <w:vAlign w:val="center"/>
          </w:tcPr>
          <w:p w14:paraId="72E9DC1C">
            <w:pPr>
              <w:pStyle w:val="44"/>
              <w:bidi w:val="0"/>
              <w:rPr>
                <w:color w:val="auto"/>
              </w:rPr>
            </w:pPr>
            <w:r>
              <w:rPr>
                <w:color w:val="auto"/>
              </w:rPr>
              <w:t>数量</w:t>
            </w:r>
          </w:p>
        </w:tc>
        <w:tc>
          <w:tcPr>
            <w:tcW w:w="378" w:type="pct"/>
            <w:tcBorders>
              <w:tl2br w:val="nil"/>
              <w:tr2bl w:val="nil"/>
            </w:tcBorders>
            <w:vAlign w:val="center"/>
          </w:tcPr>
          <w:p w14:paraId="6BD061F3">
            <w:pPr>
              <w:pStyle w:val="44"/>
              <w:bidi w:val="0"/>
              <w:rPr>
                <w:color w:val="auto"/>
              </w:rPr>
            </w:pPr>
            <w:r>
              <w:rPr>
                <w:color w:val="auto"/>
              </w:rPr>
              <w:t>去向</w:t>
            </w:r>
          </w:p>
        </w:tc>
      </w:tr>
      <w:tr w14:paraId="193657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249" w:type="pct"/>
            <w:tcBorders>
              <w:tl2br w:val="nil"/>
              <w:tr2bl w:val="nil"/>
            </w:tcBorders>
            <w:vAlign w:val="center"/>
          </w:tcPr>
          <w:p w14:paraId="122971E2">
            <w:pPr>
              <w:pStyle w:val="44"/>
              <w:bidi w:val="0"/>
              <w:rPr>
                <w:color w:val="auto"/>
              </w:rPr>
            </w:pPr>
            <w:r>
              <w:rPr>
                <w:color w:val="auto"/>
              </w:rPr>
              <w:t>施工期</w:t>
            </w:r>
          </w:p>
        </w:tc>
        <w:tc>
          <w:tcPr>
            <w:tcW w:w="659" w:type="pct"/>
            <w:tcBorders>
              <w:tl2br w:val="nil"/>
              <w:tr2bl w:val="nil"/>
            </w:tcBorders>
            <w:vAlign w:val="center"/>
          </w:tcPr>
          <w:p w14:paraId="1D4197B3">
            <w:pPr>
              <w:pStyle w:val="44"/>
              <w:bidi w:val="0"/>
              <w:rPr>
                <w:color w:val="auto"/>
              </w:rPr>
            </w:pPr>
            <w:r>
              <w:rPr>
                <w:rFonts w:hint="eastAsia"/>
                <w:color w:val="auto"/>
                <w:lang w:val="en-US" w:eastAsia="zh-CN"/>
              </w:rPr>
              <w:t>其他</w:t>
            </w:r>
            <w:r>
              <w:rPr>
                <w:rFonts w:hint="eastAsia"/>
                <w:color w:val="auto"/>
              </w:rPr>
              <w:t>工程</w:t>
            </w:r>
          </w:p>
        </w:tc>
        <w:tc>
          <w:tcPr>
            <w:tcW w:w="564" w:type="pct"/>
            <w:tcBorders>
              <w:tl2br w:val="nil"/>
              <w:tr2bl w:val="nil"/>
            </w:tcBorders>
            <w:vAlign w:val="center"/>
          </w:tcPr>
          <w:p w14:paraId="15A8032C">
            <w:pPr>
              <w:pStyle w:val="44"/>
              <w:bidi w:val="0"/>
              <w:rPr>
                <w:rFonts w:hint="eastAsia"/>
                <w:color w:val="auto"/>
                <w:lang w:val="en-US" w:eastAsia="zh-CN"/>
              </w:rPr>
            </w:pPr>
            <w:r>
              <w:rPr>
                <w:rFonts w:hint="default"/>
                <w:color w:val="auto"/>
                <w:lang w:val="en-US" w:eastAsia="zh-CN"/>
              </w:rPr>
              <w:t>84249</w:t>
            </w:r>
          </w:p>
        </w:tc>
        <w:tc>
          <w:tcPr>
            <w:tcW w:w="609" w:type="pct"/>
            <w:tcBorders>
              <w:tl2br w:val="nil"/>
              <w:tr2bl w:val="nil"/>
            </w:tcBorders>
            <w:vAlign w:val="center"/>
          </w:tcPr>
          <w:p w14:paraId="4D647E58">
            <w:pPr>
              <w:pStyle w:val="44"/>
              <w:bidi w:val="0"/>
              <w:rPr>
                <w:rFonts w:hint="eastAsia"/>
                <w:color w:val="auto"/>
                <w:lang w:val="en-US" w:eastAsia="zh-CN"/>
              </w:rPr>
            </w:pPr>
            <w:r>
              <w:rPr>
                <w:rFonts w:hint="default"/>
                <w:color w:val="auto"/>
                <w:lang w:val="en-US" w:eastAsia="zh-CN"/>
              </w:rPr>
              <w:t>25081.9</w:t>
            </w:r>
          </w:p>
        </w:tc>
        <w:tc>
          <w:tcPr>
            <w:tcW w:w="513" w:type="pct"/>
            <w:tcBorders>
              <w:tl2br w:val="nil"/>
              <w:tr2bl w:val="nil"/>
            </w:tcBorders>
            <w:vAlign w:val="center"/>
          </w:tcPr>
          <w:p w14:paraId="2BE83E54">
            <w:pPr>
              <w:pStyle w:val="44"/>
              <w:bidi w:val="0"/>
              <w:rPr>
                <w:rFonts w:hint="eastAsia"/>
                <w:color w:val="auto"/>
                <w:lang w:val="en-US" w:eastAsia="zh-CN"/>
              </w:rPr>
            </w:pPr>
            <w:r>
              <w:rPr>
                <w:rFonts w:hint="eastAsia"/>
                <w:color w:val="auto"/>
                <w:lang w:val="en-US" w:eastAsia="zh-CN"/>
              </w:rPr>
              <w:t>0</w:t>
            </w:r>
          </w:p>
        </w:tc>
        <w:tc>
          <w:tcPr>
            <w:tcW w:w="447" w:type="pct"/>
            <w:tcBorders>
              <w:tl2br w:val="nil"/>
              <w:tr2bl w:val="nil"/>
            </w:tcBorders>
            <w:vAlign w:val="center"/>
          </w:tcPr>
          <w:p w14:paraId="052934B6">
            <w:pPr>
              <w:pStyle w:val="44"/>
              <w:bidi w:val="0"/>
              <w:rPr>
                <w:rFonts w:hint="eastAsia"/>
                <w:color w:val="auto"/>
                <w:lang w:val="en-US" w:eastAsia="zh-CN"/>
              </w:rPr>
            </w:pPr>
            <w:r>
              <w:rPr>
                <w:rFonts w:hint="eastAsia"/>
                <w:color w:val="auto"/>
                <w:lang w:val="en-US" w:eastAsia="zh-CN"/>
              </w:rPr>
              <w:t>0</w:t>
            </w:r>
          </w:p>
        </w:tc>
        <w:tc>
          <w:tcPr>
            <w:tcW w:w="650" w:type="pct"/>
            <w:tcBorders>
              <w:tl2br w:val="nil"/>
              <w:tr2bl w:val="nil"/>
            </w:tcBorders>
            <w:vAlign w:val="center"/>
          </w:tcPr>
          <w:p w14:paraId="36265367">
            <w:pPr>
              <w:pStyle w:val="44"/>
              <w:bidi w:val="0"/>
              <w:rPr>
                <w:color w:val="auto"/>
              </w:rPr>
            </w:pPr>
            <w:r>
              <w:rPr>
                <w:rFonts w:hint="eastAsia"/>
                <w:color w:val="auto"/>
                <w:lang w:val="en-US" w:eastAsia="zh-CN"/>
              </w:rPr>
              <w:t>0</w:t>
            </w:r>
          </w:p>
        </w:tc>
        <w:tc>
          <w:tcPr>
            <w:tcW w:w="400" w:type="pct"/>
            <w:tcBorders>
              <w:tl2br w:val="nil"/>
              <w:tr2bl w:val="nil"/>
            </w:tcBorders>
            <w:vAlign w:val="center"/>
          </w:tcPr>
          <w:p w14:paraId="7FF06B6D">
            <w:pPr>
              <w:pStyle w:val="44"/>
              <w:bidi w:val="0"/>
              <w:rPr>
                <w:color w:val="auto"/>
              </w:rPr>
            </w:pPr>
            <w:r>
              <w:rPr>
                <w:rFonts w:hint="eastAsia"/>
                <w:color w:val="auto"/>
                <w:lang w:val="en-US" w:eastAsia="zh-CN"/>
              </w:rPr>
              <w:t>/</w:t>
            </w:r>
          </w:p>
        </w:tc>
        <w:tc>
          <w:tcPr>
            <w:tcW w:w="527" w:type="pct"/>
            <w:tcBorders>
              <w:tl2br w:val="nil"/>
              <w:tr2bl w:val="nil"/>
            </w:tcBorders>
            <w:shd w:val="clear" w:color="auto" w:fill="auto"/>
            <w:vAlign w:val="center"/>
          </w:tcPr>
          <w:p w14:paraId="292CD760">
            <w:pPr>
              <w:pStyle w:val="44"/>
              <w:bidi w:val="0"/>
              <w:rPr>
                <w:rFonts w:hint="eastAsia"/>
                <w:color w:val="auto"/>
                <w:lang w:val="en-US" w:eastAsia="zh-CN"/>
              </w:rPr>
            </w:pPr>
            <w:r>
              <w:rPr>
                <w:rFonts w:hint="eastAsia"/>
                <w:color w:val="auto"/>
                <w:lang w:val="en-US" w:eastAsia="zh-CN"/>
              </w:rPr>
              <w:t>59167.1</w:t>
            </w:r>
          </w:p>
        </w:tc>
        <w:tc>
          <w:tcPr>
            <w:tcW w:w="378" w:type="pct"/>
            <w:tcBorders>
              <w:tl2br w:val="nil"/>
              <w:tr2bl w:val="nil"/>
            </w:tcBorders>
            <w:vAlign w:val="center"/>
          </w:tcPr>
          <w:p w14:paraId="536A4EAE">
            <w:pPr>
              <w:pStyle w:val="44"/>
              <w:bidi w:val="0"/>
              <w:rPr>
                <w:rFonts w:hint="default"/>
                <w:color w:val="auto"/>
                <w:lang w:val="en-US" w:eastAsia="zh-CN"/>
              </w:rPr>
            </w:pPr>
            <w:r>
              <w:rPr>
                <w:rFonts w:hint="eastAsia"/>
                <w:color w:val="auto"/>
                <w:lang w:val="en-US" w:eastAsia="zh-CN"/>
              </w:rPr>
              <w:t>14号地块</w:t>
            </w:r>
          </w:p>
        </w:tc>
      </w:tr>
      <w:tr w14:paraId="027B8E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249" w:type="pct"/>
            <w:tcBorders>
              <w:tl2br w:val="nil"/>
              <w:tr2bl w:val="nil"/>
            </w:tcBorders>
            <w:vAlign w:val="center"/>
          </w:tcPr>
          <w:p w14:paraId="7132F26B">
            <w:pPr>
              <w:pStyle w:val="44"/>
              <w:bidi w:val="0"/>
              <w:rPr>
                <w:color w:val="auto"/>
              </w:rPr>
            </w:pPr>
            <w:r>
              <w:rPr>
                <w:color w:val="auto"/>
              </w:rPr>
              <w:t>生态恢复期</w:t>
            </w:r>
          </w:p>
        </w:tc>
        <w:tc>
          <w:tcPr>
            <w:tcW w:w="659" w:type="pct"/>
            <w:tcBorders>
              <w:tl2br w:val="nil"/>
              <w:tr2bl w:val="nil"/>
            </w:tcBorders>
            <w:vAlign w:val="center"/>
          </w:tcPr>
          <w:p w14:paraId="3308A68E">
            <w:pPr>
              <w:pStyle w:val="44"/>
              <w:bidi w:val="0"/>
              <w:rPr>
                <w:rFonts w:hint="eastAsia"/>
                <w:color w:val="auto"/>
                <w:lang w:eastAsia="zh-CN"/>
              </w:rPr>
            </w:pPr>
            <w:r>
              <w:rPr>
                <w:color w:val="auto"/>
              </w:rPr>
              <w:t>覆土复垦</w:t>
            </w:r>
            <w:r>
              <w:rPr>
                <w:rFonts w:hint="eastAsia"/>
                <w:color w:val="auto"/>
                <w:lang w:eastAsia="zh-CN"/>
              </w:rPr>
              <w:t>（</w:t>
            </w:r>
            <w:r>
              <w:rPr>
                <w:rFonts w:hint="eastAsia"/>
                <w:color w:val="auto"/>
                <w:lang w:val="en-US" w:eastAsia="zh-CN"/>
              </w:rPr>
              <w:t>表土</w:t>
            </w:r>
            <w:r>
              <w:rPr>
                <w:rFonts w:hint="eastAsia"/>
                <w:color w:val="auto"/>
                <w:lang w:eastAsia="zh-CN"/>
              </w:rPr>
              <w:t>）</w:t>
            </w:r>
          </w:p>
        </w:tc>
        <w:tc>
          <w:tcPr>
            <w:tcW w:w="564" w:type="pct"/>
            <w:tcBorders>
              <w:tl2br w:val="nil"/>
              <w:tr2bl w:val="nil"/>
            </w:tcBorders>
            <w:vAlign w:val="center"/>
          </w:tcPr>
          <w:p w14:paraId="44E2A827">
            <w:pPr>
              <w:pStyle w:val="44"/>
              <w:bidi w:val="0"/>
              <w:rPr>
                <w:rFonts w:hint="eastAsia"/>
                <w:color w:val="auto"/>
                <w:lang w:val="en-US" w:eastAsia="zh-CN"/>
              </w:rPr>
            </w:pPr>
            <w:r>
              <w:rPr>
                <w:rFonts w:hint="eastAsia"/>
                <w:color w:val="auto"/>
                <w:lang w:val="en-US" w:eastAsia="zh-CN"/>
              </w:rPr>
              <w:t>0</w:t>
            </w:r>
          </w:p>
        </w:tc>
        <w:tc>
          <w:tcPr>
            <w:tcW w:w="609" w:type="pct"/>
            <w:tcBorders>
              <w:tl2br w:val="nil"/>
              <w:tr2bl w:val="nil"/>
            </w:tcBorders>
            <w:vAlign w:val="center"/>
          </w:tcPr>
          <w:p w14:paraId="329C3BE4">
            <w:pPr>
              <w:pStyle w:val="44"/>
              <w:bidi w:val="0"/>
              <w:rPr>
                <w:rFonts w:hint="default"/>
                <w:color w:val="auto"/>
                <w:lang w:val="en-US" w:eastAsia="zh-CN"/>
              </w:rPr>
            </w:pPr>
            <w:r>
              <w:rPr>
                <w:rFonts w:hint="eastAsia"/>
                <w:color w:val="auto"/>
                <w:lang w:val="en-US" w:eastAsia="zh-CN"/>
              </w:rPr>
              <w:t>5712</w:t>
            </w:r>
          </w:p>
        </w:tc>
        <w:tc>
          <w:tcPr>
            <w:tcW w:w="513" w:type="pct"/>
            <w:tcBorders>
              <w:tl2br w:val="nil"/>
              <w:tr2bl w:val="nil"/>
            </w:tcBorders>
            <w:vAlign w:val="center"/>
          </w:tcPr>
          <w:p w14:paraId="2210FD4B">
            <w:pPr>
              <w:pStyle w:val="44"/>
              <w:bidi w:val="0"/>
              <w:rPr>
                <w:rFonts w:hint="default"/>
                <w:color w:val="auto"/>
                <w:lang w:val="en-US" w:eastAsia="zh-CN"/>
              </w:rPr>
            </w:pPr>
            <w:r>
              <w:rPr>
                <w:rFonts w:hint="eastAsia"/>
                <w:color w:val="auto"/>
                <w:lang w:val="en-US" w:eastAsia="zh-CN"/>
              </w:rPr>
              <w:t>5712</w:t>
            </w:r>
          </w:p>
        </w:tc>
        <w:tc>
          <w:tcPr>
            <w:tcW w:w="447" w:type="pct"/>
            <w:tcBorders>
              <w:tl2br w:val="nil"/>
              <w:tr2bl w:val="nil"/>
            </w:tcBorders>
            <w:vAlign w:val="center"/>
          </w:tcPr>
          <w:p w14:paraId="009701B0">
            <w:pPr>
              <w:pStyle w:val="44"/>
              <w:bidi w:val="0"/>
              <w:rPr>
                <w:rFonts w:hint="eastAsia"/>
                <w:color w:val="auto"/>
                <w:lang w:val="en-US" w:eastAsia="zh-CN"/>
              </w:rPr>
            </w:pPr>
            <w:r>
              <w:rPr>
                <w:rFonts w:hint="eastAsia"/>
                <w:color w:val="auto"/>
                <w:lang w:val="en-US" w:eastAsia="zh-CN"/>
              </w:rPr>
              <w:t>0</w:t>
            </w:r>
          </w:p>
        </w:tc>
        <w:tc>
          <w:tcPr>
            <w:tcW w:w="650" w:type="pct"/>
            <w:tcBorders>
              <w:tl2br w:val="nil"/>
              <w:tr2bl w:val="nil"/>
            </w:tcBorders>
            <w:vAlign w:val="center"/>
          </w:tcPr>
          <w:p w14:paraId="75AAD514">
            <w:pPr>
              <w:pStyle w:val="44"/>
              <w:bidi w:val="0"/>
              <w:rPr>
                <w:rFonts w:hint="default"/>
                <w:color w:val="auto"/>
                <w:lang w:val="en-US" w:eastAsia="zh-CN"/>
              </w:rPr>
            </w:pPr>
            <w:r>
              <w:rPr>
                <w:rFonts w:hint="eastAsia"/>
                <w:color w:val="auto"/>
                <w:lang w:val="en-US" w:eastAsia="zh-CN"/>
              </w:rPr>
              <w:t>5712</w:t>
            </w:r>
          </w:p>
        </w:tc>
        <w:tc>
          <w:tcPr>
            <w:tcW w:w="400" w:type="pct"/>
            <w:tcBorders>
              <w:tl2br w:val="nil"/>
              <w:tr2bl w:val="nil"/>
            </w:tcBorders>
            <w:vAlign w:val="center"/>
          </w:tcPr>
          <w:p w14:paraId="1C3ABEAC">
            <w:pPr>
              <w:pStyle w:val="44"/>
              <w:bidi w:val="0"/>
              <w:rPr>
                <w:color w:val="auto"/>
              </w:rPr>
            </w:pPr>
            <w:r>
              <w:rPr>
                <w:rFonts w:hint="eastAsia"/>
                <w:color w:val="auto"/>
                <w:lang w:val="en-US" w:eastAsia="zh-CN"/>
              </w:rPr>
              <w:t>政府调配</w:t>
            </w:r>
          </w:p>
        </w:tc>
        <w:tc>
          <w:tcPr>
            <w:tcW w:w="527" w:type="pct"/>
            <w:tcBorders>
              <w:tl2br w:val="nil"/>
              <w:tr2bl w:val="nil"/>
            </w:tcBorders>
            <w:vAlign w:val="center"/>
          </w:tcPr>
          <w:p w14:paraId="547F11B2">
            <w:pPr>
              <w:pStyle w:val="44"/>
              <w:bidi w:val="0"/>
              <w:rPr>
                <w:rFonts w:hint="eastAsia"/>
                <w:color w:val="auto"/>
                <w:lang w:val="en-US" w:eastAsia="zh-CN"/>
              </w:rPr>
            </w:pPr>
            <w:r>
              <w:rPr>
                <w:rFonts w:hint="eastAsia"/>
                <w:color w:val="auto"/>
                <w:lang w:val="en-US" w:eastAsia="zh-CN"/>
              </w:rPr>
              <w:t>0</w:t>
            </w:r>
          </w:p>
        </w:tc>
        <w:tc>
          <w:tcPr>
            <w:tcW w:w="378" w:type="pct"/>
            <w:tcBorders>
              <w:tl2br w:val="nil"/>
              <w:tr2bl w:val="nil"/>
            </w:tcBorders>
            <w:vAlign w:val="center"/>
          </w:tcPr>
          <w:p w14:paraId="14517E59">
            <w:pPr>
              <w:pStyle w:val="44"/>
              <w:bidi w:val="0"/>
              <w:rPr>
                <w:color w:val="auto"/>
              </w:rPr>
            </w:pPr>
            <w:r>
              <w:rPr>
                <w:rFonts w:hint="eastAsia"/>
                <w:color w:val="auto"/>
                <w:lang w:val="en-US" w:eastAsia="zh-CN"/>
              </w:rPr>
              <w:t>/</w:t>
            </w:r>
          </w:p>
        </w:tc>
      </w:tr>
      <w:tr w14:paraId="4E3379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909" w:type="pct"/>
            <w:gridSpan w:val="2"/>
            <w:vMerge w:val="restart"/>
            <w:tcBorders>
              <w:tl2br w:val="nil"/>
              <w:tr2bl w:val="nil"/>
            </w:tcBorders>
            <w:vAlign w:val="center"/>
          </w:tcPr>
          <w:p w14:paraId="3530B161">
            <w:pPr>
              <w:pStyle w:val="44"/>
              <w:bidi w:val="0"/>
              <w:rPr>
                <w:rFonts w:hint="default"/>
                <w:color w:val="auto"/>
                <w:lang w:val="en-US" w:eastAsia="zh-CN"/>
              </w:rPr>
            </w:pPr>
            <w:r>
              <w:rPr>
                <w:rFonts w:hint="eastAsia"/>
                <w:color w:val="auto"/>
                <w:lang w:val="en-US" w:eastAsia="zh-CN"/>
              </w:rPr>
              <w:t>45#项目</w:t>
            </w:r>
          </w:p>
        </w:tc>
        <w:tc>
          <w:tcPr>
            <w:tcW w:w="564" w:type="pct"/>
            <w:vMerge w:val="restart"/>
            <w:tcBorders>
              <w:tl2br w:val="nil"/>
              <w:tr2bl w:val="nil"/>
            </w:tcBorders>
            <w:vAlign w:val="center"/>
          </w:tcPr>
          <w:p w14:paraId="38B8EE7D">
            <w:pPr>
              <w:pStyle w:val="44"/>
              <w:bidi w:val="0"/>
              <w:rPr>
                <w:color w:val="auto"/>
              </w:rPr>
            </w:pPr>
            <w:r>
              <w:rPr>
                <w:color w:val="auto"/>
              </w:rPr>
              <w:t>挖方</w:t>
            </w:r>
          </w:p>
        </w:tc>
        <w:tc>
          <w:tcPr>
            <w:tcW w:w="609" w:type="pct"/>
            <w:vMerge w:val="restart"/>
            <w:tcBorders>
              <w:tl2br w:val="nil"/>
              <w:tr2bl w:val="nil"/>
            </w:tcBorders>
            <w:vAlign w:val="center"/>
          </w:tcPr>
          <w:p w14:paraId="2842354D">
            <w:pPr>
              <w:pStyle w:val="44"/>
              <w:bidi w:val="0"/>
              <w:rPr>
                <w:color w:val="auto"/>
              </w:rPr>
            </w:pPr>
            <w:r>
              <w:rPr>
                <w:color w:val="auto"/>
              </w:rPr>
              <w:t>填方</w:t>
            </w:r>
          </w:p>
        </w:tc>
        <w:tc>
          <w:tcPr>
            <w:tcW w:w="513" w:type="pct"/>
            <w:vMerge w:val="restart"/>
            <w:tcBorders>
              <w:tl2br w:val="nil"/>
              <w:tr2bl w:val="nil"/>
            </w:tcBorders>
            <w:vAlign w:val="center"/>
          </w:tcPr>
          <w:p w14:paraId="71CA4212">
            <w:pPr>
              <w:pStyle w:val="44"/>
              <w:bidi w:val="0"/>
              <w:rPr>
                <w:color w:val="auto"/>
              </w:rPr>
            </w:pPr>
            <w:r>
              <w:rPr>
                <w:color w:val="auto"/>
              </w:rPr>
              <w:t>外借方</w:t>
            </w:r>
          </w:p>
        </w:tc>
        <w:tc>
          <w:tcPr>
            <w:tcW w:w="447" w:type="pct"/>
            <w:vMerge w:val="restart"/>
            <w:tcBorders>
              <w:tl2br w:val="nil"/>
              <w:tr2bl w:val="nil"/>
            </w:tcBorders>
            <w:vAlign w:val="center"/>
          </w:tcPr>
          <w:p w14:paraId="032D4529">
            <w:pPr>
              <w:pStyle w:val="44"/>
              <w:bidi w:val="0"/>
              <w:rPr>
                <w:color w:val="auto"/>
              </w:rPr>
            </w:pPr>
            <w:r>
              <w:rPr>
                <w:color w:val="auto"/>
              </w:rPr>
              <w:t>弃方</w:t>
            </w:r>
          </w:p>
        </w:tc>
        <w:tc>
          <w:tcPr>
            <w:tcW w:w="1050" w:type="pct"/>
            <w:gridSpan w:val="2"/>
            <w:tcBorders>
              <w:tl2br w:val="nil"/>
              <w:tr2bl w:val="nil"/>
            </w:tcBorders>
            <w:vAlign w:val="center"/>
          </w:tcPr>
          <w:p w14:paraId="151BD891">
            <w:pPr>
              <w:pStyle w:val="44"/>
              <w:bidi w:val="0"/>
              <w:rPr>
                <w:color w:val="auto"/>
              </w:rPr>
            </w:pPr>
            <w:r>
              <w:rPr>
                <w:color w:val="auto"/>
              </w:rPr>
              <w:t>调入方</w:t>
            </w:r>
          </w:p>
        </w:tc>
        <w:tc>
          <w:tcPr>
            <w:tcW w:w="905" w:type="pct"/>
            <w:gridSpan w:val="2"/>
            <w:tcBorders>
              <w:tl2br w:val="nil"/>
              <w:tr2bl w:val="nil"/>
            </w:tcBorders>
            <w:vAlign w:val="center"/>
          </w:tcPr>
          <w:p w14:paraId="6C9E0113">
            <w:pPr>
              <w:pStyle w:val="44"/>
              <w:bidi w:val="0"/>
              <w:rPr>
                <w:color w:val="auto"/>
              </w:rPr>
            </w:pPr>
            <w:r>
              <w:rPr>
                <w:color w:val="auto"/>
              </w:rPr>
              <w:t>调出方</w:t>
            </w:r>
          </w:p>
        </w:tc>
      </w:tr>
      <w:tr w14:paraId="62C8A4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909" w:type="pct"/>
            <w:gridSpan w:val="2"/>
            <w:vMerge w:val="continue"/>
            <w:tcBorders>
              <w:tl2br w:val="nil"/>
              <w:tr2bl w:val="nil"/>
            </w:tcBorders>
            <w:vAlign w:val="center"/>
          </w:tcPr>
          <w:p w14:paraId="2B79F1E7">
            <w:pPr>
              <w:pStyle w:val="44"/>
              <w:bidi w:val="0"/>
              <w:rPr>
                <w:color w:val="auto"/>
              </w:rPr>
            </w:pPr>
          </w:p>
        </w:tc>
        <w:tc>
          <w:tcPr>
            <w:tcW w:w="564" w:type="pct"/>
            <w:vMerge w:val="continue"/>
            <w:tcBorders>
              <w:tl2br w:val="nil"/>
              <w:tr2bl w:val="nil"/>
            </w:tcBorders>
            <w:vAlign w:val="center"/>
          </w:tcPr>
          <w:p w14:paraId="685B762F">
            <w:pPr>
              <w:pStyle w:val="44"/>
              <w:bidi w:val="0"/>
              <w:rPr>
                <w:color w:val="auto"/>
              </w:rPr>
            </w:pPr>
          </w:p>
        </w:tc>
        <w:tc>
          <w:tcPr>
            <w:tcW w:w="609" w:type="pct"/>
            <w:vMerge w:val="continue"/>
            <w:tcBorders>
              <w:tl2br w:val="nil"/>
              <w:tr2bl w:val="nil"/>
            </w:tcBorders>
            <w:vAlign w:val="center"/>
          </w:tcPr>
          <w:p w14:paraId="17039C13">
            <w:pPr>
              <w:pStyle w:val="44"/>
              <w:bidi w:val="0"/>
              <w:rPr>
                <w:color w:val="auto"/>
              </w:rPr>
            </w:pPr>
          </w:p>
        </w:tc>
        <w:tc>
          <w:tcPr>
            <w:tcW w:w="513" w:type="pct"/>
            <w:vMerge w:val="continue"/>
            <w:tcBorders>
              <w:tl2br w:val="nil"/>
              <w:tr2bl w:val="nil"/>
            </w:tcBorders>
            <w:vAlign w:val="center"/>
          </w:tcPr>
          <w:p w14:paraId="4F9EFB95">
            <w:pPr>
              <w:pStyle w:val="44"/>
              <w:bidi w:val="0"/>
              <w:rPr>
                <w:color w:val="auto"/>
              </w:rPr>
            </w:pPr>
          </w:p>
        </w:tc>
        <w:tc>
          <w:tcPr>
            <w:tcW w:w="447" w:type="pct"/>
            <w:vMerge w:val="continue"/>
            <w:tcBorders>
              <w:tl2br w:val="nil"/>
              <w:tr2bl w:val="nil"/>
            </w:tcBorders>
            <w:vAlign w:val="center"/>
          </w:tcPr>
          <w:p w14:paraId="3812E01D">
            <w:pPr>
              <w:pStyle w:val="44"/>
              <w:bidi w:val="0"/>
              <w:rPr>
                <w:color w:val="auto"/>
              </w:rPr>
            </w:pPr>
          </w:p>
        </w:tc>
        <w:tc>
          <w:tcPr>
            <w:tcW w:w="650" w:type="pct"/>
            <w:tcBorders>
              <w:tl2br w:val="nil"/>
              <w:tr2bl w:val="nil"/>
            </w:tcBorders>
            <w:vAlign w:val="center"/>
          </w:tcPr>
          <w:p w14:paraId="7632FC8B">
            <w:pPr>
              <w:pStyle w:val="44"/>
              <w:bidi w:val="0"/>
              <w:rPr>
                <w:color w:val="auto"/>
              </w:rPr>
            </w:pPr>
            <w:r>
              <w:rPr>
                <w:color w:val="auto"/>
              </w:rPr>
              <w:t>数量</w:t>
            </w:r>
          </w:p>
        </w:tc>
        <w:tc>
          <w:tcPr>
            <w:tcW w:w="400" w:type="pct"/>
            <w:tcBorders>
              <w:tl2br w:val="nil"/>
              <w:tr2bl w:val="nil"/>
            </w:tcBorders>
            <w:vAlign w:val="center"/>
          </w:tcPr>
          <w:p w14:paraId="2DAB7403">
            <w:pPr>
              <w:pStyle w:val="44"/>
              <w:bidi w:val="0"/>
              <w:rPr>
                <w:color w:val="auto"/>
              </w:rPr>
            </w:pPr>
            <w:r>
              <w:rPr>
                <w:color w:val="auto"/>
              </w:rPr>
              <w:t>来源</w:t>
            </w:r>
          </w:p>
        </w:tc>
        <w:tc>
          <w:tcPr>
            <w:tcW w:w="527" w:type="pct"/>
            <w:tcBorders>
              <w:tl2br w:val="nil"/>
              <w:tr2bl w:val="nil"/>
            </w:tcBorders>
            <w:vAlign w:val="center"/>
          </w:tcPr>
          <w:p w14:paraId="3208EED5">
            <w:pPr>
              <w:pStyle w:val="44"/>
              <w:bidi w:val="0"/>
              <w:rPr>
                <w:color w:val="auto"/>
              </w:rPr>
            </w:pPr>
            <w:r>
              <w:rPr>
                <w:color w:val="auto"/>
              </w:rPr>
              <w:t>数量</w:t>
            </w:r>
          </w:p>
        </w:tc>
        <w:tc>
          <w:tcPr>
            <w:tcW w:w="378" w:type="pct"/>
            <w:tcBorders>
              <w:tl2br w:val="nil"/>
              <w:tr2bl w:val="nil"/>
            </w:tcBorders>
            <w:vAlign w:val="center"/>
          </w:tcPr>
          <w:p w14:paraId="4BFBC498">
            <w:pPr>
              <w:pStyle w:val="44"/>
              <w:bidi w:val="0"/>
              <w:rPr>
                <w:color w:val="auto"/>
              </w:rPr>
            </w:pPr>
            <w:r>
              <w:rPr>
                <w:color w:val="auto"/>
              </w:rPr>
              <w:t>去向</w:t>
            </w:r>
          </w:p>
        </w:tc>
      </w:tr>
      <w:tr w14:paraId="2AA8CA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249" w:type="pct"/>
            <w:tcBorders>
              <w:tl2br w:val="nil"/>
              <w:tr2bl w:val="nil"/>
            </w:tcBorders>
            <w:vAlign w:val="center"/>
          </w:tcPr>
          <w:p w14:paraId="4C4F77BE">
            <w:pPr>
              <w:pStyle w:val="44"/>
              <w:bidi w:val="0"/>
              <w:rPr>
                <w:color w:val="auto"/>
              </w:rPr>
            </w:pPr>
            <w:r>
              <w:rPr>
                <w:color w:val="auto"/>
              </w:rPr>
              <w:t>施工期</w:t>
            </w:r>
          </w:p>
        </w:tc>
        <w:tc>
          <w:tcPr>
            <w:tcW w:w="659" w:type="pct"/>
            <w:tcBorders>
              <w:tl2br w:val="nil"/>
              <w:tr2bl w:val="nil"/>
            </w:tcBorders>
            <w:vAlign w:val="center"/>
          </w:tcPr>
          <w:p w14:paraId="47E3A8F2">
            <w:pPr>
              <w:pStyle w:val="44"/>
              <w:bidi w:val="0"/>
              <w:rPr>
                <w:color w:val="auto"/>
              </w:rPr>
            </w:pPr>
            <w:r>
              <w:rPr>
                <w:rFonts w:hint="eastAsia"/>
                <w:color w:val="auto"/>
                <w:lang w:val="en-US" w:eastAsia="zh-CN"/>
              </w:rPr>
              <w:t>其他</w:t>
            </w:r>
            <w:r>
              <w:rPr>
                <w:rFonts w:hint="eastAsia"/>
                <w:color w:val="auto"/>
              </w:rPr>
              <w:t>工程</w:t>
            </w:r>
          </w:p>
        </w:tc>
        <w:tc>
          <w:tcPr>
            <w:tcW w:w="564" w:type="pct"/>
            <w:tcBorders>
              <w:tl2br w:val="nil"/>
              <w:tr2bl w:val="nil"/>
            </w:tcBorders>
            <w:vAlign w:val="center"/>
          </w:tcPr>
          <w:p w14:paraId="40CEC196">
            <w:pPr>
              <w:pStyle w:val="44"/>
              <w:bidi w:val="0"/>
              <w:rPr>
                <w:color w:val="auto"/>
              </w:rPr>
            </w:pPr>
            <w:r>
              <w:rPr>
                <w:rFonts w:hint="default"/>
                <w:color w:val="auto"/>
                <w:lang w:val="en-US" w:eastAsia="zh-CN"/>
              </w:rPr>
              <w:t>20555.4</w:t>
            </w:r>
          </w:p>
        </w:tc>
        <w:tc>
          <w:tcPr>
            <w:tcW w:w="609" w:type="pct"/>
            <w:tcBorders>
              <w:tl2br w:val="nil"/>
              <w:tr2bl w:val="nil"/>
            </w:tcBorders>
            <w:vAlign w:val="center"/>
          </w:tcPr>
          <w:p w14:paraId="72F643CF">
            <w:pPr>
              <w:pStyle w:val="44"/>
              <w:bidi w:val="0"/>
              <w:rPr>
                <w:rFonts w:hint="eastAsia"/>
                <w:color w:val="auto"/>
                <w:lang w:val="en-US" w:eastAsia="zh-CN"/>
              </w:rPr>
            </w:pPr>
            <w:r>
              <w:rPr>
                <w:rFonts w:hint="default"/>
                <w:color w:val="auto"/>
                <w:lang w:val="en-US" w:eastAsia="zh-CN"/>
              </w:rPr>
              <w:t>5835.1</w:t>
            </w:r>
          </w:p>
        </w:tc>
        <w:tc>
          <w:tcPr>
            <w:tcW w:w="513" w:type="pct"/>
            <w:tcBorders>
              <w:tl2br w:val="nil"/>
              <w:tr2bl w:val="nil"/>
            </w:tcBorders>
            <w:vAlign w:val="center"/>
          </w:tcPr>
          <w:p w14:paraId="73A93035">
            <w:pPr>
              <w:pStyle w:val="44"/>
              <w:bidi w:val="0"/>
              <w:rPr>
                <w:rFonts w:hint="eastAsia"/>
                <w:color w:val="auto"/>
                <w:lang w:val="en-US" w:eastAsia="zh-CN"/>
              </w:rPr>
            </w:pPr>
            <w:r>
              <w:rPr>
                <w:rFonts w:hint="eastAsia"/>
                <w:color w:val="auto"/>
                <w:lang w:val="en-US" w:eastAsia="zh-CN"/>
              </w:rPr>
              <w:t>0</w:t>
            </w:r>
          </w:p>
        </w:tc>
        <w:tc>
          <w:tcPr>
            <w:tcW w:w="447" w:type="pct"/>
            <w:tcBorders>
              <w:tl2br w:val="nil"/>
              <w:tr2bl w:val="nil"/>
            </w:tcBorders>
            <w:vAlign w:val="center"/>
          </w:tcPr>
          <w:p w14:paraId="5E6CB782">
            <w:pPr>
              <w:pStyle w:val="44"/>
              <w:bidi w:val="0"/>
              <w:rPr>
                <w:rFonts w:hint="eastAsia"/>
                <w:color w:val="auto"/>
                <w:lang w:val="en-US" w:eastAsia="zh-CN"/>
              </w:rPr>
            </w:pPr>
            <w:r>
              <w:rPr>
                <w:rFonts w:hint="eastAsia"/>
                <w:color w:val="auto"/>
                <w:lang w:val="en-US" w:eastAsia="zh-CN"/>
              </w:rPr>
              <w:t>0</w:t>
            </w:r>
          </w:p>
        </w:tc>
        <w:tc>
          <w:tcPr>
            <w:tcW w:w="650" w:type="pct"/>
            <w:tcBorders>
              <w:tl2br w:val="nil"/>
              <w:tr2bl w:val="nil"/>
            </w:tcBorders>
            <w:vAlign w:val="center"/>
          </w:tcPr>
          <w:p w14:paraId="3A098964">
            <w:pPr>
              <w:pStyle w:val="44"/>
              <w:bidi w:val="0"/>
              <w:rPr>
                <w:rFonts w:hint="eastAsia"/>
                <w:color w:val="auto"/>
                <w:lang w:val="en-US" w:eastAsia="zh-CN"/>
              </w:rPr>
            </w:pPr>
            <w:r>
              <w:rPr>
                <w:rFonts w:hint="eastAsia"/>
                <w:color w:val="auto"/>
                <w:lang w:val="en-US" w:eastAsia="zh-CN"/>
              </w:rPr>
              <w:t>0</w:t>
            </w:r>
          </w:p>
        </w:tc>
        <w:tc>
          <w:tcPr>
            <w:tcW w:w="400" w:type="pct"/>
            <w:tcBorders>
              <w:tl2br w:val="nil"/>
              <w:tr2bl w:val="nil"/>
            </w:tcBorders>
            <w:vAlign w:val="center"/>
          </w:tcPr>
          <w:p w14:paraId="145BF05F">
            <w:pPr>
              <w:pStyle w:val="44"/>
              <w:bidi w:val="0"/>
              <w:rPr>
                <w:color w:val="auto"/>
              </w:rPr>
            </w:pPr>
            <w:r>
              <w:rPr>
                <w:rFonts w:hint="eastAsia"/>
                <w:color w:val="auto"/>
                <w:lang w:val="en-US" w:eastAsia="zh-CN"/>
              </w:rPr>
              <w:t>/</w:t>
            </w:r>
          </w:p>
        </w:tc>
        <w:tc>
          <w:tcPr>
            <w:tcW w:w="527" w:type="pct"/>
            <w:tcBorders>
              <w:tl2br w:val="nil"/>
              <w:tr2bl w:val="nil"/>
            </w:tcBorders>
            <w:shd w:val="clear" w:color="auto" w:fill="auto"/>
            <w:vAlign w:val="center"/>
          </w:tcPr>
          <w:p w14:paraId="3C325A97">
            <w:pPr>
              <w:pStyle w:val="44"/>
              <w:bidi w:val="0"/>
              <w:rPr>
                <w:rFonts w:hint="eastAsia"/>
                <w:color w:val="auto"/>
                <w:lang w:val="en-US" w:eastAsia="zh-CN"/>
              </w:rPr>
            </w:pPr>
            <w:r>
              <w:rPr>
                <w:rFonts w:hint="eastAsia"/>
                <w:color w:val="auto"/>
                <w:lang w:val="en-US" w:eastAsia="zh-CN"/>
              </w:rPr>
              <w:t>14720.3</w:t>
            </w:r>
          </w:p>
        </w:tc>
        <w:tc>
          <w:tcPr>
            <w:tcW w:w="378" w:type="pct"/>
            <w:tcBorders>
              <w:tl2br w:val="nil"/>
              <w:tr2bl w:val="nil"/>
            </w:tcBorders>
            <w:vAlign w:val="center"/>
          </w:tcPr>
          <w:p w14:paraId="23DB9B23">
            <w:pPr>
              <w:pStyle w:val="44"/>
              <w:bidi w:val="0"/>
              <w:rPr>
                <w:rFonts w:hint="default"/>
                <w:color w:val="auto"/>
                <w:lang w:val="en-US" w:eastAsia="zh-CN"/>
              </w:rPr>
            </w:pPr>
            <w:r>
              <w:rPr>
                <w:rFonts w:hint="eastAsia"/>
                <w:color w:val="auto"/>
                <w:lang w:val="en-US" w:eastAsia="zh-CN"/>
              </w:rPr>
              <w:t>2#地块</w:t>
            </w:r>
          </w:p>
        </w:tc>
      </w:tr>
      <w:tr w14:paraId="53B050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249" w:type="pct"/>
            <w:tcBorders>
              <w:tl2br w:val="nil"/>
              <w:tr2bl w:val="nil"/>
            </w:tcBorders>
            <w:vAlign w:val="center"/>
          </w:tcPr>
          <w:p w14:paraId="62A752C4">
            <w:pPr>
              <w:pStyle w:val="44"/>
              <w:bidi w:val="0"/>
              <w:rPr>
                <w:color w:val="auto"/>
              </w:rPr>
            </w:pPr>
            <w:r>
              <w:rPr>
                <w:color w:val="auto"/>
              </w:rPr>
              <w:t>生态恢复期</w:t>
            </w:r>
          </w:p>
        </w:tc>
        <w:tc>
          <w:tcPr>
            <w:tcW w:w="659" w:type="pct"/>
            <w:tcBorders>
              <w:tl2br w:val="nil"/>
              <w:tr2bl w:val="nil"/>
            </w:tcBorders>
            <w:vAlign w:val="center"/>
          </w:tcPr>
          <w:p w14:paraId="6A28E1D2">
            <w:pPr>
              <w:pStyle w:val="44"/>
              <w:bidi w:val="0"/>
              <w:rPr>
                <w:rFonts w:hint="eastAsia"/>
                <w:color w:val="auto"/>
                <w:lang w:eastAsia="zh-CN"/>
              </w:rPr>
            </w:pPr>
            <w:r>
              <w:rPr>
                <w:color w:val="auto"/>
              </w:rPr>
              <w:t>覆土复垦</w:t>
            </w:r>
            <w:r>
              <w:rPr>
                <w:rFonts w:hint="eastAsia"/>
                <w:color w:val="auto"/>
                <w:lang w:eastAsia="zh-CN"/>
              </w:rPr>
              <w:t>（</w:t>
            </w:r>
            <w:r>
              <w:rPr>
                <w:rFonts w:hint="eastAsia"/>
                <w:color w:val="auto"/>
                <w:lang w:val="en-US" w:eastAsia="zh-CN"/>
              </w:rPr>
              <w:t>表土</w:t>
            </w:r>
            <w:r>
              <w:rPr>
                <w:rFonts w:hint="eastAsia"/>
                <w:color w:val="auto"/>
                <w:lang w:eastAsia="zh-CN"/>
              </w:rPr>
              <w:t>）</w:t>
            </w:r>
          </w:p>
        </w:tc>
        <w:tc>
          <w:tcPr>
            <w:tcW w:w="564" w:type="pct"/>
            <w:tcBorders>
              <w:tl2br w:val="nil"/>
              <w:tr2bl w:val="nil"/>
            </w:tcBorders>
            <w:vAlign w:val="center"/>
          </w:tcPr>
          <w:p w14:paraId="5364EE1B">
            <w:pPr>
              <w:pStyle w:val="44"/>
              <w:bidi w:val="0"/>
              <w:rPr>
                <w:rFonts w:hint="eastAsia"/>
                <w:color w:val="auto"/>
                <w:lang w:val="en-US" w:eastAsia="zh-CN"/>
              </w:rPr>
            </w:pPr>
            <w:r>
              <w:rPr>
                <w:rFonts w:hint="eastAsia"/>
                <w:color w:val="auto"/>
                <w:lang w:val="en-US" w:eastAsia="zh-CN"/>
              </w:rPr>
              <w:t>0</w:t>
            </w:r>
          </w:p>
        </w:tc>
        <w:tc>
          <w:tcPr>
            <w:tcW w:w="609" w:type="pct"/>
            <w:tcBorders>
              <w:tl2br w:val="nil"/>
              <w:tr2bl w:val="nil"/>
            </w:tcBorders>
            <w:vAlign w:val="center"/>
          </w:tcPr>
          <w:p w14:paraId="7FAF0BE1">
            <w:pPr>
              <w:pStyle w:val="44"/>
              <w:bidi w:val="0"/>
              <w:rPr>
                <w:rFonts w:hint="default"/>
                <w:color w:val="auto"/>
                <w:lang w:val="en-US" w:eastAsia="zh-CN"/>
              </w:rPr>
            </w:pPr>
            <w:r>
              <w:rPr>
                <w:rFonts w:hint="eastAsia"/>
                <w:color w:val="auto"/>
                <w:lang w:val="en-US" w:eastAsia="zh-CN"/>
              </w:rPr>
              <w:t>2705</w:t>
            </w:r>
          </w:p>
        </w:tc>
        <w:tc>
          <w:tcPr>
            <w:tcW w:w="513" w:type="pct"/>
            <w:tcBorders>
              <w:tl2br w:val="nil"/>
              <w:tr2bl w:val="nil"/>
            </w:tcBorders>
            <w:vAlign w:val="center"/>
          </w:tcPr>
          <w:p w14:paraId="4035C743">
            <w:pPr>
              <w:pStyle w:val="44"/>
              <w:bidi w:val="0"/>
              <w:rPr>
                <w:rFonts w:hint="default"/>
                <w:color w:val="auto"/>
                <w:lang w:val="en-US" w:eastAsia="zh-CN"/>
              </w:rPr>
            </w:pPr>
            <w:r>
              <w:rPr>
                <w:rFonts w:hint="eastAsia"/>
                <w:color w:val="auto"/>
                <w:lang w:val="en-US" w:eastAsia="zh-CN"/>
              </w:rPr>
              <w:t>2705</w:t>
            </w:r>
          </w:p>
        </w:tc>
        <w:tc>
          <w:tcPr>
            <w:tcW w:w="447" w:type="pct"/>
            <w:tcBorders>
              <w:tl2br w:val="nil"/>
              <w:tr2bl w:val="nil"/>
            </w:tcBorders>
            <w:vAlign w:val="center"/>
          </w:tcPr>
          <w:p w14:paraId="4839B1B1">
            <w:pPr>
              <w:pStyle w:val="44"/>
              <w:bidi w:val="0"/>
              <w:rPr>
                <w:rFonts w:hint="eastAsia"/>
                <w:color w:val="auto"/>
                <w:lang w:val="en-US" w:eastAsia="zh-CN"/>
              </w:rPr>
            </w:pPr>
            <w:r>
              <w:rPr>
                <w:rFonts w:hint="eastAsia"/>
                <w:color w:val="auto"/>
                <w:lang w:val="en-US" w:eastAsia="zh-CN"/>
              </w:rPr>
              <w:t>0</w:t>
            </w:r>
          </w:p>
        </w:tc>
        <w:tc>
          <w:tcPr>
            <w:tcW w:w="650" w:type="pct"/>
            <w:tcBorders>
              <w:tl2br w:val="nil"/>
              <w:tr2bl w:val="nil"/>
            </w:tcBorders>
            <w:vAlign w:val="center"/>
          </w:tcPr>
          <w:p w14:paraId="1C99DBAB">
            <w:pPr>
              <w:pStyle w:val="44"/>
              <w:bidi w:val="0"/>
              <w:rPr>
                <w:rFonts w:hint="default"/>
                <w:color w:val="auto"/>
                <w:lang w:val="en-US" w:eastAsia="zh-CN"/>
              </w:rPr>
            </w:pPr>
            <w:r>
              <w:rPr>
                <w:rFonts w:hint="eastAsia"/>
                <w:color w:val="auto"/>
                <w:lang w:val="en-US" w:eastAsia="zh-CN"/>
              </w:rPr>
              <w:t>2705</w:t>
            </w:r>
          </w:p>
        </w:tc>
        <w:tc>
          <w:tcPr>
            <w:tcW w:w="400" w:type="pct"/>
            <w:tcBorders>
              <w:tl2br w:val="nil"/>
              <w:tr2bl w:val="nil"/>
            </w:tcBorders>
            <w:vAlign w:val="center"/>
          </w:tcPr>
          <w:p w14:paraId="3BAC416F">
            <w:pPr>
              <w:pStyle w:val="44"/>
              <w:bidi w:val="0"/>
              <w:rPr>
                <w:color w:val="auto"/>
              </w:rPr>
            </w:pPr>
            <w:r>
              <w:rPr>
                <w:rFonts w:hint="eastAsia"/>
                <w:color w:val="auto"/>
                <w:lang w:val="en-US" w:eastAsia="zh-CN"/>
              </w:rPr>
              <w:t>政府调配</w:t>
            </w:r>
          </w:p>
        </w:tc>
        <w:tc>
          <w:tcPr>
            <w:tcW w:w="527" w:type="pct"/>
            <w:tcBorders>
              <w:tl2br w:val="nil"/>
              <w:tr2bl w:val="nil"/>
            </w:tcBorders>
            <w:vAlign w:val="center"/>
          </w:tcPr>
          <w:p w14:paraId="06B49FE5">
            <w:pPr>
              <w:pStyle w:val="44"/>
              <w:bidi w:val="0"/>
              <w:rPr>
                <w:rFonts w:hint="eastAsia"/>
                <w:color w:val="auto"/>
                <w:lang w:val="en-US" w:eastAsia="zh-CN"/>
              </w:rPr>
            </w:pPr>
            <w:r>
              <w:rPr>
                <w:rFonts w:hint="eastAsia"/>
                <w:color w:val="auto"/>
                <w:lang w:val="en-US" w:eastAsia="zh-CN"/>
              </w:rPr>
              <w:t>0</w:t>
            </w:r>
          </w:p>
        </w:tc>
        <w:tc>
          <w:tcPr>
            <w:tcW w:w="378" w:type="pct"/>
            <w:tcBorders>
              <w:tl2br w:val="nil"/>
              <w:tr2bl w:val="nil"/>
            </w:tcBorders>
            <w:vAlign w:val="center"/>
          </w:tcPr>
          <w:p w14:paraId="203E35F3">
            <w:pPr>
              <w:pStyle w:val="44"/>
              <w:bidi w:val="0"/>
              <w:rPr>
                <w:color w:val="auto"/>
              </w:rPr>
            </w:pPr>
            <w:r>
              <w:rPr>
                <w:rFonts w:hint="eastAsia"/>
                <w:color w:val="auto"/>
                <w:lang w:val="en-US" w:eastAsia="zh-CN"/>
              </w:rPr>
              <w:t>/</w:t>
            </w:r>
          </w:p>
        </w:tc>
      </w:tr>
      <w:tr w14:paraId="15D4D1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909" w:type="pct"/>
            <w:gridSpan w:val="2"/>
            <w:vMerge w:val="restart"/>
            <w:tcBorders>
              <w:tl2br w:val="nil"/>
              <w:tr2bl w:val="nil"/>
            </w:tcBorders>
            <w:vAlign w:val="center"/>
          </w:tcPr>
          <w:p w14:paraId="09406858">
            <w:pPr>
              <w:pStyle w:val="44"/>
              <w:bidi w:val="0"/>
              <w:rPr>
                <w:rFonts w:hint="default"/>
                <w:color w:val="auto"/>
                <w:lang w:val="en-US" w:eastAsia="zh-CN"/>
              </w:rPr>
            </w:pPr>
            <w:r>
              <w:rPr>
                <w:rFonts w:hint="eastAsia"/>
                <w:color w:val="auto"/>
                <w:lang w:val="en-US" w:eastAsia="zh-CN"/>
              </w:rPr>
              <w:t>47#项目</w:t>
            </w:r>
          </w:p>
        </w:tc>
        <w:tc>
          <w:tcPr>
            <w:tcW w:w="564" w:type="pct"/>
            <w:vMerge w:val="restart"/>
            <w:tcBorders>
              <w:tl2br w:val="nil"/>
              <w:tr2bl w:val="nil"/>
            </w:tcBorders>
            <w:vAlign w:val="center"/>
          </w:tcPr>
          <w:p w14:paraId="7479E5B9">
            <w:pPr>
              <w:pStyle w:val="44"/>
              <w:bidi w:val="0"/>
              <w:rPr>
                <w:color w:val="auto"/>
              </w:rPr>
            </w:pPr>
            <w:r>
              <w:rPr>
                <w:color w:val="auto"/>
              </w:rPr>
              <w:t>挖方</w:t>
            </w:r>
          </w:p>
        </w:tc>
        <w:tc>
          <w:tcPr>
            <w:tcW w:w="609" w:type="pct"/>
            <w:vMerge w:val="restart"/>
            <w:tcBorders>
              <w:tl2br w:val="nil"/>
              <w:tr2bl w:val="nil"/>
            </w:tcBorders>
            <w:vAlign w:val="center"/>
          </w:tcPr>
          <w:p w14:paraId="3A9A3B6B">
            <w:pPr>
              <w:pStyle w:val="44"/>
              <w:bidi w:val="0"/>
              <w:rPr>
                <w:color w:val="auto"/>
              </w:rPr>
            </w:pPr>
            <w:r>
              <w:rPr>
                <w:color w:val="auto"/>
              </w:rPr>
              <w:t>填方</w:t>
            </w:r>
          </w:p>
        </w:tc>
        <w:tc>
          <w:tcPr>
            <w:tcW w:w="513" w:type="pct"/>
            <w:vMerge w:val="restart"/>
            <w:tcBorders>
              <w:tl2br w:val="nil"/>
              <w:tr2bl w:val="nil"/>
            </w:tcBorders>
            <w:vAlign w:val="center"/>
          </w:tcPr>
          <w:p w14:paraId="4939987F">
            <w:pPr>
              <w:pStyle w:val="44"/>
              <w:bidi w:val="0"/>
              <w:rPr>
                <w:color w:val="auto"/>
              </w:rPr>
            </w:pPr>
            <w:r>
              <w:rPr>
                <w:color w:val="auto"/>
              </w:rPr>
              <w:t>外借方</w:t>
            </w:r>
          </w:p>
        </w:tc>
        <w:tc>
          <w:tcPr>
            <w:tcW w:w="447" w:type="pct"/>
            <w:vMerge w:val="restart"/>
            <w:tcBorders>
              <w:tl2br w:val="nil"/>
              <w:tr2bl w:val="nil"/>
            </w:tcBorders>
            <w:vAlign w:val="center"/>
          </w:tcPr>
          <w:p w14:paraId="790AD9E4">
            <w:pPr>
              <w:pStyle w:val="44"/>
              <w:bidi w:val="0"/>
              <w:rPr>
                <w:color w:val="auto"/>
              </w:rPr>
            </w:pPr>
            <w:r>
              <w:rPr>
                <w:color w:val="auto"/>
              </w:rPr>
              <w:t>弃方</w:t>
            </w:r>
          </w:p>
        </w:tc>
        <w:tc>
          <w:tcPr>
            <w:tcW w:w="1050" w:type="pct"/>
            <w:gridSpan w:val="2"/>
            <w:tcBorders>
              <w:tl2br w:val="nil"/>
              <w:tr2bl w:val="nil"/>
            </w:tcBorders>
            <w:vAlign w:val="center"/>
          </w:tcPr>
          <w:p w14:paraId="0591C6A7">
            <w:pPr>
              <w:pStyle w:val="44"/>
              <w:bidi w:val="0"/>
              <w:rPr>
                <w:color w:val="auto"/>
              </w:rPr>
            </w:pPr>
            <w:r>
              <w:rPr>
                <w:color w:val="auto"/>
              </w:rPr>
              <w:t>调入方</w:t>
            </w:r>
          </w:p>
        </w:tc>
        <w:tc>
          <w:tcPr>
            <w:tcW w:w="905" w:type="pct"/>
            <w:gridSpan w:val="2"/>
            <w:tcBorders>
              <w:tl2br w:val="nil"/>
              <w:tr2bl w:val="nil"/>
            </w:tcBorders>
            <w:vAlign w:val="center"/>
          </w:tcPr>
          <w:p w14:paraId="0A67283D">
            <w:pPr>
              <w:pStyle w:val="44"/>
              <w:bidi w:val="0"/>
              <w:rPr>
                <w:color w:val="auto"/>
              </w:rPr>
            </w:pPr>
            <w:r>
              <w:rPr>
                <w:color w:val="auto"/>
              </w:rPr>
              <w:t>调出方</w:t>
            </w:r>
          </w:p>
        </w:tc>
      </w:tr>
      <w:tr w14:paraId="2A15DF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909" w:type="pct"/>
            <w:gridSpan w:val="2"/>
            <w:vMerge w:val="continue"/>
            <w:tcBorders>
              <w:tl2br w:val="nil"/>
              <w:tr2bl w:val="nil"/>
            </w:tcBorders>
            <w:vAlign w:val="center"/>
          </w:tcPr>
          <w:p w14:paraId="0A5C0E11">
            <w:pPr>
              <w:pStyle w:val="44"/>
              <w:bidi w:val="0"/>
              <w:rPr>
                <w:color w:val="auto"/>
              </w:rPr>
            </w:pPr>
          </w:p>
        </w:tc>
        <w:tc>
          <w:tcPr>
            <w:tcW w:w="564" w:type="pct"/>
            <w:vMerge w:val="continue"/>
            <w:tcBorders>
              <w:tl2br w:val="nil"/>
              <w:tr2bl w:val="nil"/>
            </w:tcBorders>
            <w:vAlign w:val="center"/>
          </w:tcPr>
          <w:p w14:paraId="7885C85D">
            <w:pPr>
              <w:pStyle w:val="44"/>
              <w:bidi w:val="0"/>
              <w:rPr>
                <w:color w:val="auto"/>
              </w:rPr>
            </w:pPr>
          </w:p>
        </w:tc>
        <w:tc>
          <w:tcPr>
            <w:tcW w:w="609" w:type="pct"/>
            <w:vMerge w:val="continue"/>
            <w:tcBorders>
              <w:tl2br w:val="nil"/>
              <w:tr2bl w:val="nil"/>
            </w:tcBorders>
            <w:vAlign w:val="center"/>
          </w:tcPr>
          <w:p w14:paraId="21FF3004">
            <w:pPr>
              <w:pStyle w:val="44"/>
              <w:bidi w:val="0"/>
              <w:rPr>
                <w:color w:val="auto"/>
              </w:rPr>
            </w:pPr>
          </w:p>
        </w:tc>
        <w:tc>
          <w:tcPr>
            <w:tcW w:w="513" w:type="pct"/>
            <w:vMerge w:val="continue"/>
            <w:tcBorders>
              <w:tl2br w:val="nil"/>
              <w:tr2bl w:val="nil"/>
            </w:tcBorders>
            <w:vAlign w:val="center"/>
          </w:tcPr>
          <w:p w14:paraId="63CB07A6">
            <w:pPr>
              <w:pStyle w:val="44"/>
              <w:bidi w:val="0"/>
              <w:rPr>
                <w:color w:val="auto"/>
              </w:rPr>
            </w:pPr>
          </w:p>
        </w:tc>
        <w:tc>
          <w:tcPr>
            <w:tcW w:w="447" w:type="pct"/>
            <w:vMerge w:val="continue"/>
            <w:tcBorders>
              <w:tl2br w:val="nil"/>
              <w:tr2bl w:val="nil"/>
            </w:tcBorders>
            <w:vAlign w:val="center"/>
          </w:tcPr>
          <w:p w14:paraId="1DAE6B78">
            <w:pPr>
              <w:pStyle w:val="44"/>
              <w:bidi w:val="0"/>
              <w:rPr>
                <w:color w:val="auto"/>
              </w:rPr>
            </w:pPr>
          </w:p>
        </w:tc>
        <w:tc>
          <w:tcPr>
            <w:tcW w:w="650" w:type="pct"/>
            <w:tcBorders>
              <w:tl2br w:val="nil"/>
              <w:tr2bl w:val="nil"/>
            </w:tcBorders>
            <w:vAlign w:val="center"/>
          </w:tcPr>
          <w:p w14:paraId="21C78118">
            <w:pPr>
              <w:pStyle w:val="44"/>
              <w:bidi w:val="0"/>
              <w:rPr>
                <w:color w:val="auto"/>
              </w:rPr>
            </w:pPr>
            <w:r>
              <w:rPr>
                <w:color w:val="auto"/>
              </w:rPr>
              <w:t>数量</w:t>
            </w:r>
          </w:p>
        </w:tc>
        <w:tc>
          <w:tcPr>
            <w:tcW w:w="400" w:type="pct"/>
            <w:tcBorders>
              <w:tl2br w:val="nil"/>
              <w:tr2bl w:val="nil"/>
            </w:tcBorders>
            <w:vAlign w:val="center"/>
          </w:tcPr>
          <w:p w14:paraId="0B55CFB9">
            <w:pPr>
              <w:pStyle w:val="44"/>
              <w:bidi w:val="0"/>
              <w:rPr>
                <w:color w:val="auto"/>
              </w:rPr>
            </w:pPr>
            <w:r>
              <w:rPr>
                <w:color w:val="auto"/>
              </w:rPr>
              <w:t>来源</w:t>
            </w:r>
          </w:p>
        </w:tc>
        <w:tc>
          <w:tcPr>
            <w:tcW w:w="527" w:type="pct"/>
            <w:tcBorders>
              <w:tl2br w:val="nil"/>
              <w:tr2bl w:val="nil"/>
            </w:tcBorders>
            <w:vAlign w:val="center"/>
          </w:tcPr>
          <w:p w14:paraId="0F939F65">
            <w:pPr>
              <w:pStyle w:val="44"/>
              <w:bidi w:val="0"/>
              <w:rPr>
                <w:color w:val="auto"/>
              </w:rPr>
            </w:pPr>
            <w:r>
              <w:rPr>
                <w:color w:val="auto"/>
              </w:rPr>
              <w:t>数量</w:t>
            </w:r>
          </w:p>
        </w:tc>
        <w:tc>
          <w:tcPr>
            <w:tcW w:w="378" w:type="pct"/>
            <w:tcBorders>
              <w:tl2br w:val="nil"/>
              <w:tr2bl w:val="nil"/>
            </w:tcBorders>
            <w:vAlign w:val="center"/>
          </w:tcPr>
          <w:p w14:paraId="5DBF47FD">
            <w:pPr>
              <w:pStyle w:val="44"/>
              <w:bidi w:val="0"/>
              <w:rPr>
                <w:color w:val="auto"/>
              </w:rPr>
            </w:pPr>
            <w:r>
              <w:rPr>
                <w:color w:val="auto"/>
              </w:rPr>
              <w:t>去向</w:t>
            </w:r>
          </w:p>
        </w:tc>
      </w:tr>
      <w:tr w14:paraId="516607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249" w:type="pct"/>
            <w:vMerge w:val="restart"/>
            <w:tcBorders>
              <w:tl2br w:val="nil"/>
              <w:tr2bl w:val="nil"/>
            </w:tcBorders>
            <w:vAlign w:val="center"/>
          </w:tcPr>
          <w:p w14:paraId="73C91EAB">
            <w:pPr>
              <w:pStyle w:val="44"/>
              <w:bidi w:val="0"/>
              <w:rPr>
                <w:color w:val="auto"/>
              </w:rPr>
            </w:pPr>
            <w:r>
              <w:rPr>
                <w:color w:val="auto"/>
              </w:rPr>
              <w:t>施工期</w:t>
            </w:r>
          </w:p>
        </w:tc>
        <w:tc>
          <w:tcPr>
            <w:tcW w:w="659" w:type="pct"/>
            <w:tcBorders>
              <w:tl2br w:val="nil"/>
              <w:tr2bl w:val="nil"/>
            </w:tcBorders>
            <w:vAlign w:val="center"/>
          </w:tcPr>
          <w:p w14:paraId="10E40ABC">
            <w:pPr>
              <w:pStyle w:val="44"/>
              <w:bidi w:val="0"/>
              <w:rPr>
                <w:color w:val="auto"/>
              </w:rPr>
            </w:pPr>
            <w:r>
              <w:rPr>
                <w:rFonts w:hint="eastAsia"/>
                <w:color w:val="auto"/>
                <w:lang w:val="en-US" w:eastAsia="zh-CN"/>
              </w:rPr>
              <w:t>挡土墙</w:t>
            </w:r>
          </w:p>
        </w:tc>
        <w:tc>
          <w:tcPr>
            <w:tcW w:w="564" w:type="pct"/>
            <w:tcBorders>
              <w:tl2br w:val="nil"/>
              <w:tr2bl w:val="nil"/>
            </w:tcBorders>
            <w:vAlign w:val="center"/>
          </w:tcPr>
          <w:p w14:paraId="1C2075AA">
            <w:pPr>
              <w:pStyle w:val="44"/>
              <w:bidi w:val="0"/>
              <w:rPr>
                <w:rFonts w:hint="eastAsia"/>
                <w:color w:val="auto"/>
                <w:lang w:val="en-US" w:eastAsia="zh-CN"/>
              </w:rPr>
            </w:pPr>
            <w:r>
              <w:rPr>
                <w:rFonts w:hint="default"/>
                <w:color w:val="auto"/>
                <w:lang w:val="en-US" w:eastAsia="zh-CN"/>
              </w:rPr>
              <w:t>723.5</w:t>
            </w:r>
          </w:p>
        </w:tc>
        <w:tc>
          <w:tcPr>
            <w:tcW w:w="609" w:type="pct"/>
            <w:tcBorders>
              <w:tl2br w:val="nil"/>
              <w:tr2bl w:val="nil"/>
            </w:tcBorders>
            <w:vAlign w:val="center"/>
          </w:tcPr>
          <w:p w14:paraId="39D41FFF">
            <w:pPr>
              <w:pStyle w:val="44"/>
              <w:bidi w:val="0"/>
              <w:rPr>
                <w:rFonts w:hint="eastAsia"/>
                <w:color w:val="auto"/>
                <w:lang w:val="en-US" w:eastAsia="zh-CN"/>
              </w:rPr>
            </w:pPr>
            <w:r>
              <w:rPr>
                <w:rFonts w:hint="default"/>
                <w:color w:val="auto"/>
                <w:lang w:val="en-US" w:eastAsia="zh-CN"/>
              </w:rPr>
              <w:t>5562.8</w:t>
            </w:r>
          </w:p>
        </w:tc>
        <w:tc>
          <w:tcPr>
            <w:tcW w:w="513" w:type="pct"/>
            <w:tcBorders>
              <w:tl2br w:val="nil"/>
              <w:tr2bl w:val="nil"/>
            </w:tcBorders>
            <w:vAlign w:val="center"/>
          </w:tcPr>
          <w:p w14:paraId="0E890EA5">
            <w:pPr>
              <w:pStyle w:val="44"/>
              <w:bidi w:val="0"/>
              <w:rPr>
                <w:rFonts w:hint="eastAsia"/>
                <w:color w:val="auto"/>
                <w:lang w:val="en-US" w:eastAsia="zh-CN"/>
              </w:rPr>
            </w:pPr>
            <w:r>
              <w:rPr>
                <w:rFonts w:hint="eastAsia"/>
                <w:color w:val="auto"/>
                <w:lang w:val="en-US" w:eastAsia="zh-CN"/>
              </w:rPr>
              <w:t>0</w:t>
            </w:r>
          </w:p>
        </w:tc>
        <w:tc>
          <w:tcPr>
            <w:tcW w:w="447" w:type="pct"/>
            <w:tcBorders>
              <w:tl2br w:val="nil"/>
              <w:tr2bl w:val="nil"/>
            </w:tcBorders>
            <w:vAlign w:val="center"/>
          </w:tcPr>
          <w:p w14:paraId="4E7FD7EE">
            <w:pPr>
              <w:pStyle w:val="44"/>
              <w:bidi w:val="0"/>
              <w:rPr>
                <w:rFonts w:hint="eastAsia"/>
                <w:color w:val="auto"/>
                <w:lang w:val="en-US" w:eastAsia="zh-CN"/>
              </w:rPr>
            </w:pPr>
            <w:r>
              <w:rPr>
                <w:rFonts w:hint="eastAsia"/>
                <w:color w:val="auto"/>
                <w:lang w:val="en-US" w:eastAsia="zh-CN"/>
              </w:rPr>
              <w:t>0</w:t>
            </w:r>
          </w:p>
        </w:tc>
        <w:tc>
          <w:tcPr>
            <w:tcW w:w="650" w:type="pct"/>
            <w:tcBorders>
              <w:tl2br w:val="nil"/>
              <w:tr2bl w:val="nil"/>
            </w:tcBorders>
            <w:shd w:val="clear" w:color="auto" w:fill="auto"/>
            <w:vAlign w:val="center"/>
          </w:tcPr>
          <w:p w14:paraId="4C6F0675">
            <w:pPr>
              <w:pStyle w:val="44"/>
              <w:bidi w:val="0"/>
              <w:rPr>
                <w:rFonts w:hint="eastAsia"/>
                <w:color w:val="auto"/>
                <w:lang w:val="en-US" w:eastAsia="zh-CN"/>
              </w:rPr>
            </w:pPr>
            <w:r>
              <w:rPr>
                <w:rFonts w:hint="eastAsia"/>
                <w:color w:val="auto"/>
                <w:lang w:val="en-US" w:eastAsia="zh-CN"/>
              </w:rPr>
              <w:t>4839.3</w:t>
            </w:r>
          </w:p>
        </w:tc>
        <w:tc>
          <w:tcPr>
            <w:tcW w:w="400" w:type="pct"/>
            <w:tcBorders>
              <w:tl2br w:val="nil"/>
              <w:tr2bl w:val="nil"/>
            </w:tcBorders>
            <w:vAlign w:val="center"/>
          </w:tcPr>
          <w:p w14:paraId="2DA6447A">
            <w:pPr>
              <w:pStyle w:val="44"/>
              <w:bidi w:val="0"/>
              <w:rPr>
                <w:rFonts w:hint="default"/>
                <w:color w:val="auto"/>
                <w:lang w:val="en-US" w:eastAsia="zh-CN"/>
              </w:rPr>
            </w:pPr>
            <w:r>
              <w:rPr>
                <w:rFonts w:hint="eastAsia"/>
                <w:color w:val="auto"/>
                <w:lang w:val="en-US" w:eastAsia="zh-CN"/>
              </w:rPr>
              <w:t>41号地块</w:t>
            </w:r>
          </w:p>
        </w:tc>
        <w:tc>
          <w:tcPr>
            <w:tcW w:w="527" w:type="pct"/>
            <w:tcBorders>
              <w:tl2br w:val="nil"/>
              <w:tr2bl w:val="nil"/>
            </w:tcBorders>
            <w:vAlign w:val="center"/>
          </w:tcPr>
          <w:p w14:paraId="172E70E6">
            <w:pPr>
              <w:pStyle w:val="44"/>
              <w:bidi w:val="0"/>
              <w:rPr>
                <w:rFonts w:hint="eastAsia"/>
                <w:color w:val="auto"/>
                <w:lang w:val="en-US" w:eastAsia="zh-CN"/>
              </w:rPr>
            </w:pPr>
            <w:r>
              <w:rPr>
                <w:rFonts w:hint="eastAsia"/>
                <w:color w:val="auto"/>
                <w:lang w:val="en-US" w:eastAsia="zh-CN"/>
              </w:rPr>
              <w:t>0</w:t>
            </w:r>
          </w:p>
        </w:tc>
        <w:tc>
          <w:tcPr>
            <w:tcW w:w="378" w:type="pct"/>
            <w:tcBorders>
              <w:tl2br w:val="nil"/>
              <w:tr2bl w:val="nil"/>
            </w:tcBorders>
            <w:vAlign w:val="center"/>
          </w:tcPr>
          <w:p w14:paraId="12A6895A">
            <w:pPr>
              <w:pStyle w:val="44"/>
              <w:bidi w:val="0"/>
              <w:rPr>
                <w:rFonts w:hint="eastAsia"/>
                <w:color w:val="auto"/>
                <w:lang w:val="en-US" w:eastAsia="zh-CN"/>
              </w:rPr>
            </w:pPr>
            <w:r>
              <w:rPr>
                <w:rFonts w:hint="eastAsia"/>
                <w:color w:val="auto"/>
                <w:lang w:val="en-US" w:eastAsia="zh-CN"/>
              </w:rPr>
              <w:t>/</w:t>
            </w:r>
          </w:p>
        </w:tc>
      </w:tr>
      <w:tr w14:paraId="17D684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249" w:type="pct"/>
            <w:vMerge w:val="continue"/>
            <w:tcBorders>
              <w:tl2br w:val="nil"/>
              <w:tr2bl w:val="nil"/>
            </w:tcBorders>
            <w:vAlign w:val="center"/>
          </w:tcPr>
          <w:p w14:paraId="2DE29F9D">
            <w:pPr>
              <w:pStyle w:val="44"/>
              <w:bidi w:val="0"/>
              <w:rPr>
                <w:color w:val="auto"/>
              </w:rPr>
            </w:pPr>
          </w:p>
        </w:tc>
        <w:tc>
          <w:tcPr>
            <w:tcW w:w="659" w:type="pct"/>
            <w:tcBorders>
              <w:tl2br w:val="nil"/>
              <w:tr2bl w:val="nil"/>
            </w:tcBorders>
            <w:vAlign w:val="center"/>
          </w:tcPr>
          <w:p w14:paraId="1FD390DE">
            <w:pPr>
              <w:pStyle w:val="44"/>
              <w:bidi w:val="0"/>
              <w:rPr>
                <w:color w:val="auto"/>
              </w:rPr>
            </w:pPr>
            <w:r>
              <w:rPr>
                <w:rFonts w:hint="eastAsia"/>
                <w:color w:val="auto"/>
                <w:lang w:val="en-US" w:eastAsia="zh-CN"/>
              </w:rPr>
              <w:t>其他</w:t>
            </w:r>
            <w:r>
              <w:rPr>
                <w:rFonts w:hint="eastAsia"/>
                <w:color w:val="auto"/>
              </w:rPr>
              <w:t>工程</w:t>
            </w:r>
          </w:p>
        </w:tc>
        <w:tc>
          <w:tcPr>
            <w:tcW w:w="564" w:type="pct"/>
            <w:tcBorders>
              <w:tl2br w:val="nil"/>
              <w:tr2bl w:val="nil"/>
            </w:tcBorders>
            <w:vAlign w:val="center"/>
          </w:tcPr>
          <w:p w14:paraId="02FBCEDE">
            <w:pPr>
              <w:pStyle w:val="44"/>
              <w:bidi w:val="0"/>
              <w:rPr>
                <w:rFonts w:hint="eastAsia"/>
                <w:color w:val="auto"/>
                <w:lang w:val="en-US" w:eastAsia="zh-CN"/>
              </w:rPr>
            </w:pPr>
            <w:r>
              <w:rPr>
                <w:rFonts w:hint="eastAsia"/>
                <w:color w:val="auto"/>
                <w:lang w:val="en-US" w:eastAsia="zh-CN"/>
              </w:rPr>
              <w:t>0</w:t>
            </w:r>
          </w:p>
        </w:tc>
        <w:tc>
          <w:tcPr>
            <w:tcW w:w="609" w:type="pct"/>
            <w:tcBorders>
              <w:tl2br w:val="nil"/>
              <w:tr2bl w:val="nil"/>
            </w:tcBorders>
            <w:vAlign w:val="center"/>
          </w:tcPr>
          <w:p w14:paraId="7C04926C">
            <w:pPr>
              <w:pStyle w:val="44"/>
              <w:bidi w:val="0"/>
              <w:rPr>
                <w:rFonts w:hint="eastAsia"/>
                <w:color w:val="auto"/>
                <w:lang w:val="en-US" w:eastAsia="zh-CN"/>
              </w:rPr>
            </w:pPr>
            <w:r>
              <w:rPr>
                <w:rFonts w:hint="eastAsia"/>
                <w:color w:val="auto"/>
                <w:lang w:val="en-US" w:eastAsia="zh-CN"/>
              </w:rPr>
              <w:t>0</w:t>
            </w:r>
          </w:p>
        </w:tc>
        <w:tc>
          <w:tcPr>
            <w:tcW w:w="513" w:type="pct"/>
            <w:tcBorders>
              <w:tl2br w:val="nil"/>
              <w:tr2bl w:val="nil"/>
            </w:tcBorders>
            <w:vAlign w:val="center"/>
          </w:tcPr>
          <w:p w14:paraId="71752E40">
            <w:pPr>
              <w:pStyle w:val="44"/>
              <w:bidi w:val="0"/>
              <w:rPr>
                <w:rFonts w:hint="eastAsia"/>
                <w:color w:val="auto"/>
                <w:lang w:val="en-US" w:eastAsia="zh-CN"/>
              </w:rPr>
            </w:pPr>
            <w:r>
              <w:rPr>
                <w:rFonts w:hint="eastAsia"/>
                <w:color w:val="auto"/>
                <w:lang w:val="en-US" w:eastAsia="zh-CN"/>
              </w:rPr>
              <w:t>0</w:t>
            </w:r>
          </w:p>
        </w:tc>
        <w:tc>
          <w:tcPr>
            <w:tcW w:w="447" w:type="pct"/>
            <w:tcBorders>
              <w:tl2br w:val="nil"/>
              <w:tr2bl w:val="nil"/>
            </w:tcBorders>
            <w:vAlign w:val="center"/>
          </w:tcPr>
          <w:p w14:paraId="27BB9BA2">
            <w:pPr>
              <w:pStyle w:val="44"/>
              <w:bidi w:val="0"/>
              <w:rPr>
                <w:rFonts w:hint="eastAsia"/>
                <w:color w:val="auto"/>
                <w:lang w:val="en-US" w:eastAsia="zh-CN"/>
              </w:rPr>
            </w:pPr>
            <w:r>
              <w:rPr>
                <w:rFonts w:hint="eastAsia"/>
                <w:color w:val="auto"/>
                <w:lang w:val="en-US" w:eastAsia="zh-CN"/>
              </w:rPr>
              <w:t>0</w:t>
            </w:r>
          </w:p>
        </w:tc>
        <w:tc>
          <w:tcPr>
            <w:tcW w:w="650" w:type="pct"/>
            <w:tcBorders>
              <w:tl2br w:val="nil"/>
              <w:tr2bl w:val="nil"/>
            </w:tcBorders>
            <w:vAlign w:val="center"/>
          </w:tcPr>
          <w:p w14:paraId="180F59C7">
            <w:pPr>
              <w:pStyle w:val="44"/>
              <w:bidi w:val="0"/>
              <w:rPr>
                <w:rFonts w:hint="eastAsia"/>
                <w:color w:val="auto"/>
                <w:lang w:val="en-US" w:eastAsia="zh-CN"/>
              </w:rPr>
            </w:pPr>
            <w:r>
              <w:rPr>
                <w:rFonts w:hint="eastAsia"/>
                <w:color w:val="auto"/>
                <w:lang w:val="en-US" w:eastAsia="zh-CN"/>
              </w:rPr>
              <w:t>0</w:t>
            </w:r>
          </w:p>
        </w:tc>
        <w:tc>
          <w:tcPr>
            <w:tcW w:w="400" w:type="pct"/>
            <w:tcBorders>
              <w:tl2br w:val="nil"/>
              <w:tr2bl w:val="nil"/>
            </w:tcBorders>
            <w:vAlign w:val="center"/>
          </w:tcPr>
          <w:p w14:paraId="6D6B3F55">
            <w:pPr>
              <w:pStyle w:val="44"/>
              <w:bidi w:val="0"/>
              <w:rPr>
                <w:rFonts w:hint="eastAsia"/>
                <w:color w:val="auto"/>
                <w:lang w:val="en-US" w:eastAsia="zh-CN"/>
              </w:rPr>
            </w:pPr>
            <w:r>
              <w:rPr>
                <w:rFonts w:hint="eastAsia"/>
                <w:color w:val="auto"/>
                <w:lang w:val="en-US" w:eastAsia="zh-CN"/>
              </w:rPr>
              <w:t>/</w:t>
            </w:r>
          </w:p>
        </w:tc>
        <w:tc>
          <w:tcPr>
            <w:tcW w:w="527" w:type="pct"/>
            <w:tcBorders>
              <w:tl2br w:val="nil"/>
              <w:tr2bl w:val="nil"/>
            </w:tcBorders>
            <w:vAlign w:val="center"/>
          </w:tcPr>
          <w:p w14:paraId="60C17281">
            <w:pPr>
              <w:pStyle w:val="44"/>
              <w:bidi w:val="0"/>
              <w:rPr>
                <w:rFonts w:hint="eastAsia"/>
                <w:color w:val="auto"/>
                <w:lang w:val="en-US" w:eastAsia="zh-CN"/>
              </w:rPr>
            </w:pPr>
            <w:r>
              <w:rPr>
                <w:rFonts w:hint="eastAsia"/>
                <w:color w:val="auto"/>
                <w:lang w:val="en-US" w:eastAsia="zh-CN"/>
              </w:rPr>
              <w:t>0</w:t>
            </w:r>
          </w:p>
        </w:tc>
        <w:tc>
          <w:tcPr>
            <w:tcW w:w="378" w:type="pct"/>
            <w:tcBorders>
              <w:tl2br w:val="nil"/>
              <w:tr2bl w:val="nil"/>
            </w:tcBorders>
            <w:vAlign w:val="center"/>
          </w:tcPr>
          <w:p w14:paraId="562248F6">
            <w:pPr>
              <w:pStyle w:val="44"/>
              <w:bidi w:val="0"/>
              <w:rPr>
                <w:rFonts w:hint="eastAsia"/>
                <w:color w:val="auto"/>
                <w:lang w:val="en-US" w:eastAsia="zh-CN"/>
              </w:rPr>
            </w:pPr>
            <w:r>
              <w:rPr>
                <w:rFonts w:hint="eastAsia"/>
                <w:color w:val="auto"/>
                <w:lang w:val="en-US" w:eastAsia="zh-CN"/>
              </w:rPr>
              <w:t>/</w:t>
            </w:r>
          </w:p>
        </w:tc>
      </w:tr>
      <w:tr w14:paraId="52390D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249" w:type="pct"/>
            <w:tcBorders>
              <w:tl2br w:val="nil"/>
              <w:tr2bl w:val="nil"/>
            </w:tcBorders>
            <w:vAlign w:val="center"/>
          </w:tcPr>
          <w:p w14:paraId="06689937">
            <w:pPr>
              <w:pStyle w:val="44"/>
              <w:bidi w:val="0"/>
              <w:rPr>
                <w:color w:val="auto"/>
              </w:rPr>
            </w:pPr>
            <w:r>
              <w:rPr>
                <w:color w:val="auto"/>
              </w:rPr>
              <w:t>生态恢复期</w:t>
            </w:r>
          </w:p>
        </w:tc>
        <w:tc>
          <w:tcPr>
            <w:tcW w:w="659" w:type="pct"/>
            <w:tcBorders>
              <w:tl2br w:val="nil"/>
              <w:tr2bl w:val="nil"/>
            </w:tcBorders>
            <w:vAlign w:val="center"/>
          </w:tcPr>
          <w:p w14:paraId="27559679">
            <w:pPr>
              <w:pStyle w:val="44"/>
              <w:bidi w:val="0"/>
              <w:rPr>
                <w:rFonts w:hint="eastAsia"/>
                <w:color w:val="auto"/>
                <w:lang w:eastAsia="zh-CN"/>
              </w:rPr>
            </w:pPr>
            <w:r>
              <w:rPr>
                <w:color w:val="auto"/>
              </w:rPr>
              <w:t>覆土复垦</w:t>
            </w:r>
            <w:r>
              <w:rPr>
                <w:rFonts w:hint="eastAsia"/>
                <w:color w:val="auto"/>
                <w:lang w:eastAsia="zh-CN"/>
              </w:rPr>
              <w:t>（</w:t>
            </w:r>
            <w:r>
              <w:rPr>
                <w:rFonts w:hint="eastAsia"/>
                <w:color w:val="auto"/>
                <w:lang w:val="en-US" w:eastAsia="zh-CN"/>
              </w:rPr>
              <w:t>表土</w:t>
            </w:r>
            <w:r>
              <w:rPr>
                <w:rFonts w:hint="eastAsia"/>
                <w:color w:val="auto"/>
                <w:lang w:eastAsia="zh-CN"/>
              </w:rPr>
              <w:t>）</w:t>
            </w:r>
          </w:p>
        </w:tc>
        <w:tc>
          <w:tcPr>
            <w:tcW w:w="564" w:type="pct"/>
            <w:tcBorders>
              <w:tl2br w:val="nil"/>
              <w:tr2bl w:val="nil"/>
            </w:tcBorders>
            <w:vAlign w:val="center"/>
          </w:tcPr>
          <w:p w14:paraId="10719780">
            <w:pPr>
              <w:pStyle w:val="44"/>
              <w:bidi w:val="0"/>
              <w:rPr>
                <w:rFonts w:hint="eastAsia"/>
                <w:color w:val="auto"/>
                <w:lang w:val="en-US" w:eastAsia="zh-CN"/>
              </w:rPr>
            </w:pPr>
            <w:r>
              <w:rPr>
                <w:rFonts w:hint="eastAsia"/>
                <w:color w:val="auto"/>
                <w:lang w:val="en-US" w:eastAsia="zh-CN"/>
              </w:rPr>
              <w:t>0</w:t>
            </w:r>
          </w:p>
        </w:tc>
        <w:tc>
          <w:tcPr>
            <w:tcW w:w="609" w:type="pct"/>
            <w:tcBorders>
              <w:tl2br w:val="nil"/>
              <w:tr2bl w:val="nil"/>
            </w:tcBorders>
            <w:vAlign w:val="center"/>
          </w:tcPr>
          <w:p w14:paraId="3F7BC607">
            <w:pPr>
              <w:pStyle w:val="44"/>
              <w:bidi w:val="0"/>
              <w:rPr>
                <w:rFonts w:hint="eastAsia"/>
                <w:color w:val="auto"/>
                <w:lang w:val="en-US" w:eastAsia="zh-CN"/>
              </w:rPr>
            </w:pPr>
            <w:r>
              <w:rPr>
                <w:rFonts w:hint="eastAsia"/>
                <w:color w:val="auto"/>
                <w:lang w:val="en-US" w:eastAsia="zh-CN"/>
              </w:rPr>
              <w:t>0</w:t>
            </w:r>
          </w:p>
        </w:tc>
        <w:tc>
          <w:tcPr>
            <w:tcW w:w="513" w:type="pct"/>
            <w:tcBorders>
              <w:tl2br w:val="nil"/>
              <w:tr2bl w:val="nil"/>
            </w:tcBorders>
            <w:vAlign w:val="center"/>
          </w:tcPr>
          <w:p w14:paraId="42657D57">
            <w:pPr>
              <w:pStyle w:val="44"/>
              <w:bidi w:val="0"/>
              <w:rPr>
                <w:rFonts w:hint="eastAsia"/>
                <w:color w:val="auto"/>
                <w:lang w:val="en-US" w:eastAsia="zh-CN"/>
              </w:rPr>
            </w:pPr>
            <w:r>
              <w:rPr>
                <w:rFonts w:hint="eastAsia"/>
                <w:color w:val="auto"/>
                <w:lang w:val="en-US" w:eastAsia="zh-CN"/>
              </w:rPr>
              <w:t>0</w:t>
            </w:r>
          </w:p>
        </w:tc>
        <w:tc>
          <w:tcPr>
            <w:tcW w:w="447" w:type="pct"/>
            <w:tcBorders>
              <w:tl2br w:val="nil"/>
              <w:tr2bl w:val="nil"/>
            </w:tcBorders>
            <w:vAlign w:val="center"/>
          </w:tcPr>
          <w:p w14:paraId="2949B2CD">
            <w:pPr>
              <w:pStyle w:val="44"/>
              <w:bidi w:val="0"/>
              <w:rPr>
                <w:rFonts w:hint="eastAsia"/>
                <w:color w:val="auto"/>
                <w:lang w:val="en-US" w:eastAsia="zh-CN"/>
              </w:rPr>
            </w:pPr>
            <w:r>
              <w:rPr>
                <w:rFonts w:hint="eastAsia"/>
                <w:color w:val="auto"/>
                <w:lang w:val="en-US" w:eastAsia="zh-CN"/>
              </w:rPr>
              <w:t>0</w:t>
            </w:r>
          </w:p>
        </w:tc>
        <w:tc>
          <w:tcPr>
            <w:tcW w:w="650" w:type="pct"/>
            <w:tcBorders>
              <w:tl2br w:val="nil"/>
              <w:tr2bl w:val="nil"/>
            </w:tcBorders>
            <w:vAlign w:val="center"/>
          </w:tcPr>
          <w:p w14:paraId="01954C14">
            <w:pPr>
              <w:pStyle w:val="44"/>
              <w:bidi w:val="0"/>
              <w:rPr>
                <w:rFonts w:hint="eastAsia"/>
                <w:color w:val="auto"/>
                <w:lang w:val="en-US" w:eastAsia="zh-CN"/>
              </w:rPr>
            </w:pPr>
            <w:r>
              <w:rPr>
                <w:rFonts w:hint="eastAsia"/>
                <w:color w:val="auto"/>
                <w:lang w:val="en-US" w:eastAsia="zh-CN"/>
              </w:rPr>
              <w:t>0</w:t>
            </w:r>
          </w:p>
        </w:tc>
        <w:tc>
          <w:tcPr>
            <w:tcW w:w="400" w:type="pct"/>
            <w:tcBorders>
              <w:tl2br w:val="nil"/>
              <w:tr2bl w:val="nil"/>
            </w:tcBorders>
            <w:vAlign w:val="center"/>
          </w:tcPr>
          <w:p w14:paraId="189C5234">
            <w:pPr>
              <w:pStyle w:val="44"/>
              <w:bidi w:val="0"/>
              <w:rPr>
                <w:rFonts w:hint="eastAsia"/>
                <w:color w:val="auto"/>
                <w:lang w:val="en-US" w:eastAsia="zh-CN"/>
              </w:rPr>
            </w:pPr>
            <w:r>
              <w:rPr>
                <w:rFonts w:hint="eastAsia"/>
                <w:color w:val="auto"/>
                <w:lang w:val="en-US" w:eastAsia="zh-CN"/>
              </w:rPr>
              <w:t>/</w:t>
            </w:r>
          </w:p>
        </w:tc>
        <w:tc>
          <w:tcPr>
            <w:tcW w:w="527" w:type="pct"/>
            <w:tcBorders>
              <w:tl2br w:val="nil"/>
              <w:tr2bl w:val="nil"/>
            </w:tcBorders>
            <w:vAlign w:val="center"/>
          </w:tcPr>
          <w:p w14:paraId="7D73434D">
            <w:pPr>
              <w:pStyle w:val="44"/>
              <w:bidi w:val="0"/>
              <w:rPr>
                <w:rFonts w:hint="eastAsia"/>
                <w:color w:val="auto"/>
                <w:lang w:val="en-US" w:eastAsia="zh-CN"/>
              </w:rPr>
            </w:pPr>
            <w:r>
              <w:rPr>
                <w:rFonts w:hint="eastAsia"/>
                <w:color w:val="auto"/>
                <w:lang w:val="en-US" w:eastAsia="zh-CN"/>
              </w:rPr>
              <w:t>0</w:t>
            </w:r>
          </w:p>
        </w:tc>
        <w:tc>
          <w:tcPr>
            <w:tcW w:w="378" w:type="pct"/>
            <w:tcBorders>
              <w:tl2br w:val="nil"/>
              <w:tr2bl w:val="nil"/>
            </w:tcBorders>
            <w:vAlign w:val="center"/>
          </w:tcPr>
          <w:p w14:paraId="0333291C">
            <w:pPr>
              <w:pStyle w:val="44"/>
              <w:bidi w:val="0"/>
              <w:rPr>
                <w:rFonts w:hint="eastAsia"/>
                <w:color w:val="auto"/>
                <w:lang w:val="en-US" w:eastAsia="zh-CN"/>
              </w:rPr>
            </w:pPr>
            <w:r>
              <w:rPr>
                <w:rFonts w:hint="eastAsia"/>
                <w:color w:val="auto"/>
                <w:lang w:val="en-US" w:eastAsia="zh-CN"/>
              </w:rPr>
              <w:t>/</w:t>
            </w:r>
          </w:p>
        </w:tc>
      </w:tr>
      <w:tr w14:paraId="3AFA48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909" w:type="pct"/>
            <w:gridSpan w:val="2"/>
            <w:vMerge w:val="restart"/>
            <w:tcBorders>
              <w:tl2br w:val="nil"/>
              <w:tr2bl w:val="nil"/>
            </w:tcBorders>
            <w:vAlign w:val="center"/>
          </w:tcPr>
          <w:p w14:paraId="156FFF51">
            <w:pPr>
              <w:pStyle w:val="44"/>
              <w:bidi w:val="0"/>
              <w:rPr>
                <w:rFonts w:hint="default"/>
                <w:color w:val="auto"/>
                <w:lang w:val="en-US" w:eastAsia="zh-CN"/>
              </w:rPr>
            </w:pPr>
            <w:r>
              <w:rPr>
                <w:rFonts w:hint="eastAsia"/>
                <w:color w:val="auto"/>
                <w:lang w:val="en-US" w:eastAsia="zh-CN"/>
              </w:rPr>
              <w:t>59#项目</w:t>
            </w:r>
          </w:p>
        </w:tc>
        <w:tc>
          <w:tcPr>
            <w:tcW w:w="564" w:type="pct"/>
            <w:vMerge w:val="restart"/>
            <w:tcBorders>
              <w:tl2br w:val="nil"/>
              <w:tr2bl w:val="nil"/>
            </w:tcBorders>
            <w:vAlign w:val="center"/>
          </w:tcPr>
          <w:p w14:paraId="0495231A">
            <w:pPr>
              <w:pStyle w:val="44"/>
              <w:bidi w:val="0"/>
              <w:rPr>
                <w:color w:val="auto"/>
              </w:rPr>
            </w:pPr>
            <w:r>
              <w:rPr>
                <w:color w:val="auto"/>
              </w:rPr>
              <w:t>挖方</w:t>
            </w:r>
          </w:p>
        </w:tc>
        <w:tc>
          <w:tcPr>
            <w:tcW w:w="609" w:type="pct"/>
            <w:vMerge w:val="restart"/>
            <w:tcBorders>
              <w:tl2br w:val="nil"/>
              <w:tr2bl w:val="nil"/>
            </w:tcBorders>
            <w:vAlign w:val="center"/>
          </w:tcPr>
          <w:p w14:paraId="24A72DA3">
            <w:pPr>
              <w:pStyle w:val="44"/>
              <w:bidi w:val="0"/>
              <w:rPr>
                <w:color w:val="auto"/>
              </w:rPr>
            </w:pPr>
            <w:r>
              <w:rPr>
                <w:color w:val="auto"/>
              </w:rPr>
              <w:t>填方</w:t>
            </w:r>
          </w:p>
        </w:tc>
        <w:tc>
          <w:tcPr>
            <w:tcW w:w="513" w:type="pct"/>
            <w:vMerge w:val="restart"/>
            <w:tcBorders>
              <w:tl2br w:val="nil"/>
              <w:tr2bl w:val="nil"/>
            </w:tcBorders>
            <w:vAlign w:val="center"/>
          </w:tcPr>
          <w:p w14:paraId="3CE15EAE">
            <w:pPr>
              <w:pStyle w:val="44"/>
              <w:bidi w:val="0"/>
              <w:rPr>
                <w:color w:val="auto"/>
              </w:rPr>
            </w:pPr>
            <w:r>
              <w:rPr>
                <w:color w:val="auto"/>
              </w:rPr>
              <w:t>外借方</w:t>
            </w:r>
          </w:p>
        </w:tc>
        <w:tc>
          <w:tcPr>
            <w:tcW w:w="447" w:type="pct"/>
            <w:vMerge w:val="restart"/>
            <w:tcBorders>
              <w:tl2br w:val="nil"/>
              <w:tr2bl w:val="nil"/>
            </w:tcBorders>
            <w:vAlign w:val="center"/>
          </w:tcPr>
          <w:p w14:paraId="2A76A465">
            <w:pPr>
              <w:pStyle w:val="44"/>
              <w:bidi w:val="0"/>
              <w:rPr>
                <w:color w:val="auto"/>
              </w:rPr>
            </w:pPr>
            <w:r>
              <w:rPr>
                <w:color w:val="auto"/>
              </w:rPr>
              <w:t>弃方</w:t>
            </w:r>
          </w:p>
        </w:tc>
        <w:tc>
          <w:tcPr>
            <w:tcW w:w="1050" w:type="pct"/>
            <w:gridSpan w:val="2"/>
            <w:tcBorders>
              <w:tl2br w:val="nil"/>
              <w:tr2bl w:val="nil"/>
            </w:tcBorders>
            <w:vAlign w:val="center"/>
          </w:tcPr>
          <w:p w14:paraId="7FF1EA61">
            <w:pPr>
              <w:pStyle w:val="44"/>
              <w:bidi w:val="0"/>
              <w:rPr>
                <w:color w:val="auto"/>
              </w:rPr>
            </w:pPr>
            <w:r>
              <w:rPr>
                <w:color w:val="auto"/>
              </w:rPr>
              <w:t>调入方</w:t>
            </w:r>
          </w:p>
        </w:tc>
        <w:tc>
          <w:tcPr>
            <w:tcW w:w="905" w:type="pct"/>
            <w:gridSpan w:val="2"/>
            <w:tcBorders>
              <w:tl2br w:val="nil"/>
              <w:tr2bl w:val="nil"/>
            </w:tcBorders>
            <w:vAlign w:val="center"/>
          </w:tcPr>
          <w:p w14:paraId="7C8304B9">
            <w:pPr>
              <w:pStyle w:val="44"/>
              <w:bidi w:val="0"/>
              <w:rPr>
                <w:color w:val="auto"/>
              </w:rPr>
            </w:pPr>
            <w:r>
              <w:rPr>
                <w:color w:val="auto"/>
              </w:rPr>
              <w:t>调出方</w:t>
            </w:r>
          </w:p>
        </w:tc>
      </w:tr>
      <w:tr w14:paraId="3920D5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909" w:type="pct"/>
            <w:gridSpan w:val="2"/>
            <w:vMerge w:val="continue"/>
            <w:tcBorders>
              <w:tl2br w:val="nil"/>
              <w:tr2bl w:val="nil"/>
            </w:tcBorders>
            <w:vAlign w:val="center"/>
          </w:tcPr>
          <w:p w14:paraId="03F1FC4B">
            <w:pPr>
              <w:pStyle w:val="44"/>
              <w:bidi w:val="0"/>
              <w:rPr>
                <w:color w:val="auto"/>
              </w:rPr>
            </w:pPr>
          </w:p>
        </w:tc>
        <w:tc>
          <w:tcPr>
            <w:tcW w:w="564" w:type="pct"/>
            <w:vMerge w:val="continue"/>
            <w:tcBorders>
              <w:tl2br w:val="nil"/>
              <w:tr2bl w:val="nil"/>
            </w:tcBorders>
            <w:vAlign w:val="center"/>
          </w:tcPr>
          <w:p w14:paraId="571B8B62">
            <w:pPr>
              <w:pStyle w:val="44"/>
              <w:bidi w:val="0"/>
              <w:rPr>
                <w:color w:val="auto"/>
              </w:rPr>
            </w:pPr>
          </w:p>
        </w:tc>
        <w:tc>
          <w:tcPr>
            <w:tcW w:w="609" w:type="pct"/>
            <w:vMerge w:val="continue"/>
            <w:tcBorders>
              <w:tl2br w:val="nil"/>
              <w:tr2bl w:val="nil"/>
            </w:tcBorders>
            <w:vAlign w:val="center"/>
          </w:tcPr>
          <w:p w14:paraId="72471D18">
            <w:pPr>
              <w:pStyle w:val="44"/>
              <w:bidi w:val="0"/>
              <w:rPr>
                <w:color w:val="auto"/>
              </w:rPr>
            </w:pPr>
          </w:p>
        </w:tc>
        <w:tc>
          <w:tcPr>
            <w:tcW w:w="513" w:type="pct"/>
            <w:vMerge w:val="continue"/>
            <w:tcBorders>
              <w:tl2br w:val="nil"/>
              <w:tr2bl w:val="nil"/>
            </w:tcBorders>
            <w:vAlign w:val="center"/>
          </w:tcPr>
          <w:p w14:paraId="0A55FD14">
            <w:pPr>
              <w:pStyle w:val="44"/>
              <w:bidi w:val="0"/>
              <w:rPr>
                <w:color w:val="auto"/>
              </w:rPr>
            </w:pPr>
          </w:p>
        </w:tc>
        <w:tc>
          <w:tcPr>
            <w:tcW w:w="447" w:type="pct"/>
            <w:vMerge w:val="continue"/>
            <w:tcBorders>
              <w:tl2br w:val="nil"/>
              <w:tr2bl w:val="nil"/>
            </w:tcBorders>
            <w:vAlign w:val="center"/>
          </w:tcPr>
          <w:p w14:paraId="77C7D758">
            <w:pPr>
              <w:pStyle w:val="44"/>
              <w:bidi w:val="0"/>
              <w:rPr>
                <w:color w:val="auto"/>
              </w:rPr>
            </w:pPr>
          </w:p>
        </w:tc>
        <w:tc>
          <w:tcPr>
            <w:tcW w:w="650" w:type="pct"/>
            <w:tcBorders>
              <w:tl2br w:val="nil"/>
              <w:tr2bl w:val="nil"/>
            </w:tcBorders>
            <w:vAlign w:val="center"/>
          </w:tcPr>
          <w:p w14:paraId="0B75EC5E">
            <w:pPr>
              <w:pStyle w:val="44"/>
              <w:bidi w:val="0"/>
              <w:rPr>
                <w:color w:val="auto"/>
              </w:rPr>
            </w:pPr>
            <w:r>
              <w:rPr>
                <w:color w:val="auto"/>
              </w:rPr>
              <w:t>数量</w:t>
            </w:r>
          </w:p>
        </w:tc>
        <w:tc>
          <w:tcPr>
            <w:tcW w:w="400" w:type="pct"/>
            <w:tcBorders>
              <w:tl2br w:val="nil"/>
              <w:tr2bl w:val="nil"/>
            </w:tcBorders>
            <w:vAlign w:val="center"/>
          </w:tcPr>
          <w:p w14:paraId="3FDEFC09">
            <w:pPr>
              <w:pStyle w:val="44"/>
              <w:bidi w:val="0"/>
              <w:rPr>
                <w:color w:val="auto"/>
              </w:rPr>
            </w:pPr>
            <w:r>
              <w:rPr>
                <w:color w:val="auto"/>
              </w:rPr>
              <w:t>来源</w:t>
            </w:r>
          </w:p>
        </w:tc>
        <w:tc>
          <w:tcPr>
            <w:tcW w:w="527" w:type="pct"/>
            <w:tcBorders>
              <w:tl2br w:val="nil"/>
              <w:tr2bl w:val="nil"/>
            </w:tcBorders>
            <w:vAlign w:val="center"/>
          </w:tcPr>
          <w:p w14:paraId="09D41A6A">
            <w:pPr>
              <w:pStyle w:val="44"/>
              <w:bidi w:val="0"/>
              <w:rPr>
                <w:color w:val="auto"/>
              </w:rPr>
            </w:pPr>
            <w:r>
              <w:rPr>
                <w:color w:val="auto"/>
              </w:rPr>
              <w:t>数量</w:t>
            </w:r>
          </w:p>
        </w:tc>
        <w:tc>
          <w:tcPr>
            <w:tcW w:w="378" w:type="pct"/>
            <w:tcBorders>
              <w:tl2br w:val="nil"/>
              <w:tr2bl w:val="nil"/>
            </w:tcBorders>
            <w:vAlign w:val="center"/>
          </w:tcPr>
          <w:p w14:paraId="26420CA0">
            <w:pPr>
              <w:pStyle w:val="44"/>
              <w:bidi w:val="0"/>
              <w:rPr>
                <w:color w:val="auto"/>
              </w:rPr>
            </w:pPr>
            <w:r>
              <w:rPr>
                <w:color w:val="auto"/>
              </w:rPr>
              <w:t>去向</w:t>
            </w:r>
          </w:p>
        </w:tc>
      </w:tr>
      <w:tr w14:paraId="4C16BF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249" w:type="pct"/>
            <w:tcBorders>
              <w:tl2br w:val="nil"/>
              <w:tr2bl w:val="nil"/>
            </w:tcBorders>
            <w:vAlign w:val="center"/>
          </w:tcPr>
          <w:p w14:paraId="759A1F73">
            <w:pPr>
              <w:pStyle w:val="44"/>
              <w:bidi w:val="0"/>
              <w:rPr>
                <w:color w:val="auto"/>
              </w:rPr>
            </w:pPr>
            <w:r>
              <w:rPr>
                <w:color w:val="auto"/>
              </w:rPr>
              <w:t>施工期</w:t>
            </w:r>
          </w:p>
        </w:tc>
        <w:tc>
          <w:tcPr>
            <w:tcW w:w="659" w:type="pct"/>
            <w:tcBorders>
              <w:tl2br w:val="nil"/>
              <w:tr2bl w:val="nil"/>
            </w:tcBorders>
            <w:vAlign w:val="center"/>
          </w:tcPr>
          <w:p w14:paraId="05A6C9C4">
            <w:pPr>
              <w:pStyle w:val="44"/>
              <w:bidi w:val="0"/>
              <w:rPr>
                <w:color w:val="auto"/>
              </w:rPr>
            </w:pPr>
            <w:r>
              <w:rPr>
                <w:rFonts w:hint="eastAsia"/>
                <w:color w:val="auto"/>
                <w:lang w:val="en-US" w:eastAsia="zh-CN"/>
              </w:rPr>
              <w:t>其他</w:t>
            </w:r>
            <w:r>
              <w:rPr>
                <w:rFonts w:hint="eastAsia"/>
                <w:color w:val="auto"/>
              </w:rPr>
              <w:t>工程</w:t>
            </w:r>
          </w:p>
        </w:tc>
        <w:tc>
          <w:tcPr>
            <w:tcW w:w="962" w:type="dxa"/>
            <w:tcBorders>
              <w:tl2br w:val="nil"/>
              <w:tr2bl w:val="nil"/>
            </w:tcBorders>
            <w:vAlign w:val="center"/>
          </w:tcPr>
          <w:p w14:paraId="53463EC9">
            <w:pPr>
              <w:pStyle w:val="44"/>
              <w:bidi w:val="0"/>
              <w:rPr>
                <w:rFonts w:hint="eastAsia"/>
                <w:color w:val="auto"/>
                <w:lang w:val="en-US" w:eastAsia="zh-CN"/>
              </w:rPr>
            </w:pPr>
            <w:r>
              <w:rPr>
                <w:rFonts w:hint="default"/>
                <w:color w:val="auto"/>
                <w:lang w:val="en-US" w:eastAsia="zh-CN"/>
              </w:rPr>
              <w:t>4454.9</w:t>
            </w:r>
          </w:p>
        </w:tc>
        <w:tc>
          <w:tcPr>
            <w:tcW w:w="1038" w:type="dxa"/>
            <w:tcBorders>
              <w:tl2br w:val="nil"/>
              <w:tr2bl w:val="nil"/>
            </w:tcBorders>
            <w:vAlign w:val="center"/>
          </w:tcPr>
          <w:p w14:paraId="0168F4B7">
            <w:pPr>
              <w:pStyle w:val="44"/>
              <w:bidi w:val="0"/>
              <w:rPr>
                <w:rFonts w:hint="eastAsia"/>
                <w:color w:val="auto"/>
                <w:lang w:val="en-US" w:eastAsia="zh-CN"/>
              </w:rPr>
            </w:pPr>
            <w:r>
              <w:rPr>
                <w:rFonts w:hint="default"/>
                <w:color w:val="auto"/>
                <w:lang w:val="en-US" w:eastAsia="zh-CN"/>
              </w:rPr>
              <w:t>4454.9</w:t>
            </w:r>
          </w:p>
        </w:tc>
        <w:tc>
          <w:tcPr>
            <w:tcW w:w="513" w:type="pct"/>
            <w:tcBorders>
              <w:tl2br w:val="nil"/>
              <w:tr2bl w:val="nil"/>
            </w:tcBorders>
            <w:vAlign w:val="center"/>
          </w:tcPr>
          <w:p w14:paraId="1651C6E6">
            <w:pPr>
              <w:pStyle w:val="44"/>
              <w:bidi w:val="0"/>
              <w:rPr>
                <w:rFonts w:hint="eastAsia"/>
                <w:color w:val="auto"/>
                <w:lang w:val="en-US" w:eastAsia="zh-CN"/>
              </w:rPr>
            </w:pPr>
            <w:r>
              <w:rPr>
                <w:rFonts w:hint="eastAsia"/>
                <w:color w:val="auto"/>
                <w:lang w:val="en-US" w:eastAsia="zh-CN"/>
              </w:rPr>
              <w:t>0</w:t>
            </w:r>
          </w:p>
        </w:tc>
        <w:tc>
          <w:tcPr>
            <w:tcW w:w="447" w:type="pct"/>
            <w:tcBorders>
              <w:tl2br w:val="nil"/>
              <w:tr2bl w:val="nil"/>
            </w:tcBorders>
            <w:vAlign w:val="center"/>
          </w:tcPr>
          <w:p w14:paraId="5FE6385B">
            <w:pPr>
              <w:pStyle w:val="44"/>
              <w:bidi w:val="0"/>
              <w:rPr>
                <w:rFonts w:hint="eastAsia"/>
                <w:color w:val="auto"/>
                <w:lang w:val="en-US" w:eastAsia="zh-CN"/>
              </w:rPr>
            </w:pPr>
            <w:r>
              <w:rPr>
                <w:rFonts w:hint="eastAsia"/>
                <w:color w:val="auto"/>
                <w:lang w:val="en-US" w:eastAsia="zh-CN"/>
              </w:rPr>
              <w:t>0</w:t>
            </w:r>
          </w:p>
        </w:tc>
        <w:tc>
          <w:tcPr>
            <w:tcW w:w="650" w:type="pct"/>
            <w:tcBorders>
              <w:tl2br w:val="nil"/>
              <w:tr2bl w:val="nil"/>
            </w:tcBorders>
            <w:vAlign w:val="center"/>
          </w:tcPr>
          <w:p w14:paraId="03F89AB5">
            <w:pPr>
              <w:pStyle w:val="44"/>
              <w:bidi w:val="0"/>
              <w:rPr>
                <w:rFonts w:hint="eastAsia"/>
                <w:color w:val="auto"/>
                <w:lang w:val="en-US" w:eastAsia="zh-CN"/>
              </w:rPr>
            </w:pPr>
            <w:r>
              <w:rPr>
                <w:rFonts w:hint="eastAsia"/>
                <w:color w:val="auto"/>
                <w:lang w:val="en-US" w:eastAsia="zh-CN"/>
              </w:rPr>
              <w:t>0</w:t>
            </w:r>
          </w:p>
        </w:tc>
        <w:tc>
          <w:tcPr>
            <w:tcW w:w="400" w:type="pct"/>
            <w:tcBorders>
              <w:tl2br w:val="nil"/>
              <w:tr2bl w:val="nil"/>
            </w:tcBorders>
            <w:vAlign w:val="center"/>
          </w:tcPr>
          <w:p w14:paraId="40A341C6">
            <w:pPr>
              <w:pStyle w:val="44"/>
              <w:bidi w:val="0"/>
              <w:rPr>
                <w:color w:val="auto"/>
              </w:rPr>
            </w:pPr>
            <w:r>
              <w:rPr>
                <w:rFonts w:hint="eastAsia"/>
                <w:color w:val="auto"/>
                <w:lang w:val="en-US" w:eastAsia="zh-CN"/>
              </w:rPr>
              <w:t>/</w:t>
            </w:r>
          </w:p>
        </w:tc>
        <w:tc>
          <w:tcPr>
            <w:tcW w:w="527" w:type="pct"/>
            <w:tcBorders>
              <w:tl2br w:val="nil"/>
              <w:tr2bl w:val="nil"/>
            </w:tcBorders>
            <w:vAlign w:val="center"/>
          </w:tcPr>
          <w:p w14:paraId="36C1BE6F">
            <w:pPr>
              <w:pStyle w:val="44"/>
              <w:bidi w:val="0"/>
              <w:rPr>
                <w:rFonts w:hint="eastAsia"/>
                <w:color w:val="auto"/>
                <w:lang w:val="en-US" w:eastAsia="zh-CN"/>
              </w:rPr>
            </w:pPr>
            <w:r>
              <w:rPr>
                <w:rFonts w:hint="eastAsia"/>
                <w:color w:val="auto"/>
                <w:lang w:val="en-US" w:eastAsia="zh-CN"/>
              </w:rPr>
              <w:t>0</w:t>
            </w:r>
          </w:p>
        </w:tc>
        <w:tc>
          <w:tcPr>
            <w:tcW w:w="378" w:type="pct"/>
            <w:tcBorders>
              <w:tl2br w:val="nil"/>
              <w:tr2bl w:val="nil"/>
            </w:tcBorders>
            <w:vAlign w:val="center"/>
          </w:tcPr>
          <w:p w14:paraId="37F2FCD5">
            <w:pPr>
              <w:pStyle w:val="44"/>
              <w:bidi w:val="0"/>
              <w:rPr>
                <w:color w:val="auto"/>
              </w:rPr>
            </w:pPr>
            <w:r>
              <w:rPr>
                <w:rFonts w:hint="eastAsia"/>
                <w:color w:val="auto"/>
                <w:lang w:val="en-US" w:eastAsia="zh-CN"/>
              </w:rPr>
              <w:t>/</w:t>
            </w:r>
          </w:p>
        </w:tc>
      </w:tr>
      <w:tr w14:paraId="790668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249" w:type="pct"/>
            <w:tcBorders>
              <w:tl2br w:val="nil"/>
              <w:tr2bl w:val="nil"/>
            </w:tcBorders>
            <w:vAlign w:val="center"/>
          </w:tcPr>
          <w:p w14:paraId="2B5A5459">
            <w:pPr>
              <w:pStyle w:val="44"/>
              <w:bidi w:val="0"/>
              <w:rPr>
                <w:color w:val="auto"/>
              </w:rPr>
            </w:pPr>
            <w:r>
              <w:rPr>
                <w:color w:val="auto"/>
              </w:rPr>
              <w:t>生态恢复期</w:t>
            </w:r>
          </w:p>
        </w:tc>
        <w:tc>
          <w:tcPr>
            <w:tcW w:w="659" w:type="pct"/>
            <w:tcBorders>
              <w:tl2br w:val="nil"/>
              <w:tr2bl w:val="nil"/>
            </w:tcBorders>
            <w:vAlign w:val="center"/>
          </w:tcPr>
          <w:p w14:paraId="366D57D0">
            <w:pPr>
              <w:pStyle w:val="44"/>
              <w:bidi w:val="0"/>
              <w:rPr>
                <w:rFonts w:hint="eastAsia"/>
                <w:color w:val="auto"/>
                <w:lang w:eastAsia="zh-CN"/>
              </w:rPr>
            </w:pPr>
            <w:r>
              <w:rPr>
                <w:color w:val="auto"/>
              </w:rPr>
              <w:t>覆土复垦</w:t>
            </w:r>
            <w:r>
              <w:rPr>
                <w:rFonts w:hint="eastAsia"/>
                <w:color w:val="auto"/>
                <w:lang w:eastAsia="zh-CN"/>
              </w:rPr>
              <w:t>（</w:t>
            </w:r>
            <w:r>
              <w:rPr>
                <w:rFonts w:hint="eastAsia"/>
                <w:color w:val="auto"/>
                <w:lang w:val="en-US" w:eastAsia="zh-CN"/>
              </w:rPr>
              <w:t>表土</w:t>
            </w:r>
            <w:r>
              <w:rPr>
                <w:rFonts w:hint="eastAsia"/>
                <w:color w:val="auto"/>
                <w:lang w:eastAsia="zh-CN"/>
              </w:rPr>
              <w:t>）</w:t>
            </w:r>
          </w:p>
        </w:tc>
        <w:tc>
          <w:tcPr>
            <w:tcW w:w="564" w:type="pct"/>
            <w:tcBorders>
              <w:tl2br w:val="nil"/>
              <w:tr2bl w:val="nil"/>
            </w:tcBorders>
            <w:vAlign w:val="center"/>
          </w:tcPr>
          <w:p w14:paraId="469FA12C">
            <w:pPr>
              <w:pStyle w:val="44"/>
              <w:bidi w:val="0"/>
              <w:rPr>
                <w:rFonts w:hint="eastAsia"/>
                <w:color w:val="auto"/>
                <w:lang w:val="en-US" w:eastAsia="zh-CN"/>
              </w:rPr>
            </w:pPr>
            <w:r>
              <w:rPr>
                <w:rFonts w:hint="eastAsia"/>
                <w:color w:val="auto"/>
                <w:lang w:val="en-US" w:eastAsia="zh-CN"/>
              </w:rPr>
              <w:t>0</w:t>
            </w:r>
          </w:p>
        </w:tc>
        <w:tc>
          <w:tcPr>
            <w:tcW w:w="609" w:type="pct"/>
            <w:tcBorders>
              <w:tl2br w:val="nil"/>
              <w:tr2bl w:val="nil"/>
            </w:tcBorders>
            <w:vAlign w:val="center"/>
          </w:tcPr>
          <w:p w14:paraId="54CAD9C7">
            <w:pPr>
              <w:pStyle w:val="44"/>
              <w:bidi w:val="0"/>
              <w:rPr>
                <w:rFonts w:hint="eastAsia"/>
                <w:color w:val="auto"/>
                <w:lang w:val="en-US" w:eastAsia="zh-CN"/>
              </w:rPr>
            </w:pPr>
            <w:r>
              <w:rPr>
                <w:rFonts w:hint="eastAsia"/>
                <w:color w:val="auto"/>
                <w:lang w:val="en-US" w:eastAsia="zh-CN"/>
              </w:rPr>
              <w:t>0</w:t>
            </w:r>
          </w:p>
        </w:tc>
        <w:tc>
          <w:tcPr>
            <w:tcW w:w="513" w:type="pct"/>
            <w:tcBorders>
              <w:tl2br w:val="nil"/>
              <w:tr2bl w:val="nil"/>
            </w:tcBorders>
            <w:vAlign w:val="center"/>
          </w:tcPr>
          <w:p w14:paraId="1E5BDFE1">
            <w:pPr>
              <w:pStyle w:val="44"/>
              <w:bidi w:val="0"/>
              <w:rPr>
                <w:rFonts w:hint="eastAsia"/>
                <w:color w:val="auto"/>
                <w:lang w:val="en-US" w:eastAsia="zh-CN"/>
              </w:rPr>
            </w:pPr>
            <w:r>
              <w:rPr>
                <w:rFonts w:hint="eastAsia"/>
                <w:color w:val="auto"/>
                <w:lang w:val="en-US" w:eastAsia="zh-CN"/>
              </w:rPr>
              <w:t>0</w:t>
            </w:r>
          </w:p>
        </w:tc>
        <w:tc>
          <w:tcPr>
            <w:tcW w:w="447" w:type="pct"/>
            <w:tcBorders>
              <w:tl2br w:val="nil"/>
              <w:tr2bl w:val="nil"/>
            </w:tcBorders>
            <w:vAlign w:val="center"/>
          </w:tcPr>
          <w:p w14:paraId="3DC81A51">
            <w:pPr>
              <w:pStyle w:val="44"/>
              <w:bidi w:val="0"/>
              <w:rPr>
                <w:rFonts w:hint="eastAsia"/>
                <w:color w:val="auto"/>
                <w:lang w:val="en-US" w:eastAsia="zh-CN"/>
              </w:rPr>
            </w:pPr>
            <w:r>
              <w:rPr>
                <w:rFonts w:hint="eastAsia"/>
                <w:color w:val="auto"/>
                <w:lang w:val="en-US" w:eastAsia="zh-CN"/>
              </w:rPr>
              <w:t>0</w:t>
            </w:r>
          </w:p>
        </w:tc>
        <w:tc>
          <w:tcPr>
            <w:tcW w:w="650" w:type="pct"/>
            <w:tcBorders>
              <w:tl2br w:val="nil"/>
              <w:tr2bl w:val="nil"/>
            </w:tcBorders>
            <w:vAlign w:val="center"/>
          </w:tcPr>
          <w:p w14:paraId="661A1017">
            <w:pPr>
              <w:pStyle w:val="44"/>
              <w:bidi w:val="0"/>
              <w:rPr>
                <w:rFonts w:hint="eastAsia"/>
                <w:color w:val="auto"/>
                <w:lang w:val="en-US" w:eastAsia="zh-CN"/>
              </w:rPr>
            </w:pPr>
            <w:r>
              <w:rPr>
                <w:rFonts w:hint="eastAsia"/>
                <w:color w:val="auto"/>
                <w:lang w:val="en-US" w:eastAsia="zh-CN"/>
              </w:rPr>
              <w:t>0</w:t>
            </w:r>
          </w:p>
        </w:tc>
        <w:tc>
          <w:tcPr>
            <w:tcW w:w="400" w:type="pct"/>
            <w:tcBorders>
              <w:tl2br w:val="nil"/>
              <w:tr2bl w:val="nil"/>
            </w:tcBorders>
            <w:vAlign w:val="center"/>
          </w:tcPr>
          <w:p w14:paraId="6B9D5B50">
            <w:pPr>
              <w:pStyle w:val="44"/>
              <w:bidi w:val="0"/>
              <w:rPr>
                <w:color w:val="auto"/>
              </w:rPr>
            </w:pPr>
            <w:r>
              <w:rPr>
                <w:rFonts w:hint="eastAsia"/>
                <w:color w:val="auto"/>
                <w:lang w:val="en-US" w:eastAsia="zh-CN"/>
              </w:rPr>
              <w:t>/</w:t>
            </w:r>
          </w:p>
        </w:tc>
        <w:tc>
          <w:tcPr>
            <w:tcW w:w="527" w:type="pct"/>
            <w:tcBorders>
              <w:tl2br w:val="nil"/>
              <w:tr2bl w:val="nil"/>
            </w:tcBorders>
            <w:vAlign w:val="center"/>
          </w:tcPr>
          <w:p w14:paraId="1291971C">
            <w:pPr>
              <w:pStyle w:val="44"/>
              <w:bidi w:val="0"/>
              <w:rPr>
                <w:rFonts w:hint="eastAsia"/>
                <w:color w:val="auto"/>
                <w:lang w:val="en-US" w:eastAsia="zh-CN"/>
              </w:rPr>
            </w:pPr>
            <w:r>
              <w:rPr>
                <w:rFonts w:hint="eastAsia"/>
                <w:color w:val="auto"/>
                <w:lang w:val="en-US" w:eastAsia="zh-CN"/>
              </w:rPr>
              <w:t>0</w:t>
            </w:r>
          </w:p>
        </w:tc>
        <w:tc>
          <w:tcPr>
            <w:tcW w:w="378" w:type="pct"/>
            <w:tcBorders>
              <w:tl2br w:val="nil"/>
              <w:tr2bl w:val="nil"/>
            </w:tcBorders>
            <w:vAlign w:val="center"/>
          </w:tcPr>
          <w:p w14:paraId="7307C0BF">
            <w:pPr>
              <w:pStyle w:val="44"/>
              <w:bidi w:val="0"/>
              <w:rPr>
                <w:color w:val="auto"/>
              </w:rPr>
            </w:pPr>
            <w:r>
              <w:rPr>
                <w:rFonts w:hint="eastAsia"/>
                <w:color w:val="auto"/>
                <w:lang w:val="en-US" w:eastAsia="zh-CN"/>
              </w:rPr>
              <w:t>/</w:t>
            </w:r>
          </w:p>
        </w:tc>
      </w:tr>
      <w:tr w14:paraId="3F042C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909" w:type="pct"/>
            <w:gridSpan w:val="2"/>
            <w:tcBorders>
              <w:tl2br w:val="nil"/>
              <w:tr2bl w:val="nil"/>
            </w:tcBorders>
            <w:vAlign w:val="center"/>
          </w:tcPr>
          <w:p w14:paraId="218EC1E0">
            <w:pPr>
              <w:pStyle w:val="44"/>
              <w:bidi w:val="0"/>
              <w:rPr>
                <w:color w:val="auto"/>
              </w:rPr>
            </w:pPr>
            <w:r>
              <w:rPr>
                <w:color w:val="auto"/>
              </w:rPr>
              <w:t>合计</w:t>
            </w:r>
          </w:p>
        </w:tc>
        <w:tc>
          <w:tcPr>
            <w:tcW w:w="564" w:type="pct"/>
            <w:tcBorders>
              <w:tl2br w:val="nil"/>
              <w:tr2bl w:val="nil"/>
            </w:tcBorders>
            <w:shd w:val="clear" w:color="auto" w:fill="auto"/>
            <w:vAlign w:val="center"/>
          </w:tcPr>
          <w:p w14:paraId="27F82819">
            <w:pPr>
              <w:pStyle w:val="44"/>
              <w:bidi w:val="0"/>
              <w:rPr>
                <w:color w:val="auto"/>
              </w:rPr>
            </w:pPr>
          </w:p>
        </w:tc>
        <w:tc>
          <w:tcPr>
            <w:tcW w:w="609" w:type="pct"/>
            <w:tcBorders>
              <w:tl2br w:val="nil"/>
              <w:tr2bl w:val="nil"/>
            </w:tcBorders>
            <w:shd w:val="clear" w:color="auto" w:fill="auto"/>
            <w:vAlign w:val="center"/>
          </w:tcPr>
          <w:p w14:paraId="0BAC43E5">
            <w:pPr>
              <w:pStyle w:val="44"/>
              <w:bidi w:val="0"/>
              <w:rPr>
                <w:color w:val="auto"/>
              </w:rPr>
            </w:pPr>
          </w:p>
        </w:tc>
        <w:tc>
          <w:tcPr>
            <w:tcW w:w="513" w:type="pct"/>
            <w:tcBorders>
              <w:tl2br w:val="nil"/>
              <w:tr2bl w:val="nil"/>
            </w:tcBorders>
            <w:shd w:val="clear" w:color="auto" w:fill="auto"/>
            <w:vAlign w:val="center"/>
          </w:tcPr>
          <w:p w14:paraId="75A0FAC9">
            <w:pPr>
              <w:pStyle w:val="44"/>
              <w:bidi w:val="0"/>
              <w:rPr>
                <w:color w:val="auto"/>
              </w:rPr>
            </w:pPr>
          </w:p>
        </w:tc>
        <w:tc>
          <w:tcPr>
            <w:tcW w:w="447" w:type="pct"/>
            <w:tcBorders>
              <w:tl2br w:val="nil"/>
              <w:tr2bl w:val="nil"/>
            </w:tcBorders>
            <w:shd w:val="clear" w:color="auto" w:fill="auto"/>
            <w:vAlign w:val="center"/>
          </w:tcPr>
          <w:p w14:paraId="104EE192">
            <w:pPr>
              <w:pStyle w:val="44"/>
              <w:bidi w:val="0"/>
              <w:rPr>
                <w:color w:val="auto"/>
              </w:rPr>
            </w:pPr>
          </w:p>
        </w:tc>
        <w:tc>
          <w:tcPr>
            <w:tcW w:w="650" w:type="pct"/>
            <w:tcBorders>
              <w:tl2br w:val="nil"/>
              <w:tr2bl w:val="nil"/>
            </w:tcBorders>
            <w:shd w:val="clear" w:color="auto" w:fill="auto"/>
            <w:vAlign w:val="center"/>
          </w:tcPr>
          <w:p w14:paraId="43D4EF03">
            <w:pPr>
              <w:pStyle w:val="44"/>
              <w:bidi w:val="0"/>
              <w:rPr>
                <w:color w:val="auto"/>
              </w:rPr>
            </w:pPr>
          </w:p>
        </w:tc>
        <w:tc>
          <w:tcPr>
            <w:tcW w:w="400" w:type="pct"/>
            <w:tcBorders>
              <w:tl2br w:val="nil"/>
              <w:tr2bl w:val="nil"/>
            </w:tcBorders>
            <w:shd w:val="clear" w:color="auto" w:fill="auto"/>
            <w:vAlign w:val="center"/>
          </w:tcPr>
          <w:p w14:paraId="20DD031F">
            <w:pPr>
              <w:pStyle w:val="44"/>
              <w:bidi w:val="0"/>
              <w:rPr>
                <w:color w:val="auto"/>
              </w:rPr>
            </w:pPr>
          </w:p>
        </w:tc>
        <w:tc>
          <w:tcPr>
            <w:tcW w:w="527" w:type="pct"/>
            <w:tcBorders>
              <w:tl2br w:val="nil"/>
              <w:tr2bl w:val="nil"/>
            </w:tcBorders>
            <w:shd w:val="clear" w:color="auto" w:fill="auto"/>
            <w:vAlign w:val="center"/>
          </w:tcPr>
          <w:p w14:paraId="3F44650B">
            <w:pPr>
              <w:pStyle w:val="44"/>
              <w:bidi w:val="0"/>
              <w:rPr>
                <w:color w:val="auto"/>
              </w:rPr>
            </w:pPr>
          </w:p>
        </w:tc>
        <w:tc>
          <w:tcPr>
            <w:tcW w:w="378" w:type="pct"/>
            <w:tcBorders>
              <w:tl2br w:val="nil"/>
              <w:tr2bl w:val="nil"/>
            </w:tcBorders>
            <w:shd w:val="clear" w:color="auto" w:fill="auto"/>
            <w:vAlign w:val="center"/>
          </w:tcPr>
          <w:p w14:paraId="784CA4B6">
            <w:pPr>
              <w:pStyle w:val="44"/>
              <w:bidi w:val="0"/>
              <w:rPr>
                <w:color w:val="auto"/>
              </w:rPr>
            </w:pPr>
          </w:p>
        </w:tc>
      </w:tr>
      <w:tr w14:paraId="236F5D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909" w:type="pct"/>
            <w:gridSpan w:val="2"/>
            <w:vMerge w:val="restart"/>
            <w:tcBorders>
              <w:tl2br w:val="nil"/>
              <w:tr2bl w:val="nil"/>
            </w:tcBorders>
            <w:vAlign w:val="center"/>
          </w:tcPr>
          <w:p w14:paraId="42F3E1A0">
            <w:pPr>
              <w:pStyle w:val="44"/>
              <w:bidi w:val="0"/>
              <w:rPr>
                <w:rFonts w:hint="default"/>
                <w:color w:val="auto"/>
                <w:lang w:val="en-US" w:eastAsia="zh-CN"/>
              </w:rPr>
            </w:pPr>
            <w:r>
              <w:rPr>
                <w:rFonts w:hint="eastAsia"/>
                <w:color w:val="auto"/>
                <w:lang w:val="en-US" w:eastAsia="zh-CN"/>
              </w:rPr>
              <w:t>60#项目</w:t>
            </w:r>
          </w:p>
        </w:tc>
        <w:tc>
          <w:tcPr>
            <w:tcW w:w="564" w:type="pct"/>
            <w:vMerge w:val="restart"/>
            <w:tcBorders>
              <w:tl2br w:val="nil"/>
              <w:tr2bl w:val="nil"/>
            </w:tcBorders>
            <w:vAlign w:val="center"/>
          </w:tcPr>
          <w:p w14:paraId="7CF32C06">
            <w:pPr>
              <w:pStyle w:val="44"/>
              <w:bidi w:val="0"/>
              <w:rPr>
                <w:color w:val="auto"/>
              </w:rPr>
            </w:pPr>
            <w:r>
              <w:rPr>
                <w:color w:val="auto"/>
              </w:rPr>
              <w:t>挖方</w:t>
            </w:r>
          </w:p>
        </w:tc>
        <w:tc>
          <w:tcPr>
            <w:tcW w:w="609" w:type="pct"/>
            <w:vMerge w:val="restart"/>
            <w:tcBorders>
              <w:tl2br w:val="nil"/>
              <w:tr2bl w:val="nil"/>
            </w:tcBorders>
            <w:vAlign w:val="center"/>
          </w:tcPr>
          <w:p w14:paraId="6F0A241F">
            <w:pPr>
              <w:pStyle w:val="44"/>
              <w:bidi w:val="0"/>
              <w:rPr>
                <w:color w:val="auto"/>
              </w:rPr>
            </w:pPr>
            <w:r>
              <w:rPr>
                <w:color w:val="auto"/>
              </w:rPr>
              <w:t>填方</w:t>
            </w:r>
          </w:p>
        </w:tc>
        <w:tc>
          <w:tcPr>
            <w:tcW w:w="513" w:type="pct"/>
            <w:vMerge w:val="restart"/>
            <w:tcBorders>
              <w:tl2br w:val="nil"/>
              <w:tr2bl w:val="nil"/>
            </w:tcBorders>
            <w:vAlign w:val="center"/>
          </w:tcPr>
          <w:p w14:paraId="7712094C">
            <w:pPr>
              <w:pStyle w:val="44"/>
              <w:bidi w:val="0"/>
              <w:rPr>
                <w:color w:val="auto"/>
              </w:rPr>
            </w:pPr>
            <w:r>
              <w:rPr>
                <w:color w:val="auto"/>
              </w:rPr>
              <w:t>外借方</w:t>
            </w:r>
          </w:p>
        </w:tc>
        <w:tc>
          <w:tcPr>
            <w:tcW w:w="447" w:type="pct"/>
            <w:vMerge w:val="restart"/>
            <w:tcBorders>
              <w:tl2br w:val="nil"/>
              <w:tr2bl w:val="nil"/>
            </w:tcBorders>
            <w:vAlign w:val="center"/>
          </w:tcPr>
          <w:p w14:paraId="7682257B">
            <w:pPr>
              <w:pStyle w:val="44"/>
              <w:bidi w:val="0"/>
              <w:rPr>
                <w:color w:val="auto"/>
              </w:rPr>
            </w:pPr>
            <w:r>
              <w:rPr>
                <w:color w:val="auto"/>
              </w:rPr>
              <w:t>弃方</w:t>
            </w:r>
          </w:p>
        </w:tc>
        <w:tc>
          <w:tcPr>
            <w:tcW w:w="1050" w:type="pct"/>
            <w:gridSpan w:val="2"/>
            <w:tcBorders>
              <w:tl2br w:val="nil"/>
              <w:tr2bl w:val="nil"/>
            </w:tcBorders>
            <w:vAlign w:val="center"/>
          </w:tcPr>
          <w:p w14:paraId="6E30A643">
            <w:pPr>
              <w:pStyle w:val="44"/>
              <w:bidi w:val="0"/>
              <w:rPr>
                <w:color w:val="auto"/>
              </w:rPr>
            </w:pPr>
            <w:r>
              <w:rPr>
                <w:color w:val="auto"/>
              </w:rPr>
              <w:t>调入方</w:t>
            </w:r>
          </w:p>
        </w:tc>
        <w:tc>
          <w:tcPr>
            <w:tcW w:w="905" w:type="pct"/>
            <w:gridSpan w:val="2"/>
            <w:tcBorders>
              <w:tl2br w:val="nil"/>
              <w:tr2bl w:val="nil"/>
            </w:tcBorders>
            <w:vAlign w:val="center"/>
          </w:tcPr>
          <w:p w14:paraId="654BFC39">
            <w:pPr>
              <w:pStyle w:val="44"/>
              <w:bidi w:val="0"/>
              <w:rPr>
                <w:color w:val="auto"/>
              </w:rPr>
            </w:pPr>
            <w:r>
              <w:rPr>
                <w:color w:val="auto"/>
              </w:rPr>
              <w:t>调出方</w:t>
            </w:r>
          </w:p>
        </w:tc>
      </w:tr>
      <w:tr w14:paraId="0C2708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909" w:type="pct"/>
            <w:gridSpan w:val="2"/>
            <w:vMerge w:val="continue"/>
            <w:tcBorders>
              <w:tl2br w:val="nil"/>
              <w:tr2bl w:val="nil"/>
            </w:tcBorders>
            <w:vAlign w:val="center"/>
          </w:tcPr>
          <w:p w14:paraId="0A4CDC8B">
            <w:pPr>
              <w:pStyle w:val="44"/>
              <w:bidi w:val="0"/>
              <w:rPr>
                <w:color w:val="auto"/>
              </w:rPr>
            </w:pPr>
          </w:p>
        </w:tc>
        <w:tc>
          <w:tcPr>
            <w:tcW w:w="564" w:type="pct"/>
            <w:vMerge w:val="continue"/>
            <w:tcBorders>
              <w:tl2br w:val="nil"/>
              <w:tr2bl w:val="nil"/>
            </w:tcBorders>
            <w:vAlign w:val="center"/>
          </w:tcPr>
          <w:p w14:paraId="397D8A2E">
            <w:pPr>
              <w:pStyle w:val="44"/>
              <w:bidi w:val="0"/>
              <w:rPr>
                <w:color w:val="auto"/>
              </w:rPr>
            </w:pPr>
          </w:p>
        </w:tc>
        <w:tc>
          <w:tcPr>
            <w:tcW w:w="609" w:type="pct"/>
            <w:vMerge w:val="continue"/>
            <w:tcBorders>
              <w:tl2br w:val="nil"/>
              <w:tr2bl w:val="nil"/>
            </w:tcBorders>
            <w:vAlign w:val="center"/>
          </w:tcPr>
          <w:p w14:paraId="2F005695">
            <w:pPr>
              <w:pStyle w:val="44"/>
              <w:bidi w:val="0"/>
              <w:rPr>
                <w:color w:val="auto"/>
              </w:rPr>
            </w:pPr>
          </w:p>
        </w:tc>
        <w:tc>
          <w:tcPr>
            <w:tcW w:w="513" w:type="pct"/>
            <w:vMerge w:val="continue"/>
            <w:tcBorders>
              <w:tl2br w:val="nil"/>
              <w:tr2bl w:val="nil"/>
            </w:tcBorders>
            <w:vAlign w:val="center"/>
          </w:tcPr>
          <w:p w14:paraId="2451D22B">
            <w:pPr>
              <w:pStyle w:val="44"/>
              <w:bidi w:val="0"/>
              <w:rPr>
                <w:color w:val="auto"/>
              </w:rPr>
            </w:pPr>
          </w:p>
        </w:tc>
        <w:tc>
          <w:tcPr>
            <w:tcW w:w="447" w:type="pct"/>
            <w:vMerge w:val="continue"/>
            <w:tcBorders>
              <w:tl2br w:val="nil"/>
              <w:tr2bl w:val="nil"/>
            </w:tcBorders>
            <w:vAlign w:val="center"/>
          </w:tcPr>
          <w:p w14:paraId="2B2275F2">
            <w:pPr>
              <w:pStyle w:val="44"/>
              <w:bidi w:val="0"/>
              <w:rPr>
                <w:color w:val="auto"/>
              </w:rPr>
            </w:pPr>
          </w:p>
        </w:tc>
        <w:tc>
          <w:tcPr>
            <w:tcW w:w="650" w:type="pct"/>
            <w:tcBorders>
              <w:tl2br w:val="nil"/>
              <w:tr2bl w:val="nil"/>
            </w:tcBorders>
            <w:vAlign w:val="center"/>
          </w:tcPr>
          <w:p w14:paraId="6B8ADF16">
            <w:pPr>
              <w:pStyle w:val="44"/>
              <w:bidi w:val="0"/>
              <w:rPr>
                <w:color w:val="auto"/>
              </w:rPr>
            </w:pPr>
            <w:r>
              <w:rPr>
                <w:color w:val="auto"/>
              </w:rPr>
              <w:t>数量</w:t>
            </w:r>
          </w:p>
        </w:tc>
        <w:tc>
          <w:tcPr>
            <w:tcW w:w="400" w:type="pct"/>
            <w:tcBorders>
              <w:tl2br w:val="nil"/>
              <w:tr2bl w:val="nil"/>
            </w:tcBorders>
            <w:vAlign w:val="center"/>
          </w:tcPr>
          <w:p w14:paraId="41A4362F">
            <w:pPr>
              <w:pStyle w:val="44"/>
              <w:bidi w:val="0"/>
              <w:rPr>
                <w:color w:val="auto"/>
              </w:rPr>
            </w:pPr>
            <w:r>
              <w:rPr>
                <w:color w:val="auto"/>
              </w:rPr>
              <w:t>来源</w:t>
            </w:r>
          </w:p>
        </w:tc>
        <w:tc>
          <w:tcPr>
            <w:tcW w:w="527" w:type="pct"/>
            <w:tcBorders>
              <w:tl2br w:val="nil"/>
              <w:tr2bl w:val="nil"/>
            </w:tcBorders>
            <w:vAlign w:val="center"/>
          </w:tcPr>
          <w:p w14:paraId="5C8F2C75">
            <w:pPr>
              <w:pStyle w:val="44"/>
              <w:bidi w:val="0"/>
              <w:rPr>
                <w:color w:val="auto"/>
              </w:rPr>
            </w:pPr>
            <w:r>
              <w:rPr>
                <w:color w:val="auto"/>
              </w:rPr>
              <w:t>数量</w:t>
            </w:r>
          </w:p>
        </w:tc>
        <w:tc>
          <w:tcPr>
            <w:tcW w:w="378" w:type="pct"/>
            <w:tcBorders>
              <w:tl2br w:val="nil"/>
              <w:tr2bl w:val="nil"/>
            </w:tcBorders>
            <w:vAlign w:val="center"/>
          </w:tcPr>
          <w:p w14:paraId="31421D9C">
            <w:pPr>
              <w:pStyle w:val="44"/>
              <w:bidi w:val="0"/>
              <w:rPr>
                <w:color w:val="auto"/>
              </w:rPr>
            </w:pPr>
            <w:r>
              <w:rPr>
                <w:color w:val="auto"/>
              </w:rPr>
              <w:t>去向</w:t>
            </w:r>
          </w:p>
        </w:tc>
      </w:tr>
      <w:tr w14:paraId="4E48D2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249" w:type="pct"/>
            <w:tcBorders>
              <w:tl2br w:val="nil"/>
              <w:tr2bl w:val="nil"/>
            </w:tcBorders>
            <w:vAlign w:val="center"/>
          </w:tcPr>
          <w:p w14:paraId="67A3CB5C">
            <w:pPr>
              <w:pStyle w:val="44"/>
              <w:bidi w:val="0"/>
              <w:rPr>
                <w:color w:val="auto"/>
              </w:rPr>
            </w:pPr>
            <w:r>
              <w:rPr>
                <w:color w:val="auto"/>
              </w:rPr>
              <w:t>生态恢复期</w:t>
            </w:r>
          </w:p>
        </w:tc>
        <w:tc>
          <w:tcPr>
            <w:tcW w:w="659" w:type="pct"/>
            <w:tcBorders>
              <w:tl2br w:val="nil"/>
              <w:tr2bl w:val="nil"/>
            </w:tcBorders>
            <w:vAlign w:val="center"/>
          </w:tcPr>
          <w:p w14:paraId="2171334A">
            <w:pPr>
              <w:pStyle w:val="44"/>
              <w:bidi w:val="0"/>
              <w:rPr>
                <w:rFonts w:hint="eastAsia"/>
                <w:color w:val="auto"/>
                <w:lang w:eastAsia="zh-CN"/>
              </w:rPr>
            </w:pPr>
            <w:r>
              <w:rPr>
                <w:color w:val="auto"/>
              </w:rPr>
              <w:t>覆土复垦</w:t>
            </w:r>
            <w:r>
              <w:rPr>
                <w:rFonts w:hint="eastAsia"/>
                <w:color w:val="auto"/>
                <w:lang w:eastAsia="zh-CN"/>
              </w:rPr>
              <w:t>（</w:t>
            </w:r>
            <w:r>
              <w:rPr>
                <w:rFonts w:hint="eastAsia"/>
                <w:color w:val="auto"/>
                <w:lang w:val="en-US" w:eastAsia="zh-CN"/>
              </w:rPr>
              <w:t>表土</w:t>
            </w:r>
            <w:r>
              <w:rPr>
                <w:rFonts w:hint="eastAsia"/>
                <w:color w:val="auto"/>
                <w:lang w:eastAsia="zh-CN"/>
              </w:rPr>
              <w:t>）</w:t>
            </w:r>
          </w:p>
        </w:tc>
        <w:tc>
          <w:tcPr>
            <w:tcW w:w="962" w:type="dxa"/>
            <w:tcBorders>
              <w:tl2br w:val="nil"/>
              <w:tr2bl w:val="nil"/>
            </w:tcBorders>
            <w:vAlign w:val="center"/>
          </w:tcPr>
          <w:p w14:paraId="01BB04D9">
            <w:pPr>
              <w:pStyle w:val="44"/>
              <w:bidi w:val="0"/>
              <w:rPr>
                <w:rFonts w:hint="eastAsia"/>
                <w:color w:val="auto"/>
                <w:lang w:val="en-US" w:eastAsia="zh-CN"/>
              </w:rPr>
            </w:pPr>
            <w:r>
              <w:rPr>
                <w:rFonts w:hint="default"/>
                <w:color w:val="auto"/>
                <w:lang w:val="en-US" w:eastAsia="zh-CN"/>
              </w:rPr>
              <w:t>1272.7</w:t>
            </w:r>
          </w:p>
        </w:tc>
        <w:tc>
          <w:tcPr>
            <w:tcW w:w="1038" w:type="dxa"/>
            <w:tcBorders>
              <w:tl2br w:val="nil"/>
              <w:tr2bl w:val="nil"/>
            </w:tcBorders>
            <w:vAlign w:val="center"/>
          </w:tcPr>
          <w:p w14:paraId="0E97AD53">
            <w:pPr>
              <w:pStyle w:val="44"/>
              <w:bidi w:val="0"/>
              <w:rPr>
                <w:rFonts w:hint="default"/>
                <w:color w:val="auto"/>
                <w:lang w:val="en-US" w:eastAsia="zh-CN"/>
              </w:rPr>
            </w:pPr>
            <w:r>
              <w:rPr>
                <w:rFonts w:hint="default"/>
                <w:color w:val="auto"/>
                <w:lang w:val="en-US" w:eastAsia="zh-CN"/>
              </w:rPr>
              <w:t>2568</w:t>
            </w:r>
          </w:p>
        </w:tc>
        <w:tc>
          <w:tcPr>
            <w:tcW w:w="513" w:type="pct"/>
            <w:tcBorders>
              <w:tl2br w:val="nil"/>
              <w:tr2bl w:val="nil"/>
            </w:tcBorders>
            <w:vAlign w:val="center"/>
          </w:tcPr>
          <w:p w14:paraId="5CEA22DD">
            <w:pPr>
              <w:pStyle w:val="44"/>
              <w:bidi w:val="0"/>
              <w:rPr>
                <w:rFonts w:hint="default"/>
                <w:color w:val="auto"/>
                <w:lang w:val="en-US" w:eastAsia="zh-CN"/>
              </w:rPr>
            </w:pPr>
            <w:r>
              <w:rPr>
                <w:rFonts w:hint="eastAsia"/>
                <w:color w:val="auto"/>
                <w:lang w:val="en-US" w:eastAsia="zh-CN"/>
              </w:rPr>
              <w:t>0</w:t>
            </w:r>
          </w:p>
        </w:tc>
        <w:tc>
          <w:tcPr>
            <w:tcW w:w="447" w:type="pct"/>
            <w:tcBorders>
              <w:tl2br w:val="nil"/>
              <w:tr2bl w:val="nil"/>
            </w:tcBorders>
            <w:vAlign w:val="center"/>
          </w:tcPr>
          <w:p w14:paraId="08F8E1BA">
            <w:pPr>
              <w:pStyle w:val="44"/>
              <w:bidi w:val="0"/>
              <w:rPr>
                <w:rFonts w:hint="eastAsia"/>
                <w:color w:val="auto"/>
                <w:lang w:val="en-US" w:eastAsia="zh-CN"/>
              </w:rPr>
            </w:pPr>
            <w:r>
              <w:rPr>
                <w:rFonts w:hint="eastAsia"/>
                <w:color w:val="auto"/>
                <w:lang w:val="en-US" w:eastAsia="zh-CN"/>
              </w:rPr>
              <w:t>0</w:t>
            </w:r>
          </w:p>
        </w:tc>
        <w:tc>
          <w:tcPr>
            <w:tcW w:w="650" w:type="pct"/>
            <w:tcBorders>
              <w:tl2br w:val="nil"/>
              <w:tr2bl w:val="nil"/>
            </w:tcBorders>
            <w:vAlign w:val="center"/>
          </w:tcPr>
          <w:p w14:paraId="7D1C5DF5">
            <w:pPr>
              <w:pStyle w:val="44"/>
              <w:bidi w:val="0"/>
              <w:rPr>
                <w:rFonts w:hint="default"/>
                <w:color w:val="auto"/>
                <w:lang w:val="en-US" w:eastAsia="zh-CN"/>
              </w:rPr>
            </w:pPr>
            <w:r>
              <w:rPr>
                <w:rFonts w:hint="eastAsia"/>
                <w:color w:val="auto"/>
                <w:lang w:val="en-US" w:eastAsia="zh-CN"/>
              </w:rPr>
              <w:t>1295.3</w:t>
            </w:r>
          </w:p>
        </w:tc>
        <w:tc>
          <w:tcPr>
            <w:tcW w:w="400" w:type="pct"/>
            <w:tcBorders>
              <w:tl2br w:val="nil"/>
              <w:tr2bl w:val="nil"/>
            </w:tcBorders>
            <w:vAlign w:val="center"/>
          </w:tcPr>
          <w:p w14:paraId="3CE9F10A">
            <w:pPr>
              <w:pStyle w:val="44"/>
              <w:bidi w:val="0"/>
              <w:rPr>
                <w:rFonts w:hint="default"/>
                <w:color w:val="auto"/>
                <w:lang w:val="en-US" w:eastAsia="zh-CN"/>
              </w:rPr>
            </w:pPr>
            <w:r>
              <w:rPr>
                <w:rFonts w:hint="eastAsia"/>
                <w:color w:val="auto"/>
                <w:lang w:val="en-US" w:eastAsia="zh-CN"/>
              </w:rPr>
              <w:t>25号地块</w:t>
            </w:r>
          </w:p>
        </w:tc>
        <w:tc>
          <w:tcPr>
            <w:tcW w:w="527" w:type="pct"/>
            <w:tcBorders>
              <w:tl2br w:val="nil"/>
              <w:tr2bl w:val="nil"/>
            </w:tcBorders>
            <w:vAlign w:val="center"/>
          </w:tcPr>
          <w:p w14:paraId="16A997A1">
            <w:pPr>
              <w:pStyle w:val="44"/>
              <w:bidi w:val="0"/>
              <w:rPr>
                <w:rFonts w:hint="eastAsia"/>
                <w:color w:val="auto"/>
                <w:lang w:val="en-US" w:eastAsia="zh-CN"/>
              </w:rPr>
            </w:pPr>
            <w:r>
              <w:rPr>
                <w:rFonts w:hint="eastAsia"/>
                <w:color w:val="auto"/>
                <w:lang w:val="en-US" w:eastAsia="zh-CN"/>
              </w:rPr>
              <w:t>0</w:t>
            </w:r>
          </w:p>
        </w:tc>
        <w:tc>
          <w:tcPr>
            <w:tcW w:w="378" w:type="pct"/>
            <w:tcBorders>
              <w:tl2br w:val="nil"/>
              <w:tr2bl w:val="nil"/>
            </w:tcBorders>
            <w:vAlign w:val="center"/>
          </w:tcPr>
          <w:p w14:paraId="5E739CB5">
            <w:pPr>
              <w:pStyle w:val="44"/>
              <w:bidi w:val="0"/>
              <w:rPr>
                <w:color w:val="auto"/>
              </w:rPr>
            </w:pPr>
            <w:r>
              <w:rPr>
                <w:rFonts w:hint="eastAsia"/>
                <w:color w:val="auto"/>
                <w:lang w:val="en-US" w:eastAsia="zh-CN"/>
              </w:rPr>
              <w:t>/</w:t>
            </w:r>
          </w:p>
        </w:tc>
      </w:tr>
    </w:tbl>
    <w:p w14:paraId="77B79A45">
      <w:pPr>
        <w:pStyle w:val="25"/>
        <w:ind w:firstLine="48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由上表可知，</w:t>
      </w:r>
      <w:r>
        <w:rPr>
          <w:rFonts w:hint="default" w:ascii="Times New Roman" w:hAnsi="Times New Roman" w:cs="Times New Roman"/>
          <w:color w:val="auto"/>
          <w:highlight w:val="none"/>
          <w:lang w:val="en-US" w:eastAsia="zh-CN"/>
        </w:rPr>
        <w:t>本项目土方各项目区内调配，</w:t>
      </w:r>
      <w:r>
        <w:rPr>
          <w:rFonts w:hint="eastAsia" w:cs="Times New Roman"/>
          <w:color w:val="auto"/>
          <w:highlight w:val="none"/>
          <w:lang w:val="en-US" w:eastAsia="zh-CN"/>
        </w:rPr>
        <w:t>基本平衡，</w:t>
      </w:r>
      <w:r>
        <w:rPr>
          <w:rFonts w:hint="default" w:ascii="Times New Roman" w:hAnsi="Times New Roman" w:cs="Times New Roman"/>
          <w:color w:val="auto"/>
          <w:highlight w:val="none"/>
        </w:rPr>
        <w:t>无弃方，本项目不设取</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弃</w:t>
      </w:r>
      <w:r>
        <w:rPr>
          <w:rFonts w:hint="default" w:ascii="Times New Roman" w:hAnsi="Times New Roman" w:cs="Times New Roman"/>
          <w:color w:val="auto"/>
          <w:highlight w:val="none"/>
        </w:rPr>
        <w:t>土场</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表土由政府进行调配。</w:t>
      </w:r>
    </w:p>
    <w:p w14:paraId="59A644B2">
      <w:pPr>
        <w:pStyle w:val="41"/>
        <w:rPr>
          <w:rFonts w:hint="default" w:ascii="Times New Roman" w:hAnsi="Times New Roman" w:cs="Times New Roman"/>
          <w:color w:val="auto"/>
          <w:highlight w:val="none"/>
        </w:rPr>
      </w:pPr>
      <w:bookmarkStart w:id="177" w:name="_Toc18642"/>
      <w:bookmarkStart w:id="178" w:name="_Toc152926816"/>
      <w:bookmarkStart w:id="179" w:name="_Toc9885"/>
      <w:bookmarkStart w:id="180" w:name="_Toc140149421"/>
      <w:r>
        <w:rPr>
          <w:rFonts w:hint="default" w:ascii="Times New Roman" w:hAnsi="Times New Roman" w:cs="Times New Roman"/>
          <w:color w:val="auto"/>
          <w:highlight w:val="none"/>
        </w:rPr>
        <w:t>3.2工艺流程及产污环节</w:t>
      </w:r>
      <w:bookmarkEnd w:id="177"/>
      <w:bookmarkEnd w:id="178"/>
      <w:bookmarkEnd w:id="179"/>
      <w:bookmarkEnd w:id="180"/>
    </w:p>
    <w:p w14:paraId="5AA655C7">
      <w:pPr>
        <w:pStyle w:val="39"/>
        <w:rPr>
          <w:rFonts w:hint="default" w:ascii="Times New Roman" w:hAnsi="Times New Roman" w:eastAsia="黑体" w:cs="Times New Roman"/>
          <w:color w:val="auto"/>
          <w:szCs w:val="32"/>
          <w:highlight w:val="none"/>
          <w:lang w:val="en-US" w:eastAsia="zh-CN"/>
        </w:rPr>
      </w:pPr>
      <w:bookmarkStart w:id="181" w:name="_Toc4830"/>
      <w:r>
        <w:rPr>
          <w:rFonts w:hint="default" w:ascii="Times New Roman" w:hAnsi="Times New Roman" w:cs="Times New Roman"/>
          <w:color w:val="auto"/>
          <w:szCs w:val="32"/>
          <w:highlight w:val="none"/>
        </w:rPr>
        <w:t>3.2.1施工</w:t>
      </w:r>
      <w:bookmarkEnd w:id="181"/>
      <w:r>
        <w:rPr>
          <w:rFonts w:hint="default" w:ascii="Times New Roman" w:hAnsi="Times New Roman" w:cs="Times New Roman"/>
          <w:color w:val="auto"/>
          <w:szCs w:val="32"/>
          <w:highlight w:val="none"/>
          <w:lang w:val="en-US" w:eastAsia="zh-CN"/>
        </w:rPr>
        <w:t>工艺流程</w:t>
      </w:r>
    </w:p>
    <w:p w14:paraId="6DF631ED">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所有项目区</w:t>
      </w:r>
      <w:r>
        <w:rPr>
          <w:rFonts w:hint="default" w:ascii="Times New Roman" w:hAnsi="Times New Roman" w:cs="Times New Roman"/>
          <w:color w:val="auto"/>
          <w:highlight w:val="none"/>
        </w:rPr>
        <w:t>施工期主要进行场地清理、截洪沟</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沉淀池，煤矸石回填等</w:t>
      </w:r>
      <w:r>
        <w:rPr>
          <w:rFonts w:hint="default" w:ascii="Times New Roman" w:hAnsi="Times New Roman" w:cs="Times New Roman"/>
          <w:color w:val="auto"/>
          <w:highlight w:val="none"/>
        </w:rPr>
        <w:t>建设。本项目建筑材料由当地购买，采用商品砼，不设置预制场和拌合场。</w:t>
      </w:r>
    </w:p>
    <w:p w14:paraId="4C97ED11">
      <w:pPr>
        <w:pStyle w:val="25"/>
        <w:ind w:firstLine="480"/>
        <w:rPr>
          <w:rFonts w:hint="default" w:ascii="Times New Roman" w:hAnsi="Times New Roman" w:cs="Times New Roman"/>
          <w:color w:val="auto"/>
          <w:highlight w:val="none"/>
        </w:rPr>
      </w:pPr>
    </w:p>
    <w:p w14:paraId="4820A6F0">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sz w:val="24"/>
          <w:szCs w:val="24"/>
          <w:highlight w:val="none"/>
          <w:lang w:val="en-US" w:eastAsia="zh-CN"/>
        </w:rPr>
        <w:object>
          <v:shape id="_x0000_i1027" o:spt="75" type="#_x0000_t75" style="height:102.4pt;width:371.75pt;" o:ole="t" filled="f" o:preferrelative="t" stroked="f" coordsize="21600,21600">
            <v:path/>
            <v:fill on="f" focussize="0,0"/>
            <v:stroke on="f"/>
            <v:imagedata r:id="rId52" o:title=""/>
            <o:lock v:ext="edit" aspectratio="f"/>
            <w10:wrap type="none"/>
            <w10:anchorlock/>
          </v:shape>
          <o:OLEObject Type="Embed" ProgID="Visio.Drawing.11" ShapeID="_x0000_i1027" DrawAspect="Content" ObjectID="_1468075727" r:id="rId51">
            <o:LockedField>false</o:LockedField>
          </o:OLEObject>
        </w:object>
      </w:r>
    </w:p>
    <w:p w14:paraId="27B112E4">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图3-2-1施工流程图</w:t>
      </w:r>
    </w:p>
    <w:p w14:paraId="4F2E762A">
      <w:pPr>
        <w:pStyle w:val="39"/>
        <w:rPr>
          <w:rFonts w:hint="default" w:ascii="Times New Roman" w:hAnsi="Times New Roman" w:cs="Times New Roman"/>
          <w:color w:val="auto"/>
          <w:highlight w:val="none"/>
        </w:rPr>
      </w:pPr>
      <w:bookmarkStart w:id="182" w:name="_Toc119316797"/>
      <w:bookmarkStart w:id="183" w:name="_Toc22833"/>
      <w:r>
        <w:rPr>
          <w:rFonts w:hint="default" w:ascii="Times New Roman" w:hAnsi="Times New Roman" w:cs="Times New Roman"/>
          <w:color w:val="auto"/>
          <w:highlight w:val="none"/>
        </w:rPr>
        <w:t>3.2.2</w:t>
      </w:r>
      <w:r>
        <w:rPr>
          <w:rFonts w:hint="default" w:ascii="Times New Roman" w:hAnsi="Times New Roman" w:cs="Times New Roman"/>
          <w:color w:val="auto"/>
          <w:highlight w:val="none"/>
          <w:lang w:val="en-US" w:eastAsia="zh-CN"/>
        </w:rPr>
        <w:t xml:space="preserve">  2#项目区</w:t>
      </w:r>
      <w:r>
        <w:rPr>
          <w:rFonts w:hint="default" w:ascii="Times New Roman" w:hAnsi="Times New Roman" w:cs="Times New Roman"/>
          <w:color w:val="auto"/>
          <w:highlight w:val="none"/>
        </w:rPr>
        <w:t>回填作业工艺</w:t>
      </w:r>
      <w:bookmarkEnd w:id="182"/>
      <w:bookmarkEnd w:id="183"/>
    </w:p>
    <w:p w14:paraId="44781215">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煤矸石由专门的运输单位负责运输至回填区堆填作业面。环评要求煤矸石收运时由密闭运输车完成。根据固废减量化、资源化、无害化原则，本项目一般工业固体废物处理采用场内分区回填的方式进行作业。</w:t>
      </w:r>
    </w:p>
    <w:p w14:paraId="4D5A8DE3">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煤矸石的回填作业工艺流程为：卸料、推铺、洒水、压实、覆盖。煤矸石运输车将废物运输进入回填区，在管理人员的指挥下，进行卸料，推土机将废物摊铺推平后，由洒水车进行洒水降尘作业，之后压实机进行压实处理，可防止废物水分过快挥发并起到降尘作用。</w:t>
      </w:r>
    </w:p>
    <w:p w14:paraId="26022AA3">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（1）煤矸石等的运输、装卸</w:t>
      </w:r>
    </w:p>
    <w:p w14:paraId="3C2A7BA4">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煤矸石由运输车封闭运至本项目回填区。运输车辆进入场地后按指定地点卸灰，卸灰时洒水降尘，控制卸灰速度；运来的煤矸石及时推平，碾压平整，保证不留存。</w:t>
      </w:r>
    </w:p>
    <w:p w14:paraId="44D626E8">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（2）碾压</w:t>
      </w:r>
    </w:p>
    <w:p w14:paraId="669F746F">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采用汽车将</w:t>
      </w:r>
      <w:r>
        <w:rPr>
          <w:rFonts w:hint="default" w:ascii="Times New Roman" w:hAnsi="Times New Roman" w:cs="Times New Roman"/>
          <w:color w:val="auto"/>
          <w:highlight w:val="none"/>
          <w:lang w:val="en-US" w:eastAsia="zh-CN"/>
        </w:rPr>
        <w:t>煤矸石</w:t>
      </w:r>
      <w:r>
        <w:rPr>
          <w:rFonts w:hint="default" w:ascii="Times New Roman" w:hAnsi="Times New Roman" w:cs="Times New Roman"/>
          <w:color w:val="auto"/>
          <w:highlight w:val="none"/>
        </w:rPr>
        <w:t>从</w:t>
      </w:r>
      <w:r>
        <w:rPr>
          <w:rFonts w:hint="default" w:ascii="Times New Roman" w:hAnsi="Times New Roman" w:cs="Times New Roman"/>
          <w:color w:val="auto"/>
          <w:highlight w:val="none"/>
          <w:lang w:val="en-US" w:eastAsia="zh-CN"/>
        </w:rPr>
        <w:t>41#项目区</w:t>
      </w:r>
      <w:r>
        <w:rPr>
          <w:rFonts w:hint="default" w:ascii="Times New Roman" w:hAnsi="Times New Roman" w:cs="Times New Roman"/>
          <w:color w:val="auto"/>
          <w:highlight w:val="none"/>
        </w:rPr>
        <w:t>直接运入</w:t>
      </w:r>
      <w:r>
        <w:rPr>
          <w:rFonts w:hint="default" w:ascii="Times New Roman" w:hAnsi="Times New Roman" w:cs="Times New Roman"/>
          <w:color w:val="auto"/>
          <w:highlight w:val="none"/>
          <w:lang w:val="en-US" w:eastAsia="zh-CN"/>
        </w:rPr>
        <w:t>2#项目区</w:t>
      </w:r>
      <w:r>
        <w:rPr>
          <w:rFonts w:hint="default" w:ascii="Times New Roman" w:hAnsi="Times New Roman" w:cs="Times New Roman"/>
          <w:color w:val="auto"/>
          <w:highlight w:val="none"/>
        </w:rPr>
        <w:t>，汽车将煤矸石由入场口进入，通过场内临时道路运至作业区，汽车将调湿的煤矸石缓慢卸至作业区，采用推土机推摊碾平，堆而贮之。整个填筑应根据碾压设备，事先做现场碾压试验，确定铺层厚度，碾压遍数。根据试验结论，方可大面积施工。压实机采用进退错距法和振静结合碾压，碾压质量按设计要求严格控制。</w:t>
      </w:r>
    </w:p>
    <w:p w14:paraId="0E42C495">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（3）摊铺</w:t>
      </w:r>
    </w:p>
    <w:p w14:paraId="327C3E14">
      <w:pPr>
        <w:pStyle w:val="25"/>
        <w:bidi w:val="0"/>
        <w:rPr>
          <w:rFonts w:hint="default" w:ascii="Times New Roman" w:hAnsi="Times New Roman" w:cs="Times New Roman"/>
          <w:color w:val="auto"/>
          <w:highlight w:val="none"/>
        </w:rPr>
      </w:pPr>
      <w:bookmarkStart w:id="184" w:name="_Hlk40135273"/>
      <w:r>
        <w:rPr>
          <w:rFonts w:hint="default" w:ascii="Times New Roman" w:hAnsi="Times New Roman" w:cs="Times New Roman"/>
          <w:color w:val="auto"/>
          <w:highlight w:val="none"/>
        </w:rPr>
        <w:t>可依据原有地形坡度对废弃采坑进行分区块回填</w:t>
      </w:r>
      <w:bookmarkEnd w:id="184"/>
      <w:r>
        <w:rPr>
          <w:rFonts w:hint="default" w:ascii="Times New Roman" w:hAnsi="Times New Roman" w:cs="Times New Roman"/>
          <w:color w:val="auto"/>
          <w:highlight w:val="none"/>
        </w:rPr>
        <w:t>，由</w:t>
      </w:r>
      <w:r>
        <w:rPr>
          <w:rFonts w:hint="default" w:ascii="Times New Roman" w:hAnsi="Times New Roman" w:cs="Times New Roman"/>
          <w:color w:val="auto"/>
          <w:highlight w:val="none"/>
          <w:lang w:val="en-US" w:eastAsia="zh-CN"/>
        </w:rPr>
        <w:t>东</w:t>
      </w:r>
      <w:r>
        <w:rPr>
          <w:rFonts w:hint="default" w:ascii="Times New Roman" w:hAnsi="Times New Roman" w:cs="Times New Roman"/>
          <w:color w:val="auto"/>
          <w:highlight w:val="none"/>
        </w:rPr>
        <w:t>向</w:t>
      </w:r>
      <w:r>
        <w:rPr>
          <w:rFonts w:hint="default" w:ascii="Times New Roman" w:hAnsi="Times New Roman" w:cs="Times New Roman"/>
          <w:color w:val="auto"/>
          <w:highlight w:val="none"/>
          <w:lang w:val="en-US" w:eastAsia="zh-CN"/>
        </w:rPr>
        <w:t>西</w:t>
      </w:r>
      <w:r>
        <w:rPr>
          <w:rFonts w:hint="default" w:ascii="Times New Roman" w:hAnsi="Times New Roman" w:cs="Times New Roman"/>
          <w:color w:val="auto"/>
          <w:highlight w:val="none"/>
        </w:rPr>
        <w:t>将回填作业区划分</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个区域，然后按顺序逐区进行单元回填作业，</w:t>
      </w:r>
      <w:r>
        <w:rPr>
          <w:rFonts w:hint="default" w:ascii="Times New Roman" w:hAnsi="Times New Roman" w:cs="Times New Roman"/>
          <w:color w:val="auto"/>
          <w:highlight w:val="none"/>
          <w:lang w:val="en-US" w:eastAsia="zh-CN"/>
        </w:rPr>
        <w:t>两</w:t>
      </w:r>
      <w:r>
        <w:rPr>
          <w:rFonts w:hint="default" w:ascii="Times New Roman" w:hAnsi="Times New Roman" w:cs="Times New Roman"/>
          <w:color w:val="auto"/>
          <w:highlight w:val="none"/>
        </w:rPr>
        <w:t>部分之间不做分区坝。为减少摊铺过程中产生的扬尘，并减少雨水渗透量，并方便施工机械及施工作业方便，单元大小一般以一日一层作业量计算，回填区域划分为近似矩形网格，</w:t>
      </w:r>
      <w:r>
        <w:rPr>
          <w:rFonts w:hint="default" w:ascii="Times New Roman" w:hAnsi="Times New Roman" w:cs="Times New Roman"/>
          <w:color w:val="auto"/>
          <w:highlight w:val="none"/>
          <w:lang w:val="zh-CN"/>
        </w:rPr>
        <w:t>回填第二单元时，一边紧靠已填高的第一单元外。</w:t>
      </w:r>
    </w:p>
    <w:p w14:paraId="636656B6">
      <w:pPr>
        <w:pStyle w:val="25"/>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rPr>
        <w:t>操作顺序的总体规划为按单元按区依次每层推进，层层压实，每层摊铺厚度不大于1m，一个单元回填完成后，进入下个单元的回填，煤矸石压实的主要作用在于增加回填区库容，延长使用年限，减少地表水向下渗入，有利于运输车辆进入作业面作业。由于煤矸石</w:t>
      </w:r>
      <w:r>
        <w:rPr>
          <w:rFonts w:hint="default" w:ascii="Times New Roman" w:hAnsi="Times New Roman" w:cs="Times New Roman"/>
          <w:color w:val="auto"/>
          <w:highlight w:val="none"/>
          <w:lang w:val="zh-CN"/>
        </w:rPr>
        <w:t>压实系数不小于0.9，在此条件下可保证回填区地质的稳定性，因此，在回填至设计标高后统一进行覆土，可以与周边地面持平。</w:t>
      </w:r>
    </w:p>
    <w:p w14:paraId="68196EF6">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回填物在摊铺碾压过程中，根据现场气候条件进行洒水碾压。铺筑的作业面坡度1:5~1:7，以方便运灰车辆在灰面上的行驶。进入煤矸石场的运灰车辆应沿临时作业道路行驶，且车辆转弯时应尽量加大转弯半径。临时作业道路采用推铺煤矸石的方式在场底建造，场底临时作业道路厚度不小于2m，表面铺设煤矸石、碎石等材料。</w:t>
      </w:r>
    </w:p>
    <w:p w14:paraId="32C2D452">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煤矸石从卸车平台倾卸后由推土机向下推，其推距控制在20m以内，并将煤矸石层分层摊铺，铺匀后用压实机进行4～6次压实，第一遍为平碾，第二、三遍为振动碾，第四遍为平碾，以使作业完成后的灰表面平整光滑，压实系数不小于0.9（压实系数是指现场单位体积压实后重量与实验室作出的单位体积最大击实重量的比值，土方回填的压实系数具体范围值0.9到0.98，普通房建工程基础一般是0.95，房心和室外一般是0.93，本项目属于一般回填复垦项目，压实系数不低于0.9）。对于边角部位及其它不易碾压的部位，应使用手扶夯实机进行碾压，其碾压控制参数需经现场试验确定，碾压后的灰面应注意保护，避免扰动。</w:t>
      </w:r>
    </w:p>
    <w:p w14:paraId="7758186A">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每天在回填作业结束时在作业面洒水降尘。回填作业过程分层压实图见图3-2-2：煤矸石摊铺作业方法示意图（下推法）见图3-2-3。</w:t>
      </w:r>
    </w:p>
    <w:p w14:paraId="09AD976B">
      <w:pPr>
        <w:pStyle w:val="25"/>
        <w:spacing w:line="240" w:lineRule="auto"/>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0" distR="0">
            <wp:extent cx="4448175" cy="952500"/>
            <wp:effectExtent l="0" t="0" r="9525" b="0"/>
            <wp:docPr id="462" name="图片 462" descr="QQ截图20180201154225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462" descr="QQ截图20180201154225副本"/>
                    <pic:cNvPicPr>
                      <a:picLocks noChangeAspect="1" noChangeArrowheads="1"/>
                    </pic:cNvPicPr>
                  </pic:nvPicPr>
                  <pic:blipFill>
                    <a:blip r:embed="rId53">
                      <a:extLst>
                        <a:ext uri="{28A0092B-C50C-407E-A947-70E740481C1C}">
                          <a14:useLocalDpi xmlns:a14="http://schemas.microsoft.com/office/drawing/2010/main" val="0"/>
                        </a:ext>
                      </a:extLst>
                    </a:blip>
                    <a:srcRect b="28571"/>
                    <a:stretch>
                      <a:fillRect/>
                    </a:stretch>
                  </pic:blipFill>
                  <pic:spPr>
                    <a:xfrm>
                      <a:off x="0" y="0"/>
                      <a:ext cx="4448175" cy="952500"/>
                    </a:xfrm>
                    <a:prstGeom prst="rect">
                      <a:avLst/>
                    </a:prstGeom>
                    <a:noFill/>
                    <a:ln>
                      <a:noFill/>
                    </a:ln>
                  </pic:spPr>
                </pic:pic>
              </a:graphicData>
            </a:graphic>
          </wp:inline>
        </w:drawing>
      </w:r>
    </w:p>
    <w:p w14:paraId="63968F8D">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图3-2-2回填作业过程分层压实图</w:t>
      </w:r>
    </w:p>
    <w:p w14:paraId="220E1075">
      <w:pPr>
        <w:pStyle w:val="25"/>
        <w:spacing w:line="240" w:lineRule="auto"/>
        <w:ind w:firstLine="482"/>
        <w:rPr>
          <w:rFonts w:hint="default" w:ascii="Times New Roman" w:hAnsi="Times New Roman" w:cs="Times New Roman"/>
          <w:color w:val="auto"/>
          <w:highlight w:val="none"/>
        </w:rPr>
      </w:pPr>
      <w:r>
        <w:rPr>
          <w:rFonts w:hint="default" w:ascii="Times New Roman" w:hAnsi="Times New Roman" w:cs="Times New Roman"/>
          <w:b/>
          <w:bCs/>
          <w:color w:val="auto"/>
          <w:highlight w:val="none"/>
        </w:rPr>
        <w:drawing>
          <wp:inline distT="0" distB="0" distL="0" distR="0">
            <wp:extent cx="4600575" cy="1438275"/>
            <wp:effectExtent l="0" t="0" r="9525" b="9525"/>
            <wp:docPr id="461" name="图片 461" descr="QQ截图20180201154235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461" descr="QQ截图20180201154235副本"/>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4600575" cy="1438275"/>
                    </a:xfrm>
                    <a:prstGeom prst="rect">
                      <a:avLst/>
                    </a:prstGeom>
                    <a:noFill/>
                    <a:ln>
                      <a:noFill/>
                    </a:ln>
                  </pic:spPr>
                </pic:pic>
              </a:graphicData>
            </a:graphic>
          </wp:inline>
        </w:drawing>
      </w:r>
    </w:p>
    <w:p w14:paraId="109A1221">
      <w:pPr>
        <w:pStyle w:val="27"/>
        <w:bidi w:val="0"/>
        <w:rPr>
          <w:rFonts w:hint="default" w:ascii="Times New Roman" w:hAnsi="Times New Roman" w:cs="Times New Roman"/>
          <w:color w:val="auto"/>
          <w:highlight w:val="none"/>
        </w:rPr>
      </w:pPr>
      <w:bookmarkStart w:id="185" w:name="_Hlk40135512"/>
      <w:r>
        <w:rPr>
          <w:rFonts w:hint="default" w:ascii="Times New Roman" w:hAnsi="Times New Roman" w:cs="Times New Roman"/>
          <w:color w:val="auto"/>
          <w:highlight w:val="none"/>
        </w:rPr>
        <w:t>图3-2-3煤矸石摊铺作业方法示意图（下推法）</w:t>
      </w:r>
      <w:bookmarkEnd w:id="185"/>
    </w:p>
    <w:p w14:paraId="01B62341">
      <w:pPr>
        <w:pStyle w:val="39"/>
        <w:rPr>
          <w:rFonts w:hint="default" w:ascii="Times New Roman" w:hAnsi="Times New Roman" w:cs="Times New Roman"/>
          <w:color w:val="auto"/>
          <w:highlight w:val="none"/>
        </w:rPr>
      </w:pPr>
      <w:bookmarkStart w:id="186" w:name="_Toc6150"/>
      <w:r>
        <w:rPr>
          <w:rFonts w:hint="default" w:ascii="Times New Roman" w:hAnsi="Times New Roman" w:cs="Times New Roman"/>
          <w:color w:val="auto"/>
          <w:highlight w:val="none"/>
        </w:rPr>
        <w:t>3.2.3回填结束后土地复垦方案</w:t>
      </w:r>
      <w:bookmarkEnd w:id="186"/>
    </w:p>
    <w:p w14:paraId="43732EFC">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回填结束后，根据《一般工业固体废物贮存和填埋污染控制标准》（GB 18599-2020）及《土地复垦质量控制标准》（TD/T1036-2013）规定的相关土地复垦质量控制要求，在回填压实完成的基础上表层覆土，厚度80cm（包含表土层厚30cm），覆土后利用自然降水、机械压实等方法让土壤沉降，使土壤密实度达到80%左右，最终恢复成</w:t>
      </w:r>
      <w:r>
        <w:rPr>
          <w:rFonts w:hint="default" w:ascii="Times New Roman" w:hAnsi="Times New Roman" w:cs="Times New Roman"/>
          <w:color w:val="auto"/>
          <w:highlight w:val="none"/>
          <w:lang w:val="en-US" w:eastAsia="zh-CN"/>
        </w:rPr>
        <w:t>林</w:t>
      </w:r>
      <w:r>
        <w:rPr>
          <w:rFonts w:hint="default" w:ascii="Times New Roman" w:hAnsi="Times New Roman" w:cs="Times New Roman"/>
          <w:color w:val="auto"/>
          <w:highlight w:val="none"/>
        </w:rPr>
        <w:t>地。</w:t>
      </w:r>
    </w:p>
    <w:p w14:paraId="34DE4022">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object>
          <v:shape id="_x0000_i1028" o:spt="75" type="#_x0000_t75" style="height:81.7pt;width:415.05pt;" o:ole="t" filled="f" o:preferrelative="t" stroked="f" coordsize="21600,21600">
            <v:path/>
            <v:fill on="f" focussize="0,0"/>
            <v:stroke on="f"/>
            <v:imagedata r:id="rId56" o:title=""/>
            <o:lock v:ext="edit" aspectratio="f"/>
            <w10:wrap type="none"/>
            <w10:anchorlock/>
          </v:shape>
          <o:OLEObject Type="Embed" ProgID="Visio.Drawing.11" ShapeID="_x0000_i1028" DrawAspect="Content" ObjectID="_1468075728" r:id="rId55">
            <o:LockedField>false</o:LockedField>
          </o:OLEObject>
        </w:object>
      </w:r>
    </w:p>
    <w:p w14:paraId="4D4F26E0">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图3-2-4本项目主要工艺流程及产排污节点示意图</w:t>
      </w:r>
    </w:p>
    <w:p w14:paraId="70934700">
      <w:pPr>
        <w:pStyle w:val="41"/>
        <w:bidi w:val="0"/>
        <w:rPr>
          <w:rFonts w:hint="default" w:ascii="Times New Roman" w:hAnsi="Times New Roman" w:cs="Times New Roman"/>
          <w:color w:val="auto"/>
          <w:highlight w:val="none"/>
        </w:rPr>
      </w:pPr>
      <w:bookmarkStart w:id="187" w:name="_Toc5291"/>
      <w:bookmarkStart w:id="188" w:name="_Toc152926817"/>
      <w:bookmarkStart w:id="189" w:name="_Toc140149422"/>
      <w:bookmarkStart w:id="190" w:name="_Toc26766"/>
      <w:r>
        <w:rPr>
          <w:rFonts w:hint="default" w:ascii="Times New Roman" w:hAnsi="Times New Roman" w:cs="Times New Roman"/>
          <w:color w:val="auto"/>
          <w:highlight w:val="none"/>
        </w:rPr>
        <w:t>3.3工程污染源强分析</w:t>
      </w:r>
      <w:bookmarkEnd w:id="187"/>
      <w:bookmarkEnd w:id="188"/>
      <w:bookmarkEnd w:id="189"/>
      <w:bookmarkEnd w:id="190"/>
    </w:p>
    <w:p w14:paraId="3ADAF726">
      <w:pPr>
        <w:pStyle w:val="2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1、施工期</w:t>
      </w:r>
    </w:p>
    <w:p w14:paraId="6776C157">
      <w:pPr>
        <w:pStyle w:val="25"/>
        <w:bidi w:val="0"/>
        <w:rPr>
          <w:rFonts w:hint="default" w:ascii="Times New Roman" w:hAnsi="Times New Roman" w:eastAsia="宋体" w:cs="Times New Roman"/>
          <w:color w:val="auto"/>
          <w:lang w:eastAsia="zh-CN"/>
        </w:rPr>
      </w:pPr>
      <w:r>
        <w:rPr>
          <w:rFonts w:hint="default" w:ascii="Times New Roman" w:hAnsi="Times New Roman" w:cs="Times New Roman"/>
          <w:color w:val="auto"/>
        </w:rPr>
        <w:t>本项目为</w:t>
      </w:r>
      <w:r>
        <w:rPr>
          <w:rFonts w:hint="default" w:ascii="Times New Roman" w:hAnsi="Times New Roman" w:cs="Times New Roman"/>
          <w:color w:val="auto"/>
          <w:lang w:val="en-US" w:eastAsia="zh-CN"/>
        </w:rPr>
        <w:t>历史遗留矿山生态修复项目主要为</w:t>
      </w:r>
      <w:r>
        <w:rPr>
          <w:rFonts w:hint="default" w:ascii="Times New Roman" w:hAnsi="Times New Roman" w:cs="Times New Roman"/>
          <w:color w:val="auto"/>
        </w:rPr>
        <w:t>施工期</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生态恢复期两</w:t>
      </w:r>
      <w:r>
        <w:rPr>
          <w:rFonts w:hint="default" w:ascii="Times New Roman" w:hAnsi="Times New Roman" w:cs="Times New Roman"/>
          <w:color w:val="auto"/>
        </w:rPr>
        <w:t>个时段。施工期主要工程内容为</w:t>
      </w:r>
      <w:r>
        <w:rPr>
          <w:rFonts w:hint="default" w:ascii="Times New Roman" w:hAnsi="Times New Roman" w:cs="Times New Roman"/>
          <w:color w:val="auto"/>
          <w:lang w:val="en-US" w:eastAsia="zh-CN"/>
        </w:rPr>
        <w:t>项目区清理，剥离岩石、挡土墙、截洪沟等</w:t>
      </w:r>
      <w:r>
        <w:rPr>
          <w:rFonts w:hint="default" w:ascii="Times New Roman" w:hAnsi="Times New Roman" w:cs="Times New Roman"/>
          <w:color w:val="auto"/>
        </w:rPr>
        <w:t>建设</w:t>
      </w:r>
      <w:r>
        <w:rPr>
          <w:rFonts w:hint="default" w:ascii="Times New Roman" w:hAnsi="Times New Roman" w:cs="Times New Roman"/>
          <w:color w:val="auto"/>
          <w:lang w:val="en-US" w:eastAsia="zh-CN"/>
        </w:rPr>
        <w:t>以及2#项目煤矸石回填</w:t>
      </w:r>
      <w:r>
        <w:rPr>
          <w:rFonts w:hint="default" w:ascii="Times New Roman" w:hAnsi="Times New Roman" w:cs="Times New Roman"/>
          <w:color w:val="auto"/>
          <w:lang w:eastAsia="zh-CN"/>
        </w:rPr>
        <w:t>。</w:t>
      </w:r>
    </w:p>
    <w:p w14:paraId="69E50F41">
      <w:pPr>
        <w:pStyle w:val="25"/>
        <w:bidi w:val="0"/>
        <w:rPr>
          <w:rFonts w:hint="default" w:ascii="Times New Roman" w:hAnsi="Times New Roman" w:cs="Times New Roman"/>
          <w:color w:val="auto"/>
        </w:rPr>
      </w:pPr>
      <w:r>
        <w:rPr>
          <w:rFonts w:hint="default" w:ascii="Times New Roman" w:hAnsi="Times New Roman" w:cs="Times New Roman"/>
          <w:color w:val="auto"/>
        </w:rPr>
        <w:t>施工过程中将产生扬尘（均为无组织排放）</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机械和车辆尾气、施工期噪声源主要有运输车辆、作业区的机械引起。</w:t>
      </w:r>
    </w:p>
    <w:p w14:paraId="0FD947E0">
      <w:pPr>
        <w:pStyle w:val="25"/>
        <w:bidi w:val="0"/>
        <w:rPr>
          <w:rFonts w:hint="default" w:ascii="Times New Roman" w:hAnsi="Times New Roman" w:cs="Times New Roman"/>
          <w:color w:val="auto"/>
        </w:rPr>
      </w:pPr>
      <w:r>
        <w:rPr>
          <w:rFonts w:hint="default" w:ascii="Times New Roman" w:hAnsi="Times New Roman" w:cs="Times New Roman"/>
          <w:color w:val="auto"/>
        </w:rPr>
        <w:t>本项目施工期产生固废为建筑垃圾、场地清理废物。</w:t>
      </w:r>
    </w:p>
    <w:p w14:paraId="5785A27A">
      <w:pPr>
        <w:pStyle w:val="25"/>
        <w:bidi w:val="0"/>
        <w:rPr>
          <w:rFonts w:hint="default" w:ascii="Times New Roman" w:hAnsi="Times New Roman" w:cs="Times New Roman"/>
          <w:color w:val="auto"/>
        </w:rPr>
      </w:pPr>
      <w:r>
        <w:rPr>
          <w:rFonts w:hint="default" w:ascii="Times New Roman" w:hAnsi="Times New Roman" w:cs="Times New Roman"/>
          <w:color w:val="auto"/>
          <w:highlight w:val="none"/>
          <w:lang w:val="en-US" w:eastAsia="zh-CN"/>
        </w:rPr>
        <w:t>2#项目区</w:t>
      </w:r>
      <w:r>
        <w:rPr>
          <w:rFonts w:hint="default" w:ascii="Times New Roman" w:hAnsi="Times New Roman" w:eastAsia="宋体" w:cs="Times New Roman"/>
          <w:color w:val="auto"/>
          <w:highlight w:val="none"/>
          <w:lang w:val="en-US" w:eastAsia="zh-CN"/>
        </w:rPr>
        <w:t>回填期间由于回填过程为露天作业，如遇雨季，</w:t>
      </w:r>
      <w:r>
        <w:rPr>
          <w:rFonts w:hint="default" w:ascii="Times New Roman" w:hAnsi="Times New Roman" w:cs="Times New Roman"/>
          <w:color w:val="auto"/>
          <w:highlight w:val="none"/>
          <w:lang w:val="en-US" w:eastAsia="zh-CN"/>
        </w:rPr>
        <w:t>煤矸石</w:t>
      </w:r>
      <w:r>
        <w:rPr>
          <w:rFonts w:hint="default" w:ascii="Times New Roman" w:hAnsi="Times New Roman" w:eastAsia="宋体" w:cs="Times New Roman"/>
          <w:color w:val="auto"/>
          <w:highlight w:val="none"/>
          <w:lang w:val="en-US" w:eastAsia="zh-CN"/>
        </w:rPr>
        <w:t>经降雨淋溶后，其中的可溶性元素可随雨水迁移渗出后成为淋溶水，淋溶水进入土壤和地下水后，会对土壤、以及地下水产生一定的影响。</w:t>
      </w:r>
    </w:p>
    <w:p w14:paraId="4268E767">
      <w:pPr>
        <w:pStyle w:val="25"/>
        <w:bidi w:val="0"/>
        <w:rPr>
          <w:rFonts w:hint="default" w:ascii="Times New Roman" w:hAnsi="Times New Roman" w:cs="Times New Roman"/>
          <w:color w:val="auto"/>
        </w:rPr>
      </w:pPr>
      <w:r>
        <w:rPr>
          <w:rFonts w:hint="default" w:ascii="Times New Roman" w:hAnsi="Times New Roman" w:cs="Times New Roman"/>
          <w:color w:val="auto"/>
        </w:rPr>
        <w:t>随着运行期的结束，</w:t>
      </w:r>
      <w:r>
        <w:rPr>
          <w:rFonts w:hint="default" w:ascii="Times New Roman" w:hAnsi="Times New Roman" w:cs="Times New Roman"/>
          <w:color w:val="auto"/>
          <w:lang w:val="en-US" w:eastAsia="zh-CN"/>
        </w:rPr>
        <w:t>以上这些</w:t>
      </w:r>
      <w:r>
        <w:rPr>
          <w:rFonts w:hint="default" w:ascii="Times New Roman" w:hAnsi="Times New Roman" w:cs="Times New Roman"/>
          <w:color w:val="auto"/>
        </w:rPr>
        <w:t>污染将随之消失。</w:t>
      </w:r>
    </w:p>
    <w:p w14:paraId="288A8E29">
      <w:pPr>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2、生态恢复期</w:t>
      </w:r>
      <w:r>
        <w:rPr>
          <w:rFonts w:hint="default" w:ascii="Times New Roman" w:hAnsi="Times New Roman" w:cs="Times New Roman"/>
          <w:color w:val="auto"/>
          <w:highlight w:val="none"/>
        </w:rPr>
        <w:t>主要工程内容为</w:t>
      </w:r>
      <w:r>
        <w:rPr>
          <w:rFonts w:hint="default" w:ascii="Times New Roman" w:hAnsi="Times New Roman" w:cs="Times New Roman"/>
          <w:color w:val="auto"/>
          <w:highlight w:val="none"/>
          <w:lang w:val="en-US" w:eastAsia="zh-CN"/>
        </w:rPr>
        <w:t>植被养护，无环境污染</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对环境影响较小</w:t>
      </w:r>
    </w:p>
    <w:p w14:paraId="5D17ACDB">
      <w:pPr>
        <w:pStyle w:val="39"/>
        <w:bidi w:val="0"/>
        <w:rPr>
          <w:rFonts w:hint="default" w:ascii="Times New Roman" w:hAnsi="Times New Roman" w:cs="Times New Roman"/>
          <w:color w:val="auto"/>
          <w:highlight w:val="none"/>
        </w:rPr>
      </w:pPr>
      <w:bookmarkStart w:id="191" w:name="_Toc18579"/>
      <w:r>
        <w:rPr>
          <w:rFonts w:hint="default" w:ascii="Times New Roman" w:hAnsi="Times New Roman" w:cs="Times New Roman"/>
          <w:color w:val="auto"/>
          <w:highlight w:val="none"/>
        </w:rPr>
        <w:t>3.3.1施工期污染源及源强分析</w:t>
      </w:r>
      <w:bookmarkEnd w:id="191"/>
    </w:p>
    <w:p w14:paraId="24D48485">
      <w:pPr>
        <w:pStyle w:val="25"/>
        <w:bidi w:val="0"/>
        <w:rPr>
          <w:rFonts w:hint="default" w:ascii="Times New Roman" w:hAnsi="Times New Roman" w:cs="Times New Roman"/>
          <w:color w:val="auto"/>
          <w:lang w:val="zh-CN"/>
        </w:rPr>
      </w:pPr>
      <w:r>
        <w:rPr>
          <w:rFonts w:hint="default" w:ascii="Times New Roman" w:hAnsi="Times New Roman" w:cs="Times New Roman"/>
          <w:color w:val="auto"/>
          <w:lang w:val="en-US" w:eastAsia="zh-CN"/>
        </w:rPr>
        <w:t>1、</w:t>
      </w:r>
      <w:r>
        <w:rPr>
          <w:rFonts w:hint="default" w:ascii="Times New Roman" w:hAnsi="Times New Roman" w:cs="Times New Roman"/>
          <w:color w:val="auto"/>
          <w:lang w:val="zh-CN"/>
        </w:rPr>
        <w:t>废气</w:t>
      </w:r>
    </w:p>
    <w:p w14:paraId="39EA859F">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废气污染源主要为施工机械和车辆尾气</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施工作业扬尘</w:t>
      </w:r>
      <w:r>
        <w:rPr>
          <w:rFonts w:hint="default" w:ascii="Times New Roman" w:hAnsi="Times New Roman" w:cs="Times New Roman"/>
          <w:color w:val="auto"/>
          <w:highlight w:val="none"/>
        </w:rPr>
        <w:t>。</w:t>
      </w:r>
    </w:p>
    <w:p w14:paraId="766FD063">
      <w:pPr>
        <w:pStyle w:val="25"/>
        <w:bidi w:val="0"/>
        <w:rPr>
          <w:rFonts w:hint="default" w:ascii="Times New Roman" w:hAnsi="Times New Roman" w:cs="Times New Roman"/>
          <w:color w:val="auto"/>
        </w:rPr>
      </w:pPr>
      <w:r>
        <w:rPr>
          <w:rFonts w:hint="default" w:ascii="Times New Roman" w:hAnsi="Times New Roman" w:cs="Times New Roman"/>
          <w:color w:val="auto"/>
        </w:rPr>
        <w:t>（</w:t>
      </w:r>
      <w:r>
        <w:rPr>
          <w:rFonts w:hint="default" w:ascii="Times New Roman" w:hAnsi="Times New Roman" w:cs="Times New Roman"/>
          <w:color w:val="auto"/>
          <w:lang w:val="en-US" w:eastAsia="zh-CN"/>
        </w:rPr>
        <w:t>1</w:t>
      </w:r>
      <w:r>
        <w:rPr>
          <w:rFonts w:hint="default" w:ascii="Times New Roman" w:hAnsi="Times New Roman" w:cs="Times New Roman"/>
          <w:color w:val="auto"/>
        </w:rPr>
        <w:t>）作业机械尾气</w:t>
      </w:r>
    </w:p>
    <w:p w14:paraId="3A9A4F2A">
      <w:pPr>
        <w:pStyle w:val="25"/>
        <w:bidi w:val="0"/>
        <w:rPr>
          <w:rFonts w:hint="default" w:ascii="Times New Roman" w:hAnsi="Times New Roman" w:cs="Times New Roman"/>
          <w:color w:val="auto"/>
        </w:rPr>
      </w:pPr>
      <w:r>
        <w:rPr>
          <w:rFonts w:hint="default" w:ascii="Times New Roman" w:hAnsi="Times New Roman" w:cs="Times New Roman"/>
          <w:color w:val="auto"/>
        </w:rPr>
        <w:t>作业时的废气主要由推土机、压实机、铲车、自卸车和洒水车运行时产生。参照《环境保护实用数据手册》“汽车发动机废气中有害物质量”，每燃烧1t燃料机动车废气中主要污染物排放系数如下表所示。</w:t>
      </w:r>
    </w:p>
    <w:p w14:paraId="4CDBD8FF">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表3-3-</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val="zh-CN"/>
        </w:rPr>
        <w:t>机动车消耗单位燃料大气污染物排放系数（kg/t）</w:t>
      </w:r>
    </w:p>
    <w:tbl>
      <w:tblPr>
        <w:tblStyle w:val="2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07"/>
        <w:gridCol w:w="1972"/>
        <w:gridCol w:w="1974"/>
        <w:gridCol w:w="1969"/>
      </w:tblGrid>
      <w:tr w14:paraId="42D574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30" w:type="pct"/>
            <w:tcBorders>
              <w:tl2br w:val="nil"/>
              <w:tr2bl w:val="nil"/>
            </w:tcBorders>
            <w:vAlign w:val="center"/>
          </w:tcPr>
          <w:p w14:paraId="29208734">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lang w:val="zh-CN"/>
              </w:rPr>
              <w:t>污染物</w:t>
            </w:r>
          </w:p>
          <w:p w14:paraId="5FEFA430">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车种（燃料）</w:t>
            </w:r>
          </w:p>
        </w:tc>
        <w:tc>
          <w:tcPr>
            <w:tcW w:w="1157" w:type="pct"/>
            <w:tcBorders>
              <w:tl2br w:val="nil"/>
              <w:tr2bl w:val="nil"/>
            </w:tcBorders>
            <w:vAlign w:val="center"/>
          </w:tcPr>
          <w:p w14:paraId="077ABE87">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CO</w:t>
            </w:r>
          </w:p>
        </w:tc>
        <w:tc>
          <w:tcPr>
            <w:tcW w:w="1158" w:type="pct"/>
            <w:tcBorders>
              <w:tl2br w:val="nil"/>
              <w:tr2bl w:val="nil"/>
            </w:tcBorders>
            <w:vAlign w:val="center"/>
          </w:tcPr>
          <w:p w14:paraId="0AEBE28A">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NOx</w:t>
            </w:r>
          </w:p>
        </w:tc>
        <w:tc>
          <w:tcPr>
            <w:tcW w:w="1156" w:type="pct"/>
            <w:tcBorders>
              <w:tl2br w:val="nil"/>
              <w:tr2bl w:val="nil"/>
            </w:tcBorders>
            <w:vAlign w:val="center"/>
          </w:tcPr>
          <w:p w14:paraId="165E8308">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HC</w:t>
            </w:r>
          </w:p>
        </w:tc>
      </w:tr>
      <w:tr w14:paraId="408E29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1530" w:type="pct"/>
            <w:tcBorders>
              <w:tl2br w:val="nil"/>
              <w:tr2bl w:val="nil"/>
            </w:tcBorders>
            <w:vAlign w:val="center"/>
          </w:tcPr>
          <w:p w14:paraId="11E4B989">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汽车（柴油）</w:t>
            </w:r>
          </w:p>
        </w:tc>
        <w:tc>
          <w:tcPr>
            <w:tcW w:w="1157" w:type="pct"/>
            <w:tcBorders>
              <w:tl2br w:val="nil"/>
              <w:tr2bl w:val="nil"/>
            </w:tcBorders>
            <w:vAlign w:val="center"/>
          </w:tcPr>
          <w:p w14:paraId="0EAE89B9">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28.4</w:t>
            </w:r>
          </w:p>
        </w:tc>
        <w:tc>
          <w:tcPr>
            <w:tcW w:w="1158" w:type="pct"/>
            <w:tcBorders>
              <w:tl2br w:val="nil"/>
              <w:tr2bl w:val="nil"/>
            </w:tcBorders>
            <w:vAlign w:val="center"/>
          </w:tcPr>
          <w:p w14:paraId="58E64696">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40.8</w:t>
            </w:r>
          </w:p>
        </w:tc>
        <w:tc>
          <w:tcPr>
            <w:tcW w:w="1156" w:type="pct"/>
            <w:tcBorders>
              <w:tl2br w:val="nil"/>
              <w:tr2bl w:val="nil"/>
            </w:tcBorders>
            <w:vAlign w:val="center"/>
          </w:tcPr>
          <w:p w14:paraId="152ED42B">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9.1</w:t>
            </w:r>
          </w:p>
        </w:tc>
      </w:tr>
    </w:tbl>
    <w:p w14:paraId="28E55497">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考虑1台推土机、1台压实机、1台铲车、1辆自卸车和1台洒水车同时作业时，作业机械在回填的平</w:t>
      </w:r>
      <w:r>
        <w:rPr>
          <w:rFonts w:hint="default" w:ascii="Times New Roman" w:hAnsi="Times New Roman" w:cs="Times New Roman"/>
          <w:color w:val="auto"/>
          <w:sz w:val="24"/>
          <w:szCs w:val="22"/>
          <w:highlight w:val="none"/>
          <w:lang w:val="en-US" w:eastAsia="zh-CN"/>
        </w:rPr>
        <w:t>均每天</w:t>
      </w:r>
      <w:r>
        <w:rPr>
          <w:rFonts w:hint="default" w:ascii="Times New Roman" w:hAnsi="Times New Roman" w:cs="Times New Roman"/>
          <w:color w:val="auto"/>
          <w:sz w:val="24"/>
          <w:szCs w:val="22"/>
          <w:highlight w:val="none"/>
        </w:rPr>
        <w:t>行车距离为0.</w:t>
      </w:r>
      <w:r>
        <w:rPr>
          <w:rFonts w:hint="default" w:ascii="Times New Roman" w:hAnsi="Times New Roman" w:cs="Times New Roman"/>
          <w:color w:val="auto"/>
          <w:sz w:val="24"/>
          <w:szCs w:val="22"/>
          <w:highlight w:val="none"/>
          <w:lang w:val="en-US" w:eastAsia="zh-CN"/>
        </w:rPr>
        <w:t>5</w:t>
      </w:r>
      <w:r>
        <w:rPr>
          <w:rFonts w:hint="default" w:ascii="Times New Roman" w:hAnsi="Times New Roman" w:cs="Times New Roman"/>
          <w:color w:val="auto"/>
          <w:sz w:val="24"/>
          <w:szCs w:val="22"/>
          <w:highlight w:val="none"/>
        </w:rPr>
        <w:t>km，车辆耗油量为0.02L/辆（按平均车辆油耗每百公里10L计），耗柴油量0.</w:t>
      </w:r>
      <w:r>
        <w:rPr>
          <w:rFonts w:hint="default" w:ascii="Times New Roman" w:hAnsi="Times New Roman" w:cs="Times New Roman"/>
          <w:color w:val="auto"/>
          <w:sz w:val="24"/>
          <w:szCs w:val="22"/>
          <w:highlight w:val="none"/>
          <w:lang w:val="en-US" w:eastAsia="zh-CN"/>
        </w:rPr>
        <w:t>2</w:t>
      </w:r>
      <w:r>
        <w:rPr>
          <w:rFonts w:hint="default" w:ascii="Times New Roman" w:hAnsi="Times New Roman" w:cs="Times New Roman"/>
          <w:color w:val="auto"/>
          <w:sz w:val="24"/>
          <w:szCs w:val="22"/>
          <w:highlight w:val="none"/>
        </w:rPr>
        <w:t>L/d，柴油的密度为0.83kg/L，则车辆耗油量为柴油0.</w:t>
      </w:r>
      <w:r>
        <w:rPr>
          <w:rFonts w:hint="default" w:ascii="Times New Roman" w:hAnsi="Times New Roman" w:cs="Times New Roman"/>
          <w:color w:val="auto"/>
          <w:sz w:val="24"/>
          <w:szCs w:val="22"/>
          <w:highlight w:val="none"/>
          <w:lang w:val="en-US" w:eastAsia="zh-CN"/>
        </w:rPr>
        <w:t>1</w:t>
      </w:r>
      <w:r>
        <w:rPr>
          <w:rFonts w:hint="default" w:ascii="Times New Roman" w:hAnsi="Times New Roman" w:cs="Times New Roman"/>
          <w:color w:val="auto"/>
          <w:sz w:val="24"/>
          <w:szCs w:val="22"/>
          <w:highlight w:val="none"/>
        </w:rPr>
        <w:t>66kg/d，继而得出大气污染物排放量为：CO 0.00</w:t>
      </w:r>
      <w:r>
        <w:rPr>
          <w:rFonts w:hint="default" w:ascii="Times New Roman" w:hAnsi="Times New Roman" w:cs="Times New Roman"/>
          <w:color w:val="auto"/>
          <w:sz w:val="24"/>
          <w:szCs w:val="22"/>
          <w:highlight w:val="none"/>
          <w:lang w:val="en-US" w:eastAsia="zh-CN"/>
        </w:rPr>
        <w:t>47</w:t>
      </w:r>
      <w:r>
        <w:rPr>
          <w:rFonts w:hint="default" w:ascii="Times New Roman" w:hAnsi="Times New Roman" w:cs="Times New Roman"/>
          <w:color w:val="auto"/>
          <w:sz w:val="24"/>
          <w:szCs w:val="22"/>
          <w:highlight w:val="none"/>
        </w:rPr>
        <w:t>kg/d，NOx 0.00</w:t>
      </w:r>
      <w:r>
        <w:rPr>
          <w:rFonts w:hint="default" w:ascii="Times New Roman" w:hAnsi="Times New Roman" w:cs="Times New Roman"/>
          <w:color w:val="auto"/>
          <w:sz w:val="24"/>
          <w:szCs w:val="22"/>
          <w:highlight w:val="none"/>
          <w:lang w:val="en-US" w:eastAsia="zh-CN"/>
        </w:rPr>
        <w:t>68</w:t>
      </w:r>
      <w:r>
        <w:rPr>
          <w:rFonts w:hint="default" w:ascii="Times New Roman" w:hAnsi="Times New Roman" w:cs="Times New Roman"/>
          <w:color w:val="auto"/>
          <w:sz w:val="24"/>
          <w:szCs w:val="22"/>
          <w:highlight w:val="none"/>
        </w:rPr>
        <w:t>kg/d， HC0.00</w:t>
      </w:r>
      <w:r>
        <w:rPr>
          <w:rFonts w:hint="default" w:ascii="Times New Roman" w:hAnsi="Times New Roman" w:cs="Times New Roman"/>
          <w:color w:val="auto"/>
          <w:sz w:val="24"/>
          <w:szCs w:val="22"/>
          <w:highlight w:val="none"/>
          <w:lang w:val="en-US" w:eastAsia="zh-CN"/>
        </w:rPr>
        <w:t>14</w:t>
      </w:r>
      <w:r>
        <w:rPr>
          <w:rFonts w:hint="default" w:ascii="Times New Roman" w:hAnsi="Times New Roman" w:cs="Times New Roman"/>
          <w:color w:val="auto"/>
          <w:sz w:val="24"/>
          <w:szCs w:val="22"/>
          <w:highlight w:val="none"/>
        </w:rPr>
        <w:t>kg/d。每天工作小时数按</w:t>
      </w:r>
      <w:r>
        <w:rPr>
          <w:rFonts w:hint="default" w:ascii="Times New Roman" w:hAnsi="Times New Roman" w:cs="Times New Roman"/>
          <w:color w:val="auto"/>
          <w:sz w:val="24"/>
          <w:szCs w:val="22"/>
          <w:highlight w:val="none"/>
          <w:lang w:val="en-US" w:eastAsia="zh-CN"/>
        </w:rPr>
        <w:t>8</w:t>
      </w:r>
      <w:r>
        <w:rPr>
          <w:rFonts w:hint="default" w:ascii="Times New Roman" w:hAnsi="Times New Roman" w:cs="Times New Roman"/>
          <w:color w:val="auto"/>
          <w:sz w:val="24"/>
          <w:szCs w:val="22"/>
          <w:highlight w:val="none"/>
        </w:rPr>
        <w:t>小时计，年工作天数按</w:t>
      </w:r>
      <w:r>
        <w:rPr>
          <w:rFonts w:hint="default" w:ascii="Times New Roman" w:hAnsi="Times New Roman" w:cs="Times New Roman"/>
          <w:color w:val="auto"/>
          <w:sz w:val="24"/>
          <w:szCs w:val="22"/>
          <w:highlight w:val="none"/>
          <w:lang w:val="en-US" w:eastAsia="zh-CN"/>
        </w:rPr>
        <w:t>210</w:t>
      </w:r>
      <w:r>
        <w:rPr>
          <w:rFonts w:hint="default" w:ascii="Times New Roman" w:hAnsi="Times New Roman" w:cs="Times New Roman"/>
          <w:color w:val="auto"/>
          <w:sz w:val="24"/>
          <w:szCs w:val="22"/>
          <w:highlight w:val="none"/>
        </w:rPr>
        <w:t>天计，则作业机械年产生的污染物排放量为：</w:t>
      </w:r>
      <w:bookmarkStart w:id="192" w:name="_Hlk69974169"/>
      <w:r>
        <w:rPr>
          <w:rFonts w:hint="default" w:ascii="Times New Roman" w:hAnsi="Times New Roman" w:cs="Times New Roman"/>
          <w:color w:val="auto"/>
          <w:sz w:val="24"/>
          <w:szCs w:val="22"/>
          <w:highlight w:val="none"/>
        </w:rPr>
        <w:t>CO 0.000</w:t>
      </w:r>
      <w:r>
        <w:rPr>
          <w:rFonts w:hint="default" w:ascii="Times New Roman" w:hAnsi="Times New Roman" w:cs="Times New Roman"/>
          <w:color w:val="auto"/>
          <w:sz w:val="24"/>
          <w:szCs w:val="22"/>
          <w:highlight w:val="none"/>
          <w:lang w:val="en-US" w:eastAsia="zh-CN"/>
        </w:rPr>
        <w:t>59</w:t>
      </w:r>
      <w:r>
        <w:rPr>
          <w:rFonts w:hint="default" w:ascii="Times New Roman" w:hAnsi="Times New Roman" w:cs="Times New Roman"/>
          <w:color w:val="auto"/>
          <w:sz w:val="24"/>
          <w:szCs w:val="22"/>
          <w:highlight w:val="none"/>
        </w:rPr>
        <w:t>kg/h，HC 0.000</w:t>
      </w:r>
      <w:r>
        <w:rPr>
          <w:rFonts w:hint="default" w:ascii="Times New Roman" w:hAnsi="Times New Roman" w:cs="Times New Roman"/>
          <w:color w:val="auto"/>
          <w:sz w:val="24"/>
          <w:szCs w:val="22"/>
          <w:highlight w:val="none"/>
          <w:lang w:val="en-US" w:eastAsia="zh-CN"/>
        </w:rPr>
        <w:t>85</w:t>
      </w:r>
      <w:r>
        <w:rPr>
          <w:rFonts w:hint="default" w:ascii="Times New Roman" w:hAnsi="Times New Roman" w:cs="Times New Roman"/>
          <w:color w:val="auto"/>
          <w:sz w:val="24"/>
          <w:szCs w:val="22"/>
          <w:highlight w:val="none"/>
        </w:rPr>
        <w:t>kg/h，NOx 0.0001</w:t>
      </w:r>
      <w:r>
        <w:rPr>
          <w:rFonts w:hint="default" w:ascii="Times New Roman" w:hAnsi="Times New Roman" w:cs="Times New Roman"/>
          <w:color w:val="auto"/>
          <w:sz w:val="24"/>
          <w:szCs w:val="22"/>
          <w:highlight w:val="none"/>
          <w:lang w:val="en-US" w:eastAsia="zh-CN"/>
        </w:rPr>
        <w:t>8</w:t>
      </w:r>
      <w:r>
        <w:rPr>
          <w:rFonts w:hint="default" w:ascii="Times New Roman" w:hAnsi="Times New Roman" w:cs="Times New Roman"/>
          <w:color w:val="auto"/>
          <w:sz w:val="24"/>
          <w:szCs w:val="22"/>
          <w:highlight w:val="none"/>
        </w:rPr>
        <w:t>kg/h；</w:t>
      </w:r>
      <w:bookmarkEnd w:id="192"/>
    </w:p>
    <w:p w14:paraId="00EAFF86">
      <w:pPr>
        <w:numPr>
          <w:ilvl w:val="0"/>
          <w:numId w:val="0"/>
        </w:numPr>
        <w:spacing w:line="500" w:lineRule="exact"/>
        <w:ind w:left="0" w:leftChars="0" w:firstLine="480" w:firstLineChars="200"/>
        <w:rPr>
          <w:rFonts w:hint="default" w:ascii="Times New Roman" w:hAnsi="Times New Roman" w:cs="Times New Roman"/>
          <w:color w:val="auto"/>
          <w:sz w:val="24"/>
          <w:szCs w:val="22"/>
          <w:highlight w:val="none"/>
        </w:rPr>
      </w:pPr>
      <w:r>
        <w:rPr>
          <w:rFonts w:hint="default" w:ascii="Times New Roman" w:hAnsi="Times New Roman" w:eastAsia="宋体" w:cs="Times New Roman"/>
          <w:color w:val="auto"/>
          <w:kern w:val="2"/>
          <w:sz w:val="24"/>
          <w:szCs w:val="22"/>
          <w:lang w:val="en-US" w:eastAsia="zh-CN" w:bidi="ar-SA"/>
        </w:rPr>
        <w:t>（2）</w:t>
      </w:r>
      <w:r>
        <w:rPr>
          <w:rFonts w:hint="default" w:ascii="Times New Roman" w:hAnsi="Times New Roman" w:cs="Times New Roman"/>
          <w:color w:val="auto"/>
          <w:sz w:val="24"/>
          <w:szCs w:val="22"/>
          <w:highlight w:val="none"/>
          <w:lang w:val="en-US" w:eastAsia="zh-CN"/>
        </w:rPr>
        <w:t>施工</w:t>
      </w:r>
      <w:r>
        <w:rPr>
          <w:rFonts w:hint="default" w:ascii="Times New Roman" w:hAnsi="Times New Roman" w:cs="Times New Roman"/>
          <w:color w:val="auto"/>
          <w:sz w:val="24"/>
          <w:szCs w:val="22"/>
          <w:highlight w:val="none"/>
        </w:rPr>
        <w:t>作业扬尘</w:t>
      </w:r>
    </w:p>
    <w:p w14:paraId="4640E7F0">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施工扬尘主要来自土方挖掘及现场堆放扬尘，施工垃圾的清理及堆放扬尘，运输车辆造成的道路扬尘，属无组织排放。</w:t>
      </w:r>
    </w:p>
    <w:p w14:paraId="525962EA">
      <w:pPr>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szCs w:val="22"/>
          <w:highlight w:val="none"/>
        </w:rPr>
        <w:fldChar w:fldCharType="begin"/>
      </w:r>
      <w:r>
        <w:rPr>
          <w:rFonts w:hint="default" w:ascii="Times New Roman" w:hAnsi="Times New Roman" w:cs="Times New Roman"/>
          <w:color w:val="auto"/>
          <w:sz w:val="24"/>
          <w:szCs w:val="22"/>
          <w:highlight w:val="none"/>
        </w:rPr>
        <w:instrText xml:space="preserve"> = 1 \* GB3 </w:instrText>
      </w:r>
      <w:r>
        <w:rPr>
          <w:rFonts w:hint="default" w:ascii="Times New Roman" w:hAnsi="Times New Roman" w:cs="Times New Roman"/>
          <w:color w:val="auto"/>
          <w:sz w:val="24"/>
          <w:szCs w:val="22"/>
          <w:highlight w:val="none"/>
        </w:rPr>
        <w:fldChar w:fldCharType="separate"/>
      </w:r>
      <w:r>
        <w:rPr>
          <w:rFonts w:hint="default" w:ascii="Times New Roman" w:hAnsi="Times New Roman" w:cs="Times New Roman"/>
          <w:color w:val="auto"/>
          <w:sz w:val="24"/>
          <w:szCs w:val="22"/>
          <w:highlight w:val="none"/>
        </w:rPr>
        <w:t>①</w:t>
      </w:r>
      <w:r>
        <w:rPr>
          <w:rFonts w:hint="default" w:ascii="Times New Roman" w:hAnsi="Times New Roman" w:cs="Times New Roman"/>
          <w:color w:val="auto"/>
          <w:sz w:val="24"/>
          <w:szCs w:val="22"/>
          <w:highlight w:val="none"/>
        </w:rPr>
        <w:fldChar w:fldCharType="end"/>
      </w:r>
      <w:r>
        <w:rPr>
          <w:rFonts w:hint="default" w:ascii="Times New Roman" w:hAnsi="Times New Roman" w:cs="Times New Roman"/>
          <w:color w:val="auto"/>
          <w:sz w:val="24"/>
          <w:szCs w:val="22"/>
          <w:highlight w:val="none"/>
        </w:rPr>
        <w:t>作业扬尘</w:t>
      </w:r>
    </w:p>
    <w:p w14:paraId="4A347D6E">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根据《扬尘源颗粒物排放清单编制技术指南》（试行），堆场的扬尘源排放量是装卸、运输引起的扬尘与堆积存放期间风蚀的加和，计算公式如下：</w:t>
      </w:r>
    </w:p>
    <w:p w14:paraId="5908BD62">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lang w:eastAsia="zh-CN"/>
        </w:rPr>
        <w:t>（</w:t>
      </w:r>
      <w:r>
        <w:rPr>
          <w:rFonts w:hint="default" w:ascii="Times New Roman" w:hAnsi="Times New Roman" w:cs="Times New Roman"/>
          <w:color w:val="auto"/>
          <w:sz w:val="24"/>
          <w:szCs w:val="22"/>
          <w:highlight w:val="none"/>
          <w:lang w:val="en-US" w:eastAsia="zh-CN"/>
        </w:rPr>
        <w:t>1</w:t>
      </w:r>
      <w:r>
        <w:rPr>
          <w:rFonts w:hint="default" w:ascii="Times New Roman" w:hAnsi="Times New Roman" w:cs="Times New Roman"/>
          <w:color w:val="auto"/>
          <w:sz w:val="24"/>
          <w:szCs w:val="22"/>
          <w:highlight w:val="none"/>
          <w:lang w:eastAsia="zh-CN"/>
        </w:rPr>
        <w:t>）</w:t>
      </w:r>
      <w:r>
        <w:rPr>
          <w:rFonts w:hint="default" w:ascii="Times New Roman" w:hAnsi="Times New Roman" w:cs="Times New Roman"/>
          <w:color w:val="auto"/>
          <w:sz w:val="24"/>
          <w:szCs w:val="22"/>
          <w:highlight w:val="none"/>
        </w:rPr>
        <w:t>装卸、运输物料过程扬尘排放系数的估算：</w:t>
      </w:r>
    </w:p>
    <w:p w14:paraId="4DEABE48">
      <w:pPr>
        <w:ind w:firstLine="480" w:firstLineChars="200"/>
        <w:jc w:val="center"/>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drawing>
          <wp:inline distT="0" distB="0" distL="0" distR="0">
            <wp:extent cx="3438525" cy="1076325"/>
            <wp:effectExtent l="0" t="0" r="9525" b="9525"/>
            <wp:docPr id="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
                    <pic:cNvPicPr>
                      <a:picLocks noChangeAspect="1" noChangeArrowheads="1"/>
                    </pic:cNvPicPr>
                  </pic:nvPicPr>
                  <pic:blipFill>
                    <a:blip r:embed="rId57">
                      <a:lum bright="12000" contrast="12000"/>
                      <a:extLst>
                        <a:ext uri="{28A0092B-C50C-407E-A947-70E740481C1C}">
                          <a14:useLocalDpi xmlns:a14="http://schemas.microsoft.com/office/drawing/2010/main" val="0"/>
                        </a:ext>
                      </a:extLst>
                    </a:blip>
                    <a:srcRect/>
                    <a:stretch>
                      <a:fillRect/>
                    </a:stretch>
                  </pic:blipFill>
                  <pic:spPr>
                    <a:xfrm>
                      <a:off x="0" y="0"/>
                      <a:ext cx="3438525" cy="1076325"/>
                    </a:xfrm>
                    <a:prstGeom prst="rect">
                      <a:avLst/>
                    </a:prstGeom>
                    <a:noFill/>
                    <a:ln>
                      <a:noFill/>
                    </a:ln>
                    <a:effectLst/>
                  </pic:spPr>
                </pic:pic>
              </a:graphicData>
            </a:graphic>
          </wp:inline>
        </w:drawing>
      </w:r>
    </w:p>
    <w:p w14:paraId="59AA66F3">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式中：E</w:t>
      </w:r>
      <w:r>
        <w:rPr>
          <w:rFonts w:hint="default" w:ascii="Times New Roman" w:hAnsi="Times New Roman" w:cs="Times New Roman"/>
          <w:color w:val="auto"/>
          <w:sz w:val="24"/>
          <w:szCs w:val="22"/>
          <w:highlight w:val="none"/>
          <w:vertAlign w:val="subscript"/>
        </w:rPr>
        <w:t>h</w:t>
      </w:r>
      <w:r>
        <w:rPr>
          <w:rFonts w:hint="default" w:ascii="Times New Roman" w:hAnsi="Times New Roman" w:cs="Times New Roman"/>
          <w:color w:val="auto"/>
          <w:sz w:val="24"/>
          <w:szCs w:val="22"/>
          <w:highlight w:val="none"/>
        </w:rPr>
        <w:t>为堆场装卸扬尘的排放系数，kg/t。</w:t>
      </w:r>
    </w:p>
    <w:p w14:paraId="3BE4DBA2">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k</w:t>
      </w:r>
      <w:r>
        <w:rPr>
          <w:rFonts w:hint="default" w:ascii="Times New Roman" w:hAnsi="Times New Roman" w:cs="Times New Roman"/>
          <w:color w:val="auto"/>
          <w:sz w:val="24"/>
          <w:szCs w:val="22"/>
          <w:highlight w:val="none"/>
          <w:vertAlign w:val="subscript"/>
        </w:rPr>
        <w:t>i</w:t>
      </w:r>
      <w:r>
        <w:rPr>
          <w:rFonts w:hint="default" w:ascii="Times New Roman" w:hAnsi="Times New Roman" w:cs="Times New Roman"/>
          <w:color w:val="auto"/>
          <w:sz w:val="24"/>
          <w:szCs w:val="22"/>
          <w:highlight w:val="none"/>
        </w:rPr>
        <w:t>为物料的粒度乘数，见表3-3-3。</w:t>
      </w:r>
    </w:p>
    <w:p w14:paraId="68383517">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u为平均风速</w:t>
      </w:r>
      <w:r>
        <w:rPr>
          <w:rFonts w:hint="default" w:ascii="Times New Roman" w:hAnsi="Times New Roman" w:cs="Times New Roman"/>
          <w:bCs/>
          <w:color w:val="auto"/>
          <w:sz w:val="24"/>
          <w:szCs w:val="22"/>
          <w:highlight w:val="none"/>
        </w:rPr>
        <w:t>，取3.</w:t>
      </w:r>
      <w:r>
        <w:rPr>
          <w:rFonts w:hint="default" w:ascii="Times New Roman" w:hAnsi="Times New Roman" w:cs="Times New Roman"/>
          <w:bCs/>
          <w:color w:val="auto"/>
          <w:sz w:val="24"/>
          <w:szCs w:val="22"/>
          <w:highlight w:val="none"/>
          <w:lang w:val="en-US" w:eastAsia="zh-CN"/>
        </w:rPr>
        <w:t>5</w:t>
      </w:r>
      <w:r>
        <w:rPr>
          <w:rFonts w:hint="default" w:ascii="Times New Roman" w:hAnsi="Times New Roman" w:cs="Times New Roman"/>
          <w:bCs/>
          <w:color w:val="auto"/>
          <w:sz w:val="24"/>
          <w:szCs w:val="22"/>
          <w:highlight w:val="none"/>
        </w:rPr>
        <w:t>m/s</w:t>
      </w:r>
      <w:r>
        <w:rPr>
          <w:rFonts w:hint="default" w:ascii="Times New Roman" w:hAnsi="Times New Roman" w:cs="Times New Roman"/>
          <w:color w:val="auto"/>
          <w:sz w:val="24"/>
          <w:szCs w:val="22"/>
          <w:highlight w:val="none"/>
        </w:rPr>
        <w:t>。</w:t>
      </w:r>
    </w:p>
    <w:p w14:paraId="35F8FF15">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M为物料含水率，%，取20%。</w:t>
      </w:r>
    </w:p>
    <w:p w14:paraId="44F4A61B">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η为污染控制技术对扬尘的去除效率，%，表3-3-4给出了各控制措施的效率。多种措施同时开展的，取控制效率最大值，本项目取74%。</w:t>
      </w:r>
    </w:p>
    <w:p w14:paraId="09390DDB">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表3-3-</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val="zh-CN"/>
        </w:rPr>
        <w:t>装卸过程中产生的颗粒物粒度乘数</w:t>
      </w:r>
    </w:p>
    <w:tbl>
      <w:tblPr>
        <w:tblStyle w:val="2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52"/>
        <w:gridCol w:w="4270"/>
      </w:tblGrid>
      <w:tr w14:paraId="04B656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exact"/>
        </w:trPr>
        <w:tc>
          <w:tcPr>
            <w:tcW w:w="2495" w:type="pct"/>
            <w:tcBorders>
              <w:tl2br w:val="nil"/>
              <w:tr2bl w:val="nil"/>
            </w:tcBorders>
          </w:tcPr>
          <w:p w14:paraId="690C630E">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粒径</w:t>
            </w:r>
          </w:p>
        </w:tc>
        <w:tc>
          <w:tcPr>
            <w:tcW w:w="2505" w:type="pct"/>
            <w:tcBorders>
              <w:tl2br w:val="nil"/>
              <w:tr2bl w:val="nil"/>
            </w:tcBorders>
          </w:tcPr>
          <w:p w14:paraId="6AD31421">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TSP</w:t>
            </w:r>
          </w:p>
        </w:tc>
      </w:tr>
      <w:tr w14:paraId="6E4842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2495" w:type="pct"/>
            <w:tcBorders>
              <w:tl2br w:val="nil"/>
              <w:tr2bl w:val="nil"/>
            </w:tcBorders>
          </w:tcPr>
          <w:p w14:paraId="427F1880">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粒度乘数/无量纲</w:t>
            </w:r>
          </w:p>
        </w:tc>
        <w:tc>
          <w:tcPr>
            <w:tcW w:w="2505" w:type="pct"/>
            <w:tcBorders>
              <w:tl2br w:val="nil"/>
              <w:tr2bl w:val="nil"/>
            </w:tcBorders>
          </w:tcPr>
          <w:p w14:paraId="084CDEED">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0.74</w:t>
            </w:r>
          </w:p>
        </w:tc>
      </w:tr>
    </w:tbl>
    <w:p w14:paraId="4D2D5F2D">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表3-3-</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lang w:val="zh-CN"/>
        </w:rPr>
        <w:t>堆场操作扬尘控制措施的控制效率</w:t>
      </w:r>
    </w:p>
    <w:tbl>
      <w:tblPr>
        <w:tblStyle w:val="2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677"/>
        <w:gridCol w:w="3845"/>
      </w:tblGrid>
      <w:tr w14:paraId="149C48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2744" w:type="pct"/>
            <w:vAlign w:val="center"/>
          </w:tcPr>
          <w:p w14:paraId="0DCE3FDB">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控制措施</w:t>
            </w:r>
          </w:p>
        </w:tc>
        <w:tc>
          <w:tcPr>
            <w:tcW w:w="2256" w:type="pct"/>
            <w:vAlign w:val="center"/>
          </w:tcPr>
          <w:p w14:paraId="724A4460">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TSP控制效率</w:t>
            </w:r>
          </w:p>
        </w:tc>
      </w:tr>
      <w:tr w14:paraId="67C909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2744" w:type="pct"/>
            <w:vAlign w:val="center"/>
          </w:tcPr>
          <w:p w14:paraId="15806EAA">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输送点位连续洒水操作</w:t>
            </w:r>
          </w:p>
        </w:tc>
        <w:tc>
          <w:tcPr>
            <w:tcW w:w="2256" w:type="pct"/>
            <w:vAlign w:val="center"/>
          </w:tcPr>
          <w:p w14:paraId="319FC399">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74%</w:t>
            </w:r>
          </w:p>
        </w:tc>
      </w:tr>
    </w:tbl>
    <w:p w14:paraId="0BD7CB09">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经计算本项目E</w:t>
      </w:r>
      <w:r>
        <w:rPr>
          <w:rFonts w:hint="default" w:ascii="Times New Roman" w:hAnsi="Times New Roman" w:cs="Times New Roman"/>
          <w:color w:val="auto"/>
          <w:sz w:val="24"/>
          <w:szCs w:val="22"/>
          <w:highlight w:val="none"/>
          <w:vertAlign w:val="subscript"/>
        </w:rPr>
        <w:t>h（TSP）</w:t>
      </w:r>
      <w:r>
        <w:rPr>
          <w:rFonts w:hint="default" w:ascii="Times New Roman" w:hAnsi="Times New Roman" w:cs="Times New Roman"/>
          <w:color w:val="auto"/>
          <w:sz w:val="24"/>
          <w:szCs w:val="22"/>
          <w:highlight w:val="none"/>
        </w:rPr>
        <w:t>为</w:t>
      </w:r>
      <w:r>
        <w:rPr>
          <w:rFonts w:hint="default" w:ascii="Times New Roman" w:hAnsi="Times New Roman" w:cs="Times New Roman"/>
          <w:color w:val="auto"/>
          <w:sz w:val="24"/>
          <w:szCs w:val="22"/>
          <w:highlight w:val="none"/>
          <w:lang w:val="en-US" w:eastAsia="zh-CN"/>
        </w:rPr>
        <w:t>0.000089</w:t>
      </w:r>
      <w:r>
        <w:rPr>
          <w:rFonts w:hint="default" w:ascii="Times New Roman" w:hAnsi="Times New Roman" w:cs="Times New Roman"/>
          <w:color w:val="auto"/>
          <w:sz w:val="24"/>
          <w:szCs w:val="22"/>
          <w:highlight w:val="none"/>
        </w:rPr>
        <w:t>kg/t。</w:t>
      </w:r>
    </w:p>
    <w:p w14:paraId="2C345A5F">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lang w:eastAsia="zh-CN"/>
        </w:rPr>
        <w:t>（</w:t>
      </w:r>
      <w:r>
        <w:rPr>
          <w:rFonts w:hint="default" w:ascii="Times New Roman" w:hAnsi="Times New Roman" w:cs="Times New Roman"/>
          <w:color w:val="auto"/>
          <w:sz w:val="24"/>
          <w:szCs w:val="22"/>
          <w:highlight w:val="none"/>
          <w:lang w:val="en-US" w:eastAsia="zh-CN"/>
        </w:rPr>
        <w:t>2</w:t>
      </w:r>
      <w:r>
        <w:rPr>
          <w:rFonts w:hint="default" w:ascii="Times New Roman" w:hAnsi="Times New Roman" w:cs="Times New Roman"/>
          <w:color w:val="auto"/>
          <w:sz w:val="24"/>
          <w:szCs w:val="22"/>
          <w:highlight w:val="none"/>
          <w:lang w:eastAsia="zh-CN"/>
        </w:rPr>
        <w:t>）</w:t>
      </w:r>
      <w:r>
        <w:rPr>
          <w:rFonts w:hint="default" w:ascii="Times New Roman" w:hAnsi="Times New Roman" w:cs="Times New Roman"/>
          <w:color w:val="auto"/>
          <w:sz w:val="24"/>
          <w:szCs w:val="22"/>
          <w:highlight w:val="none"/>
        </w:rPr>
        <w:t>堆场风蚀扬尘排放系数的计算方法：</w:t>
      </w:r>
    </w:p>
    <w:p w14:paraId="05E0AF64">
      <w:pPr>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 xml:space="preserve">  </w:t>
      </w:r>
      <w:r>
        <w:rPr>
          <w:rFonts w:hint="default" w:ascii="Times New Roman" w:hAnsi="Times New Roman" w:cs="Times New Roman"/>
          <w:color w:val="auto"/>
          <w:sz w:val="24"/>
          <w:szCs w:val="22"/>
          <w:highlight w:val="none"/>
        </w:rPr>
        <w:drawing>
          <wp:inline distT="0" distB="0" distL="0" distR="0">
            <wp:extent cx="4038600" cy="1476375"/>
            <wp:effectExtent l="0" t="0" r="0" b="9525"/>
            <wp:docPr id="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4038600" cy="1476375"/>
                    </a:xfrm>
                    <a:prstGeom prst="rect">
                      <a:avLst/>
                    </a:prstGeom>
                    <a:noFill/>
                    <a:ln>
                      <a:noFill/>
                    </a:ln>
                  </pic:spPr>
                </pic:pic>
              </a:graphicData>
            </a:graphic>
          </wp:inline>
        </w:drawing>
      </w:r>
    </w:p>
    <w:p w14:paraId="797BD077">
      <w:pPr>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 xml:space="preserve">                   </w:t>
      </w:r>
      <w:r>
        <w:rPr>
          <w:rFonts w:hint="default" w:ascii="Times New Roman" w:hAnsi="Times New Roman" w:cs="Times New Roman"/>
          <w:color w:val="auto"/>
          <w:sz w:val="24"/>
          <w:szCs w:val="22"/>
          <w:highlight w:val="none"/>
        </w:rPr>
        <w:drawing>
          <wp:inline distT="0" distB="0" distL="0" distR="0">
            <wp:extent cx="2686050" cy="514350"/>
            <wp:effectExtent l="0" t="0" r="0" b="0"/>
            <wp:docPr id="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2686050" cy="514350"/>
                    </a:xfrm>
                    <a:prstGeom prst="rect">
                      <a:avLst/>
                    </a:prstGeom>
                    <a:noFill/>
                    <a:ln>
                      <a:noFill/>
                    </a:ln>
                  </pic:spPr>
                </pic:pic>
              </a:graphicData>
            </a:graphic>
          </wp:inline>
        </w:drawing>
      </w:r>
    </w:p>
    <w:p w14:paraId="0703B589">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式中：E</w:t>
      </w:r>
      <w:r>
        <w:rPr>
          <w:rFonts w:hint="default" w:ascii="Times New Roman" w:hAnsi="Times New Roman" w:cs="Times New Roman"/>
          <w:color w:val="auto"/>
          <w:sz w:val="24"/>
          <w:szCs w:val="22"/>
          <w:highlight w:val="none"/>
          <w:vertAlign w:val="subscript"/>
        </w:rPr>
        <w:t>w</w:t>
      </w:r>
      <w:r>
        <w:rPr>
          <w:rFonts w:hint="default" w:ascii="Times New Roman" w:hAnsi="Times New Roman" w:cs="Times New Roman"/>
          <w:color w:val="auto"/>
          <w:sz w:val="24"/>
          <w:szCs w:val="22"/>
          <w:highlight w:val="none"/>
        </w:rPr>
        <w:t>——堆场风蚀扬尘的排放系数，kg/m</w:t>
      </w:r>
      <w:r>
        <w:rPr>
          <w:rFonts w:hint="default" w:ascii="Times New Roman" w:hAnsi="Times New Roman" w:cs="Times New Roman"/>
          <w:color w:val="auto"/>
          <w:sz w:val="24"/>
          <w:szCs w:val="22"/>
          <w:highlight w:val="none"/>
          <w:vertAlign w:val="superscript"/>
        </w:rPr>
        <w:t>2</w:t>
      </w:r>
      <w:r>
        <w:rPr>
          <w:rFonts w:hint="default" w:ascii="Times New Roman" w:hAnsi="Times New Roman" w:cs="Times New Roman"/>
          <w:color w:val="auto"/>
          <w:sz w:val="24"/>
          <w:szCs w:val="22"/>
          <w:highlight w:val="none"/>
        </w:rPr>
        <w:t>；</w:t>
      </w:r>
    </w:p>
    <w:p w14:paraId="25E8B986">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k</w:t>
      </w:r>
      <w:r>
        <w:rPr>
          <w:rFonts w:hint="default" w:ascii="Times New Roman" w:hAnsi="Times New Roman" w:cs="Times New Roman"/>
          <w:color w:val="auto"/>
          <w:sz w:val="24"/>
          <w:szCs w:val="22"/>
          <w:highlight w:val="none"/>
          <w:vertAlign w:val="subscript"/>
        </w:rPr>
        <w:t>i</w:t>
      </w:r>
      <w:r>
        <w:rPr>
          <w:rFonts w:hint="default" w:ascii="Times New Roman" w:hAnsi="Times New Roman" w:cs="Times New Roman"/>
          <w:color w:val="auto"/>
          <w:sz w:val="24"/>
          <w:szCs w:val="22"/>
          <w:highlight w:val="none"/>
        </w:rPr>
        <w:t>——物料的粒度乘数，见表3-3-5；</w:t>
      </w:r>
    </w:p>
    <w:p w14:paraId="5F603583">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n——料堆每年受扰动的次数，单元作业面积对应的扰动次数取</w:t>
      </w:r>
      <w:r>
        <w:rPr>
          <w:rFonts w:hint="eastAsia" w:cs="Times New Roman"/>
          <w:color w:val="auto"/>
          <w:sz w:val="24"/>
          <w:szCs w:val="22"/>
          <w:highlight w:val="none"/>
          <w:lang w:val="en-US" w:eastAsia="zh-CN"/>
        </w:rPr>
        <w:t>36036</w:t>
      </w:r>
      <w:r>
        <w:rPr>
          <w:rFonts w:hint="default" w:ascii="Times New Roman" w:hAnsi="Times New Roman" w:cs="Times New Roman"/>
          <w:color w:val="auto"/>
          <w:sz w:val="24"/>
          <w:szCs w:val="22"/>
          <w:highlight w:val="none"/>
        </w:rPr>
        <w:t>；</w:t>
      </w:r>
    </w:p>
    <w:p w14:paraId="5138812E">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P</w:t>
      </w:r>
      <w:r>
        <w:rPr>
          <w:rFonts w:hint="default" w:ascii="Times New Roman" w:hAnsi="Times New Roman" w:cs="Times New Roman"/>
          <w:color w:val="auto"/>
          <w:sz w:val="24"/>
          <w:szCs w:val="22"/>
          <w:highlight w:val="none"/>
          <w:vertAlign w:val="subscript"/>
        </w:rPr>
        <w:t>i</w:t>
      </w:r>
      <w:r>
        <w:rPr>
          <w:rFonts w:hint="default" w:ascii="Times New Roman" w:hAnsi="Times New Roman" w:cs="Times New Roman"/>
          <w:color w:val="auto"/>
          <w:sz w:val="24"/>
          <w:szCs w:val="22"/>
          <w:highlight w:val="none"/>
        </w:rPr>
        <w:t>——第i次扰动中观测的最大风速的风蚀潜势，g/m</w:t>
      </w:r>
      <w:r>
        <w:rPr>
          <w:rFonts w:hint="default" w:ascii="Times New Roman" w:hAnsi="Times New Roman" w:cs="Times New Roman"/>
          <w:color w:val="auto"/>
          <w:sz w:val="24"/>
          <w:szCs w:val="22"/>
          <w:highlight w:val="none"/>
          <w:vertAlign w:val="superscript"/>
        </w:rPr>
        <w:t>2</w:t>
      </w:r>
      <w:r>
        <w:rPr>
          <w:rFonts w:hint="default" w:ascii="Times New Roman" w:hAnsi="Times New Roman" w:cs="Times New Roman"/>
          <w:color w:val="auto"/>
          <w:sz w:val="24"/>
          <w:szCs w:val="22"/>
          <w:highlight w:val="none"/>
        </w:rPr>
        <w:t>，经计算得</w:t>
      </w:r>
      <w:r>
        <w:rPr>
          <w:rFonts w:hint="default" w:ascii="Times New Roman" w:hAnsi="Times New Roman" w:cs="Times New Roman"/>
          <w:color w:val="auto"/>
          <w:sz w:val="24"/>
          <w:szCs w:val="22"/>
          <w:highlight w:val="none"/>
          <w:lang w:val="en-US" w:eastAsia="zh-CN"/>
        </w:rPr>
        <w:t>9.41</w:t>
      </w:r>
      <w:r>
        <w:rPr>
          <w:rFonts w:hint="default" w:ascii="Times New Roman" w:hAnsi="Times New Roman" w:cs="Times New Roman"/>
          <w:color w:val="auto"/>
          <w:sz w:val="24"/>
          <w:szCs w:val="22"/>
          <w:highlight w:val="none"/>
        </w:rPr>
        <w:t>；</w:t>
      </w:r>
    </w:p>
    <w:p w14:paraId="0870FC1C">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drawing>
          <wp:inline distT="0" distB="0" distL="0" distR="0">
            <wp:extent cx="123825" cy="209550"/>
            <wp:effectExtent l="0" t="0" r="9525" b="0"/>
            <wp:docPr id="175907907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079072" name="图片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123825" cy="209550"/>
                    </a:xfrm>
                    <a:prstGeom prst="rect">
                      <a:avLst/>
                    </a:prstGeom>
                    <a:noFill/>
                    <a:ln>
                      <a:noFill/>
                    </a:ln>
                  </pic:spPr>
                </pic:pic>
              </a:graphicData>
            </a:graphic>
          </wp:inline>
        </w:drawing>
      </w:r>
      <w:r>
        <w:rPr>
          <w:rFonts w:hint="default" w:ascii="Times New Roman" w:hAnsi="Times New Roman" w:cs="Times New Roman"/>
          <w:color w:val="auto"/>
          <w:sz w:val="24"/>
          <w:szCs w:val="22"/>
          <w:highlight w:val="none"/>
        </w:rPr>
        <w:t>——污染控制技术对扬尘的去除效率，本项目采取定期洒水；</w:t>
      </w:r>
    </w:p>
    <w:p w14:paraId="2D59FCCC">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u*——摩擦风速，m/s，经计算得</w:t>
      </w:r>
      <w:r>
        <w:rPr>
          <w:rFonts w:hint="default" w:ascii="Times New Roman" w:hAnsi="Times New Roman" w:cs="Times New Roman"/>
          <w:color w:val="auto"/>
          <w:sz w:val="24"/>
          <w:szCs w:val="22"/>
          <w:highlight w:val="none"/>
          <w:lang w:val="en-US" w:eastAsia="zh-CN"/>
        </w:rPr>
        <w:t>0.781</w:t>
      </w:r>
      <w:r>
        <w:rPr>
          <w:rFonts w:hint="default" w:ascii="Times New Roman" w:hAnsi="Times New Roman" w:cs="Times New Roman"/>
          <w:color w:val="auto"/>
          <w:sz w:val="24"/>
          <w:szCs w:val="22"/>
          <w:highlight w:val="none"/>
        </w:rPr>
        <w:t>；</w:t>
      </w:r>
    </w:p>
    <w:p w14:paraId="77C9E680">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u</w:t>
      </w:r>
      <w:r>
        <w:rPr>
          <w:rFonts w:hint="default" w:ascii="Times New Roman" w:hAnsi="Times New Roman" w:cs="Times New Roman"/>
          <w:color w:val="auto"/>
          <w:sz w:val="24"/>
          <w:szCs w:val="22"/>
          <w:highlight w:val="none"/>
          <w:vertAlign w:val="subscript"/>
        </w:rPr>
        <w:t>t</w:t>
      </w:r>
      <w:r>
        <w:rPr>
          <w:rFonts w:hint="default" w:ascii="Times New Roman" w:hAnsi="Times New Roman" w:cs="Times New Roman"/>
          <w:color w:val="auto"/>
          <w:sz w:val="24"/>
          <w:szCs w:val="22"/>
          <w:highlight w:val="none"/>
        </w:rPr>
        <w:t>*——阈值摩擦风速，即起尘的临界摩擦风速，m/s，取0.54；</w:t>
      </w:r>
    </w:p>
    <w:p w14:paraId="772E63C1">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u（z）——地面风速，取3.</w:t>
      </w:r>
      <w:r>
        <w:rPr>
          <w:rFonts w:hint="default" w:ascii="Times New Roman" w:hAnsi="Times New Roman" w:cs="Times New Roman"/>
          <w:color w:val="auto"/>
          <w:sz w:val="24"/>
          <w:szCs w:val="22"/>
          <w:highlight w:val="none"/>
          <w:lang w:val="en-US" w:eastAsia="zh-CN"/>
        </w:rPr>
        <w:t>5</w:t>
      </w:r>
      <w:r>
        <w:rPr>
          <w:rFonts w:hint="default" w:ascii="Times New Roman" w:hAnsi="Times New Roman" w:cs="Times New Roman"/>
          <w:color w:val="auto"/>
          <w:sz w:val="24"/>
          <w:szCs w:val="22"/>
          <w:highlight w:val="none"/>
        </w:rPr>
        <w:t>m/s；</w:t>
      </w:r>
    </w:p>
    <w:p w14:paraId="7411CF88">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z——地面风速检测高度，取1.</w:t>
      </w:r>
      <w:r>
        <w:rPr>
          <w:rFonts w:hint="default" w:ascii="Times New Roman" w:hAnsi="Times New Roman" w:cs="Times New Roman"/>
          <w:color w:val="auto"/>
          <w:sz w:val="24"/>
          <w:szCs w:val="22"/>
          <w:highlight w:val="none"/>
          <w:lang w:val="en-US" w:eastAsia="zh-CN"/>
        </w:rPr>
        <w:t>2</w:t>
      </w:r>
      <w:r>
        <w:rPr>
          <w:rFonts w:hint="default" w:ascii="Times New Roman" w:hAnsi="Times New Roman" w:cs="Times New Roman"/>
          <w:color w:val="auto"/>
          <w:sz w:val="24"/>
          <w:szCs w:val="22"/>
          <w:highlight w:val="none"/>
        </w:rPr>
        <w:t>m；</w:t>
      </w:r>
    </w:p>
    <w:p w14:paraId="3EC95FD8">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z</w:t>
      </w:r>
      <w:r>
        <w:rPr>
          <w:rFonts w:hint="default" w:ascii="Times New Roman" w:hAnsi="Times New Roman" w:cs="Times New Roman"/>
          <w:color w:val="auto"/>
          <w:sz w:val="24"/>
          <w:szCs w:val="22"/>
          <w:highlight w:val="none"/>
          <w:vertAlign w:val="subscript"/>
        </w:rPr>
        <w:t>0</w:t>
      </w:r>
      <w:r>
        <w:rPr>
          <w:rFonts w:hint="default" w:ascii="Times New Roman" w:hAnsi="Times New Roman" w:cs="Times New Roman"/>
          <w:color w:val="auto"/>
          <w:sz w:val="24"/>
          <w:szCs w:val="22"/>
          <w:highlight w:val="none"/>
        </w:rPr>
        <w:t>——地面粗糙度，m，郊区取值0.2；</w:t>
      </w:r>
    </w:p>
    <w:p w14:paraId="186152AF">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0.4——冯卡门常数，无量纲。</w:t>
      </w:r>
    </w:p>
    <w:p w14:paraId="3A77B673">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表3-3-</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lang w:val="zh-CN"/>
        </w:rPr>
        <w:t>风蚀过程中产生的颗粒物粒度乘数</w:t>
      </w:r>
    </w:p>
    <w:tbl>
      <w:tblPr>
        <w:tblStyle w:val="2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363"/>
        <w:gridCol w:w="4159"/>
      </w:tblGrid>
      <w:tr w14:paraId="3E60E0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2560" w:type="pct"/>
            <w:tcBorders>
              <w:tl2br w:val="nil"/>
              <w:tr2bl w:val="nil"/>
            </w:tcBorders>
          </w:tcPr>
          <w:p w14:paraId="539F1C6B">
            <w:pPr>
              <w:jc w:val="center"/>
              <w:rPr>
                <w:rFonts w:hint="default" w:ascii="Times New Roman" w:hAnsi="Times New Roman" w:cs="Times New Roman"/>
                <w:color w:val="auto"/>
                <w:szCs w:val="22"/>
                <w:highlight w:val="none"/>
                <w:lang w:val="zh-CN"/>
              </w:rPr>
            </w:pPr>
            <w:r>
              <w:rPr>
                <w:rFonts w:hint="default" w:ascii="Times New Roman" w:hAnsi="Times New Roman" w:cs="Times New Roman"/>
                <w:color w:val="auto"/>
                <w:szCs w:val="22"/>
                <w:highlight w:val="none"/>
                <w:lang w:val="zh-CN"/>
              </w:rPr>
              <w:t>粒径</w:t>
            </w:r>
          </w:p>
        </w:tc>
        <w:tc>
          <w:tcPr>
            <w:tcW w:w="2440" w:type="pct"/>
            <w:tcBorders>
              <w:tl2br w:val="nil"/>
              <w:tr2bl w:val="nil"/>
            </w:tcBorders>
          </w:tcPr>
          <w:p w14:paraId="04068EDD">
            <w:pPr>
              <w:jc w:val="center"/>
              <w:rPr>
                <w:rFonts w:hint="default" w:ascii="Times New Roman" w:hAnsi="Times New Roman" w:cs="Times New Roman"/>
                <w:color w:val="auto"/>
                <w:szCs w:val="22"/>
                <w:highlight w:val="none"/>
                <w:lang w:val="zh-CN"/>
              </w:rPr>
            </w:pPr>
            <w:r>
              <w:rPr>
                <w:rFonts w:hint="default" w:ascii="Times New Roman" w:hAnsi="Times New Roman" w:cs="Times New Roman"/>
                <w:color w:val="auto"/>
                <w:szCs w:val="22"/>
                <w:highlight w:val="none"/>
                <w:lang w:val="zh-CN"/>
              </w:rPr>
              <w:t>TSP</w:t>
            </w:r>
          </w:p>
        </w:tc>
      </w:tr>
      <w:tr w14:paraId="7AD6DC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2560" w:type="pct"/>
            <w:tcBorders>
              <w:tl2br w:val="nil"/>
              <w:tr2bl w:val="nil"/>
            </w:tcBorders>
          </w:tcPr>
          <w:p w14:paraId="7B6EA25D">
            <w:pPr>
              <w:jc w:val="center"/>
              <w:rPr>
                <w:rFonts w:hint="default" w:ascii="Times New Roman" w:hAnsi="Times New Roman" w:cs="Times New Roman"/>
                <w:color w:val="auto"/>
                <w:szCs w:val="22"/>
                <w:highlight w:val="none"/>
                <w:lang w:val="zh-CN"/>
              </w:rPr>
            </w:pPr>
            <w:r>
              <w:rPr>
                <w:rFonts w:hint="default" w:ascii="Times New Roman" w:hAnsi="Times New Roman" w:cs="Times New Roman"/>
                <w:color w:val="auto"/>
                <w:szCs w:val="22"/>
                <w:highlight w:val="none"/>
                <w:lang w:val="zh-CN"/>
              </w:rPr>
              <w:t>粒度乘数/无量纲</w:t>
            </w:r>
          </w:p>
        </w:tc>
        <w:tc>
          <w:tcPr>
            <w:tcW w:w="2440" w:type="pct"/>
            <w:tcBorders>
              <w:tl2br w:val="nil"/>
              <w:tr2bl w:val="nil"/>
            </w:tcBorders>
          </w:tcPr>
          <w:p w14:paraId="52AB6253">
            <w:pPr>
              <w:jc w:val="center"/>
              <w:rPr>
                <w:rFonts w:hint="default" w:ascii="Times New Roman" w:hAnsi="Times New Roman" w:eastAsia="宋体" w:cs="Times New Roman"/>
                <w:color w:val="auto"/>
                <w:szCs w:val="22"/>
                <w:highlight w:val="none"/>
                <w:lang w:val="en-US" w:eastAsia="zh-CN"/>
              </w:rPr>
            </w:pPr>
            <w:r>
              <w:rPr>
                <w:rFonts w:hint="default" w:ascii="Times New Roman" w:hAnsi="Times New Roman" w:cs="Times New Roman"/>
                <w:color w:val="auto"/>
                <w:szCs w:val="22"/>
                <w:highlight w:val="none"/>
                <w:lang w:val="en-US" w:eastAsia="zh-CN"/>
              </w:rPr>
              <w:t>1.0</w:t>
            </w:r>
          </w:p>
        </w:tc>
      </w:tr>
    </w:tbl>
    <w:p w14:paraId="05FE1613">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表3-3-</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lang w:val="zh-CN"/>
        </w:rPr>
        <w:t>堆场风蚀扬尘控制措施的控制效率</w:t>
      </w:r>
    </w:p>
    <w:tbl>
      <w:tblPr>
        <w:tblStyle w:val="2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73"/>
        <w:gridCol w:w="2090"/>
        <w:gridCol w:w="4159"/>
      </w:tblGrid>
      <w:tr w14:paraId="75833C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2560" w:type="pct"/>
            <w:gridSpan w:val="2"/>
            <w:vAlign w:val="center"/>
          </w:tcPr>
          <w:p w14:paraId="70819694">
            <w:pPr>
              <w:jc w:val="center"/>
              <w:rPr>
                <w:rFonts w:hint="default" w:ascii="Times New Roman" w:hAnsi="Times New Roman" w:cs="Times New Roman"/>
                <w:color w:val="auto"/>
                <w:szCs w:val="22"/>
                <w:highlight w:val="none"/>
                <w:lang w:val="zh-CN"/>
              </w:rPr>
            </w:pPr>
            <w:r>
              <w:rPr>
                <w:rFonts w:hint="default" w:ascii="Times New Roman" w:hAnsi="Times New Roman" w:cs="Times New Roman"/>
                <w:color w:val="auto"/>
                <w:szCs w:val="22"/>
                <w:highlight w:val="none"/>
                <w:lang w:val="zh-CN"/>
              </w:rPr>
              <w:t>控制措施</w:t>
            </w:r>
          </w:p>
        </w:tc>
        <w:tc>
          <w:tcPr>
            <w:tcW w:w="2440" w:type="pct"/>
            <w:vAlign w:val="center"/>
          </w:tcPr>
          <w:p w14:paraId="407CA78B">
            <w:pPr>
              <w:jc w:val="center"/>
              <w:rPr>
                <w:rFonts w:hint="default" w:ascii="Times New Roman" w:hAnsi="Times New Roman" w:cs="Times New Roman"/>
                <w:color w:val="auto"/>
                <w:szCs w:val="22"/>
                <w:highlight w:val="none"/>
                <w:lang w:val="zh-CN"/>
              </w:rPr>
            </w:pPr>
            <w:r>
              <w:rPr>
                <w:rFonts w:hint="default" w:ascii="Times New Roman" w:hAnsi="Times New Roman" w:cs="Times New Roman"/>
                <w:color w:val="auto"/>
                <w:szCs w:val="22"/>
                <w:highlight w:val="none"/>
                <w:lang w:val="zh-CN"/>
              </w:rPr>
              <w:t>TSP控制效率</w:t>
            </w:r>
          </w:p>
        </w:tc>
      </w:tr>
      <w:tr w14:paraId="75239B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334" w:type="pct"/>
            <w:vAlign w:val="center"/>
          </w:tcPr>
          <w:p w14:paraId="4CED4F24">
            <w:pPr>
              <w:jc w:val="center"/>
              <w:rPr>
                <w:rFonts w:hint="default" w:ascii="Times New Roman" w:hAnsi="Times New Roman" w:cs="Times New Roman"/>
                <w:color w:val="auto"/>
                <w:szCs w:val="22"/>
                <w:highlight w:val="none"/>
                <w:lang w:val="zh-CN"/>
              </w:rPr>
            </w:pPr>
            <w:r>
              <w:rPr>
                <w:rFonts w:hint="default" w:ascii="Times New Roman" w:hAnsi="Times New Roman" w:cs="Times New Roman"/>
                <w:color w:val="auto"/>
                <w:szCs w:val="22"/>
                <w:highlight w:val="none"/>
                <w:lang w:val="zh-CN"/>
              </w:rPr>
              <w:t>堆场</w:t>
            </w:r>
          </w:p>
        </w:tc>
        <w:tc>
          <w:tcPr>
            <w:tcW w:w="1226" w:type="pct"/>
            <w:vAlign w:val="center"/>
          </w:tcPr>
          <w:p w14:paraId="46BB6583">
            <w:pPr>
              <w:jc w:val="center"/>
              <w:rPr>
                <w:rFonts w:hint="default" w:ascii="Times New Roman" w:hAnsi="Times New Roman" w:cs="Times New Roman"/>
                <w:color w:val="auto"/>
                <w:szCs w:val="22"/>
                <w:highlight w:val="none"/>
                <w:lang w:val="zh-CN"/>
              </w:rPr>
            </w:pPr>
            <w:r>
              <w:rPr>
                <w:rFonts w:hint="default" w:ascii="Times New Roman" w:hAnsi="Times New Roman" w:cs="Times New Roman"/>
                <w:color w:val="auto"/>
                <w:szCs w:val="22"/>
                <w:highlight w:val="none"/>
                <w:lang w:val="zh-CN"/>
              </w:rPr>
              <w:t>定期洒水</w:t>
            </w:r>
          </w:p>
        </w:tc>
        <w:tc>
          <w:tcPr>
            <w:tcW w:w="2440" w:type="pct"/>
            <w:vAlign w:val="center"/>
          </w:tcPr>
          <w:p w14:paraId="63C28D0C">
            <w:pPr>
              <w:jc w:val="center"/>
              <w:rPr>
                <w:rFonts w:hint="default" w:ascii="Times New Roman" w:hAnsi="Times New Roman" w:cs="Times New Roman"/>
                <w:color w:val="auto"/>
                <w:szCs w:val="22"/>
                <w:highlight w:val="none"/>
                <w:lang w:val="zh-CN"/>
              </w:rPr>
            </w:pPr>
            <w:r>
              <w:rPr>
                <w:rFonts w:hint="default" w:ascii="Times New Roman" w:hAnsi="Times New Roman" w:cs="Times New Roman"/>
                <w:color w:val="auto"/>
                <w:szCs w:val="22"/>
                <w:highlight w:val="none"/>
                <w:lang w:val="zh-CN"/>
              </w:rPr>
              <w:t>61%</w:t>
            </w:r>
          </w:p>
        </w:tc>
      </w:tr>
    </w:tbl>
    <w:p w14:paraId="2C74223B">
      <w:pPr>
        <w:ind w:firstLine="480" w:firstLineChars="200"/>
        <w:jc w:val="both"/>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经计算本项目E</w:t>
      </w:r>
      <w:r>
        <w:rPr>
          <w:rFonts w:hint="default" w:ascii="Times New Roman" w:hAnsi="Times New Roman" w:cs="Times New Roman"/>
          <w:color w:val="auto"/>
          <w:sz w:val="24"/>
          <w:szCs w:val="22"/>
          <w:highlight w:val="none"/>
          <w:vertAlign w:val="subscript"/>
        </w:rPr>
        <w:t>w（TSP）</w:t>
      </w:r>
      <w:r>
        <w:rPr>
          <w:rFonts w:hint="default" w:ascii="Times New Roman" w:hAnsi="Times New Roman" w:cs="Times New Roman"/>
          <w:color w:val="auto"/>
          <w:sz w:val="24"/>
          <w:szCs w:val="22"/>
          <w:highlight w:val="none"/>
        </w:rPr>
        <w:t>为</w:t>
      </w:r>
      <w:r>
        <w:rPr>
          <w:rFonts w:hint="default" w:ascii="Times New Roman" w:hAnsi="Times New Roman" w:cs="Times New Roman"/>
          <w:color w:val="auto"/>
          <w:sz w:val="24"/>
          <w:szCs w:val="22"/>
          <w:highlight w:val="none"/>
          <w:lang w:val="en-US" w:eastAsia="zh-CN"/>
        </w:rPr>
        <w:t>0.0037</w:t>
      </w:r>
      <w:r>
        <w:rPr>
          <w:rFonts w:hint="default" w:ascii="Times New Roman" w:hAnsi="Times New Roman" w:cs="Times New Roman"/>
          <w:color w:val="auto"/>
          <w:sz w:val="24"/>
          <w:szCs w:val="22"/>
          <w:highlight w:val="none"/>
        </w:rPr>
        <w:t>kg/m</w:t>
      </w:r>
      <w:r>
        <w:rPr>
          <w:rFonts w:hint="default" w:ascii="Times New Roman" w:hAnsi="Times New Roman" w:cs="Times New Roman"/>
          <w:color w:val="auto"/>
          <w:sz w:val="24"/>
          <w:szCs w:val="22"/>
          <w:highlight w:val="none"/>
          <w:vertAlign w:val="superscript"/>
        </w:rPr>
        <w:t>2</w:t>
      </w:r>
      <w:r>
        <w:rPr>
          <w:rFonts w:hint="default" w:ascii="Times New Roman" w:hAnsi="Times New Roman" w:cs="Times New Roman"/>
          <w:color w:val="auto"/>
          <w:sz w:val="24"/>
          <w:szCs w:val="22"/>
          <w:highlight w:val="none"/>
        </w:rPr>
        <w:t>，</w:t>
      </w:r>
    </w:p>
    <w:p w14:paraId="0165DFB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lang w:val="en-US" w:eastAsia="zh-CN"/>
        </w:rPr>
        <w:t xml:space="preserve">   </w:t>
      </w:r>
      <w:r>
        <w:rPr>
          <w:rFonts w:hint="default" w:ascii="Times New Roman" w:hAnsi="Times New Roman" w:cs="Times New Roman"/>
          <w:color w:val="auto"/>
          <w:sz w:val="24"/>
          <w:szCs w:val="22"/>
          <w:highlight w:val="none"/>
        </w:rPr>
        <w:drawing>
          <wp:inline distT="0" distB="0" distL="0" distR="0">
            <wp:extent cx="3476625" cy="533400"/>
            <wp:effectExtent l="0" t="0" r="9525" b="0"/>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3476625" cy="533400"/>
                    </a:xfrm>
                    <a:prstGeom prst="rect">
                      <a:avLst/>
                    </a:prstGeom>
                    <a:noFill/>
                    <a:ln>
                      <a:noFill/>
                    </a:ln>
                    <a:effectLst/>
                  </pic:spPr>
                </pic:pic>
              </a:graphicData>
            </a:graphic>
          </wp:inline>
        </w:drawing>
      </w:r>
    </w:p>
    <w:p w14:paraId="1688E94B">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式中：W</w:t>
      </w:r>
      <w:r>
        <w:rPr>
          <w:rFonts w:hint="default" w:ascii="Times New Roman" w:hAnsi="Times New Roman" w:cs="Times New Roman"/>
          <w:color w:val="auto"/>
          <w:sz w:val="24"/>
          <w:szCs w:val="22"/>
          <w:highlight w:val="none"/>
          <w:vertAlign w:val="subscript"/>
        </w:rPr>
        <w:t>Y</w:t>
      </w:r>
      <w:r>
        <w:rPr>
          <w:rFonts w:hint="default" w:ascii="Times New Roman" w:hAnsi="Times New Roman" w:cs="Times New Roman"/>
          <w:color w:val="auto"/>
          <w:sz w:val="24"/>
          <w:szCs w:val="22"/>
          <w:highlight w:val="none"/>
        </w:rPr>
        <w:t>——堆场扬尘源中颗粒物总排放量，t/a；</w:t>
      </w:r>
    </w:p>
    <w:p w14:paraId="1D6AA10A">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E</w:t>
      </w:r>
      <w:r>
        <w:rPr>
          <w:rFonts w:hint="default" w:ascii="Times New Roman" w:hAnsi="Times New Roman" w:cs="Times New Roman"/>
          <w:color w:val="auto"/>
          <w:sz w:val="24"/>
          <w:szCs w:val="22"/>
          <w:highlight w:val="none"/>
          <w:vertAlign w:val="subscript"/>
        </w:rPr>
        <w:t>h</w:t>
      </w:r>
      <w:r>
        <w:rPr>
          <w:rFonts w:hint="default" w:ascii="Times New Roman" w:hAnsi="Times New Roman" w:cs="Times New Roman"/>
          <w:color w:val="auto"/>
          <w:sz w:val="24"/>
          <w:szCs w:val="22"/>
          <w:highlight w:val="none"/>
        </w:rPr>
        <w:t>——堆场装卸运输过程的扬尘颗粒物排放系数，kg/t；</w:t>
      </w:r>
    </w:p>
    <w:p w14:paraId="1EB0B85A">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m——每年料堆物料装卸总次数，取</w:t>
      </w:r>
      <w:r>
        <w:rPr>
          <w:rFonts w:hint="eastAsia" w:cs="Times New Roman"/>
          <w:color w:val="auto"/>
          <w:sz w:val="24"/>
          <w:szCs w:val="22"/>
          <w:highlight w:val="none"/>
          <w:lang w:val="en-US" w:eastAsia="zh-CN"/>
        </w:rPr>
        <w:t>36036</w:t>
      </w:r>
      <w:r>
        <w:rPr>
          <w:rFonts w:hint="default" w:ascii="Times New Roman" w:hAnsi="Times New Roman" w:cs="Times New Roman"/>
          <w:color w:val="auto"/>
          <w:sz w:val="24"/>
          <w:szCs w:val="22"/>
          <w:highlight w:val="none"/>
        </w:rPr>
        <w:t>次；</w:t>
      </w:r>
    </w:p>
    <w:p w14:paraId="7C9D259D">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G</w:t>
      </w:r>
      <w:r>
        <w:rPr>
          <w:rFonts w:hint="default" w:ascii="Times New Roman" w:hAnsi="Times New Roman" w:cs="Times New Roman"/>
          <w:color w:val="auto"/>
          <w:sz w:val="24"/>
          <w:szCs w:val="22"/>
          <w:highlight w:val="none"/>
          <w:vertAlign w:val="subscript"/>
        </w:rPr>
        <w:t>Yi</w:t>
      </w:r>
      <w:r>
        <w:rPr>
          <w:rFonts w:hint="default" w:ascii="Times New Roman" w:hAnsi="Times New Roman" w:cs="Times New Roman"/>
          <w:color w:val="auto"/>
          <w:sz w:val="24"/>
          <w:szCs w:val="22"/>
          <w:highlight w:val="none"/>
        </w:rPr>
        <w:t>——第i次装卸过程的物料装卸量，取50t；</w:t>
      </w:r>
    </w:p>
    <w:p w14:paraId="33B8FED5">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E</w:t>
      </w:r>
      <w:r>
        <w:rPr>
          <w:rFonts w:hint="default" w:ascii="Times New Roman" w:hAnsi="Times New Roman" w:cs="Times New Roman"/>
          <w:color w:val="auto"/>
          <w:sz w:val="24"/>
          <w:szCs w:val="22"/>
          <w:highlight w:val="none"/>
          <w:vertAlign w:val="subscript"/>
        </w:rPr>
        <w:t>w</w:t>
      </w:r>
      <w:r>
        <w:rPr>
          <w:rFonts w:hint="default" w:ascii="Times New Roman" w:hAnsi="Times New Roman" w:cs="Times New Roman"/>
          <w:color w:val="auto"/>
          <w:sz w:val="24"/>
          <w:szCs w:val="22"/>
          <w:highlight w:val="none"/>
        </w:rPr>
        <w:t>——料堆受到风蚀作用的颗粒物排放系数，kg/m</w:t>
      </w:r>
      <w:r>
        <w:rPr>
          <w:rFonts w:hint="default" w:ascii="Times New Roman" w:hAnsi="Times New Roman" w:cs="Times New Roman"/>
          <w:color w:val="auto"/>
          <w:sz w:val="24"/>
          <w:szCs w:val="22"/>
          <w:highlight w:val="none"/>
          <w:vertAlign w:val="superscript"/>
        </w:rPr>
        <w:t>2</w:t>
      </w:r>
      <w:r>
        <w:rPr>
          <w:rFonts w:hint="default" w:ascii="Times New Roman" w:hAnsi="Times New Roman" w:cs="Times New Roman"/>
          <w:color w:val="auto"/>
          <w:sz w:val="24"/>
          <w:szCs w:val="22"/>
          <w:highlight w:val="none"/>
          <w:vertAlign w:val="baseline"/>
          <w:lang w:eastAsia="zh-CN"/>
        </w:rPr>
        <w:t>，</w:t>
      </w:r>
      <w:r>
        <w:rPr>
          <w:rFonts w:hint="default" w:ascii="Times New Roman" w:hAnsi="Times New Roman" w:cs="Times New Roman"/>
          <w:color w:val="auto"/>
          <w:sz w:val="24"/>
          <w:szCs w:val="22"/>
          <w:highlight w:val="none"/>
          <w:vertAlign w:val="baseline"/>
          <w:lang w:val="en-US" w:eastAsia="zh-CN"/>
        </w:rPr>
        <w:t>根据计算，本项目为0.0037kg/m</w:t>
      </w:r>
      <w:r>
        <w:rPr>
          <w:rFonts w:hint="default" w:ascii="Times New Roman" w:hAnsi="Times New Roman" w:cs="Times New Roman"/>
          <w:color w:val="auto"/>
          <w:sz w:val="24"/>
          <w:szCs w:val="22"/>
          <w:highlight w:val="none"/>
          <w:vertAlign w:val="superscript"/>
          <w:lang w:val="en-US" w:eastAsia="zh-CN"/>
        </w:rPr>
        <w:t>3</w:t>
      </w:r>
      <w:r>
        <w:rPr>
          <w:rFonts w:hint="default" w:ascii="Times New Roman" w:hAnsi="Times New Roman" w:cs="Times New Roman"/>
          <w:color w:val="auto"/>
          <w:sz w:val="24"/>
          <w:szCs w:val="22"/>
          <w:highlight w:val="none"/>
        </w:rPr>
        <w:t>；</w:t>
      </w:r>
    </w:p>
    <w:p w14:paraId="5B150286">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A</w:t>
      </w:r>
      <w:r>
        <w:rPr>
          <w:rFonts w:hint="default" w:ascii="Times New Roman" w:hAnsi="Times New Roman" w:cs="Times New Roman"/>
          <w:color w:val="auto"/>
          <w:sz w:val="24"/>
          <w:szCs w:val="22"/>
          <w:highlight w:val="none"/>
          <w:vertAlign w:val="subscript"/>
        </w:rPr>
        <w:t>Y</w:t>
      </w:r>
      <w:r>
        <w:rPr>
          <w:rFonts w:hint="default" w:ascii="Times New Roman" w:hAnsi="Times New Roman" w:cs="Times New Roman"/>
          <w:color w:val="auto"/>
          <w:sz w:val="24"/>
          <w:szCs w:val="22"/>
          <w:highlight w:val="none"/>
        </w:rPr>
        <w:t>——料堆表面积，本项目堆场的表面积取</w:t>
      </w:r>
      <w:r>
        <w:rPr>
          <w:rFonts w:hint="default" w:ascii="Times New Roman" w:hAnsi="Times New Roman" w:cs="Times New Roman"/>
          <w:color w:val="auto"/>
          <w:sz w:val="24"/>
          <w:szCs w:val="22"/>
          <w:highlight w:val="none"/>
          <w:lang w:val="en-US" w:eastAsia="zh-CN"/>
        </w:rPr>
        <w:t>1200</w:t>
      </w:r>
      <w:r>
        <w:rPr>
          <w:rFonts w:hint="default" w:ascii="Times New Roman" w:hAnsi="Times New Roman" w:cs="Times New Roman"/>
          <w:color w:val="auto"/>
          <w:sz w:val="24"/>
          <w:szCs w:val="22"/>
          <w:highlight w:val="none"/>
        </w:rPr>
        <w:t>m</w:t>
      </w:r>
      <w:r>
        <w:rPr>
          <w:rFonts w:hint="default" w:ascii="Times New Roman" w:hAnsi="Times New Roman" w:cs="Times New Roman"/>
          <w:color w:val="auto"/>
          <w:sz w:val="24"/>
          <w:szCs w:val="22"/>
          <w:highlight w:val="none"/>
          <w:vertAlign w:val="superscript"/>
        </w:rPr>
        <w:t>2</w:t>
      </w:r>
      <w:r>
        <w:rPr>
          <w:rFonts w:hint="default" w:ascii="Times New Roman" w:hAnsi="Times New Roman" w:cs="Times New Roman"/>
          <w:color w:val="auto"/>
          <w:sz w:val="24"/>
          <w:szCs w:val="22"/>
          <w:highlight w:val="none"/>
        </w:rPr>
        <w:t>；</w:t>
      </w:r>
    </w:p>
    <w:p w14:paraId="2CAFC519">
      <w:pPr>
        <w:spacing w:line="500" w:lineRule="exact"/>
        <w:ind w:firstLine="480" w:firstLineChars="200"/>
        <w:rPr>
          <w:rFonts w:hint="default" w:ascii="Times New Roman" w:hAnsi="Times New Roman" w:cs="Times New Roman"/>
          <w:color w:val="auto"/>
          <w:sz w:val="24"/>
          <w:szCs w:val="22"/>
          <w:highlight w:val="none"/>
          <w:lang w:val="en-US" w:eastAsia="zh-CN"/>
        </w:rPr>
      </w:pPr>
      <w:r>
        <w:rPr>
          <w:rFonts w:hint="default" w:ascii="Times New Roman" w:hAnsi="Times New Roman" w:cs="Times New Roman"/>
          <w:color w:val="auto"/>
          <w:sz w:val="24"/>
          <w:szCs w:val="22"/>
          <w:highlight w:val="none"/>
          <w:lang w:val="en-US" w:eastAsia="zh-CN"/>
        </w:rPr>
        <w:t>则扬尘总排放量为0.0044t/a，0.0026kg/h。</w:t>
      </w:r>
    </w:p>
    <w:p w14:paraId="6A7677B2">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本项目采用分区、分块运行方式，运行过程中使暴露面最小，堆满一块覆盖一块从而一次形成永久性覆盖面，最大限度地减小扬尘。评价要求本项目作业时要及时进行铺平、碾压。碾压方向平行于分区填充的长边，不得漏压和欠压，减少二次扬尘的产生。另外表面的含水量是制约二次扬尘的主要因素，评价要求建设单位在碾压表面及时掌握煤矸石的表面含水情况，根据天气情况适时调整加大洒水强度。环评要求在场地设置一辆洒水车，以保证洒水面积能覆盖整个工作面。</w:t>
      </w:r>
    </w:p>
    <w:p w14:paraId="5DDAC9AB">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fldChar w:fldCharType="begin"/>
      </w:r>
      <w:r>
        <w:rPr>
          <w:rFonts w:hint="default" w:ascii="Times New Roman" w:hAnsi="Times New Roman" w:cs="Times New Roman"/>
          <w:color w:val="auto"/>
          <w:sz w:val="24"/>
          <w:szCs w:val="22"/>
          <w:highlight w:val="none"/>
        </w:rPr>
        <w:instrText xml:space="preserve"> = 2 \* GB3 </w:instrText>
      </w:r>
      <w:r>
        <w:rPr>
          <w:rFonts w:hint="default" w:ascii="Times New Roman" w:hAnsi="Times New Roman" w:cs="Times New Roman"/>
          <w:color w:val="auto"/>
          <w:sz w:val="24"/>
          <w:szCs w:val="22"/>
          <w:highlight w:val="none"/>
        </w:rPr>
        <w:fldChar w:fldCharType="separate"/>
      </w:r>
      <w:r>
        <w:rPr>
          <w:rFonts w:hint="default" w:ascii="Times New Roman" w:hAnsi="Times New Roman" w:cs="Times New Roman"/>
          <w:color w:val="auto"/>
          <w:sz w:val="24"/>
          <w:szCs w:val="22"/>
          <w:highlight w:val="none"/>
        </w:rPr>
        <w:t>②</w:t>
      </w:r>
      <w:r>
        <w:rPr>
          <w:rFonts w:hint="default" w:ascii="Times New Roman" w:hAnsi="Times New Roman" w:cs="Times New Roman"/>
          <w:color w:val="auto"/>
          <w:sz w:val="24"/>
          <w:szCs w:val="22"/>
          <w:highlight w:val="none"/>
        </w:rPr>
        <w:fldChar w:fldCharType="end"/>
      </w:r>
      <w:r>
        <w:rPr>
          <w:rFonts w:hint="default" w:ascii="Times New Roman" w:hAnsi="Times New Roman" w:cs="Times New Roman"/>
          <w:color w:val="auto"/>
          <w:sz w:val="24"/>
          <w:szCs w:val="22"/>
          <w:highlight w:val="none"/>
        </w:rPr>
        <w:t>运输扬尘</w:t>
      </w:r>
    </w:p>
    <w:p w14:paraId="2D779571">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根据《扬尘源颗粒物排放清单编制技术指南（试行）》，计算本项目进场运输道路产生的粉尘公式：</w:t>
      </w:r>
    </w:p>
    <w:p w14:paraId="5FACCE3D">
      <w:pPr>
        <w:spacing w:line="360" w:lineRule="auto"/>
        <w:ind w:firstLine="480" w:firstLineChars="200"/>
        <w:jc w:val="center"/>
        <w:rPr>
          <w:rFonts w:hint="default" w:ascii="Times New Roman" w:hAnsi="Times New Roman" w:cs="Times New Roman" w:eastAsiaTheme="minorEastAsia"/>
          <w:bCs/>
          <w:color w:val="auto"/>
          <w:sz w:val="24"/>
          <w:highlight w:val="none"/>
        </w:rPr>
      </w:pPr>
      <w:r>
        <w:rPr>
          <w:rFonts w:hint="default" w:ascii="Times New Roman" w:hAnsi="Times New Roman" w:cs="Times New Roman" w:eastAsiaTheme="minorEastAsia"/>
          <w:bCs/>
          <w:color w:val="auto"/>
          <w:sz w:val="24"/>
          <w:highlight w:val="none"/>
        </w:rPr>
        <w:drawing>
          <wp:inline distT="0" distB="0" distL="0" distR="0">
            <wp:extent cx="3276600" cy="367665"/>
            <wp:effectExtent l="19050" t="0" r="0" b="0"/>
            <wp:docPr id="175907907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079073" name="图片 21"/>
                    <pic:cNvPicPr>
                      <a:picLocks noChangeAspect="1" noChangeArrowheads="1"/>
                    </pic:cNvPicPr>
                  </pic:nvPicPr>
                  <pic:blipFill>
                    <a:blip r:embed="rId62"/>
                    <a:srcRect/>
                    <a:stretch>
                      <a:fillRect/>
                    </a:stretch>
                  </pic:blipFill>
                  <pic:spPr>
                    <a:xfrm>
                      <a:off x="0" y="0"/>
                      <a:ext cx="3329918" cy="373885"/>
                    </a:xfrm>
                    <a:prstGeom prst="rect">
                      <a:avLst/>
                    </a:prstGeom>
                    <a:noFill/>
                    <a:ln w="9525">
                      <a:noFill/>
                      <a:miter lim="800000"/>
                      <a:headEnd/>
                      <a:tailEnd/>
                    </a:ln>
                  </pic:spPr>
                </pic:pic>
              </a:graphicData>
            </a:graphic>
          </wp:inline>
        </w:drawing>
      </w:r>
    </w:p>
    <w:p w14:paraId="0370F13A">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式中：E</w:t>
      </w:r>
      <w:r>
        <w:rPr>
          <w:rFonts w:hint="default" w:ascii="Times New Roman" w:hAnsi="Times New Roman" w:cs="Times New Roman"/>
          <w:color w:val="auto"/>
          <w:highlight w:val="none"/>
          <w:vertAlign w:val="subscript"/>
        </w:rPr>
        <w:t>Pi</w:t>
      </w:r>
      <w:r>
        <w:rPr>
          <w:rFonts w:hint="default" w:ascii="Times New Roman" w:hAnsi="Times New Roman" w:cs="Times New Roman"/>
          <w:color w:val="auto"/>
          <w:highlight w:val="none"/>
        </w:rPr>
        <w:t>—铺装道路扬尘中P</w:t>
      </w:r>
      <w:r>
        <w:rPr>
          <w:rFonts w:hint="default" w:ascii="Times New Roman" w:hAnsi="Times New Roman" w:cs="Times New Roman"/>
          <w:color w:val="auto"/>
          <w:highlight w:val="none"/>
          <w:vertAlign w:val="subscript"/>
        </w:rPr>
        <w:t>Mi</w:t>
      </w:r>
      <w:r>
        <w:rPr>
          <w:rFonts w:hint="default" w:ascii="Times New Roman" w:hAnsi="Times New Roman" w:cs="Times New Roman"/>
          <w:color w:val="auto"/>
          <w:highlight w:val="none"/>
        </w:rPr>
        <w:t>排放系数，g/km；</w:t>
      </w:r>
    </w:p>
    <w:p w14:paraId="1EE2E33D">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k</w:t>
      </w:r>
      <w:r>
        <w:rPr>
          <w:rFonts w:hint="default" w:ascii="Times New Roman" w:hAnsi="Times New Roman" w:cs="Times New Roman"/>
          <w:color w:val="auto"/>
          <w:highlight w:val="none"/>
          <w:vertAlign w:val="subscript"/>
        </w:rPr>
        <w:t>i</w:t>
      </w:r>
      <w:r>
        <w:rPr>
          <w:rFonts w:hint="default" w:ascii="Times New Roman" w:hAnsi="Times New Roman" w:cs="Times New Roman"/>
          <w:color w:val="auto"/>
          <w:highlight w:val="none"/>
        </w:rPr>
        <w:t>—产生的扬尘中P</w:t>
      </w:r>
      <w:r>
        <w:rPr>
          <w:rFonts w:hint="default" w:ascii="Times New Roman" w:hAnsi="Times New Roman" w:cs="Times New Roman"/>
          <w:color w:val="auto"/>
          <w:highlight w:val="none"/>
          <w:vertAlign w:val="subscript"/>
        </w:rPr>
        <w:t>Mi</w:t>
      </w:r>
      <w:r>
        <w:rPr>
          <w:rFonts w:hint="default" w:ascii="Times New Roman" w:hAnsi="Times New Roman" w:cs="Times New Roman"/>
          <w:color w:val="auto"/>
          <w:highlight w:val="none"/>
        </w:rPr>
        <w:t>的粒度乘数，TSP取3.23g/km；</w:t>
      </w:r>
    </w:p>
    <w:p w14:paraId="0134523D">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sL—道路积尘负荷，g/m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；取1g/m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p>
    <w:p w14:paraId="4F438EAE">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W—平均车重，50t。</w:t>
      </w:r>
    </w:p>
    <w:p w14:paraId="6DC57C9B">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0" distR="0">
            <wp:extent cx="123825" cy="209550"/>
            <wp:effectExtent l="19050" t="0" r="9525" b="0"/>
            <wp:docPr id="175907907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079074" name="图片 18"/>
                    <pic:cNvPicPr>
                      <a:picLocks noChangeAspect="1" noChangeArrowheads="1"/>
                    </pic:cNvPicPr>
                  </pic:nvPicPr>
                  <pic:blipFill>
                    <a:blip r:embed="rId60"/>
                    <a:srcRect/>
                    <a:stretch>
                      <a:fillRect/>
                    </a:stretch>
                  </pic:blipFill>
                  <pic:spPr>
                    <a:xfrm>
                      <a:off x="0" y="0"/>
                      <a:ext cx="123825" cy="209550"/>
                    </a:xfrm>
                    <a:prstGeom prst="rect">
                      <a:avLst/>
                    </a:prstGeom>
                    <a:noFill/>
                    <a:ln w="9525">
                      <a:noFill/>
                      <a:miter lim="800000"/>
                      <a:headEnd/>
                      <a:tailEnd/>
                    </a:ln>
                  </pic:spPr>
                </pic:pic>
              </a:graphicData>
            </a:graphic>
          </wp:inline>
        </w:drawing>
      </w:r>
      <w:r>
        <w:rPr>
          <w:rFonts w:hint="default" w:ascii="Times New Roman" w:hAnsi="Times New Roman" w:cs="Times New Roman"/>
          <w:color w:val="auto"/>
          <w:highlight w:val="none"/>
        </w:rPr>
        <w:t>—污染控制技术对扬尘的去除效率，根据《扬尘源颗粒物排放清单编制技术指南（试行）》，TSP洒水控制效率为66%。</w:t>
      </w:r>
    </w:p>
    <w:p w14:paraId="4C4A31FB">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通过上式计算，EPi为59.4g/km，进场道路长度约</w:t>
      </w:r>
      <w:r>
        <w:rPr>
          <w:rFonts w:hint="default" w:ascii="Times New Roman" w:hAnsi="Times New Roman" w:cs="Times New Roman"/>
          <w:color w:val="auto"/>
          <w:highlight w:val="none"/>
          <w:lang w:val="en-US" w:eastAsia="zh-CN"/>
        </w:rPr>
        <w:t>1000</w:t>
      </w:r>
      <w:r>
        <w:rPr>
          <w:rFonts w:hint="default" w:ascii="Times New Roman" w:hAnsi="Times New Roman" w:cs="Times New Roman"/>
          <w:color w:val="auto"/>
          <w:highlight w:val="none"/>
        </w:rPr>
        <w:t>m，运输次数约为</w:t>
      </w:r>
      <w:r>
        <w:rPr>
          <w:rFonts w:hint="eastAsia" w:cs="Times New Roman"/>
          <w:color w:val="auto"/>
          <w:highlight w:val="none"/>
          <w:lang w:val="en-US" w:eastAsia="zh-CN"/>
        </w:rPr>
        <w:t>36036</w:t>
      </w:r>
      <w:r>
        <w:rPr>
          <w:rFonts w:hint="default" w:ascii="Times New Roman" w:hAnsi="Times New Roman" w:cs="Times New Roman"/>
          <w:color w:val="auto"/>
          <w:highlight w:val="none"/>
        </w:rPr>
        <w:t>次/a，产生道路扬尘</w:t>
      </w:r>
      <w:r>
        <w:rPr>
          <w:rFonts w:hint="default" w:ascii="Times New Roman" w:hAnsi="Times New Roman" w:cs="Times New Roman"/>
          <w:color w:val="auto"/>
          <w:highlight w:val="none"/>
          <w:lang w:val="en-US" w:eastAsia="zh-CN"/>
        </w:rPr>
        <w:t>1.67</w:t>
      </w:r>
      <w:r>
        <w:rPr>
          <w:rFonts w:hint="default" w:ascii="Times New Roman" w:hAnsi="Times New Roman" w:cs="Times New Roman"/>
          <w:color w:val="auto"/>
          <w:highlight w:val="none"/>
        </w:rPr>
        <w:t>t/a（</w:t>
      </w:r>
      <w:r>
        <w:rPr>
          <w:rFonts w:hint="default" w:ascii="Times New Roman" w:hAnsi="Times New Roman" w:cs="Times New Roman"/>
          <w:color w:val="auto"/>
          <w:highlight w:val="none"/>
          <w:lang w:val="en-US" w:eastAsia="zh-CN"/>
        </w:rPr>
        <w:t>0.98</w:t>
      </w:r>
      <w:r>
        <w:rPr>
          <w:rFonts w:hint="default" w:ascii="Times New Roman" w:hAnsi="Times New Roman" w:cs="Times New Roman"/>
          <w:color w:val="auto"/>
          <w:highlight w:val="none"/>
        </w:rPr>
        <w:t>kg/h）。</w:t>
      </w:r>
    </w:p>
    <w:p w14:paraId="556C44C5">
      <w:pPr>
        <w:pStyle w:val="25"/>
        <w:bidi w:val="0"/>
        <w:rPr>
          <w:rFonts w:hint="default" w:ascii="Times New Roman" w:hAnsi="Times New Roman" w:cs="Times New Roman"/>
          <w:color w:val="auto"/>
          <w:szCs w:val="22"/>
          <w:highlight w:val="none"/>
        </w:rPr>
      </w:pPr>
      <w:r>
        <w:rPr>
          <w:rFonts w:hint="default" w:ascii="Times New Roman" w:hAnsi="Times New Roman" w:cs="Times New Roman"/>
          <w:color w:val="auto"/>
          <w:highlight w:val="none"/>
        </w:rPr>
        <w:t>运输过程中影响：本项目煤矸石</w:t>
      </w:r>
      <w:r>
        <w:rPr>
          <w:rFonts w:hint="default" w:ascii="Times New Roman" w:hAnsi="Times New Roman" w:cs="Times New Roman"/>
          <w:color w:val="auto"/>
          <w:highlight w:val="none"/>
          <w:lang w:val="en-US" w:eastAsia="zh-CN"/>
        </w:rPr>
        <w:t>41#项目区</w:t>
      </w:r>
      <w:r>
        <w:rPr>
          <w:rFonts w:hint="default" w:ascii="Times New Roman" w:hAnsi="Times New Roman" w:cs="Times New Roman"/>
          <w:color w:val="auto"/>
          <w:highlight w:val="none"/>
        </w:rPr>
        <w:t>采用封闭自卸车运输至</w:t>
      </w:r>
      <w:r>
        <w:rPr>
          <w:rFonts w:hint="default" w:ascii="Times New Roman" w:hAnsi="Times New Roman" w:cs="Times New Roman"/>
          <w:color w:val="auto"/>
          <w:highlight w:val="none"/>
          <w:lang w:val="en-US" w:eastAsia="zh-CN"/>
        </w:rPr>
        <w:t>2#项目区</w:t>
      </w:r>
      <w:r>
        <w:rPr>
          <w:rFonts w:hint="default" w:ascii="Times New Roman" w:hAnsi="Times New Roman" w:cs="Times New Roman"/>
          <w:color w:val="auto"/>
          <w:highlight w:val="none"/>
        </w:rPr>
        <w:t>回填区，因此，运灰过程中煤矸石不会外泄造成二次扬尘对周围环境产生影响。车辆行驶过程中由于轮胎与路面接触会产生路面风蚀扬尘，由于沿途道路大部分是水泥路面，运灰车辆行驶过程中产生的扬尘量较少，运输车辆引起的扬尘对路边30m范围内影响较大，本项目运输沿线途径</w:t>
      </w:r>
      <w:r>
        <w:rPr>
          <w:rFonts w:hint="default" w:ascii="Times New Roman" w:hAnsi="Times New Roman" w:cs="Times New Roman"/>
          <w:color w:val="auto"/>
          <w:szCs w:val="22"/>
          <w:highlight w:val="none"/>
        </w:rPr>
        <w:t>居民区，通过采取途经居民区等敏感点时运输车辆减速等措施，路边的TSP浓度可低于1.0mg/m</w:t>
      </w:r>
      <w:r>
        <w:rPr>
          <w:rFonts w:hint="default" w:ascii="Times New Roman" w:hAnsi="Times New Roman" w:cs="Times New Roman"/>
          <w:color w:val="auto"/>
          <w:szCs w:val="22"/>
          <w:highlight w:val="none"/>
          <w:vertAlign w:val="superscript"/>
        </w:rPr>
        <w:t>3</w:t>
      </w:r>
      <w:r>
        <w:rPr>
          <w:rFonts w:hint="default" w:ascii="Times New Roman" w:hAnsi="Times New Roman" w:cs="Times New Roman"/>
          <w:color w:val="auto"/>
          <w:szCs w:val="22"/>
          <w:highlight w:val="none"/>
        </w:rPr>
        <w:t>。因此运灰车辆行驶过程中产生的路面扬尘对敏感点影响较小。</w:t>
      </w:r>
    </w:p>
    <w:p w14:paraId="4D2C443E">
      <w:pPr>
        <w:spacing w:line="500" w:lineRule="exact"/>
        <w:ind w:firstLine="480" w:firstLineChars="200"/>
        <w:rPr>
          <w:rFonts w:hint="default" w:ascii="Times New Roman" w:hAnsi="Times New Roman" w:cs="Times New Roman"/>
          <w:color w:val="auto"/>
          <w:sz w:val="24"/>
          <w:szCs w:val="22"/>
          <w:highlight w:val="none"/>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0348867F">
      <w:pPr>
        <w:pStyle w:val="27"/>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表3-3-</w:t>
      </w:r>
      <w:r>
        <w:rPr>
          <w:rFonts w:hint="default" w:ascii="Times New Roman" w:hAnsi="Times New Roman" w:cs="Times New Roman"/>
          <w:color w:val="auto"/>
          <w:highlight w:val="none"/>
          <w:lang w:val="en-US" w:eastAsia="zh-CN"/>
        </w:rPr>
        <w:t>6</w:t>
      </w:r>
      <w:r>
        <w:rPr>
          <w:rFonts w:hint="default" w:ascii="Times New Roman" w:hAnsi="Times New Roman" w:cs="Times New Roman"/>
          <w:color w:val="auto"/>
          <w:highlight w:val="none"/>
          <w:lang w:val="zh-CN"/>
        </w:rPr>
        <w:t>废气污染物源强核算结果及相关参数一览表</w:t>
      </w:r>
    </w:p>
    <w:tbl>
      <w:tblPr>
        <w:tblStyle w:val="2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42"/>
        <w:gridCol w:w="551"/>
        <w:gridCol w:w="764"/>
        <w:gridCol w:w="727"/>
        <w:gridCol w:w="800"/>
        <w:gridCol w:w="1068"/>
        <w:gridCol w:w="1090"/>
        <w:gridCol w:w="1010"/>
        <w:gridCol w:w="1349"/>
        <w:gridCol w:w="813"/>
        <w:gridCol w:w="630"/>
        <w:gridCol w:w="1066"/>
        <w:gridCol w:w="1090"/>
        <w:gridCol w:w="1018"/>
        <w:gridCol w:w="636"/>
      </w:tblGrid>
      <w:tr w14:paraId="1704C7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3" w:type="pct"/>
            <w:vMerge w:val="restart"/>
            <w:tcBorders>
              <w:tl2br w:val="nil"/>
              <w:tr2bl w:val="nil"/>
            </w:tcBorders>
            <w:vAlign w:val="center"/>
          </w:tcPr>
          <w:p w14:paraId="105C61C0">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工序</w:t>
            </w:r>
          </w:p>
        </w:tc>
        <w:tc>
          <w:tcPr>
            <w:tcW w:w="205" w:type="pct"/>
            <w:vMerge w:val="restart"/>
            <w:tcBorders>
              <w:tl2br w:val="nil"/>
              <w:tr2bl w:val="nil"/>
            </w:tcBorders>
            <w:vAlign w:val="center"/>
          </w:tcPr>
          <w:p w14:paraId="431EAB4A">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装置</w:t>
            </w:r>
          </w:p>
        </w:tc>
        <w:tc>
          <w:tcPr>
            <w:tcW w:w="284" w:type="pct"/>
            <w:vMerge w:val="restart"/>
            <w:tcBorders>
              <w:tl2br w:val="nil"/>
              <w:tr2bl w:val="nil"/>
            </w:tcBorders>
            <w:vAlign w:val="center"/>
          </w:tcPr>
          <w:p w14:paraId="0A9E0AA1">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污染源</w:t>
            </w:r>
          </w:p>
        </w:tc>
        <w:tc>
          <w:tcPr>
            <w:tcW w:w="270" w:type="pct"/>
            <w:vMerge w:val="restart"/>
            <w:tcBorders>
              <w:tl2br w:val="nil"/>
              <w:tr2bl w:val="nil"/>
            </w:tcBorders>
            <w:vAlign w:val="center"/>
          </w:tcPr>
          <w:p w14:paraId="6C0A86AC">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污染物</w:t>
            </w:r>
          </w:p>
        </w:tc>
        <w:tc>
          <w:tcPr>
            <w:tcW w:w="1473" w:type="pct"/>
            <w:gridSpan w:val="4"/>
            <w:tcBorders>
              <w:tl2br w:val="nil"/>
              <w:tr2bl w:val="nil"/>
            </w:tcBorders>
            <w:vAlign w:val="center"/>
          </w:tcPr>
          <w:p w14:paraId="6ADD598F">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污染物产生</w:t>
            </w:r>
          </w:p>
        </w:tc>
        <w:tc>
          <w:tcPr>
            <w:tcW w:w="803" w:type="pct"/>
            <w:gridSpan w:val="2"/>
            <w:tcBorders>
              <w:tl2br w:val="nil"/>
              <w:tr2bl w:val="nil"/>
            </w:tcBorders>
            <w:vAlign w:val="center"/>
          </w:tcPr>
          <w:p w14:paraId="48C1C480">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治理措施</w:t>
            </w:r>
          </w:p>
        </w:tc>
        <w:tc>
          <w:tcPr>
            <w:tcW w:w="1413" w:type="pct"/>
            <w:gridSpan w:val="4"/>
            <w:tcBorders>
              <w:tl2br w:val="nil"/>
              <w:tr2bl w:val="nil"/>
            </w:tcBorders>
            <w:vAlign w:val="center"/>
          </w:tcPr>
          <w:p w14:paraId="4C9C3E96">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污染物排放</w:t>
            </w:r>
          </w:p>
        </w:tc>
        <w:tc>
          <w:tcPr>
            <w:tcW w:w="236" w:type="pct"/>
            <w:vMerge w:val="restart"/>
            <w:tcBorders>
              <w:tl2br w:val="nil"/>
              <w:tr2bl w:val="nil"/>
            </w:tcBorders>
            <w:vAlign w:val="center"/>
          </w:tcPr>
          <w:p w14:paraId="2119E366">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排放</w:t>
            </w:r>
          </w:p>
          <w:p w14:paraId="793590E6">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时间h</w:t>
            </w:r>
          </w:p>
        </w:tc>
      </w:tr>
      <w:tr w14:paraId="76A110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3" w:type="pct"/>
            <w:vMerge w:val="continue"/>
            <w:tcBorders>
              <w:tl2br w:val="nil"/>
              <w:tr2bl w:val="nil"/>
            </w:tcBorders>
            <w:vAlign w:val="center"/>
          </w:tcPr>
          <w:p w14:paraId="2D61CFF2">
            <w:pPr>
              <w:pStyle w:val="44"/>
              <w:bidi w:val="0"/>
              <w:jc w:val="center"/>
              <w:rPr>
                <w:rFonts w:hint="default" w:ascii="Times New Roman" w:hAnsi="Times New Roman" w:cs="Times New Roman"/>
                <w:color w:val="auto"/>
                <w:highlight w:val="none"/>
                <w:lang w:val="zh-CN"/>
              </w:rPr>
            </w:pPr>
          </w:p>
        </w:tc>
        <w:tc>
          <w:tcPr>
            <w:tcW w:w="205" w:type="pct"/>
            <w:vMerge w:val="continue"/>
            <w:tcBorders>
              <w:tl2br w:val="nil"/>
              <w:tr2bl w:val="nil"/>
            </w:tcBorders>
            <w:vAlign w:val="center"/>
          </w:tcPr>
          <w:p w14:paraId="1C734C7C">
            <w:pPr>
              <w:pStyle w:val="44"/>
              <w:bidi w:val="0"/>
              <w:jc w:val="center"/>
              <w:rPr>
                <w:rFonts w:hint="default" w:ascii="Times New Roman" w:hAnsi="Times New Roman" w:cs="Times New Roman"/>
                <w:color w:val="auto"/>
                <w:highlight w:val="none"/>
                <w:lang w:val="zh-CN"/>
              </w:rPr>
            </w:pPr>
          </w:p>
        </w:tc>
        <w:tc>
          <w:tcPr>
            <w:tcW w:w="284" w:type="pct"/>
            <w:vMerge w:val="continue"/>
            <w:tcBorders>
              <w:tl2br w:val="nil"/>
              <w:tr2bl w:val="nil"/>
            </w:tcBorders>
            <w:vAlign w:val="center"/>
          </w:tcPr>
          <w:p w14:paraId="0E49F529">
            <w:pPr>
              <w:pStyle w:val="44"/>
              <w:bidi w:val="0"/>
              <w:jc w:val="center"/>
              <w:rPr>
                <w:rFonts w:hint="default" w:ascii="Times New Roman" w:hAnsi="Times New Roman" w:cs="Times New Roman"/>
                <w:color w:val="auto"/>
                <w:highlight w:val="none"/>
                <w:lang w:val="zh-CN"/>
              </w:rPr>
            </w:pPr>
          </w:p>
        </w:tc>
        <w:tc>
          <w:tcPr>
            <w:tcW w:w="270" w:type="pct"/>
            <w:vMerge w:val="continue"/>
            <w:tcBorders>
              <w:tl2br w:val="nil"/>
              <w:tr2bl w:val="nil"/>
            </w:tcBorders>
            <w:vAlign w:val="center"/>
          </w:tcPr>
          <w:p w14:paraId="464EDDA4">
            <w:pPr>
              <w:pStyle w:val="44"/>
              <w:bidi w:val="0"/>
              <w:jc w:val="center"/>
              <w:rPr>
                <w:rFonts w:hint="default" w:ascii="Times New Roman" w:hAnsi="Times New Roman" w:cs="Times New Roman"/>
                <w:color w:val="auto"/>
                <w:highlight w:val="none"/>
                <w:lang w:val="zh-CN"/>
              </w:rPr>
            </w:pPr>
          </w:p>
        </w:tc>
        <w:tc>
          <w:tcPr>
            <w:tcW w:w="297" w:type="pct"/>
            <w:tcBorders>
              <w:tl2br w:val="nil"/>
              <w:tr2bl w:val="nil"/>
            </w:tcBorders>
            <w:vAlign w:val="center"/>
          </w:tcPr>
          <w:p w14:paraId="5A99BBD0">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核算方法</w:t>
            </w:r>
          </w:p>
        </w:tc>
        <w:tc>
          <w:tcPr>
            <w:tcW w:w="396" w:type="pct"/>
            <w:tcBorders>
              <w:tl2br w:val="nil"/>
              <w:tr2bl w:val="nil"/>
            </w:tcBorders>
            <w:vAlign w:val="center"/>
          </w:tcPr>
          <w:p w14:paraId="56C6EF3B">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废气产生量（m3/h）</w:t>
            </w:r>
          </w:p>
        </w:tc>
        <w:tc>
          <w:tcPr>
            <w:tcW w:w="405" w:type="pct"/>
            <w:tcBorders>
              <w:tl2br w:val="nil"/>
              <w:tr2bl w:val="nil"/>
            </w:tcBorders>
            <w:vAlign w:val="center"/>
          </w:tcPr>
          <w:p w14:paraId="28D48E04">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产生浓度（mg/m</w:t>
            </w:r>
            <w:r>
              <w:rPr>
                <w:rFonts w:hint="default" w:ascii="Times New Roman" w:hAnsi="Times New Roman" w:cs="Times New Roman"/>
                <w:color w:val="auto"/>
                <w:highlight w:val="none"/>
                <w:vertAlign w:val="superscript"/>
                <w:lang w:val="zh-CN"/>
              </w:rPr>
              <w:t>3</w:t>
            </w:r>
            <w:r>
              <w:rPr>
                <w:rFonts w:hint="default" w:ascii="Times New Roman" w:hAnsi="Times New Roman" w:cs="Times New Roman"/>
                <w:color w:val="auto"/>
                <w:highlight w:val="none"/>
                <w:lang w:val="zh-CN"/>
              </w:rPr>
              <w:t>)</w:t>
            </w:r>
          </w:p>
        </w:tc>
        <w:tc>
          <w:tcPr>
            <w:tcW w:w="374" w:type="pct"/>
            <w:tcBorders>
              <w:tl2br w:val="nil"/>
              <w:tr2bl w:val="nil"/>
            </w:tcBorders>
            <w:vAlign w:val="center"/>
          </w:tcPr>
          <w:p w14:paraId="7D58F249">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产生量（kg/h)</w:t>
            </w:r>
          </w:p>
        </w:tc>
        <w:tc>
          <w:tcPr>
            <w:tcW w:w="501" w:type="pct"/>
            <w:tcBorders>
              <w:tl2br w:val="nil"/>
              <w:tr2bl w:val="nil"/>
            </w:tcBorders>
            <w:vAlign w:val="center"/>
          </w:tcPr>
          <w:p w14:paraId="5853DB9F">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工艺</w:t>
            </w:r>
          </w:p>
        </w:tc>
        <w:tc>
          <w:tcPr>
            <w:tcW w:w="302" w:type="pct"/>
            <w:tcBorders>
              <w:tl2br w:val="nil"/>
              <w:tr2bl w:val="nil"/>
            </w:tcBorders>
            <w:vAlign w:val="center"/>
          </w:tcPr>
          <w:p w14:paraId="241D3B67">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处理效率（%）</w:t>
            </w:r>
          </w:p>
        </w:tc>
        <w:tc>
          <w:tcPr>
            <w:tcW w:w="234" w:type="pct"/>
            <w:tcBorders>
              <w:tl2br w:val="nil"/>
              <w:tr2bl w:val="nil"/>
            </w:tcBorders>
            <w:vAlign w:val="center"/>
          </w:tcPr>
          <w:p w14:paraId="107CB3B1">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核算方法</w:t>
            </w:r>
          </w:p>
        </w:tc>
        <w:tc>
          <w:tcPr>
            <w:tcW w:w="396" w:type="pct"/>
            <w:tcBorders>
              <w:tl2br w:val="nil"/>
              <w:tr2bl w:val="nil"/>
            </w:tcBorders>
            <w:vAlign w:val="center"/>
          </w:tcPr>
          <w:p w14:paraId="1B06358A">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废气排放量（m</w:t>
            </w:r>
            <w:r>
              <w:rPr>
                <w:rFonts w:hint="default" w:ascii="Times New Roman" w:hAnsi="Times New Roman" w:cs="Times New Roman"/>
                <w:color w:val="auto"/>
                <w:highlight w:val="none"/>
                <w:vertAlign w:val="superscript"/>
                <w:lang w:val="zh-CN"/>
              </w:rPr>
              <w:t>3</w:t>
            </w:r>
            <w:r>
              <w:rPr>
                <w:rFonts w:hint="default" w:ascii="Times New Roman" w:hAnsi="Times New Roman" w:cs="Times New Roman"/>
                <w:color w:val="auto"/>
                <w:highlight w:val="none"/>
                <w:lang w:val="zh-CN"/>
              </w:rPr>
              <w:t>/h）</w:t>
            </w:r>
          </w:p>
        </w:tc>
        <w:tc>
          <w:tcPr>
            <w:tcW w:w="405" w:type="pct"/>
            <w:tcBorders>
              <w:tl2br w:val="nil"/>
              <w:tr2bl w:val="nil"/>
            </w:tcBorders>
            <w:vAlign w:val="center"/>
          </w:tcPr>
          <w:p w14:paraId="5840B75D">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排放浓度（mg/m</w:t>
            </w:r>
            <w:r>
              <w:rPr>
                <w:rFonts w:hint="default" w:ascii="Times New Roman" w:hAnsi="Times New Roman" w:cs="Times New Roman"/>
                <w:color w:val="auto"/>
                <w:highlight w:val="none"/>
                <w:vertAlign w:val="superscript"/>
                <w:lang w:val="zh-CN"/>
              </w:rPr>
              <w:t>3</w:t>
            </w:r>
            <w:r>
              <w:rPr>
                <w:rFonts w:hint="default" w:ascii="Times New Roman" w:hAnsi="Times New Roman" w:cs="Times New Roman"/>
                <w:color w:val="auto"/>
                <w:highlight w:val="none"/>
                <w:lang w:val="zh-CN"/>
              </w:rPr>
              <w:t>)</w:t>
            </w:r>
          </w:p>
        </w:tc>
        <w:tc>
          <w:tcPr>
            <w:tcW w:w="377" w:type="pct"/>
            <w:tcBorders>
              <w:tl2br w:val="nil"/>
              <w:tr2bl w:val="nil"/>
            </w:tcBorders>
            <w:vAlign w:val="center"/>
          </w:tcPr>
          <w:p w14:paraId="45C74885">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排放量（kg/h）</w:t>
            </w:r>
          </w:p>
        </w:tc>
        <w:tc>
          <w:tcPr>
            <w:tcW w:w="236" w:type="pct"/>
            <w:vMerge w:val="continue"/>
            <w:tcBorders>
              <w:tl2br w:val="nil"/>
              <w:tr2bl w:val="nil"/>
            </w:tcBorders>
            <w:vAlign w:val="center"/>
          </w:tcPr>
          <w:p w14:paraId="0935F913">
            <w:pPr>
              <w:pStyle w:val="44"/>
              <w:bidi w:val="0"/>
              <w:jc w:val="center"/>
              <w:rPr>
                <w:rFonts w:hint="default" w:ascii="Times New Roman" w:hAnsi="Times New Roman" w:cs="Times New Roman"/>
                <w:color w:val="auto"/>
                <w:highlight w:val="none"/>
                <w:lang w:val="zh-CN"/>
              </w:rPr>
            </w:pPr>
          </w:p>
        </w:tc>
      </w:tr>
      <w:tr w14:paraId="469B41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313" w:type="pct"/>
            <w:vMerge w:val="restart"/>
            <w:tcBorders>
              <w:tl2br w:val="nil"/>
              <w:tr2bl w:val="nil"/>
            </w:tcBorders>
            <w:vAlign w:val="center"/>
          </w:tcPr>
          <w:p w14:paraId="1C0EDD46">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回填、装卸、运输</w:t>
            </w:r>
          </w:p>
        </w:tc>
        <w:tc>
          <w:tcPr>
            <w:tcW w:w="205" w:type="pct"/>
            <w:vMerge w:val="restart"/>
            <w:tcBorders>
              <w:tl2br w:val="nil"/>
              <w:tr2bl w:val="nil"/>
            </w:tcBorders>
            <w:vAlign w:val="center"/>
          </w:tcPr>
          <w:p w14:paraId="014B7484">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作业机械</w:t>
            </w:r>
          </w:p>
        </w:tc>
        <w:tc>
          <w:tcPr>
            <w:tcW w:w="284" w:type="pct"/>
            <w:vMerge w:val="restart"/>
            <w:tcBorders>
              <w:tl2br w:val="nil"/>
              <w:tr2bl w:val="nil"/>
            </w:tcBorders>
            <w:vAlign w:val="center"/>
          </w:tcPr>
          <w:p w14:paraId="46C19444">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作业机械</w:t>
            </w:r>
          </w:p>
        </w:tc>
        <w:tc>
          <w:tcPr>
            <w:tcW w:w="270" w:type="pct"/>
            <w:tcBorders>
              <w:tl2br w:val="nil"/>
              <w:tr2bl w:val="nil"/>
            </w:tcBorders>
            <w:vAlign w:val="center"/>
          </w:tcPr>
          <w:p w14:paraId="0B61C3E8">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CO</w:t>
            </w:r>
          </w:p>
        </w:tc>
        <w:tc>
          <w:tcPr>
            <w:tcW w:w="297" w:type="pct"/>
            <w:vMerge w:val="restart"/>
            <w:tcBorders>
              <w:tl2br w:val="nil"/>
              <w:tr2bl w:val="nil"/>
            </w:tcBorders>
            <w:vAlign w:val="center"/>
          </w:tcPr>
          <w:p w14:paraId="40A559FF">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类比法</w:t>
            </w:r>
          </w:p>
        </w:tc>
        <w:tc>
          <w:tcPr>
            <w:tcW w:w="396" w:type="pct"/>
            <w:vMerge w:val="restart"/>
            <w:tcBorders>
              <w:tl2br w:val="nil"/>
              <w:tr2bl w:val="nil"/>
            </w:tcBorders>
            <w:vAlign w:val="center"/>
          </w:tcPr>
          <w:p w14:paraId="227A66C0">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405" w:type="pct"/>
            <w:tcBorders>
              <w:tl2br w:val="nil"/>
              <w:tr2bl w:val="nil"/>
            </w:tcBorders>
            <w:vAlign w:val="center"/>
          </w:tcPr>
          <w:p w14:paraId="4CC4A8CB">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374" w:type="pct"/>
            <w:tcBorders>
              <w:tl2br w:val="nil"/>
              <w:tr2bl w:val="nil"/>
            </w:tcBorders>
            <w:vAlign w:val="center"/>
          </w:tcPr>
          <w:p w14:paraId="2F8C53CE">
            <w:pPr>
              <w:pStyle w:val="44"/>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zh-CN"/>
              </w:rPr>
              <w:t>0.000</w:t>
            </w:r>
            <w:r>
              <w:rPr>
                <w:rFonts w:hint="default" w:ascii="Times New Roman" w:hAnsi="Times New Roman" w:cs="Times New Roman"/>
                <w:color w:val="auto"/>
                <w:highlight w:val="none"/>
                <w:lang w:val="en-US" w:eastAsia="zh-CN"/>
              </w:rPr>
              <w:t>59</w:t>
            </w:r>
          </w:p>
        </w:tc>
        <w:tc>
          <w:tcPr>
            <w:tcW w:w="501" w:type="pct"/>
            <w:vMerge w:val="restart"/>
            <w:tcBorders>
              <w:tl2br w:val="nil"/>
              <w:tr2bl w:val="nil"/>
            </w:tcBorders>
            <w:vAlign w:val="center"/>
          </w:tcPr>
          <w:p w14:paraId="3577DA6E">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自然扩散</w:t>
            </w:r>
          </w:p>
        </w:tc>
        <w:tc>
          <w:tcPr>
            <w:tcW w:w="302" w:type="pct"/>
            <w:tcBorders>
              <w:tl2br w:val="nil"/>
              <w:tr2bl w:val="nil"/>
            </w:tcBorders>
            <w:vAlign w:val="center"/>
          </w:tcPr>
          <w:p w14:paraId="52038A92">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234" w:type="pct"/>
            <w:vMerge w:val="restart"/>
            <w:tcBorders>
              <w:tl2br w:val="nil"/>
              <w:tr2bl w:val="nil"/>
            </w:tcBorders>
            <w:vAlign w:val="center"/>
          </w:tcPr>
          <w:p w14:paraId="6CE7F05B">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类比法</w:t>
            </w:r>
          </w:p>
        </w:tc>
        <w:tc>
          <w:tcPr>
            <w:tcW w:w="396" w:type="pct"/>
            <w:vMerge w:val="restart"/>
            <w:tcBorders>
              <w:tl2br w:val="nil"/>
              <w:tr2bl w:val="nil"/>
            </w:tcBorders>
            <w:vAlign w:val="center"/>
          </w:tcPr>
          <w:p w14:paraId="18FCD3CA">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405" w:type="pct"/>
            <w:tcBorders>
              <w:tl2br w:val="nil"/>
              <w:tr2bl w:val="nil"/>
            </w:tcBorders>
            <w:vAlign w:val="center"/>
          </w:tcPr>
          <w:p w14:paraId="3655A242">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1018" w:type="dxa"/>
            <w:tcBorders>
              <w:tl2br w:val="nil"/>
              <w:tr2bl w:val="nil"/>
            </w:tcBorders>
            <w:vAlign w:val="center"/>
          </w:tcPr>
          <w:p w14:paraId="0E3E8875">
            <w:pPr>
              <w:pStyle w:val="44"/>
              <w:bidi w:val="0"/>
              <w:ind w:firstLine="0" w:firstLineChars="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0.000</w:t>
            </w:r>
            <w:r>
              <w:rPr>
                <w:rFonts w:hint="default" w:ascii="Times New Roman" w:hAnsi="Times New Roman" w:cs="Times New Roman"/>
                <w:color w:val="auto"/>
                <w:highlight w:val="none"/>
                <w:lang w:val="en-US" w:eastAsia="zh-CN"/>
              </w:rPr>
              <w:t>59</w:t>
            </w:r>
          </w:p>
        </w:tc>
        <w:tc>
          <w:tcPr>
            <w:tcW w:w="236" w:type="pct"/>
            <w:vMerge w:val="restart"/>
            <w:tcBorders>
              <w:tl2br w:val="nil"/>
              <w:tr2bl w:val="nil"/>
            </w:tcBorders>
            <w:vAlign w:val="center"/>
          </w:tcPr>
          <w:p w14:paraId="1005B91D">
            <w:pPr>
              <w:pStyle w:val="44"/>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1680</w:t>
            </w:r>
          </w:p>
        </w:tc>
      </w:tr>
      <w:tr w14:paraId="216FD3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2" w:hRule="atLeast"/>
        </w:trPr>
        <w:tc>
          <w:tcPr>
            <w:tcW w:w="313" w:type="pct"/>
            <w:vMerge w:val="continue"/>
            <w:tcBorders>
              <w:tl2br w:val="nil"/>
              <w:tr2bl w:val="nil"/>
            </w:tcBorders>
            <w:vAlign w:val="center"/>
          </w:tcPr>
          <w:p w14:paraId="4D28411D">
            <w:pPr>
              <w:pStyle w:val="44"/>
              <w:bidi w:val="0"/>
              <w:jc w:val="center"/>
              <w:rPr>
                <w:rFonts w:hint="default" w:ascii="Times New Roman" w:hAnsi="Times New Roman" w:cs="Times New Roman"/>
                <w:color w:val="auto"/>
                <w:highlight w:val="none"/>
                <w:lang w:val="zh-CN"/>
              </w:rPr>
            </w:pPr>
          </w:p>
        </w:tc>
        <w:tc>
          <w:tcPr>
            <w:tcW w:w="205" w:type="pct"/>
            <w:vMerge w:val="continue"/>
            <w:tcBorders>
              <w:tl2br w:val="nil"/>
              <w:tr2bl w:val="nil"/>
            </w:tcBorders>
            <w:vAlign w:val="center"/>
          </w:tcPr>
          <w:p w14:paraId="1C56E0AF">
            <w:pPr>
              <w:pStyle w:val="44"/>
              <w:bidi w:val="0"/>
              <w:jc w:val="center"/>
              <w:rPr>
                <w:rFonts w:hint="default" w:ascii="Times New Roman" w:hAnsi="Times New Roman" w:cs="Times New Roman"/>
                <w:color w:val="auto"/>
                <w:highlight w:val="none"/>
                <w:lang w:val="zh-CN"/>
              </w:rPr>
            </w:pPr>
          </w:p>
        </w:tc>
        <w:tc>
          <w:tcPr>
            <w:tcW w:w="284" w:type="pct"/>
            <w:vMerge w:val="continue"/>
            <w:tcBorders>
              <w:tl2br w:val="nil"/>
              <w:tr2bl w:val="nil"/>
            </w:tcBorders>
            <w:vAlign w:val="center"/>
          </w:tcPr>
          <w:p w14:paraId="4BF669AC">
            <w:pPr>
              <w:pStyle w:val="44"/>
              <w:bidi w:val="0"/>
              <w:jc w:val="center"/>
              <w:rPr>
                <w:rFonts w:hint="default" w:ascii="Times New Roman" w:hAnsi="Times New Roman" w:cs="Times New Roman"/>
                <w:color w:val="auto"/>
                <w:highlight w:val="none"/>
                <w:lang w:val="zh-CN"/>
              </w:rPr>
            </w:pPr>
          </w:p>
        </w:tc>
        <w:tc>
          <w:tcPr>
            <w:tcW w:w="270" w:type="pct"/>
            <w:tcBorders>
              <w:tl2br w:val="nil"/>
              <w:tr2bl w:val="nil"/>
            </w:tcBorders>
            <w:vAlign w:val="center"/>
          </w:tcPr>
          <w:p w14:paraId="4740CBFE">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rPr>
              <w:t>NOx</w:t>
            </w:r>
          </w:p>
        </w:tc>
        <w:tc>
          <w:tcPr>
            <w:tcW w:w="297" w:type="pct"/>
            <w:vMerge w:val="continue"/>
            <w:tcBorders>
              <w:tl2br w:val="nil"/>
              <w:tr2bl w:val="nil"/>
            </w:tcBorders>
            <w:vAlign w:val="center"/>
          </w:tcPr>
          <w:p w14:paraId="1BDEA751">
            <w:pPr>
              <w:pStyle w:val="44"/>
              <w:bidi w:val="0"/>
              <w:jc w:val="center"/>
              <w:rPr>
                <w:rFonts w:hint="default" w:ascii="Times New Roman" w:hAnsi="Times New Roman" w:cs="Times New Roman"/>
                <w:color w:val="auto"/>
                <w:highlight w:val="none"/>
                <w:lang w:val="zh-CN"/>
              </w:rPr>
            </w:pPr>
          </w:p>
        </w:tc>
        <w:tc>
          <w:tcPr>
            <w:tcW w:w="396" w:type="pct"/>
            <w:vMerge w:val="continue"/>
            <w:tcBorders>
              <w:tl2br w:val="nil"/>
              <w:tr2bl w:val="nil"/>
            </w:tcBorders>
            <w:vAlign w:val="center"/>
          </w:tcPr>
          <w:p w14:paraId="47C59250">
            <w:pPr>
              <w:pStyle w:val="44"/>
              <w:bidi w:val="0"/>
              <w:jc w:val="center"/>
              <w:rPr>
                <w:rFonts w:hint="default" w:ascii="Times New Roman" w:hAnsi="Times New Roman" w:cs="Times New Roman"/>
                <w:color w:val="auto"/>
                <w:highlight w:val="none"/>
                <w:lang w:val="zh-CN"/>
              </w:rPr>
            </w:pPr>
          </w:p>
        </w:tc>
        <w:tc>
          <w:tcPr>
            <w:tcW w:w="405" w:type="pct"/>
            <w:tcBorders>
              <w:tl2br w:val="nil"/>
              <w:tr2bl w:val="nil"/>
            </w:tcBorders>
            <w:vAlign w:val="center"/>
          </w:tcPr>
          <w:p w14:paraId="018AD046">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374" w:type="pct"/>
            <w:tcBorders>
              <w:tl2br w:val="nil"/>
              <w:tr2bl w:val="nil"/>
            </w:tcBorders>
            <w:vAlign w:val="center"/>
          </w:tcPr>
          <w:p w14:paraId="4564AC4D">
            <w:pPr>
              <w:pStyle w:val="44"/>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zh-CN"/>
              </w:rPr>
              <w:t>0.000</w:t>
            </w:r>
            <w:r>
              <w:rPr>
                <w:rFonts w:hint="default" w:ascii="Times New Roman" w:hAnsi="Times New Roman" w:cs="Times New Roman"/>
                <w:color w:val="auto"/>
                <w:highlight w:val="none"/>
                <w:lang w:val="en-US" w:eastAsia="zh-CN"/>
              </w:rPr>
              <w:t>85</w:t>
            </w:r>
          </w:p>
        </w:tc>
        <w:tc>
          <w:tcPr>
            <w:tcW w:w="501" w:type="pct"/>
            <w:vMerge w:val="continue"/>
            <w:tcBorders>
              <w:tl2br w:val="nil"/>
              <w:tr2bl w:val="nil"/>
            </w:tcBorders>
            <w:vAlign w:val="center"/>
          </w:tcPr>
          <w:p w14:paraId="4232D985">
            <w:pPr>
              <w:pStyle w:val="44"/>
              <w:bidi w:val="0"/>
              <w:jc w:val="center"/>
              <w:rPr>
                <w:rFonts w:hint="default" w:ascii="Times New Roman" w:hAnsi="Times New Roman" w:cs="Times New Roman"/>
                <w:color w:val="auto"/>
                <w:highlight w:val="none"/>
                <w:lang w:val="zh-CN"/>
              </w:rPr>
            </w:pPr>
          </w:p>
        </w:tc>
        <w:tc>
          <w:tcPr>
            <w:tcW w:w="302" w:type="pct"/>
            <w:tcBorders>
              <w:tl2br w:val="nil"/>
              <w:tr2bl w:val="nil"/>
            </w:tcBorders>
            <w:vAlign w:val="center"/>
          </w:tcPr>
          <w:p w14:paraId="33CF9690">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234" w:type="pct"/>
            <w:vMerge w:val="continue"/>
            <w:tcBorders>
              <w:tl2br w:val="nil"/>
              <w:tr2bl w:val="nil"/>
            </w:tcBorders>
            <w:vAlign w:val="center"/>
          </w:tcPr>
          <w:p w14:paraId="3DCFE496">
            <w:pPr>
              <w:pStyle w:val="44"/>
              <w:bidi w:val="0"/>
              <w:jc w:val="center"/>
              <w:rPr>
                <w:rFonts w:hint="default" w:ascii="Times New Roman" w:hAnsi="Times New Roman" w:cs="Times New Roman"/>
                <w:color w:val="auto"/>
                <w:highlight w:val="none"/>
                <w:lang w:val="zh-CN"/>
              </w:rPr>
            </w:pPr>
          </w:p>
        </w:tc>
        <w:tc>
          <w:tcPr>
            <w:tcW w:w="396" w:type="pct"/>
            <w:vMerge w:val="continue"/>
            <w:tcBorders>
              <w:tl2br w:val="nil"/>
              <w:tr2bl w:val="nil"/>
            </w:tcBorders>
            <w:vAlign w:val="center"/>
          </w:tcPr>
          <w:p w14:paraId="6B8112E6">
            <w:pPr>
              <w:pStyle w:val="44"/>
              <w:bidi w:val="0"/>
              <w:jc w:val="center"/>
              <w:rPr>
                <w:rFonts w:hint="default" w:ascii="Times New Roman" w:hAnsi="Times New Roman" w:cs="Times New Roman"/>
                <w:color w:val="auto"/>
                <w:highlight w:val="none"/>
                <w:lang w:val="zh-CN"/>
              </w:rPr>
            </w:pPr>
          </w:p>
        </w:tc>
        <w:tc>
          <w:tcPr>
            <w:tcW w:w="405" w:type="pct"/>
            <w:tcBorders>
              <w:tl2br w:val="nil"/>
              <w:tr2bl w:val="nil"/>
            </w:tcBorders>
            <w:vAlign w:val="center"/>
          </w:tcPr>
          <w:p w14:paraId="51BEFB8A">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1018" w:type="dxa"/>
            <w:tcBorders>
              <w:tl2br w:val="nil"/>
              <w:tr2bl w:val="nil"/>
            </w:tcBorders>
            <w:vAlign w:val="center"/>
          </w:tcPr>
          <w:p w14:paraId="26C4ABE2">
            <w:pPr>
              <w:pStyle w:val="44"/>
              <w:bidi w:val="0"/>
              <w:ind w:firstLine="0" w:firstLineChars="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0.000</w:t>
            </w:r>
            <w:r>
              <w:rPr>
                <w:rFonts w:hint="default" w:ascii="Times New Roman" w:hAnsi="Times New Roman" w:cs="Times New Roman"/>
                <w:color w:val="auto"/>
                <w:highlight w:val="none"/>
                <w:lang w:val="en-US" w:eastAsia="zh-CN"/>
              </w:rPr>
              <w:t>85</w:t>
            </w:r>
          </w:p>
        </w:tc>
        <w:tc>
          <w:tcPr>
            <w:tcW w:w="236" w:type="pct"/>
            <w:vMerge w:val="continue"/>
            <w:tcBorders>
              <w:tl2br w:val="nil"/>
              <w:tr2bl w:val="nil"/>
            </w:tcBorders>
            <w:vAlign w:val="center"/>
          </w:tcPr>
          <w:p w14:paraId="6202D344">
            <w:pPr>
              <w:pStyle w:val="44"/>
              <w:bidi w:val="0"/>
              <w:jc w:val="center"/>
              <w:rPr>
                <w:rFonts w:hint="default" w:ascii="Times New Roman" w:hAnsi="Times New Roman" w:cs="Times New Roman"/>
                <w:color w:val="auto"/>
                <w:highlight w:val="none"/>
                <w:lang w:val="zh-CN"/>
              </w:rPr>
            </w:pPr>
          </w:p>
        </w:tc>
      </w:tr>
      <w:tr w14:paraId="27B0F5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3" w:type="pct"/>
            <w:vMerge w:val="continue"/>
            <w:tcBorders>
              <w:tl2br w:val="nil"/>
              <w:tr2bl w:val="nil"/>
            </w:tcBorders>
            <w:vAlign w:val="center"/>
          </w:tcPr>
          <w:p w14:paraId="5A13F874">
            <w:pPr>
              <w:pStyle w:val="44"/>
              <w:bidi w:val="0"/>
              <w:jc w:val="center"/>
              <w:rPr>
                <w:rFonts w:hint="default" w:ascii="Times New Roman" w:hAnsi="Times New Roman" w:cs="Times New Roman"/>
                <w:color w:val="auto"/>
                <w:highlight w:val="none"/>
                <w:lang w:val="zh-CN"/>
              </w:rPr>
            </w:pPr>
          </w:p>
        </w:tc>
        <w:tc>
          <w:tcPr>
            <w:tcW w:w="205" w:type="pct"/>
            <w:vMerge w:val="continue"/>
            <w:tcBorders>
              <w:tl2br w:val="nil"/>
              <w:tr2bl w:val="nil"/>
            </w:tcBorders>
            <w:vAlign w:val="center"/>
          </w:tcPr>
          <w:p w14:paraId="4B2F5C5F">
            <w:pPr>
              <w:pStyle w:val="44"/>
              <w:bidi w:val="0"/>
              <w:jc w:val="center"/>
              <w:rPr>
                <w:rFonts w:hint="default" w:ascii="Times New Roman" w:hAnsi="Times New Roman" w:cs="Times New Roman"/>
                <w:color w:val="auto"/>
                <w:highlight w:val="none"/>
                <w:lang w:val="zh-CN"/>
              </w:rPr>
            </w:pPr>
          </w:p>
        </w:tc>
        <w:tc>
          <w:tcPr>
            <w:tcW w:w="284" w:type="pct"/>
            <w:vMerge w:val="continue"/>
            <w:tcBorders>
              <w:tl2br w:val="nil"/>
              <w:tr2bl w:val="nil"/>
            </w:tcBorders>
            <w:vAlign w:val="center"/>
          </w:tcPr>
          <w:p w14:paraId="72F7875E">
            <w:pPr>
              <w:pStyle w:val="44"/>
              <w:bidi w:val="0"/>
              <w:jc w:val="center"/>
              <w:rPr>
                <w:rFonts w:hint="default" w:ascii="Times New Roman" w:hAnsi="Times New Roman" w:cs="Times New Roman"/>
                <w:color w:val="auto"/>
                <w:highlight w:val="none"/>
                <w:lang w:val="zh-CN"/>
              </w:rPr>
            </w:pPr>
          </w:p>
        </w:tc>
        <w:tc>
          <w:tcPr>
            <w:tcW w:w="270" w:type="pct"/>
            <w:tcBorders>
              <w:tl2br w:val="nil"/>
              <w:tr2bl w:val="nil"/>
            </w:tcBorders>
            <w:vAlign w:val="center"/>
          </w:tcPr>
          <w:p w14:paraId="1D111FB4">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HC</w:t>
            </w:r>
          </w:p>
        </w:tc>
        <w:tc>
          <w:tcPr>
            <w:tcW w:w="297" w:type="pct"/>
            <w:vMerge w:val="continue"/>
            <w:tcBorders>
              <w:tl2br w:val="nil"/>
              <w:tr2bl w:val="nil"/>
            </w:tcBorders>
            <w:vAlign w:val="center"/>
          </w:tcPr>
          <w:p w14:paraId="34FA0E4A">
            <w:pPr>
              <w:pStyle w:val="44"/>
              <w:bidi w:val="0"/>
              <w:jc w:val="center"/>
              <w:rPr>
                <w:rFonts w:hint="default" w:ascii="Times New Roman" w:hAnsi="Times New Roman" w:cs="Times New Roman"/>
                <w:color w:val="auto"/>
                <w:highlight w:val="none"/>
                <w:lang w:val="zh-CN"/>
              </w:rPr>
            </w:pPr>
          </w:p>
        </w:tc>
        <w:tc>
          <w:tcPr>
            <w:tcW w:w="396" w:type="pct"/>
            <w:vMerge w:val="continue"/>
            <w:tcBorders>
              <w:tl2br w:val="nil"/>
              <w:tr2bl w:val="nil"/>
            </w:tcBorders>
            <w:vAlign w:val="center"/>
          </w:tcPr>
          <w:p w14:paraId="7802F4D0">
            <w:pPr>
              <w:pStyle w:val="44"/>
              <w:bidi w:val="0"/>
              <w:jc w:val="center"/>
              <w:rPr>
                <w:rFonts w:hint="default" w:ascii="Times New Roman" w:hAnsi="Times New Roman" w:cs="Times New Roman"/>
                <w:color w:val="auto"/>
                <w:highlight w:val="none"/>
                <w:lang w:val="zh-CN"/>
              </w:rPr>
            </w:pPr>
          </w:p>
        </w:tc>
        <w:tc>
          <w:tcPr>
            <w:tcW w:w="405" w:type="pct"/>
            <w:tcBorders>
              <w:tl2br w:val="nil"/>
              <w:tr2bl w:val="nil"/>
            </w:tcBorders>
            <w:vAlign w:val="center"/>
          </w:tcPr>
          <w:p w14:paraId="2476B7CA">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374" w:type="pct"/>
            <w:tcBorders>
              <w:tl2br w:val="nil"/>
              <w:tr2bl w:val="nil"/>
            </w:tcBorders>
            <w:vAlign w:val="center"/>
          </w:tcPr>
          <w:p w14:paraId="79758D55">
            <w:pPr>
              <w:pStyle w:val="44"/>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zh-CN"/>
              </w:rPr>
              <w:t>0.000</w:t>
            </w:r>
            <w:r>
              <w:rPr>
                <w:rFonts w:hint="default" w:ascii="Times New Roman" w:hAnsi="Times New Roman" w:cs="Times New Roman"/>
                <w:color w:val="auto"/>
                <w:highlight w:val="none"/>
                <w:lang w:val="en-US" w:eastAsia="zh-CN"/>
              </w:rPr>
              <w:t>18</w:t>
            </w:r>
          </w:p>
        </w:tc>
        <w:tc>
          <w:tcPr>
            <w:tcW w:w="501" w:type="pct"/>
            <w:vMerge w:val="continue"/>
            <w:tcBorders>
              <w:tl2br w:val="nil"/>
              <w:tr2bl w:val="nil"/>
            </w:tcBorders>
            <w:vAlign w:val="center"/>
          </w:tcPr>
          <w:p w14:paraId="2DBBE4A0">
            <w:pPr>
              <w:pStyle w:val="44"/>
              <w:bidi w:val="0"/>
              <w:jc w:val="center"/>
              <w:rPr>
                <w:rFonts w:hint="default" w:ascii="Times New Roman" w:hAnsi="Times New Roman" w:cs="Times New Roman"/>
                <w:color w:val="auto"/>
                <w:highlight w:val="none"/>
                <w:lang w:val="zh-CN"/>
              </w:rPr>
            </w:pPr>
          </w:p>
        </w:tc>
        <w:tc>
          <w:tcPr>
            <w:tcW w:w="302" w:type="pct"/>
            <w:tcBorders>
              <w:tl2br w:val="nil"/>
              <w:tr2bl w:val="nil"/>
            </w:tcBorders>
            <w:vAlign w:val="center"/>
          </w:tcPr>
          <w:p w14:paraId="1C3E9396">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234" w:type="pct"/>
            <w:vMerge w:val="continue"/>
            <w:tcBorders>
              <w:tl2br w:val="nil"/>
              <w:tr2bl w:val="nil"/>
            </w:tcBorders>
            <w:vAlign w:val="center"/>
          </w:tcPr>
          <w:p w14:paraId="27B0A395">
            <w:pPr>
              <w:pStyle w:val="44"/>
              <w:bidi w:val="0"/>
              <w:jc w:val="center"/>
              <w:rPr>
                <w:rFonts w:hint="default" w:ascii="Times New Roman" w:hAnsi="Times New Roman" w:cs="Times New Roman"/>
                <w:color w:val="auto"/>
                <w:highlight w:val="none"/>
                <w:lang w:val="zh-CN"/>
              </w:rPr>
            </w:pPr>
          </w:p>
        </w:tc>
        <w:tc>
          <w:tcPr>
            <w:tcW w:w="396" w:type="pct"/>
            <w:vMerge w:val="continue"/>
            <w:tcBorders>
              <w:tl2br w:val="nil"/>
              <w:tr2bl w:val="nil"/>
            </w:tcBorders>
            <w:vAlign w:val="center"/>
          </w:tcPr>
          <w:p w14:paraId="3E80468C">
            <w:pPr>
              <w:pStyle w:val="44"/>
              <w:bidi w:val="0"/>
              <w:jc w:val="center"/>
              <w:rPr>
                <w:rFonts w:hint="default" w:ascii="Times New Roman" w:hAnsi="Times New Roman" w:cs="Times New Roman"/>
                <w:color w:val="auto"/>
                <w:highlight w:val="none"/>
                <w:lang w:val="zh-CN"/>
              </w:rPr>
            </w:pPr>
          </w:p>
        </w:tc>
        <w:tc>
          <w:tcPr>
            <w:tcW w:w="405" w:type="pct"/>
            <w:tcBorders>
              <w:tl2br w:val="nil"/>
              <w:tr2bl w:val="nil"/>
            </w:tcBorders>
            <w:vAlign w:val="center"/>
          </w:tcPr>
          <w:p w14:paraId="5A1F4445">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1018" w:type="dxa"/>
            <w:tcBorders>
              <w:tl2br w:val="nil"/>
              <w:tr2bl w:val="nil"/>
            </w:tcBorders>
            <w:vAlign w:val="center"/>
          </w:tcPr>
          <w:p w14:paraId="7C8AFBFB">
            <w:pPr>
              <w:pStyle w:val="44"/>
              <w:bidi w:val="0"/>
              <w:ind w:firstLine="0" w:firstLineChars="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0.000</w:t>
            </w:r>
            <w:r>
              <w:rPr>
                <w:rFonts w:hint="default" w:ascii="Times New Roman" w:hAnsi="Times New Roman" w:cs="Times New Roman"/>
                <w:color w:val="auto"/>
                <w:highlight w:val="none"/>
                <w:lang w:val="en-US" w:eastAsia="zh-CN"/>
              </w:rPr>
              <w:t>18</w:t>
            </w:r>
          </w:p>
        </w:tc>
        <w:tc>
          <w:tcPr>
            <w:tcW w:w="236" w:type="pct"/>
            <w:vMerge w:val="continue"/>
            <w:tcBorders>
              <w:tl2br w:val="nil"/>
              <w:tr2bl w:val="nil"/>
            </w:tcBorders>
            <w:vAlign w:val="center"/>
          </w:tcPr>
          <w:p w14:paraId="7AF1C21E">
            <w:pPr>
              <w:pStyle w:val="44"/>
              <w:bidi w:val="0"/>
              <w:jc w:val="center"/>
              <w:rPr>
                <w:rFonts w:hint="default" w:ascii="Times New Roman" w:hAnsi="Times New Roman" w:cs="Times New Roman"/>
                <w:color w:val="auto"/>
                <w:highlight w:val="none"/>
                <w:lang w:val="zh-CN"/>
              </w:rPr>
            </w:pPr>
          </w:p>
        </w:tc>
      </w:tr>
      <w:tr w14:paraId="746245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3" w:type="pct"/>
            <w:vMerge w:val="restart"/>
            <w:tcBorders>
              <w:tl2br w:val="nil"/>
              <w:tr2bl w:val="nil"/>
            </w:tcBorders>
            <w:vAlign w:val="center"/>
          </w:tcPr>
          <w:p w14:paraId="4AC73266">
            <w:pPr>
              <w:pStyle w:val="44"/>
              <w:bidi w:val="0"/>
              <w:jc w:val="center"/>
              <w:rPr>
                <w:rFonts w:hint="default" w:ascii="Times New Roman" w:hAnsi="Times New Roman" w:cs="Times New Roman"/>
                <w:color w:val="auto"/>
                <w:highlight w:val="none"/>
                <w:lang w:val="zh-CN"/>
              </w:rPr>
            </w:pPr>
            <w:bookmarkStart w:id="193" w:name="_Hlk85555981"/>
            <w:r>
              <w:rPr>
                <w:rFonts w:hint="default" w:ascii="Times New Roman" w:hAnsi="Times New Roman" w:cs="Times New Roman"/>
                <w:color w:val="auto"/>
                <w:highlight w:val="none"/>
                <w:lang w:val="zh-CN"/>
              </w:rPr>
              <w:t>回填、装卸、运输</w:t>
            </w:r>
          </w:p>
        </w:tc>
        <w:tc>
          <w:tcPr>
            <w:tcW w:w="205" w:type="pct"/>
            <w:vMerge w:val="restart"/>
            <w:tcBorders>
              <w:tl2br w:val="nil"/>
              <w:tr2bl w:val="nil"/>
            </w:tcBorders>
            <w:vAlign w:val="center"/>
          </w:tcPr>
          <w:p w14:paraId="56E55968">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作业机械</w:t>
            </w:r>
          </w:p>
        </w:tc>
        <w:tc>
          <w:tcPr>
            <w:tcW w:w="284" w:type="pct"/>
            <w:tcBorders>
              <w:tl2br w:val="nil"/>
              <w:tr2bl w:val="nil"/>
            </w:tcBorders>
            <w:vAlign w:val="center"/>
          </w:tcPr>
          <w:p w14:paraId="37A3C944">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装卸、运输、堆积</w:t>
            </w:r>
          </w:p>
        </w:tc>
        <w:tc>
          <w:tcPr>
            <w:tcW w:w="270" w:type="pct"/>
            <w:tcBorders>
              <w:tl2br w:val="nil"/>
              <w:tr2bl w:val="nil"/>
            </w:tcBorders>
            <w:vAlign w:val="center"/>
          </w:tcPr>
          <w:p w14:paraId="216D116B">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TSP</w:t>
            </w:r>
          </w:p>
        </w:tc>
        <w:tc>
          <w:tcPr>
            <w:tcW w:w="297" w:type="pct"/>
            <w:tcBorders>
              <w:tl2br w:val="nil"/>
              <w:tr2bl w:val="nil"/>
            </w:tcBorders>
            <w:vAlign w:val="center"/>
          </w:tcPr>
          <w:p w14:paraId="7041F5EF">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类比法</w:t>
            </w:r>
          </w:p>
        </w:tc>
        <w:tc>
          <w:tcPr>
            <w:tcW w:w="396" w:type="pct"/>
            <w:tcBorders>
              <w:tl2br w:val="nil"/>
              <w:tr2bl w:val="nil"/>
            </w:tcBorders>
            <w:vAlign w:val="center"/>
          </w:tcPr>
          <w:p w14:paraId="2D84B747">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405" w:type="pct"/>
            <w:tcBorders>
              <w:tl2br w:val="nil"/>
              <w:tr2bl w:val="nil"/>
            </w:tcBorders>
            <w:vAlign w:val="center"/>
          </w:tcPr>
          <w:p w14:paraId="5777F688">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374" w:type="pct"/>
            <w:tcBorders>
              <w:tl2br w:val="nil"/>
              <w:tr2bl w:val="nil"/>
            </w:tcBorders>
            <w:vAlign w:val="center"/>
          </w:tcPr>
          <w:p w14:paraId="3039B425">
            <w:pPr>
              <w:pStyle w:val="44"/>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0.043</w:t>
            </w:r>
          </w:p>
        </w:tc>
        <w:tc>
          <w:tcPr>
            <w:tcW w:w="501" w:type="pct"/>
            <w:tcBorders>
              <w:tl2br w:val="nil"/>
              <w:tr2bl w:val="nil"/>
            </w:tcBorders>
            <w:vAlign w:val="center"/>
          </w:tcPr>
          <w:p w14:paraId="30C0C922">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洒水抑尘、及时苫盖、分区作业</w:t>
            </w:r>
          </w:p>
        </w:tc>
        <w:tc>
          <w:tcPr>
            <w:tcW w:w="302" w:type="pct"/>
            <w:tcBorders>
              <w:tl2br w:val="nil"/>
              <w:tr2bl w:val="nil"/>
            </w:tcBorders>
            <w:vAlign w:val="center"/>
          </w:tcPr>
          <w:p w14:paraId="6EF0E116">
            <w:pPr>
              <w:pStyle w:val="44"/>
              <w:bidi w:val="0"/>
              <w:jc w:val="center"/>
              <w:rPr>
                <w:rFonts w:hint="default" w:ascii="Times New Roman" w:hAnsi="Times New Roman" w:cs="Times New Roman"/>
                <w:color w:val="auto"/>
                <w:highlight w:val="none"/>
                <w:lang w:val="zh-CN" w:eastAsia="zh-CN"/>
              </w:rPr>
            </w:pPr>
            <w:r>
              <w:rPr>
                <w:rFonts w:hint="default" w:ascii="Times New Roman" w:hAnsi="Times New Roman" w:cs="Times New Roman"/>
                <w:color w:val="auto"/>
                <w:highlight w:val="none"/>
                <w:lang w:val="zh-CN"/>
              </w:rPr>
              <w:t>6</w:t>
            </w:r>
            <w:r>
              <w:rPr>
                <w:rFonts w:hint="default" w:ascii="Times New Roman" w:hAnsi="Times New Roman" w:cs="Times New Roman"/>
                <w:color w:val="auto"/>
                <w:highlight w:val="none"/>
                <w:lang w:val="en-US" w:eastAsia="zh-CN"/>
              </w:rPr>
              <w:t>1</w:t>
            </w:r>
          </w:p>
        </w:tc>
        <w:tc>
          <w:tcPr>
            <w:tcW w:w="234" w:type="pct"/>
            <w:tcBorders>
              <w:tl2br w:val="nil"/>
              <w:tr2bl w:val="nil"/>
            </w:tcBorders>
            <w:vAlign w:val="center"/>
          </w:tcPr>
          <w:p w14:paraId="29F7EAA0">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类比法</w:t>
            </w:r>
          </w:p>
        </w:tc>
        <w:tc>
          <w:tcPr>
            <w:tcW w:w="396" w:type="pct"/>
            <w:tcBorders>
              <w:tl2br w:val="nil"/>
              <w:tr2bl w:val="nil"/>
            </w:tcBorders>
            <w:vAlign w:val="center"/>
          </w:tcPr>
          <w:p w14:paraId="26F0C9AD">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405" w:type="pct"/>
            <w:tcBorders>
              <w:tl2br w:val="nil"/>
              <w:tr2bl w:val="nil"/>
            </w:tcBorders>
            <w:vAlign w:val="center"/>
          </w:tcPr>
          <w:p w14:paraId="7E75CB9C">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377" w:type="pct"/>
            <w:tcBorders>
              <w:tl2br w:val="nil"/>
              <w:tr2bl w:val="nil"/>
            </w:tcBorders>
            <w:vAlign w:val="center"/>
          </w:tcPr>
          <w:p w14:paraId="081110BE">
            <w:pPr>
              <w:pStyle w:val="44"/>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0.0026</w:t>
            </w:r>
          </w:p>
        </w:tc>
        <w:tc>
          <w:tcPr>
            <w:tcW w:w="236" w:type="pct"/>
            <w:tcBorders>
              <w:tl2br w:val="nil"/>
              <w:tr2bl w:val="nil"/>
            </w:tcBorders>
            <w:vAlign w:val="center"/>
          </w:tcPr>
          <w:p w14:paraId="11BC0040">
            <w:pPr>
              <w:pStyle w:val="44"/>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1680</w:t>
            </w:r>
          </w:p>
        </w:tc>
      </w:tr>
      <w:bookmarkEnd w:id="193"/>
      <w:tr w14:paraId="65883B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3" w:type="pct"/>
            <w:vMerge w:val="continue"/>
            <w:tcBorders>
              <w:tl2br w:val="nil"/>
              <w:tr2bl w:val="nil"/>
            </w:tcBorders>
            <w:vAlign w:val="center"/>
          </w:tcPr>
          <w:p w14:paraId="7918FBE7">
            <w:pPr>
              <w:pStyle w:val="44"/>
              <w:bidi w:val="0"/>
              <w:jc w:val="center"/>
              <w:rPr>
                <w:rFonts w:hint="default" w:ascii="Times New Roman" w:hAnsi="Times New Roman" w:cs="Times New Roman"/>
                <w:color w:val="auto"/>
                <w:highlight w:val="none"/>
                <w:lang w:val="zh-CN"/>
              </w:rPr>
            </w:pPr>
          </w:p>
        </w:tc>
        <w:tc>
          <w:tcPr>
            <w:tcW w:w="205" w:type="pct"/>
            <w:vMerge w:val="continue"/>
            <w:tcBorders>
              <w:tl2br w:val="nil"/>
              <w:tr2bl w:val="nil"/>
            </w:tcBorders>
            <w:vAlign w:val="center"/>
          </w:tcPr>
          <w:p w14:paraId="4E84D450">
            <w:pPr>
              <w:pStyle w:val="44"/>
              <w:bidi w:val="0"/>
              <w:jc w:val="center"/>
              <w:rPr>
                <w:rFonts w:hint="default" w:ascii="Times New Roman" w:hAnsi="Times New Roman" w:cs="Times New Roman"/>
                <w:color w:val="auto"/>
                <w:highlight w:val="none"/>
                <w:lang w:val="zh-CN"/>
              </w:rPr>
            </w:pPr>
          </w:p>
        </w:tc>
        <w:tc>
          <w:tcPr>
            <w:tcW w:w="284" w:type="pct"/>
            <w:tcBorders>
              <w:tl2br w:val="nil"/>
              <w:tr2bl w:val="nil"/>
            </w:tcBorders>
            <w:vAlign w:val="center"/>
          </w:tcPr>
          <w:p w14:paraId="58D1E398">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进场运输道路</w:t>
            </w:r>
          </w:p>
        </w:tc>
        <w:tc>
          <w:tcPr>
            <w:tcW w:w="270" w:type="pct"/>
            <w:tcBorders>
              <w:tl2br w:val="nil"/>
              <w:tr2bl w:val="nil"/>
            </w:tcBorders>
            <w:vAlign w:val="center"/>
          </w:tcPr>
          <w:p w14:paraId="07151298">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TSP</w:t>
            </w:r>
          </w:p>
        </w:tc>
        <w:tc>
          <w:tcPr>
            <w:tcW w:w="297" w:type="pct"/>
            <w:tcBorders>
              <w:tl2br w:val="nil"/>
              <w:tr2bl w:val="nil"/>
            </w:tcBorders>
            <w:vAlign w:val="center"/>
          </w:tcPr>
          <w:p w14:paraId="4E76F290">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类比法</w:t>
            </w:r>
          </w:p>
        </w:tc>
        <w:tc>
          <w:tcPr>
            <w:tcW w:w="396" w:type="pct"/>
            <w:tcBorders>
              <w:tl2br w:val="nil"/>
              <w:tr2bl w:val="nil"/>
            </w:tcBorders>
            <w:vAlign w:val="center"/>
          </w:tcPr>
          <w:p w14:paraId="444451A2">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405" w:type="pct"/>
            <w:tcBorders>
              <w:tl2br w:val="nil"/>
              <w:tr2bl w:val="nil"/>
            </w:tcBorders>
            <w:vAlign w:val="center"/>
          </w:tcPr>
          <w:p w14:paraId="0BFC8D18">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374" w:type="pct"/>
            <w:tcBorders>
              <w:tl2br w:val="nil"/>
              <w:tr2bl w:val="nil"/>
            </w:tcBorders>
            <w:vAlign w:val="center"/>
          </w:tcPr>
          <w:p w14:paraId="72BD9201">
            <w:pPr>
              <w:pStyle w:val="44"/>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2.88</w:t>
            </w:r>
          </w:p>
        </w:tc>
        <w:tc>
          <w:tcPr>
            <w:tcW w:w="501" w:type="pct"/>
            <w:tcBorders>
              <w:tl2br w:val="nil"/>
              <w:tr2bl w:val="nil"/>
            </w:tcBorders>
            <w:vAlign w:val="center"/>
          </w:tcPr>
          <w:p w14:paraId="6D972AB8">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密闭运输、减速慢行、洒水抑尘</w:t>
            </w:r>
          </w:p>
        </w:tc>
        <w:tc>
          <w:tcPr>
            <w:tcW w:w="302" w:type="pct"/>
            <w:tcBorders>
              <w:tl2br w:val="nil"/>
              <w:tr2bl w:val="nil"/>
            </w:tcBorders>
            <w:vAlign w:val="center"/>
          </w:tcPr>
          <w:p w14:paraId="5B4EC682">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66</w:t>
            </w:r>
          </w:p>
        </w:tc>
        <w:tc>
          <w:tcPr>
            <w:tcW w:w="234" w:type="pct"/>
            <w:tcBorders>
              <w:tl2br w:val="nil"/>
              <w:tr2bl w:val="nil"/>
            </w:tcBorders>
            <w:vAlign w:val="center"/>
          </w:tcPr>
          <w:p w14:paraId="78225831">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类比法</w:t>
            </w:r>
          </w:p>
        </w:tc>
        <w:tc>
          <w:tcPr>
            <w:tcW w:w="396" w:type="pct"/>
            <w:tcBorders>
              <w:tl2br w:val="nil"/>
              <w:tr2bl w:val="nil"/>
            </w:tcBorders>
            <w:vAlign w:val="center"/>
          </w:tcPr>
          <w:p w14:paraId="589E5060">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405" w:type="pct"/>
            <w:tcBorders>
              <w:tl2br w:val="nil"/>
              <w:tr2bl w:val="nil"/>
            </w:tcBorders>
            <w:vAlign w:val="center"/>
          </w:tcPr>
          <w:p w14:paraId="4C7E6763">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377" w:type="pct"/>
            <w:tcBorders>
              <w:tl2br w:val="nil"/>
              <w:tr2bl w:val="nil"/>
            </w:tcBorders>
            <w:vAlign w:val="center"/>
          </w:tcPr>
          <w:p w14:paraId="28512C1D">
            <w:pPr>
              <w:pStyle w:val="44"/>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0.98</w:t>
            </w:r>
          </w:p>
        </w:tc>
        <w:tc>
          <w:tcPr>
            <w:tcW w:w="236" w:type="pct"/>
            <w:tcBorders>
              <w:tl2br w:val="nil"/>
              <w:tr2bl w:val="nil"/>
            </w:tcBorders>
            <w:vAlign w:val="center"/>
          </w:tcPr>
          <w:p w14:paraId="4D1624A2">
            <w:pPr>
              <w:pStyle w:val="44"/>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1680</w:t>
            </w:r>
          </w:p>
        </w:tc>
      </w:tr>
    </w:tbl>
    <w:p w14:paraId="701022EA">
      <w:pPr>
        <w:spacing w:line="500" w:lineRule="exact"/>
        <w:ind w:firstLine="480" w:firstLineChars="200"/>
        <w:rPr>
          <w:rFonts w:hint="default" w:ascii="Times New Roman" w:hAnsi="Times New Roman" w:cs="Times New Roman"/>
          <w:color w:val="auto"/>
          <w:sz w:val="24"/>
          <w:szCs w:val="22"/>
          <w:highlight w:val="none"/>
        </w:rPr>
      </w:pPr>
    </w:p>
    <w:p w14:paraId="366656FC">
      <w:pPr>
        <w:spacing w:line="500" w:lineRule="exact"/>
        <w:ind w:firstLine="480" w:firstLineChars="200"/>
        <w:rPr>
          <w:rFonts w:hint="default" w:ascii="Times New Roman" w:hAnsi="Times New Roman" w:cs="Times New Roman"/>
          <w:color w:val="auto"/>
          <w:sz w:val="24"/>
          <w:szCs w:val="22"/>
          <w:highlight w:val="none"/>
        </w:rPr>
        <w:sectPr>
          <w:pgSz w:w="16838" w:h="11906" w:orient="landscape"/>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7F024646">
      <w:pPr>
        <w:pStyle w:val="25"/>
        <w:bidi w:val="0"/>
        <w:rPr>
          <w:rFonts w:hint="default"/>
          <w:color w:val="auto"/>
          <w:highlight w:val="none"/>
          <w:lang w:val="zh-CN"/>
        </w:rPr>
      </w:pPr>
      <w:r>
        <w:rPr>
          <w:rFonts w:hint="eastAsia"/>
          <w:color w:val="auto"/>
          <w:highlight w:val="none"/>
          <w:lang w:val="en-US" w:eastAsia="zh-CN"/>
        </w:rPr>
        <w:t>2、</w:t>
      </w:r>
      <w:r>
        <w:rPr>
          <w:rFonts w:hint="default"/>
          <w:color w:val="auto"/>
          <w:highlight w:val="none"/>
          <w:lang w:val="zh-CN"/>
        </w:rPr>
        <w:t>废水</w:t>
      </w:r>
    </w:p>
    <w:p w14:paraId="37E4519C">
      <w:pPr>
        <w:pStyle w:val="25"/>
        <w:bidi w:val="0"/>
        <w:rPr>
          <w:rFonts w:hint="eastAsia"/>
          <w:color w:val="auto"/>
          <w:highlight w:val="none"/>
          <w:lang w:val="en-US" w:eastAsia="zh-CN"/>
        </w:rPr>
      </w:pPr>
      <w:r>
        <w:rPr>
          <w:color w:val="auto"/>
          <w:highlight w:val="none"/>
        </w:rPr>
        <w:t>本项目生产用水包括道路洒水和回填工作面抑尘洒水，本项目区内不单独建设车辆冲洗平台，无生产废水产生。</w:t>
      </w:r>
      <w:r>
        <w:rPr>
          <w:rFonts w:hint="eastAsia"/>
          <w:color w:val="auto"/>
          <w:highlight w:val="none"/>
          <w:lang w:val="en-US" w:eastAsia="zh-CN"/>
        </w:rPr>
        <w:t>本项目生活污水排入民房的防渗旱厕，定期清掏外运。无废水产生。</w:t>
      </w:r>
    </w:p>
    <w:p w14:paraId="36ED4AF1">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噪声</w:t>
      </w:r>
    </w:p>
    <w:p w14:paraId="209FE711">
      <w:pPr>
        <w:bidi w:val="0"/>
        <w:spacing w:line="360" w:lineRule="auto"/>
        <w:ind w:firstLine="480" w:firstLineChars="20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施工期噪声源主要有运输车辆、作业区的机械引起，</w:t>
      </w:r>
      <w:r>
        <w:rPr>
          <w:rFonts w:hint="default" w:ascii="Times New Roman" w:hAnsi="Times New Roman" w:cs="Times New Roman"/>
          <w:color w:val="auto"/>
          <w:sz w:val="24"/>
          <w:szCs w:val="22"/>
          <w:highlight w:val="none"/>
        </w:rPr>
        <w:t>机械噪声主要由施工机械所造成的，如挖土机、装载机、推土机等</w:t>
      </w:r>
      <w:r>
        <w:rPr>
          <w:rFonts w:hint="default" w:ascii="Times New Roman" w:hAnsi="Times New Roman" w:cs="Times New Roman"/>
          <w:color w:val="auto"/>
          <w:sz w:val="24"/>
          <w:szCs w:val="24"/>
          <w:highlight w:val="none"/>
          <w:lang w:val="en-US" w:eastAsia="zh-CN"/>
        </w:rPr>
        <w:t>，其噪声功率级为90-96dB（A），详见表3-3-8。</w:t>
      </w:r>
    </w:p>
    <w:p w14:paraId="7FAFF67B">
      <w:pPr>
        <w:pStyle w:val="27"/>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表</w:t>
      </w:r>
      <w:r>
        <w:rPr>
          <w:rFonts w:hint="default" w:ascii="Times New Roman" w:hAnsi="Times New Roman" w:eastAsia="宋体" w:cs="Times New Roman"/>
          <w:color w:val="auto"/>
          <w:highlight w:val="none"/>
          <w:lang w:val="en-US" w:eastAsia="en-US"/>
        </w:rPr>
        <w:t>3</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en-US"/>
        </w:rPr>
        <w:t>3-</w:t>
      </w:r>
      <w:r>
        <w:rPr>
          <w:rFonts w:hint="default" w:ascii="Times New Roman" w:hAnsi="Times New Roman" w:cs="Times New Roman"/>
          <w:color w:val="auto"/>
          <w:highlight w:val="none"/>
          <w:lang w:val="en-US" w:eastAsia="zh-CN"/>
        </w:rPr>
        <w:t>8</w:t>
      </w:r>
      <w:r>
        <w:rPr>
          <w:rFonts w:hint="default" w:ascii="Times New Roman" w:hAnsi="Times New Roman" w:eastAsia="宋体" w:cs="Times New Roman"/>
          <w:color w:val="auto"/>
          <w:highlight w:val="none"/>
          <w:lang w:val="en-US" w:eastAsia="zh-CN"/>
        </w:rPr>
        <w:t xml:space="preserve">  噪声源强调查清单（室外声源移动源）</w:t>
      </w:r>
    </w:p>
    <w:tbl>
      <w:tblPr>
        <w:tblStyle w:val="20"/>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 w:type="dxa"/>
          <w:bottom w:w="0" w:type="dxa"/>
          <w:right w:w="10" w:type="dxa"/>
        </w:tblCellMar>
      </w:tblPr>
      <w:tblGrid>
        <w:gridCol w:w="524"/>
        <w:gridCol w:w="1347"/>
        <w:gridCol w:w="608"/>
        <w:gridCol w:w="478"/>
        <w:gridCol w:w="390"/>
        <w:gridCol w:w="411"/>
        <w:gridCol w:w="1419"/>
        <w:gridCol w:w="1014"/>
        <w:gridCol w:w="621"/>
        <w:gridCol w:w="656"/>
        <w:gridCol w:w="851"/>
      </w:tblGrid>
      <w:tr w14:paraId="7D2779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685" w:hRule="exact"/>
          <w:jc w:val="center"/>
        </w:trPr>
        <w:tc>
          <w:tcPr>
            <w:tcW w:w="315" w:type="pct"/>
            <w:vMerge w:val="restart"/>
            <w:tcBorders>
              <w:tl2br w:val="nil"/>
              <w:tr2bl w:val="nil"/>
            </w:tcBorders>
            <w:shd w:val="clear" w:color="auto" w:fill="auto"/>
            <w:vAlign w:val="center"/>
          </w:tcPr>
          <w:p w14:paraId="5841B87D">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序号</w:t>
            </w:r>
          </w:p>
        </w:tc>
        <w:tc>
          <w:tcPr>
            <w:tcW w:w="809" w:type="pct"/>
            <w:vMerge w:val="restart"/>
            <w:tcBorders>
              <w:tl2br w:val="nil"/>
              <w:tr2bl w:val="nil"/>
            </w:tcBorders>
            <w:shd w:val="clear" w:color="auto" w:fill="auto"/>
            <w:vAlign w:val="center"/>
          </w:tcPr>
          <w:p w14:paraId="6D22D8CF">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声源名称</w:t>
            </w:r>
          </w:p>
        </w:tc>
        <w:tc>
          <w:tcPr>
            <w:tcW w:w="365" w:type="pct"/>
            <w:vMerge w:val="restart"/>
            <w:tcBorders>
              <w:tl2br w:val="nil"/>
              <w:tr2bl w:val="nil"/>
            </w:tcBorders>
            <w:shd w:val="clear" w:color="auto" w:fill="auto"/>
            <w:vAlign w:val="center"/>
          </w:tcPr>
          <w:p w14:paraId="43308963">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型 号</w:t>
            </w:r>
          </w:p>
        </w:tc>
        <w:tc>
          <w:tcPr>
            <w:tcW w:w="768" w:type="pct"/>
            <w:gridSpan w:val="3"/>
            <w:tcBorders>
              <w:tl2br w:val="nil"/>
              <w:tr2bl w:val="nil"/>
            </w:tcBorders>
            <w:shd w:val="clear" w:color="auto" w:fill="auto"/>
            <w:vAlign w:val="center"/>
          </w:tcPr>
          <w:p w14:paraId="704AD721">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空间相对位置</w:t>
            </w:r>
            <w:r>
              <w:rPr>
                <w:rFonts w:hint="default" w:ascii="Times New Roman" w:hAnsi="Times New Roman" w:cs="Times New Roman"/>
                <w:color w:val="auto"/>
                <w:highlight w:val="none"/>
                <w:lang w:val="en-US" w:eastAsia="en-US"/>
              </w:rPr>
              <w:t>/m</w:t>
            </w:r>
          </w:p>
        </w:tc>
        <w:tc>
          <w:tcPr>
            <w:tcW w:w="852" w:type="pct"/>
            <w:tcBorders>
              <w:tl2br w:val="nil"/>
              <w:tr2bl w:val="nil"/>
            </w:tcBorders>
            <w:shd w:val="clear" w:color="auto" w:fill="auto"/>
            <w:vAlign w:val="center"/>
          </w:tcPr>
          <w:p w14:paraId="781EEDA3">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声源源强</w:t>
            </w:r>
          </w:p>
        </w:tc>
        <w:tc>
          <w:tcPr>
            <w:tcW w:w="609" w:type="pct"/>
            <w:vMerge w:val="restart"/>
            <w:tcBorders>
              <w:tl2br w:val="nil"/>
              <w:tr2bl w:val="nil"/>
            </w:tcBorders>
            <w:shd w:val="clear" w:color="auto" w:fill="auto"/>
            <w:vAlign w:val="center"/>
          </w:tcPr>
          <w:p w14:paraId="783CA2AD">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声源</w:t>
            </w:r>
          </w:p>
          <w:p w14:paraId="5579160E">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控制措施</w:t>
            </w:r>
          </w:p>
        </w:tc>
        <w:tc>
          <w:tcPr>
            <w:tcW w:w="373" w:type="pct"/>
            <w:vMerge w:val="restart"/>
            <w:tcBorders>
              <w:tl2br w:val="nil"/>
              <w:tr2bl w:val="nil"/>
            </w:tcBorders>
            <w:shd w:val="clear" w:color="auto" w:fill="auto"/>
            <w:vAlign w:val="center"/>
          </w:tcPr>
          <w:p w14:paraId="6B234F9E">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运行</w:t>
            </w:r>
          </w:p>
          <w:p w14:paraId="61907A60">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时段</w:t>
            </w:r>
          </w:p>
        </w:tc>
        <w:tc>
          <w:tcPr>
            <w:tcW w:w="394" w:type="pct"/>
            <w:vMerge w:val="restart"/>
            <w:tcBorders>
              <w:tl2br w:val="nil"/>
              <w:tr2bl w:val="nil"/>
            </w:tcBorders>
            <w:shd w:val="clear" w:color="auto" w:fill="auto"/>
            <w:vAlign w:val="center"/>
          </w:tcPr>
          <w:p w14:paraId="0A7C89DE">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隔声量</w:t>
            </w:r>
          </w:p>
          <w:p w14:paraId="3EDD1377">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en-US"/>
              </w:rPr>
              <w:t>/dB</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en-US"/>
              </w:rPr>
              <w:t>A</w:t>
            </w:r>
            <w:r>
              <w:rPr>
                <w:rFonts w:hint="default" w:ascii="Times New Roman" w:hAnsi="Times New Roman" w:cs="Times New Roman"/>
                <w:color w:val="auto"/>
                <w:highlight w:val="none"/>
                <w:lang w:val="en-US" w:eastAsia="zh-CN"/>
              </w:rPr>
              <w:t>）</w:t>
            </w:r>
          </w:p>
        </w:tc>
        <w:tc>
          <w:tcPr>
            <w:tcW w:w="511" w:type="pct"/>
            <w:vMerge w:val="restart"/>
            <w:tcBorders>
              <w:tl2br w:val="nil"/>
              <w:tr2bl w:val="nil"/>
            </w:tcBorders>
            <w:shd w:val="clear" w:color="auto" w:fill="auto"/>
            <w:vAlign w:val="center"/>
          </w:tcPr>
          <w:p w14:paraId="2113BAEC">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备注</w:t>
            </w:r>
          </w:p>
        </w:tc>
      </w:tr>
      <w:tr w14:paraId="533736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972" w:hRule="exact"/>
          <w:jc w:val="center"/>
        </w:trPr>
        <w:tc>
          <w:tcPr>
            <w:tcW w:w="315" w:type="pct"/>
            <w:vMerge w:val="continue"/>
            <w:tcBorders>
              <w:tl2br w:val="nil"/>
              <w:tr2bl w:val="nil"/>
            </w:tcBorders>
            <w:shd w:val="clear" w:color="auto" w:fill="auto"/>
            <w:vAlign w:val="center"/>
          </w:tcPr>
          <w:p w14:paraId="42D4C331">
            <w:pPr>
              <w:pStyle w:val="44"/>
              <w:bidi w:val="0"/>
              <w:rPr>
                <w:rFonts w:hint="default" w:ascii="Times New Roman" w:hAnsi="Times New Roman" w:cs="Times New Roman"/>
                <w:color w:val="auto"/>
                <w:highlight w:val="none"/>
                <w:lang w:val="en-US" w:eastAsia="en-US"/>
              </w:rPr>
            </w:pPr>
          </w:p>
        </w:tc>
        <w:tc>
          <w:tcPr>
            <w:tcW w:w="809" w:type="pct"/>
            <w:vMerge w:val="continue"/>
            <w:tcBorders>
              <w:tl2br w:val="nil"/>
              <w:tr2bl w:val="nil"/>
            </w:tcBorders>
            <w:shd w:val="clear" w:color="auto" w:fill="auto"/>
            <w:vAlign w:val="center"/>
          </w:tcPr>
          <w:p w14:paraId="3AD2B8F6">
            <w:pPr>
              <w:pStyle w:val="44"/>
              <w:bidi w:val="0"/>
              <w:rPr>
                <w:rFonts w:hint="default" w:ascii="Times New Roman" w:hAnsi="Times New Roman" w:cs="Times New Roman"/>
                <w:color w:val="auto"/>
                <w:highlight w:val="none"/>
                <w:lang w:val="en-US" w:eastAsia="en-US"/>
              </w:rPr>
            </w:pPr>
          </w:p>
        </w:tc>
        <w:tc>
          <w:tcPr>
            <w:tcW w:w="365" w:type="pct"/>
            <w:vMerge w:val="continue"/>
            <w:tcBorders>
              <w:tl2br w:val="nil"/>
              <w:tr2bl w:val="nil"/>
            </w:tcBorders>
            <w:shd w:val="clear" w:color="auto" w:fill="auto"/>
            <w:vAlign w:val="center"/>
          </w:tcPr>
          <w:p w14:paraId="10B67CA2">
            <w:pPr>
              <w:pStyle w:val="44"/>
              <w:bidi w:val="0"/>
              <w:rPr>
                <w:rFonts w:hint="default" w:ascii="Times New Roman" w:hAnsi="Times New Roman" w:cs="Times New Roman"/>
                <w:color w:val="auto"/>
                <w:highlight w:val="none"/>
                <w:lang w:val="en-US" w:eastAsia="en-US"/>
              </w:rPr>
            </w:pPr>
          </w:p>
        </w:tc>
        <w:tc>
          <w:tcPr>
            <w:tcW w:w="287" w:type="pct"/>
            <w:tcBorders>
              <w:tl2br w:val="nil"/>
              <w:tr2bl w:val="nil"/>
            </w:tcBorders>
            <w:shd w:val="clear" w:color="auto" w:fill="auto"/>
            <w:vAlign w:val="center"/>
          </w:tcPr>
          <w:p w14:paraId="08BB00D3">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X</w:t>
            </w:r>
          </w:p>
        </w:tc>
        <w:tc>
          <w:tcPr>
            <w:tcW w:w="234" w:type="pct"/>
            <w:tcBorders>
              <w:tl2br w:val="nil"/>
              <w:tr2bl w:val="nil"/>
            </w:tcBorders>
            <w:shd w:val="clear" w:color="auto" w:fill="auto"/>
            <w:vAlign w:val="center"/>
          </w:tcPr>
          <w:p w14:paraId="549A9994">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en-US"/>
              </w:rPr>
              <w:t>Y</w:t>
            </w:r>
          </w:p>
        </w:tc>
        <w:tc>
          <w:tcPr>
            <w:tcW w:w="247" w:type="pct"/>
            <w:tcBorders>
              <w:tl2br w:val="nil"/>
              <w:tr2bl w:val="nil"/>
            </w:tcBorders>
            <w:shd w:val="clear" w:color="auto" w:fill="auto"/>
            <w:vAlign w:val="center"/>
          </w:tcPr>
          <w:p w14:paraId="26F3B5D1">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en-US"/>
              </w:rPr>
              <w:t>Z</w:t>
            </w:r>
          </w:p>
        </w:tc>
        <w:tc>
          <w:tcPr>
            <w:tcW w:w="852" w:type="pct"/>
            <w:tcBorders>
              <w:tl2br w:val="nil"/>
              <w:tr2bl w:val="nil"/>
            </w:tcBorders>
            <w:shd w:val="clear" w:color="auto" w:fill="auto"/>
            <w:vAlign w:val="center"/>
          </w:tcPr>
          <w:p w14:paraId="53156969">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声压级/距声源距离）/</w:t>
            </w:r>
          </w:p>
          <w:p w14:paraId="7FDB87A7">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en-US"/>
              </w:rPr>
              <w:t>（dB（A）/m）</w:t>
            </w:r>
          </w:p>
        </w:tc>
        <w:tc>
          <w:tcPr>
            <w:tcW w:w="609" w:type="pct"/>
            <w:vMerge w:val="continue"/>
            <w:tcBorders>
              <w:tl2br w:val="nil"/>
              <w:tr2bl w:val="nil"/>
            </w:tcBorders>
            <w:shd w:val="clear" w:color="auto" w:fill="auto"/>
            <w:vAlign w:val="center"/>
          </w:tcPr>
          <w:p w14:paraId="4FB66865">
            <w:pPr>
              <w:pStyle w:val="44"/>
              <w:bidi w:val="0"/>
              <w:rPr>
                <w:rFonts w:hint="default" w:ascii="Times New Roman" w:hAnsi="Times New Roman" w:cs="Times New Roman"/>
                <w:color w:val="auto"/>
                <w:highlight w:val="none"/>
                <w:lang w:val="en-US" w:eastAsia="en-US"/>
              </w:rPr>
            </w:pPr>
          </w:p>
        </w:tc>
        <w:tc>
          <w:tcPr>
            <w:tcW w:w="373" w:type="pct"/>
            <w:vMerge w:val="continue"/>
            <w:tcBorders>
              <w:tl2br w:val="nil"/>
              <w:tr2bl w:val="nil"/>
            </w:tcBorders>
            <w:shd w:val="clear" w:color="auto" w:fill="auto"/>
            <w:vAlign w:val="center"/>
          </w:tcPr>
          <w:p w14:paraId="415AAC23">
            <w:pPr>
              <w:pStyle w:val="44"/>
              <w:bidi w:val="0"/>
              <w:rPr>
                <w:rFonts w:hint="default" w:ascii="Times New Roman" w:hAnsi="Times New Roman" w:cs="Times New Roman"/>
                <w:color w:val="auto"/>
                <w:highlight w:val="none"/>
                <w:lang w:val="en-US" w:eastAsia="en-US"/>
              </w:rPr>
            </w:pPr>
          </w:p>
        </w:tc>
        <w:tc>
          <w:tcPr>
            <w:tcW w:w="394" w:type="pct"/>
            <w:vMerge w:val="continue"/>
            <w:tcBorders>
              <w:tl2br w:val="nil"/>
              <w:tr2bl w:val="nil"/>
            </w:tcBorders>
            <w:shd w:val="clear" w:color="auto" w:fill="auto"/>
            <w:vAlign w:val="center"/>
          </w:tcPr>
          <w:p w14:paraId="7FF93A36">
            <w:pPr>
              <w:pStyle w:val="44"/>
              <w:bidi w:val="0"/>
              <w:rPr>
                <w:rFonts w:hint="default" w:ascii="Times New Roman" w:hAnsi="Times New Roman" w:cs="Times New Roman"/>
                <w:color w:val="auto"/>
                <w:highlight w:val="none"/>
                <w:lang w:val="en-US" w:eastAsia="en-US"/>
              </w:rPr>
            </w:pPr>
          </w:p>
        </w:tc>
        <w:tc>
          <w:tcPr>
            <w:tcW w:w="511" w:type="pct"/>
            <w:vMerge w:val="continue"/>
            <w:tcBorders>
              <w:tl2br w:val="nil"/>
              <w:tr2bl w:val="nil"/>
            </w:tcBorders>
            <w:shd w:val="clear" w:color="auto" w:fill="auto"/>
            <w:vAlign w:val="center"/>
          </w:tcPr>
          <w:p w14:paraId="1C89CD11">
            <w:pPr>
              <w:pStyle w:val="44"/>
              <w:bidi w:val="0"/>
              <w:rPr>
                <w:rFonts w:hint="default" w:ascii="Times New Roman" w:hAnsi="Times New Roman" w:cs="Times New Roman"/>
                <w:color w:val="auto"/>
                <w:highlight w:val="none"/>
                <w:lang w:val="en-US" w:eastAsia="en-US"/>
              </w:rPr>
            </w:pPr>
          </w:p>
        </w:tc>
      </w:tr>
      <w:tr w14:paraId="5B5435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79" w:hRule="exact"/>
          <w:jc w:val="center"/>
        </w:trPr>
        <w:tc>
          <w:tcPr>
            <w:tcW w:w="315" w:type="pct"/>
            <w:tcBorders>
              <w:tl2br w:val="nil"/>
              <w:tr2bl w:val="nil"/>
            </w:tcBorders>
            <w:shd w:val="clear" w:color="auto" w:fill="auto"/>
            <w:vAlign w:val="center"/>
          </w:tcPr>
          <w:p w14:paraId="47858E49">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809" w:type="pct"/>
            <w:tcBorders>
              <w:tl2br w:val="nil"/>
              <w:tr2bl w:val="nil"/>
            </w:tcBorders>
            <w:shd w:val="clear" w:color="auto" w:fill="auto"/>
            <w:vAlign w:val="center"/>
          </w:tcPr>
          <w:p w14:paraId="0B067CF2">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装载机</w:t>
            </w:r>
          </w:p>
        </w:tc>
        <w:tc>
          <w:tcPr>
            <w:tcW w:w="365" w:type="pct"/>
            <w:tcBorders>
              <w:tl2br w:val="nil"/>
              <w:tr2bl w:val="nil"/>
            </w:tcBorders>
            <w:shd w:val="clear" w:color="auto" w:fill="auto"/>
            <w:vAlign w:val="center"/>
          </w:tcPr>
          <w:p w14:paraId="5FA7BF83">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87" w:type="pct"/>
            <w:tcBorders>
              <w:tl2br w:val="nil"/>
              <w:tr2bl w:val="nil"/>
            </w:tcBorders>
            <w:shd w:val="clear" w:color="auto" w:fill="auto"/>
            <w:vAlign w:val="center"/>
          </w:tcPr>
          <w:p w14:paraId="44594820">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34" w:type="pct"/>
            <w:tcBorders>
              <w:tl2br w:val="nil"/>
              <w:tr2bl w:val="nil"/>
            </w:tcBorders>
            <w:shd w:val="clear" w:color="auto" w:fill="auto"/>
            <w:vAlign w:val="center"/>
          </w:tcPr>
          <w:p w14:paraId="1F43A0AB">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47" w:type="pct"/>
            <w:tcBorders>
              <w:tl2br w:val="nil"/>
              <w:tr2bl w:val="nil"/>
            </w:tcBorders>
            <w:shd w:val="clear" w:color="auto" w:fill="auto"/>
            <w:vAlign w:val="center"/>
          </w:tcPr>
          <w:p w14:paraId="0EFB5CEA">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852" w:type="pct"/>
            <w:tcBorders>
              <w:tl2br w:val="nil"/>
              <w:tr2bl w:val="nil"/>
            </w:tcBorders>
            <w:shd w:val="clear" w:color="auto" w:fill="auto"/>
            <w:vAlign w:val="center"/>
          </w:tcPr>
          <w:p w14:paraId="01B144AB">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92/5m</w:t>
            </w:r>
          </w:p>
        </w:tc>
        <w:tc>
          <w:tcPr>
            <w:tcW w:w="609" w:type="pct"/>
            <w:vMerge w:val="restart"/>
            <w:tcBorders>
              <w:tl2br w:val="nil"/>
              <w:tr2bl w:val="nil"/>
            </w:tcBorders>
            <w:shd w:val="clear" w:color="auto" w:fill="auto"/>
            <w:vAlign w:val="center"/>
          </w:tcPr>
          <w:p w14:paraId="5FB6B0DD">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选用低噪声车辆，加强车辆维护保养，避免夜间操作</w:t>
            </w:r>
          </w:p>
        </w:tc>
        <w:tc>
          <w:tcPr>
            <w:tcW w:w="373" w:type="pct"/>
            <w:tcBorders>
              <w:tl2br w:val="nil"/>
              <w:tr2bl w:val="nil"/>
            </w:tcBorders>
            <w:shd w:val="clear" w:color="auto" w:fill="auto"/>
            <w:vAlign w:val="center"/>
          </w:tcPr>
          <w:p w14:paraId="309098A9">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昼间</w:t>
            </w:r>
          </w:p>
        </w:tc>
        <w:tc>
          <w:tcPr>
            <w:tcW w:w="394" w:type="pct"/>
            <w:tcBorders>
              <w:tl2br w:val="nil"/>
              <w:tr2bl w:val="nil"/>
            </w:tcBorders>
            <w:shd w:val="clear" w:color="auto" w:fill="auto"/>
            <w:vAlign w:val="center"/>
          </w:tcPr>
          <w:p w14:paraId="264BDE55">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25</w:t>
            </w:r>
          </w:p>
        </w:tc>
        <w:tc>
          <w:tcPr>
            <w:tcW w:w="511" w:type="pct"/>
            <w:tcBorders>
              <w:tl2br w:val="nil"/>
              <w:tr2bl w:val="nil"/>
            </w:tcBorders>
            <w:shd w:val="clear" w:color="auto" w:fill="auto"/>
            <w:vAlign w:val="center"/>
          </w:tcPr>
          <w:p w14:paraId="752110CF">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移动源</w:t>
            </w:r>
          </w:p>
        </w:tc>
      </w:tr>
      <w:tr w14:paraId="10C280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78" w:hRule="exact"/>
          <w:jc w:val="center"/>
        </w:trPr>
        <w:tc>
          <w:tcPr>
            <w:tcW w:w="315" w:type="pct"/>
            <w:tcBorders>
              <w:tl2br w:val="nil"/>
              <w:tr2bl w:val="nil"/>
            </w:tcBorders>
            <w:shd w:val="clear" w:color="auto" w:fill="auto"/>
            <w:vAlign w:val="center"/>
          </w:tcPr>
          <w:p w14:paraId="7829306F">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809" w:type="pct"/>
            <w:tcBorders>
              <w:tl2br w:val="nil"/>
              <w:tr2bl w:val="nil"/>
            </w:tcBorders>
            <w:shd w:val="clear" w:color="auto" w:fill="auto"/>
            <w:vAlign w:val="center"/>
          </w:tcPr>
          <w:p w14:paraId="2262A263">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推土机</w:t>
            </w:r>
          </w:p>
        </w:tc>
        <w:tc>
          <w:tcPr>
            <w:tcW w:w="365" w:type="pct"/>
            <w:tcBorders>
              <w:tl2br w:val="nil"/>
              <w:tr2bl w:val="nil"/>
            </w:tcBorders>
            <w:shd w:val="clear" w:color="auto" w:fill="auto"/>
            <w:vAlign w:val="center"/>
          </w:tcPr>
          <w:p w14:paraId="6E647428">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87" w:type="pct"/>
            <w:tcBorders>
              <w:tl2br w:val="nil"/>
              <w:tr2bl w:val="nil"/>
            </w:tcBorders>
            <w:shd w:val="clear" w:color="auto" w:fill="auto"/>
            <w:vAlign w:val="center"/>
          </w:tcPr>
          <w:p w14:paraId="39F90FE6">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34" w:type="pct"/>
            <w:tcBorders>
              <w:tl2br w:val="nil"/>
              <w:tr2bl w:val="nil"/>
            </w:tcBorders>
            <w:shd w:val="clear" w:color="auto" w:fill="auto"/>
            <w:vAlign w:val="center"/>
          </w:tcPr>
          <w:p w14:paraId="13E0A2CF">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247" w:type="pct"/>
            <w:tcBorders>
              <w:tl2br w:val="nil"/>
              <w:tr2bl w:val="nil"/>
            </w:tcBorders>
            <w:shd w:val="clear" w:color="auto" w:fill="auto"/>
            <w:vAlign w:val="center"/>
          </w:tcPr>
          <w:p w14:paraId="43B466EC">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852" w:type="pct"/>
            <w:tcBorders>
              <w:tl2br w:val="nil"/>
              <w:tr2bl w:val="nil"/>
            </w:tcBorders>
            <w:shd w:val="clear" w:color="auto" w:fill="auto"/>
            <w:vAlign w:val="center"/>
          </w:tcPr>
          <w:p w14:paraId="793B8708">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96/5m</w:t>
            </w:r>
          </w:p>
        </w:tc>
        <w:tc>
          <w:tcPr>
            <w:tcW w:w="609" w:type="pct"/>
            <w:vMerge w:val="continue"/>
            <w:tcBorders>
              <w:tl2br w:val="nil"/>
              <w:tr2bl w:val="nil"/>
            </w:tcBorders>
            <w:shd w:val="clear" w:color="auto" w:fill="auto"/>
            <w:vAlign w:val="center"/>
          </w:tcPr>
          <w:p w14:paraId="1476F0E4">
            <w:pPr>
              <w:pStyle w:val="44"/>
              <w:bidi w:val="0"/>
              <w:rPr>
                <w:rFonts w:hint="default" w:ascii="Times New Roman" w:hAnsi="Times New Roman" w:cs="Times New Roman"/>
                <w:color w:val="auto"/>
                <w:highlight w:val="none"/>
                <w:lang w:val="en-US" w:eastAsia="en-US"/>
              </w:rPr>
            </w:pPr>
          </w:p>
        </w:tc>
        <w:tc>
          <w:tcPr>
            <w:tcW w:w="373" w:type="pct"/>
            <w:tcBorders>
              <w:tl2br w:val="nil"/>
              <w:tr2bl w:val="nil"/>
            </w:tcBorders>
            <w:shd w:val="clear" w:color="auto" w:fill="auto"/>
            <w:vAlign w:val="center"/>
          </w:tcPr>
          <w:p w14:paraId="12B4D80E">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昼间</w:t>
            </w:r>
          </w:p>
        </w:tc>
        <w:tc>
          <w:tcPr>
            <w:tcW w:w="394" w:type="pct"/>
            <w:tcBorders>
              <w:tl2br w:val="nil"/>
              <w:tr2bl w:val="nil"/>
            </w:tcBorders>
            <w:shd w:val="clear" w:color="auto" w:fill="auto"/>
            <w:vAlign w:val="center"/>
          </w:tcPr>
          <w:p w14:paraId="4F8C46EA">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25</w:t>
            </w:r>
          </w:p>
        </w:tc>
        <w:tc>
          <w:tcPr>
            <w:tcW w:w="511" w:type="pct"/>
            <w:tcBorders>
              <w:tl2br w:val="nil"/>
              <w:tr2bl w:val="nil"/>
            </w:tcBorders>
            <w:shd w:val="clear" w:color="auto" w:fill="auto"/>
            <w:vAlign w:val="center"/>
          </w:tcPr>
          <w:p w14:paraId="190B8662">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移动源</w:t>
            </w:r>
          </w:p>
        </w:tc>
      </w:tr>
      <w:tr w14:paraId="5CE3DD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83" w:hRule="exact"/>
          <w:jc w:val="center"/>
        </w:trPr>
        <w:tc>
          <w:tcPr>
            <w:tcW w:w="315" w:type="pct"/>
            <w:tcBorders>
              <w:tl2br w:val="nil"/>
              <w:tr2bl w:val="nil"/>
            </w:tcBorders>
            <w:shd w:val="clear" w:color="auto" w:fill="auto"/>
            <w:vAlign w:val="center"/>
          </w:tcPr>
          <w:p w14:paraId="57320EB7">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w:t>
            </w:r>
          </w:p>
        </w:tc>
        <w:tc>
          <w:tcPr>
            <w:tcW w:w="809" w:type="pct"/>
            <w:tcBorders>
              <w:tl2br w:val="nil"/>
              <w:tr2bl w:val="nil"/>
            </w:tcBorders>
            <w:shd w:val="clear" w:color="auto" w:fill="auto"/>
            <w:vAlign w:val="center"/>
          </w:tcPr>
          <w:p w14:paraId="53A786BE">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压实机</w:t>
            </w:r>
          </w:p>
        </w:tc>
        <w:tc>
          <w:tcPr>
            <w:tcW w:w="660" w:type="dxa"/>
            <w:tcBorders>
              <w:tl2br w:val="nil"/>
              <w:tr2bl w:val="nil"/>
            </w:tcBorders>
            <w:shd w:val="clear" w:color="auto" w:fill="auto"/>
            <w:vAlign w:val="center"/>
          </w:tcPr>
          <w:p w14:paraId="5FB5132C">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519" w:type="dxa"/>
            <w:tcBorders>
              <w:tl2br w:val="nil"/>
              <w:tr2bl w:val="nil"/>
            </w:tcBorders>
            <w:shd w:val="clear" w:color="auto" w:fill="auto"/>
            <w:vAlign w:val="center"/>
          </w:tcPr>
          <w:p w14:paraId="09A4B8B4">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423" w:type="dxa"/>
            <w:tcBorders>
              <w:tl2br w:val="nil"/>
              <w:tr2bl w:val="nil"/>
            </w:tcBorders>
            <w:shd w:val="clear" w:color="auto" w:fill="auto"/>
            <w:vAlign w:val="center"/>
          </w:tcPr>
          <w:p w14:paraId="46E5D399">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447" w:type="dxa"/>
            <w:tcBorders>
              <w:tl2br w:val="nil"/>
              <w:tr2bl w:val="nil"/>
            </w:tcBorders>
            <w:shd w:val="clear" w:color="auto" w:fill="auto"/>
            <w:vAlign w:val="center"/>
          </w:tcPr>
          <w:p w14:paraId="2E351322">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852" w:type="pct"/>
            <w:tcBorders>
              <w:tl2br w:val="nil"/>
              <w:tr2bl w:val="nil"/>
            </w:tcBorders>
            <w:shd w:val="clear" w:color="auto" w:fill="auto"/>
            <w:vAlign w:val="center"/>
          </w:tcPr>
          <w:p w14:paraId="4EBDFF45">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90/5m</w:t>
            </w:r>
          </w:p>
        </w:tc>
        <w:tc>
          <w:tcPr>
            <w:tcW w:w="609" w:type="pct"/>
            <w:vMerge w:val="continue"/>
            <w:tcBorders>
              <w:tl2br w:val="nil"/>
              <w:tr2bl w:val="nil"/>
            </w:tcBorders>
            <w:shd w:val="clear" w:color="auto" w:fill="auto"/>
            <w:vAlign w:val="center"/>
          </w:tcPr>
          <w:p w14:paraId="573F6B42">
            <w:pPr>
              <w:pStyle w:val="44"/>
              <w:bidi w:val="0"/>
              <w:rPr>
                <w:rFonts w:hint="default" w:ascii="Times New Roman" w:hAnsi="Times New Roman" w:cs="Times New Roman"/>
                <w:color w:val="auto"/>
                <w:highlight w:val="none"/>
                <w:lang w:val="en-US" w:eastAsia="en-US"/>
              </w:rPr>
            </w:pPr>
          </w:p>
        </w:tc>
        <w:tc>
          <w:tcPr>
            <w:tcW w:w="373" w:type="pct"/>
            <w:tcBorders>
              <w:tl2br w:val="nil"/>
              <w:tr2bl w:val="nil"/>
            </w:tcBorders>
            <w:shd w:val="clear" w:color="auto" w:fill="auto"/>
            <w:vAlign w:val="center"/>
          </w:tcPr>
          <w:p w14:paraId="496F73B8">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昼间</w:t>
            </w:r>
          </w:p>
        </w:tc>
        <w:tc>
          <w:tcPr>
            <w:tcW w:w="394" w:type="pct"/>
            <w:tcBorders>
              <w:tl2br w:val="nil"/>
              <w:tr2bl w:val="nil"/>
            </w:tcBorders>
            <w:shd w:val="clear" w:color="auto" w:fill="auto"/>
            <w:vAlign w:val="center"/>
          </w:tcPr>
          <w:p w14:paraId="77787925">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25</w:t>
            </w:r>
          </w:p>
        </w:tc>
        <w:tc>
          <w:tcPr>
            <w:tcW w:w="511" w:type="pct"/>
            <w:tcBorders>
              <w:tl2br w:val="nil"/>
              <w:tr2bl w:val="nil"/>
            </w:tcBorders>
            <w:shd w:val="clear" w:color="auto" w:fill="auto"/>
            <w:vAlign w:val="center"/>
          </w:tcPr>
          <w:p w14:paraId="565DB62D">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移动源</w:t>
            </w:r>
          </w:p>
        </w:tc>
      </w:tr>
      <w:tr w14:paraId="6AFF6B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701" w:hRule="exact"/>
          <w:jc w:val="center"/>
        </w:trPr>
        <w:tc>
          <w:tcPr>
            <w:tcW w:w="315" w:type="pct"/>
            <w:tcBorders>
              <w:tl2br w:val="nil"/>
              <w:tr2bl w:val="nil"/>
            </w:tcBorders>
            <w:shd w:val="clear" w:color="auto" w:fill="auto"/>
            <w:vAlign w:val="center"/>
          </w:tcPr>
          <w:p w14:paraId="795302CB">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w:t>
            </w:r>
          </w:p>
        </w:tc>
        <w:tc>
          <w:tcPr>
            <w:tcW w:w="809" w:type="pct"/>
            <w:tcBorders>
              <w:tl2br w:val="nil"/>
              <w:tr2bl w:val="nil"/>
            </w:tcBorders>
            <w:shd w:val="clear" w:color="auto" w:fill="auto"/>
            <w:vAlign w:val="center"/>
          </w:tcPr>
          <w:p w14:paraId="6C595EAF">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洒水车</w:t>
            </w:r>
          </w:p>
        </w:tc>
        <w:tc>
          <w:tcPr>
            <w:tcW w:w="660" w:type="dxa"/>
            <w:tcBorders>
              <w:tl2br w:val="nil"/>
              <w:tr2bl w:val="nil"/>
            </w:tcBorders>
            <w:shd w:val="clear" w:color="auto" w:fill="auto"/>
            <w:vAlign w:val="center"/>
          </w:tcPr>
          <w:p w14:paraId="13DEF30B">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519" w:type="dxa"/>
            <w:tcBorders>
              <w:tl2br w:val="nil"/>
              <w:tr2bl w:val="nil"/>
            </w:tcBorders>
            <w:shd w:val="clear" w:color="auto" w:fill="auto"/>
            <w:vAlign w:val="center"/>
          </w:tcPr>
          <w:p w14:paraId="74AE847F">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423" w:type="dxa"/>
            <w:tcBorders>
              <w:tl2br w:val="nil"/>
              <w:tr2bl w:val="nil"/>
            </w:tcBorders>
            <w:shd w:val="clear" w:color="auto" w:fill="auto"/>
            <w:vAlign w:val="center"/>
          </w:tcPr>
          <w:p w14:paraId="0B69DF6B">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447" w:type="dxa"/>
            <w:tcBorders>
              <w:tl2br w:val="nil"/>
              <w:tr2bl w:val="nil"/>
            </w:tcBorders>
            <w:shd w:val="clear" w:color="auto" w:fill="auto"/>
            <w:vAlign w:val="center"/>
          </w:tcPr>
          <w:p w14:paraId="61F84117">
            <w:pPr>
              <w:pStyle w:val="44"/>
              <w:bidi w:val="0"/>
              <w:rPr>
                <w:rFonts w:hint="default" w:ascii="Times New Roman" w:hAnsi="Times New Roman" w:cs="Times New Roman"/>
                <w:color w:val="auto"/>
                <w:highlight w:val="none"/>
                <w:lang w:val="en-US" w:eastAsia="en-US"/>
              </w:rPr>
            </w:pPr>
            <w:r>
              <w:rPr>
                <w:rFonts w:hint="default" w:ascii="Times New Roman" w:hAnsi="Times New Roman" w:cs="Times New Roman"/>
                <w:color w:val="auto"/>
                <w:highlight w:val="none"/>
                <w:lang w:val="en-US" w:eastAsia="zh-CN"/>
              </w:rPr>
              <w:t>/</w:t>
            </w:r>
          </w:p>
        </w:tc>
        <w:tc>
          <w:tcPr>
            <w:tcW w:w="852" w:type="pct"/>
            <w:tcBorders>
              <w:tl2br w:val="nil"/>
              <w:tr2bl w:val="nil"/>
            </w:tcBorders>
            <w:shd w:val="clear" w:color="auto" w:fill="auto"/>
            <w:vAlign w:val="center"/>
          </w:tcPr>
          <w:p w14:paraId="5157559F">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90/5m</w:t>
            </w:r>
          </w:p>
        </w:tc>
        <w:tc>
          <w:tcPr>
            <w:tcW w:w="609" w:type="pct"/>
            <w:vMerge w:val="continue"/>
            <w:tcBorders>
              <w:tl2br w:val="nil"/>
              <w:tr2bl w:val="nil"/>
            </w:tcBorders>
            <w:shd w:val="clear" w:color="auto" w:fill="auto"/>
            <w:vAlign w:val="center"/>
          </w:tcPr>
          <w:p w14:paraId="73610332">
            <w:pPr>
              <w:pStyle w:val="44"/>
              <w:bidi w:val="0"/>
              <w:rPr>
                <w:rFonts w:hint="default" w:ascii="Times New Roman" w:hAnsi="Times New Roman" w:cs="Times New Roman"/>
                <w:color w:val="auto"/>
                <w:highlight w:val="none"/>
                <w:lang w:val="en-US" w:eastAsia="en-US"/>
              </w:rPr>
            </w:pPr>
          </w:p>
        </w:tc>
        <w:tc>
          <w:tcPr>
            <w:tcW w:w="373" w:type="pct"/>
            <w:tcBorders>
              <w:tl2br w:val="nil"/>
              <w:tr2bl w:val="nil"/>
            </w:tcBorders>
            <w:shd w:val="clear" w:color="auto" w:fill="auto"/>
            <w:vAlign w:val="center"/>
          </w:tcPr>
          <w:p w14:paraId="2E015EA3">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昼间</w:t>
            </w:r>
          </w:p>
        </w:tc>
        <w:tc>
          <w:tcPr>
            <w:tcW w:w="394" w:type="pct"/>
            <w:tcBorders>
              <w:tl2br w:val="nil"/>
              <w:tr2bl w:val="nil"/>
            </w:tcBorders>
            <w:shd w:val="clear" w:color="auto" w:fill="auto"/>
            <w:vAlign w:val="center"/>
          </w:tcPr>
          <w:p w14:paraId="53F23D3C">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25</w:t>
            </w:r>
          </w:p>
        </w:tc>
        <w:tc>
          <w:tcPr>
            <w:tcW w:w="511" w:type="pct"/>
            <w:tcBorders>
              <w:tl2br w:val="nil"/>
              <w:tr2bl w:val="nil"/>
            </w:tcBorders>
            <w:shd w:val="clear" w:color="auto" w:fill="auto"/>
            <w:vAlign w:val="center"/>
          </w:tcPr>
          <w:p w14:paraId="0D829227">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移动源</w:t>
            </w:r>
          </w:p>
        </w:tc>
      </w:tr>
      <w:tr w14:paraId="2CDC6E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12" w:hRule="exact"/>
          <w:jc w:val="center"/>
        </w:trPr>
        <w:tc>
          <w:tcPr>
            <w:tcW w:w="315" w:type="pct"/>
            <w:tcBorders>
              <w:tl2br w:val="nil"/>
              <w:tr2bl w:val="nil"/>
            </w:tcBorders>
            <w:shd w:val="clear" w:color="auto" w:fill="auto"/>
            <w:vAlign w:val="center"/>
          </w:tcPr>
          <w:p w14:paraId="58245FA8">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809" w:type="pct"/>
            <w:tcBorders>
              <w:tl2br w:val="nil"/>
              <w:tr2bl w:val="nil"/>
            </w:tcBorders>
            <w:shd w:val="clear" w:color="auto" w:fill="auto"/>
            <w:vAlign w:val="center"/>
          </w:tcPr>
          <w:p w14:paraId="45431683">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自卸汽车</w:t>
            </w:r>
          </w:p>
        </w:tc>
        <w:tc>
          <w:tcPr>
            <w:tcW w:w="365" w:type="pct"/>
            <w:tcBorders>
              <w:tl2br w:val="nil"/>
              <w:tr2bl w:val="nil"/>
            </w:tcBorders>
            <w:shd w:val="clear" w:color="auto" w:fill="auto"/>
            <w:vAlign w:val="center"/>
          </w:tcPr>
          <w:p w14:paraId="0F580C45">
            <w:pPr>
              <w:pStyle w:val="44"/>
              <w:bidi w:val="0"/>
              <w:rPr>
                <w:rFonts w:hint="default" w:ascii="Times New Roman" w:hAnsi="Times New Roman" w:cs="Times New Roman"/>
                <w:color w:val="auto"/>
                <w:highlight w:val="none"/>
                <w:lang w:val="en-US" w:eastAsia="en-US"/>
              </w:rPr>
            </w:pPr>
            <w:r>
              <w:rPr>
                <w:rFonts w:hint="default" w:ascii="Times New Roman" w:hAnsi="Times New Roman" w:cs="Times New Roman"/>
                <w:color w:val="auto"/>
                <w:highlight w:val="none"/>
                <w:lang w:val="en-US" w:eastAsia="zh-CN"/>
              </w:rPr>
              <w:t>/</w:t>
            </w:r>
          </w:p>
        </w:tc>
        <w:tc>
          <w:tcPr>
            <w:tcW w:w="287" w:type="pct"/>
            <w:tcBorders>
              <w:tl2br w:val="nil"/>
              <w:tr2bl w:val="nil"/>
            </w:tcBorders>
            <w:shd w:val="clear" w:color="auto" w:fill="auto"/>
            <w:vAlign w:val="center"/>
          </w:tcPr>
          <w:p w14:paraId="57BEDD5C">
            <w:pPr>
              <w:pStyle w:val="44"/>
              <w:bidi w:val="0"/>
              <w:rPr>
                <w:rFonts w:hint="default" w:ascii="Times New Roman" w:hAnsi="Times New Roman" w:cs="Times New Roman"/>
                <w:color w:val="auto"/>
                <w:highlight w:val="none"/>
                <w:lang w:val="en-US" w:eastAsia="en-US"/>
              </w:rPr>
            </w:pPr>
            <w:r>
              <w:rPr>
                <w:rFonts w:hint="default" w:ascii="Times New Roman" w:hAnsi="Times New Roman" w:cs="Times New Roman"/>
                <w:color w:val="auto"/>
                <w:highlight w:val="none"/>
                <w:lang w:val="en-US" w:eastAsia="zh-CN"/>
              </w:rPr>
              <w:t>/</w:t>
            </w:r>
          </w:p>
        </w:tc>
        <w:tc>
          <w:tcPr>
            <w:tcW w:w="234" w:type="pct"/>
            <w:tcBorders>
              <w:tl2br w:val="nil"/>
              <w:tr2bl w:val="nil"/>
            </w:tcBorders>
            <w:shd w:val="clear" w:color="auto" w:fill="auto"/>
            <w:vAlign w:val="center"/>
          </w:tcPr>
          <w:p w14:paraId="55F0A568">
            <w:pPr>
              <w:pStyle w:val="44"/>
              <w:bidi w:val="0"/>
              <w:rPr>
                <w:rFonts w:hint="default" w:ascii="Times New Roman" w:hAnsi="Times New Roman" w:cs="Times New Roman"/>
                <w:color w:val="auto"/>
                <w:highlight w:val="none"/>
                <w:lang w:val="en-US" w:eastAsia="en-US"/>
              </w:rPr>
            </w:pPr>
            <w:r>
              <w:rPr>
                <w:rFonts w:hint="default" w:ascii="Times New Roman" w:hAnsi="Times New Roman" w:cs="Times New Roman"/>
                <w:color w:val="auto"/>
                <w:highlight w:val="none"/>
                <w:lang w:val="en-US" w:eastAsia="zh-CN"/>
              </w:rPr>
              <w:t>/</w:t>
            </w:r>
          </w:p>
        </w:tc>
        <w:tc>
          <w:tcPr>
            <w:tcW w:w="247" w:type="pct"/>
            <w:tcBorders>
              <w:tl2br w:val="nil"/>
              <w:tr2bl w:val="nil"/>
            </w:tcBorders>
            <w:shd w:val="clear" w:color="auto" w:fill="auto"/>
            <w:vAlign w:val="center"/>
          </w:tcPr>
          <w:p w14:paraId="186C89B6">
            <w:pPr>
              <w:pStyle w:val="44"/>
              <w:bidi w:val="0"/>
              <w:rPr>
                <w:rFonts w:hint="default" w:ascii="Times New Roman" w:hAnsi="Times New Roman" w:cs="Times New Roman"/>
                <w:color w:val="auto"/>
                <w:highlight w:val="none"/>
                <w:lang w:val="en-US" w:eastAsia="en-US"/>
              </w:rPr>
            </w:pPr>
            <w:r>
              <w:rPr>
                <w:rFonts w:hint="default" w:ascii="Times New Roman" w:hAnsi="Times New Roman" w:cs="Times New Roman"/>
                <w:color w:val="auto"/>
                <w:highlight w:val="none"/>
                <w:lang w:val="en-US" w:eastAsia="zh-CN"/>
              </w:rPr>
              <w:t>/</w:t>
            </w:r>
          </w:p>
        </w:tc>
        <w:tc>
          <w:tcPr>
            <w:tcW w:w="852" w:type="pct"/>
            <w:tcBorders>
              <w:tl2br w:val="nil"/>
              <w:tr2bl w:val="nil"/>
            </w:tcBorders>
            <w:shd w:val="clear" w:color="auto" w:fill="auto"/>
            <w:vAlign w:val="center"/>
          </w:tcPr>
          <w:p w14:paraId="1E42C18C">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92/5m</w:t>
            </w:r>
          </w:p>
        </w:tc>
        <w:tc>
          <w:tcPr>
            <w:tcW w:w="609" w:type="pct"/>
            <w:vMerge w:val="continue"/>
            <w:tcBorders>
              <w:tl2br w:val="nil"/>
              <w:tr2bl w:val="nil"/>
            </w:tcBorders>
            <w:shd w:val="clear" w:color="auto" w:fill="auto"/>
            <w:vAlign w:val="center"/>
          </w:tcPr>
          <w:p w14:paraId="2BDE5911">
            <w:pPr>
              <w:pStyle w:val="44"/>
              <w:bidi w:val="0"/>
              <w:rPr>
                <w:rFonts w:hint="default" w:ascii="Times New Roman" w:hAnsi="Times New Roman" w:cs="Times New Roman"/>
                <w:color w:val="auto"/>
                <w:highlight w:val="none"/>
                <w:lang w:val="en-US" w:eastAsia="en-US"/>
              </w:rPr>
            </w:pPr>
          </w:p>
        </w:tc>
        <w:tc>
          <w:tcPr>
            <w:tcW w:w="373" w:type="pct"/>
            <w:tcBorders>
              <w:tl2br w:val="nil"/>
              <w:tr2bl w:val="nil"/>
            </w:tcBorders>
            <w:shd w:val="clear" w:color="auto" w:fill="auto"/>
            <w:vAlign w:val="center"/>
          </w:tcPr>
          <w:p w14:paraId="7445CBB5">
            <w:pPr>
              <w:pStyle w:val="44"/>
              <w:bidi w:val="0"/>
              <w:rPr>
                <w:rFonts w:hint="default" w:ascii="Times New Roman" w:hAnsi="Times New Roman" w:cs="Times New Roman"/>
                <w:color w:val="auto"/>
                <w:highlight w:val="none"/>
                <w:lang w:val="en-US" w:eastAsia="en-US"/>
              </w:rPr>
            </w:pPr>
            <w:r>
              <w:rPr>
                <w:rFonts w:hint="default" w:ascii="Times New Roman" w:hAnsi="Times New Roman" w:cs="Times New Roman"/>
                <w:color w:val="auto"/>
                <w:highlight w:val="none"/>
                <w:lang w:val="en-US" w:eastAsia="zh-CN"/>
              </w:rPr>
              <w:t>昼间</w:t>
            </w:r>
          </w:p>
        </w:tc>
        <w:tc>
          <w:tcPr>
            <w:tcW w:w="394" w:type="pct"/>
            <w:tcBorders>
              <w:tl2br w:val="nil"/>
              <w:tr2bl w:val="nil"/>
            </w:tcBorders>
            <w:shd w:val="clear" w:color="auto" w:fill="auto"/>
            <w:vAlign w:val="center"/>
          </w:tcPr>
          <w:p w14:paraId="5C7EA2B8">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25</w:t>
            </w:r>
          </w:p>
        </w:tc>
        <w:tc>
          <w:tcPr>
            <w:tcW w:w="511" w:type="pct"/>
            <w:tcBorders>
              <w:tl2br w:val="nil"/>
              <w:tr2bl w:val="nil"/>
            </w:tcBorders>
            <w:shd w:val="clear" w:color="auto" w:fill="auto"/>
            <w:vAlign w:val="center"/>
          </w:tcPr>
          <w:p w14:paraId="59139764">
            <w:pPr>
              <w:pStyle w:val="44"/>
              <w:bidi w:val="0"/>
              <w:rPr>
                <w:rFonts w:hint="default" w:ascii="Times New Roman" w:hAnsi="Times New Roman" w:cs="Times New Roman"/>
                <w:color w:val="auto"/>
                <w:highlight w:val="none"/>
                <w:lang w:val="en-US" w:eastAsia="en-US"/>
              </w:rPr>
            </w:pPr>
            <w:r>
              <w:rPr>
                <w:rFonts w:hint="default" w:ascii="Times New Roman" w:hAnsi="Times New Roman" w:cs="Times New Roman"/>
                <w:color w:val="auto"/>
                <w:highlight w:val="none"/>
                <w:lang w:val="en-US" w:eastAsia="zh-CN"/>
              </w:rPr>
              <w:t>移动源</w:t>
            </w:r>
          </w:p>
        </w:tc>
      </w:tr>
    </w:tbl>
    <w:p w14:paraId="2EC0F066">
      <w:pPr>
        <w:bidi w:val="0"/>
        <w:spacing w:line="360" w:lineRule="auto"/>
        <w:ind w:firstLine="480" w:firstLineChars="20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为减轻工程噪声对周围环境的影响，工程采用加强作业机械管理和控制运行车辆车速的措施降低噪声，经采取上述措施后，场界噪声能够满足《工业企业厂界环境噪声排放标准》（GB12348-2008）表1中1、2类标准要求。</w:t>
      </w:r>
    </w:p>
    <w:p w14:paraId="4438A638">
      <w:pPr>
        <w:pStyle w:val="25"/>
        <w:bidi w:val="0"/>
        <w:rPr>
          <w:rFonts w:hint="default"/>
          <w:color w:val="auto"/>
        </w:rPr>
      </w:pPr>
      <w:r>
        <w:rPr>
          <w:rFonts w:hint="default"/>
          <w:color w:val="auto"/>
          <w:lang w:val="en-US" w:eastAsia="zh-CN"/>
        </w:rPr>
        <w:t>4、</w:t>
      </w:r>
      <w:r>
        <w:rPr>
          <w:rFonts w:hint="default"/>
          <w:color w:val="auto"/>
        </w:rPr>
        <w:t>固体废物</w:t>
      </w:r>
    </w:p>
    <w:p w14:paraId="61898D16">
      <w:pPr>
        <w:pStyle w:val="25"/>
        <w:bidi w:val="0"/>
        <w:rPr>
          <w:rFonts w:hint="default"/>
          <w:color w:val="auto"/>
          <w:lang w:val="en-US" w:eastAsia="zh-CN"/>
        </w:rPr>
      </w:pPr>
      <w:r>
        <w:rPr>
          <w:rFonts w:hint="default"/>
          <w:color w:val="auto"/>
          <w:lang w:val="en-US" w:eastAsia="zh-CN"/>
        </w:rPr>
        <w:t>本项目施工期产生固废为建筑垃圾、场地清理废物、厂区内现在废石 及清理的基岩、沉渣等。</w:t>
      </w:r>
    </w:p>
    <w:p w14:paraId="2A432F8F">
      <w:pPr>
        <w:pStyle w:val="25"/>
        <w:bidi w:val="0"/>
        <w:rPr>
          <w:rFonts w:hint="default"/>
          <w:color w:val="auto"/>
          <w:lang w:val="en-US" w:eastAsia="zh-CN"/>
        </w:rPr>
      </w:pPr>
      <w:r>
        <w:rPr>
          <w:rFonts w:hint="default"/>
          <w:color w:val="auto"/>
          <w:lang w:val="en-US" w:eastAsia="zh-CN"/>
        </w:rPr>
        <w:t>建筑材料下脚料、包装袋等建筑废弃物，外售废品回收部门；</w:t>
      </w:r>
    </w:p>
    <w:p w14:paraId="00A2775D">
      <w:pPr>
        <w:pStyle w:val="25"/>
        <w:bidi w:val="0"/>
        <w:rPr>
          <w:rFonts w:hint="default"/>
          <w:color w:val="auto"/>
          <w:lang w:val="en-US" w:eastAsia="zh-CN"/>
        </w:rPr>
      </w:pPr>
      <w:r>
        <w:rPr>
          <w:rFonts w:hint="default"/>
          <w:color w:val="auto"/>
          <w:lang w:val="en-US" w:eastAsia="zh-CN"/>
        </w:rPr>
        <w:t>场地清理废物包含杂草、草木根茎、杂物等，集中收集后交由市政部门统一处理。</w:t>
      </w:r>
    </w:p>
    <w:p w14:paraId="4EB79981">
      <w:pPr>
        <w:pStyle w:val="25"/>
        <w:bidi w:val="0"/>
        <w:rPr>
          <w:rFonts w:hint="default"/>
          <w:color w:val="auto"/>
          <w:lang w:val="en-US" w:eastAsia="zh-CN"/>
        </w:rPr>
      </w:pPr>
      <w:r>
        <w:rPr>
          <w:rFonts w:hint="default"/>
          <w:color w:val="auto"/>
          <w:lang w:val="en-US" w:eastAsia="zh-CN"/>
        </w:rPr>
        <w:t>生活垃圾集中收集，交由市政部门统一处理。</w:t>
      </w:r>
    </w:p>
    <w:p w14:paraId="1130590B">
      <w:pPr>
        <w:pStyle w:val="25"/>
        <w:bidi w:val="0"/>
        <w:rPr>
          <w:rFonts w:hint="default"/>
          <w:color w:val="auto"/>
          <w:lang w:val="en-US" w:eastAsia="zh-CN"/>
        </w:rPr>
      </w:pPr>
      <w:r>
        <w:rPr>
          <w:rFonts w:hint="default"/>
          <w:color w:val="auto"/>
          <w:lang w:val="en-US" w:eastAsia="zh-CN"/>
        </w:rPr>
        <w:t>厂内现在废石及场内清理的基岩用于2#项目区场地平整。</w:t>
      </w:r>
    </w:p>
    <w:p w14:paraId="261D84D6">
      <w:pPr>
        <w:pStyle w:val="25"/>
        <w:bidi w:val="0"/>
        <w:rPr>
          <w:rFonts w:hint="default"/>
          <w:color w:val="auto"/>
          <w:lang w:val="en-US" w:eastAsia="zh-CN"/>
        </w:rPr>
      </w:pPr>
      <w:r>
        <w:rPr>
          <w:rFonts w:hint="default"/>
          <w:color w:val="auto"/>
          <w:lang w:val="en-US" w:eastAsia="zh-CN"/>
        </w:rPr>
        <w:t>沉淀池沉渣在沉淀池内经自然沉淀后，无需清理，后期直接回填。</w:t>
      </w:r>
    </w:p>
    <w:p w14:paraId="5390973C">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地下水</w:t>
      </w:r>
    </w:p>
    <w:p w14:paraId="6AAC00C7">
      <w:pPr>
        <w:bidi w:val="0"/>
        <w:rPr>
          <w:rFonts w:hint="default" w:ascii="Times New Roman" w:hAnsi="Times New Roman" w:eastAsia="宋体" w:cs="Times New Roman"/>
          <w:color w:val="auto"/>
          <w:highlight w:val="none"/>
          <w:lang w:val="en-US" w:eastAsia="zh-CN"/>
        </w:rPr>
      </w:pPr>
      <w:bookmarkStart w:id="194" w:name="_Toc24928"/>
      <w:r>
        <w:rPr>
          <w:rFonts w:hint="default" w:ascii="Times New Roman" w:hAnsi="Times New Roman" w:cs="Times New Roman"/>
          <w:color w:val="auto"/>
          <w:highlight w:val="none"/>
          <w:lang w:val="en-US" w:eastAsia="zh-CN"/>
        </w:rPr>
        <w:t>1）</w:t>
      </w:r>
      <w:r>
        <w:rPr>
          <w:rFonts w:hint="default" w:ascii="Times New Roman" w:hAnsi="Times New Roman" w:eastAsia="宋体" w:cs="Times New Roman"/>
          <w:color w:val="auto"/>
          <w:highlight w:val="none"/>
          <w:lang w:val="en-US" w:eastAsia="zh-CN"/>
        </w:rPr>
        <w:t xml:space="preserve">降雨时淋溶水下渗的产生量 </w:t>
      </w:r>
    </w:p>
    <w:p w14:paraId="14FAEC73">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在正常状况下，下渗量按下式计算： </w:t>
      </w:r>
    </w:p>
    <w:p w14:paraId="164D7D93">
      <w:pPr>
        <w:bidi w:val="0"/>
        <w:ind w:left="0" w:leftChars="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A=M×V×T</w:t>
      </w:r>
    </w:p>
    <w:p w14:paraId="03D06EA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式中：</w:t>
      </w:r>
    </w:p>
    <w:p w14:paraId="5FC92F1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A—下渗</w:t>
      </w:r>
      <w:r>
        <w:rPr>
          <w:rFonts w:hint="default" w:ascii="Times New Roman" w:hAnsi="Times New Roman" w:eastAsia="宋体" w:cs="Times New Roman"/>
          <w:color w:val="auto"/>
          <w:kern w:val="0"/>
          <w:sz w:val="24"/>
          <w:szCs w:val="24"/>
          <w:highlight w:val="none"/>
          <w:lang w:eastAsia="zh-CN"/>
        </w:rPr>
        <w:t>渗漏</w:t>
      </w:r>
      <w:r>
        <w:rPr>
          <w:rFonts w:hint="default" w:ascii="Times New Roman" w:hAnsi="Times New Roman" w:eastAsia="宋体" w:cs="Times New Roman"/>
          <w:color w:val="auto"/>
          <w:kern w:val="0"/>
          <w:sz w:val="24"/>
          <w:szCs w:val="24"/>
          <w:highlight w:val="none"/>
        </w:rPr>
        <w:t>量，m</w:t>
      </w:r>
      <w:r>
        <w:rPr>
          <w:rFonts w:hint="default" w:ascii="Times New Roman" w:hAnsi="Times New Roman" w:eastAsia="宋体" w:cs="Times New Roman"/>
          <w:color w:val="auto"/>
          <w:kern w:val="0"/>
          <w:sz w:val="24"/>
          <w:szCs w:val="24"/>
          <w:highlight w:val="none"/>
          <w:vertAlign w:val="superscript"/>
        </w:rPr>
        <w:t>3</w:t>
      </w:r>
      <w:r>
        <w:rPr>
          <w:rFonts w:hint="default" w:ascii="Times New Roman" w:hAnsi="Times New Roman" w:eastAsia="宋体" w:cs="Times New Roman"/>
          <w:color w:val="auto"/>
          <w:kern w:val="0"/>
          <w:sz w:val="24"/>
          <w:szCs w:val="24"/>
          <w:highlight w:val="none"/>
        </w:rPr>
        <w:t>/d；</w:t>
      </w:r>
    </w:p>
    <w:p w14:paraId="44A85AA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M—</w:t>
      </w:r>
      <w:r>
        <w:rPr>
          <w:rFonts w:hint="default" w:ascii="Times New Roman" w:hAnsi="Times New Roman" w:eastAsia="宋体" w:cs="Times New Roman"/>
          <w:color w:val="auto"/>
          <w:kern w:val="0"/>
          <w:sz w:val="24"/>
          <w:szCs w:val="24"/>
          <w:highlight w:val="none"/>
          <w:lang w:eastAsia="zh-CN"/>
        </w:rPr>
        <w:t>渗漏</w:t>
      </w:r>
      <w:r>
        <w:rPr>
          <w:rFonts w:hint="default" w:ascii="Times New Roman" w:hAnsi="Times New Roman" w:eastAsia="宋体" w:cs="Times New Roman"/>
          <w:color w:val="auto"/>
          <w:kern w:val="0"/>
          <w:sz w:val="24"/>
          <w:szCs w:val="24"/>
          <w:highlight w:val="none"/>
        </w:rPr>
        <w:t>面积，</w:t>
      </w:r>
      <w:r>
        <w:rPr>
          <w:rFonts w:hint="default" w:ascii="Times New Roman" w:hAnsi="Times New Roman" w:eastAsia="宋体" w:cs="Times New Roman"/>
          <w:color w:val="auto"/>
          <w:kern w:val="0"/>
          <w:sz w:val="24"/>
          <w:szCs w:val="24"/>
          <w:highlight w:val="none"/>
          <w:lang w:val="en-US" w:eastAsia="zh-CN"/>
        </w:rPr>
        <w:t>整体渗漏面积为</w:t>
      </w:r>
      <w:r>
        <w:rPr>
          <w:rFonts w:hint="default" w:ascii="Times New Roman" w:hAnsi="Times New Roman" w:cs="Times New Roman"/>
          <w:color w:val="auto"/>
          <w:kern w:val="0"/>
          <w:sz w:val="24"/>
          <w:szCs w:val="24"/>
          <w:highlight w:val="none"/>
          <w:lang w:val="en-US" w:eastAsia="zh-CN"/>
        </w:rPr>
        <w:t>回填区</w:t>
      </w:r>
      <w:r>
        <w:rPr>
          <w:rFonts w:hint="default" w:ascii="Times New Roman" w:hAnsi="Times New Roman" w:eastAsia="宋体" w:cs="Times New Roman"/>
          <w:color w:val="auto"/>
          <w:sz w:val="24"/>
          <w:szCs w:val="24"/>
          <w:highlight w:val="none"/>
          <w:lang w:val="en-US" w:eastAsia="zh-CN"/>
        </w:rPr>
        <w:t>下部分表面积，为</w:t>
      </w:r>
      <w:r>
        <w:rPr>
          <w:rFonts w:hint="default" w:ascii="Times New Roman" w:hAnsi="Times New Roman" w:cs="Times New Roman"/>
          <w:color w:val="auto"/>
          <w:sz w:val="24"/>
          <w:szCs w:val="24"/>
          <w:highlight w:val="none"/>
          <w:lang w:val="en-US" w:eastAsia="zh-CN"/>
        </w:rPr>
        <w:t>38410</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kern w:val="0"/>
          <w:sz w:val="24"/>
          <w:szCs w:val="24"/>
          <w:highlight w:val="none"/>
        </w:rPr>
        <w:t>；</w:t>
      </w:r>
    </w:p>
    <w:p w14:paraId="1FF41CAA">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kern w:val="0"/>
          <w:sz w:val="24"/>
          <w:szCs w:val="24"/>
          <w:highlight w:val="none"/>
        </w:rPr>
        <w:t>V—渗透速度，m/s，渗透速度取决于土壤层介质，土壤层为</w:t>
      </w:r>
      <w:r>
        <w:rPr>
          <w:rFonts w:hint="default" w:ascii="Times New Roman" w:hAnsi="Times New Roman" w:eastAsia="宋体" w:cs="Times New Roman"/>
          <w:color w:val="auto"/>
          <w:kern w:val="0"/>
          <w:sz w:val="24"/>
          <w:szCs w:val="24"/>
          <w:highlight w:val="none"/>
          <w:lang w:val="en-US" w:eastAsia="zh-CN"/>
        </w:rPr>
        <w:t>大理岩</w:t>
      </w:r>
      <w:r>
        <w:rPr>
          <w:rFonts w:hint="default" w:ascii="Times New Roman" w:hAnsi="Times New Roman" w:eastAsia="宋体" w:cs="Times New Roman"/>
          <w:color w:val="auto"/>
          <w:kern w:val="0"/>
          <w:sz w:val="24"/>
          <w:szCs w:val="24"/>
          <w:highlight w:val="none"/>
        </w:rPr>
        <w:t>，</w:t>
      </w:r>
      <w:r>
        <w:rPr>
          <w:rFonts w:hint="default" w:ascii="Times New Roman" w:hAnsi="Times New Roman" w:eastAsia="宋体" w:cs="Times New Roman"/>
          <w:color w:val="auto"/>
          <w:sz w:val="24"/>
          <w:szCs w:val="24"/>
          <w:highlight w:val="none"/>
        </w:rPr>
        <w:t>本项目区域潜水层渗透系数</w:t>
      </w:r>
      <w:r>
        <w:rPr>
          <w:rFonts w:hint="default" w:ascii="Times New Roman" w:hAnsi="Times New Roman" w:eastAsia="宋体" w:cs="Times New Roman"/>
          <w:color w:val="auto"/>
          <w:sz w:val="24"/>
          <w:szCs w:val="24"/>
          <w:highlight w:val="none"/>
          <w:lang w:val="en-US" w:eastAsia="zh-CN"/>
        </w:rPr>
        <w:t>由</w:t>
      </w:r>
      <w:r>
        <w:rPr>
          <w:rFonts w:hint="default" w:ascii="Times New Roman" w:hAnsi="Times New Roman" w:cs="Times New Roman"/>
          <w:color w:val="auto"/>
          <w:sz w:val="24"/>
          <w:szCs w:val="24"/>
          <w:highlight w:val="none"/>
          <w:lang w:val="en-US" w:eastAsia="zh-CN"/>
        </w:rPr>
        <w:t>《鸡西市城子河区历史遗留矿山生态修复项目2#项目区采坑区压水试验总结》（黑龙江省卓阳勘测有限公司2023.9））</w:t>
      </w:r>
      <w:r>
        <w:rPr>
          <w:rFonts w:hint="default" w:ascii="Times New Roman" w:hAnsi="Times New Roman" w:eastAsia="宋体" w:cs="Times New Roman"/>
          <w:color w:val="auto"/>
          <w:sz w:val="24"/>
          <w:szCs w:val="24"/>
          <w:highlight w:val="none"/>
          <w:lang w:val="en-US" w:eastAsia="zh-CN"/>
        </w:rPr>
        <w:t>确定，</w:t>
      </w:r>
      <w:r>
        <w:rPr>
          <w:rFonts w:hint="default" w:ascii="Times New Roman" w:hAnsi="Times New Roman" w:cs="Times New Roman"/>
          <w:color w:val="auto"/>
          <w:sz w:val="24"/>
          <w:szCs w:val="24"/>
          <w:highlight w:val="none"/>
          <w:lang w:val="en-US" w:eastAsia="zh-CN"/>
        </w:rPr>
        <w:t>3.2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10</w:t>
      </w:r>
      <w:r>
        <w:rPr>
          <w:rFonts w:hint="default" w:ascii="Times New Roman" w:hAnsi="Times New Roman" w:eastAsia="宋体" w:cs="Times New Roman"/>
          <w:color w:val="auto"/>
          <w:sz w:val="24"/>
          <w:szCs w:val="24"/>
          <w:highlight w:val="none"/>
          <w:vertAlign w:val="superscript"/>
          <w:lang w:val="en-US" w:eastAsia="zh-CN"/>
        </w:rPr>
        <w:t>-</w:t>
      </w:r>
      <w:r>
        <w:rPr>
          <w:rFonts w:hint="default" w:ascii="Times New Roman" w:hAnsi="Times New Roman" w:cs="Times New Roman"/>
          <w:color w:val="auto"/>
          <w:sz w:val="24"/>
          <w:szCs w:val="24"/>
          <w:highlight w:val="none"/>
          <w:vertAlign w:val="superscript"/>
          <w:lang w:val="en-US" w:eastAsia="zh-CN"/>
        </w:rPr>
        <w:t>6</w:t>
      </w:r>
      <w:r>
        <w:rPr>
          <w:rFonts w:hint="default" w:ascii="Times New Roman" w:hAnsi="Times New Roman" w:eastAsia="宋体" w:cs="Times New Roman"/>
          <w:color w:val="auto"/>
          <w:sz w:val="24"/>
          <w:szCs w:val="24"/>
          <w:highlight w:val="none"/>
          <w:lang w:val="en-US" w:eastAsia="zh-CN"/>
        </w:rPr>
        <w:t>cm/</w:t>
      </w:r>
      <w:r>
        <w:rPr>
          <w:rFonts w:hint="default" w:ascii="Times New Roman" w:hAnsi="Times New Roman" w:cs="Times New Roman"/>
          <w:color w:val="auto"/>
          <w:sz w:val="24"/>
          <w:szCs w:val="24"/>
          <w:highlight w:val="none"/>
          <w:lang w:val="en-US" w:eastAsia="zh-CN"/>
        </w:rPr>
        <w:t>d</w:t>
      </w:r>
      <w:r>
        <w:rPr>
          <w:rFonts w:hint="default" w:ascii="Times New Roman" w:hAnsi="Times New Roman" w:eastAsia="宋体"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约为3.7</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10</w:t>
      </w:r>
      <w:r>
        <w:rPr>
          <w:rFonts w:hint="default" w:ascii="Times New Roman" w:hAnsi="Times New Roman" w:cs="Times New Roman"/>
          <w:color w:val="auto"/>
          <w:sz w:val="24"/>
          <w:szCs w:val="24"/>
          <w:highlight w:val="none"/>
          <w:vertAlign w:val="superscript"/>
          <w:lang w:val="en-US" w:eastAsia="zh-CN"/>
        </w:rPr>
        <w:t>-11</w:t>
      </w:r>
      <w:r>
        <w:rPr>
          <w:rFonts w:hint="default" w:ascii="Times New Roman" w:hAnsi="Times New Roman" w:eastAsia="宋体" w:cs="Times New Roman"/>
          <w:color w:val="auto"/>
          <w:sz w:val="24"/>
          <w:szCs w:val="24"/>
          <w:highlight w:val="none"/>
          <w:lang w:val="en-US" w:eastAsia="zh-CN"/>
        </w:rPr>
        <w:t>cm/</w:t>
      </w:r>
      <w:r>
        <w:rPr>
          <w:rFonts w:hint="default" w:ascii="Times New Roman" w:hAnsi="Times New Roman" w:cs="Times New Roman"/>
          <w:color w:val="auto"/>
          <w:sz w:val="24"/>
          <w:szCs w:val="24"/>
          <w:highlight w:val="none"/>
          <w:lang w:val="en-US" w:eastAsia="zh-CN"/>
        </w:rPr>
        <w:t>s。</w:t>
      </w:r>
    </w:p>
    <w:p w14:paraId="15284F6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T—</w:t>
      </w:r>
      <w:r>
        <w:rPr>
          <w:rFonts w:hint="default" w:ascii="Times New Roman" w:hAnsi="Times New Roman" w:eastAsia="宋体" w:cs="Times New Roman"/>
          <w:color w:val="auto"/>
          <w:kern w:val="0"/>
          <w:sz w:val="24"/>
          <w:szCs w:val="24"/>
          <w:highlight w:val="none"/>
          <w:lang w:eastAsia="zh-CN"/>
        </w:rPr>
        <w:t>渗漏</w:t>
      </w:r>
      <w:r>
        <w:rPr>
          <w:rFonts w:hint="default" w:ascii="Times New Roman" w:hAnsi="Times New Roman" w:eastAsia="宋体" w:cs="Times New Roman"/>
          <w:color w:val="auto"/>
          <w:kern w:val="0"/>
          <w:sz w:val="24"/>
          <w:szCs w:val="24"/>
          <w:highlight w:val="none"/>
        </w:rPr>
        <w:t>时间，s</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lang w:val="en-US" w:eastAsia="zh-CN"/>
        </w:rPr>
        <w:t>取值86400s</w:t>
      </w:r>
      <w:r>
        <w:rPr>
          <w:rFonts w:hint="default" w:ascii="Times New Roman" w:hAnsi="Times New Roman" w:eastAsia="宋体" w:cs="Times New Roman"/>
          <w:color w:val="auto"/>
          <w:kern w:val="0"/>
          <w:sz w:val="24"/>
          <w:szCs w:val="24"/>
          <w:highlight w:val="none"/>
        </w:rPr>
        <w:t>。</w:t>
      </w:r>
    </w:p>
    <w:p w14:paraId="615D1FC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rPr>
        <w:t>A=M×V×T=</w:t>
      </w:r>
      <w:r>
        <w:rPr>
          <w:rFonts w:hint="default" w:ascii="Times New Roman" w:hAnsi="Times New Roman" w:cs="Times New Roman"/>
          <w:color w:val="auto"/>
          <w:kern w:val="0"/>
          <w:sz w:val="24"/>
          <w:szCs w:val="24"/>
          <w:highlight w:val="none"/>
          <w:lang w:val="en-US" w:eastAsia="zh-CN"/>
        </w:rPr>
        <w:t>3801</w:t>
      </w:r>
      <w:r>
        <w:rPr>
          <w:rFonts w:hint="default" w:ascii="Times New Roman" w:hAnsi="Times New Roman" w:eastAsia="宋体" w:cs="Times New Roman"/>
          <w:color w:val="auto"/>
          <w:kern w:val="0"/>
          <w:sz w:val="24"/>
          <w:szCs w:val="24"/>
          <w:highlight w:val="none"/>
        </w:rPr>
        <w:t>m</w:t>
      </w:r>
      <w:r>
        <w:rPr>
          <w:rFonts w:hint="default" w:ascii="Times New Roman" w:hAnsi="Times New Roman" w:eastAsia="宋体" w:cs="Times New Roman"/>
          <w:color w:val="auto"/>
          <w:kern w:val="0"/>
          <w:sz w:val="24"/>
          <w:szCs w:val="24"/>
          <w:highlight w:val="none"/>
          <w:vertAlign w:val="superscript"/>
        </w:rPr>
        <w:t>2</w:t>
      </w:r>
      <w:r>
        <w:rPr>
          <w:rFonts w:hint="default" w:ascii="Times New Roman" w:hAnsi="Times New Roman" w:eastAsia="宋体" w:cs="Times New Roman"/>
          <w:color w:val="auto"/>
          <w:kern w:val="0"/>
          <w:sz w:val="24"/>
          <w:szCs w:val="24"/>
          <w:highlight w:val="none"/>
        </w:rPr>
        <w:t>×</w:t>
      </w:r>
      <w:r>
        <w:rPr>
          <w:rFonts w:hint="default" w:ascii="Times New Roman" w:hAnsi="Times New Roman" w:cs="Times New Roman"/>
          <w:color w:val="auto"/>
          <w:kern w:val="0"/>
          <w:sz w:val="24"/>
          <w:szCs w:val="24"/>
          <w:highlight w:val="none"/>
          <w:lang w:val="en-US" w:eastAsia="zh-CN"/>
        </w:rPr>
        <w:t>3.7</w:t>
      </w:r>
      <w:r>
        <w:rPr>
          <w:rFonts w:hint="default" w:ascii="Times New Roman" w:hAnsi="Times New Roman" w:eastAsia="宋体" w:cs="Times New Roman"/>
          <w:color w:val="auto"/>
          <w:kern w:val="0"/>
          <w:sz w:val="24"/>
          <w:szCs w:val="24"/>
          <w:highlight w:val="none"/>
          <w:lang w:val="en-US" w:eastAsia="zh-CN"/>
        </w:rPr>
        <w:t>×10</w:t>
      </w:r>
      <w:r>
        <w:rPr>
          <w:rFonts w:hint="default" w:ascii="Times New Roman" w:hAnsi="Times New Roman" w:eastAsia="宋体" w:cs="Times New Roman"/>
          <w:color w:val="auto"/>
          <w:kern w:val="0"/>
          <w:sz w:val="24"/>
          <w:szCs w:val="24"/>
          <w:highlight w:val="none"/>
          <w:vertAlign w:val="superscript"/>
          <w:lang w:val="en-US" w:eastAsia="zh-CN"/>
        </w:rPr>
        <w:t>-</w:t>
      </w:r>
      <w:r>
        <w:rPr>
          <w:rFonts w:hint="default" w:ascii="Times New Roman" w:hAnsi="Times New Roman" w:cs="Times New Roman"/>
          <w:color w:val="auto"/>
          <w:kern w:val="0"/>
          <w:sz w:val="24"/>
          <w:szCs w:val="24"/>
          <w:highlight w:val="none"/>
          <w:vertAlign w:val="superscript"/>
          <w:lang w:val="en-US" w:eastAsia="zh-CN"/>
        </w:rPr>
        <w:t>11</w:t>
      </w:r>
      <w:r>
        <w:rPr>
          <w:rFonts w:hint="default" w:ascii="Times New Roman" w:hAnsi="Times New Roman" w:eastAsia="宋体" w:cs="Times New Roman"/>
          <w:color w:val="auto"/>
          <w:kern w:val="0"/>
          <w:sz w:val="24"/>
          <w:szCs w:val="24"/>
          <w:highlight w:val="none"/>
          <w:lang w:val="en-US" w:eastAsia="zh-CN"/>
        </w:rPr>
        <w:t>cm/s</w:t>
      </w:r>
      <w:r>
        <w:rPr>
          <w:rFonts w:hint="default" w:ascii="Times New Roman" w:hAnsi="Times New Roman" w:eastAsia="宋体" w:cs="Times New Roman"/>
          <w:color w:val="auto"/>
          <w:kern w:val="0"/>
          <w:sz w:val="24"/>
          <w:szCs w:val="24"/>
          <w:highlight w:val="none"/>
        </w:rPr>
        <w:t>×86400s=</w:t>
      </w:r>
      <w:r>
        <w:rPr>
          <w:rFonts w:hint="default" w:ascii="Times New Roman" w:hAnsi="Times New Roman" w:eastAsia="宋体" w:cs="Times New Roman"/>
          <w:color w:val="auto"/>
          <w:kern w:val="0"/>
          <w:sz w:val="24"/>
          <w:szCs w:val="24"/>
          <w:highlight w:val="none"/>
          <w:lang w:val="en-US" w:eastAsia="zh-CN"/>
        </w:rPr>
        <w:t>0.</w:t>
      </w:r>
      <w:r>
        <w:rPr>
          <w:rFonts w:hint="default" w:ascii="Times New Roman" w:hAnsi="Times New Roman" w:cs="Times New Roman"/>
          <w:color w:val="auto"/>
          <w:kern w:val="0"/>
          <w:sz w:val="24"/>
          <w:szCs w:val="24"/>
          <w:highlight w:val="none"/>
          <w:lang w:val="en-US" w:eastAsia="zh-CN"/>
        </w:rPr>
        <w:t>00012</w:t>
      </w:r>
      <w:r>
        <w:rPr>
          <w:rFonts w:hint="default" w:ascii="Times New Roman" w:hAnsi="Times New Roman" w:eastAsia="宋体" w:cs="Times New Roman"/>
          <w:color w:val="auto"/>
          <w:kern w:val="0"/>
          <w:sz w:val="24"/>
          <w:szCs w:val="24"/>
          <w:highlight w:val="none"/>
        </w:rPr>
        <w:t>m</w:t>
      </w:r>
      <w:r>
        <w:rPr>
          <w:rFonts w:hint="default" w:ascii="Times New Roman" w:hAnsi="Times New Roman" w:eastAsia="宋体" w:cs="Times New Roman"/>
          <w:color w:val="auto"/>
          <w:kern w:val="0"/>
          <w:sz w:val="24"/>
          <w:szCs w:val="24"/>
          <w:highlight w:val="none"/>
          <w:vertAlign w:val="superscript"/>
        </w:rPr>
        <w:t>3</w:t>
      </w:r>
      <w:r>
        <w:rPr>
          <w:rFonts w:hint="default" w:ascii="Times New Roman" w:hAnsi="Times New Roman" w:eastAsia="宋体" w:cs="Times New Roman"/>
          <w:color w:val="auto"/>
          <w:kern w:val="0"/>
          <w:sz w:val="24"/>
          <w:szCs w:val="24"/>
          <w:highlight w:val="none"/>
        </w:rPr>
        <w:t>/d=</w:t>
      </w:r>
      <w:r>
        <w:rPr>
          <w:rFonts w:hint="default" w:ascii="Times New Roman" w:hAnsi="Times New Roman" w:cs="Times New Roman"/>
          <w:color w:val="auto"/>
          <w:kern w:val="0"/>
          <w:sz w:val="24"/>
          <w:szCs w:val="24"/>
          <w:highlight w:val="none"/>
          <w:lang w:val="en-US" w:eastAsia="zh-CN"/>
        </w:rPr>
        <w:t>0.12</w:t>
      </w:r>
      <w:r>
        <w:rPr>
          <w:rFonts w:hint="default" w:ascii="Times New Roman" w:hAnsi="Times New Roman" w:eastAsia="宋体" w:cs="Times New Roman"/>
          <w:color w:val="auto"/>
          <w:kern w:val="0"/>
          <w:sz w:val="24"/>
          <w:szCs w:val="24"/>
          <w:highlight w:val="none"/>
        </w:rPr>
        <w:t>L/d</w:t>
      </w:r>
    </w:p>
    <w:p w14:paraId="151F511B">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本项目</w:t>
      </w:r>
      <w:r>
        <w:rPr>
          <w:rFonts w:hint="default" w:ascii="Times New Roman" w:hAnsi="Times New Roman" w:eastAsia="宋体" w:cs="Times New Roman"/>
          <w:color w:val="auto"/>
          <w:sz w:val="24"/>
          <w:szCs w:val="24"/>
          <w:highlight w:val="none"/>
        </w:rPr>
        <w:t>采用“分层摊铺、往返碾压、分单元作业”的回填处理工艺。每层摊铺厚度不大于1m，填充物与外界充分隔绝，减少了雨水进入，场地周边设置有</w:t>
      </w:r>
      <w:r>
        <w:rPr>
          <w:rFonts w:hint="default" w:ascii="Times New Roman" w:hAnsi="Times New Roman" w:cs="Times New Roman"/>
          <w:color w:val="auto"/>
          <w:sz w:val="24"/>
          <w:szCs w:val="24"/>
          <w:highlight w:val="none"/>
          <w:lang w:val="en-US" w:eastAsia="zh-CN"/>
        </w:rPr>
        <w:t>截水沟</w:t>
      </w:r>
      <w:r>
        <w:rPr>
          <w:rFonts w:hint="default" w:ascii="Times New Roman" w:hAnsi="Times New Roman" w:eastAsia="宋体" w:cs="Times New Roman"/>
          <w:color w:val="auto"/>
          <w:sz w:val="24"/>
          <w:szCs w:val="24"/>
          <w:highlight w:val="none"/>
        </w:rPr>
        <w:t>，避免</w:t>
      </w:r>
      <w:r>
        <w:rPr>
          <w:rFonts w:hint="default" w:ascii="Times New Roman" w:hAnsi="Times New Roman" w:eastAsia="宋体" w:cs="Times New Roman"/>
          <w:color w:val="auto"/>
          <w:sz w:val="24"/>
          <w:szCs w:val="24"/>
          <w:highlight w:val="none"/>
          <w:lang w:val="en-US" w:eastAsia="zh-CN"/>
        </w:rPr>
        <w:t>场区外</w:t>
      </w:r>
      <w:r>
        <w:rPr>
          <w:rFonts w:hint="default" w:ascii="Times New Roman" w:hAnsi="Times New Roman" w:eastAsia="宋体" w:cs="Times New Roman"/>
          <w:color w:val="auto"/>
          <w:sz w:val="24"/>
          <w:szCs w:val="24"/>
          <w:highlight w:val="none"/>
        </w:rPr>
        <w:t>雨水进入，</w:t>
      </w:r>
      <w:r>
        <w:rPr>
          <w:rFonts w:hint="default" w:ascii="Times New Roman" w:hAnsi="Times New Roman" w:eastAsia="宋体" w:cs="Times New Roman"/>
          <w:color w:val="auto"/>
          <w:sz w:val="24"/>
          <w:szCs w:val="24"/>
          <w:highlight w:val="none"/>
          <w:lang w:val="en-US" w:eastAsia="zh-CN"/>
        </w:rPr>
        <w:t>同时</w:t>
      </w:r>
      <w:r>
        <w:rPr>
          <w:rFonts w:hint="default" w:ascii="Times New Roman" w:hAnsi="Times New Roman" w:cs="Times New Roman"/>
          <w:color w:val="auto"/>
          <w:sz w:val="24"/>
          <w:szCs w:val="24"/>
          <w:highlight w:val="none"/>
          <w:lang w:val="en-US" w:eastAsia="zh-CN"/>
        </w:rPr>
        <w:t>鸡西市</w:t>
      </w:r>
      <w:r>
        <w:rPr>
          <w:rFonts w:hint="default" w:ascii="Times New Roman" w:hAnsi="Times New Roman" w:eastAsia="宋体" w:cs="Times New Roman"/>
          <w:color w:val="auto"/>
          <w:sz w:val="24"/>
          <w:szCs w:val="24"/>
          <w:highlight w:val="none"/>
          <w:lang w:val="en-US" w:eastAsia="zh-CN"/>
        </w:rPr>
        <w:t>年平均蒸发量</w:t>
      </w:r>
      <w:r>
        <w:rPr>
          <w:rFonts w:hint="default" w:ascii="Times New Roman" w:hAnsi="Times New Roman" w:eastAsia="宋体" w:cs="Times New Roman"/>
          <w:color w:val="auto"/>
          <w:kern w:val="0"/>
          <w:sz w:val="24"/>
          <w:szCs w:val="24"/>
          <w:highlight w:val="none"/>
          <w:lang w:val="en-US" w:eastAsia="zh-CN" w:bidi="ar"/>
        </w:rPr>
        <w:t>1284.7</w:t>
      </w:r>
      <w:r>
        <w:rPr>
          <w:rFonts w:hint="default" w:ascii="Times New Roman" w:hAnsi="Times New Roman" w:eastAsia="宋体" w:cs="Times New Roman"/>
          <w:color w:val="auto"/>
          <w:sz w:val="24"/>
          <w:szCs w:val="24"/>
          <w:highlight w:val="none"/>
          <w:lang w:val="en-US" w:eastAsia="zh-CN"/>
        </w:rPr>
        <w:t>mm远大于年平均降水量</w:t>
      </w:r>
      <w:r>
        <w:rPr>
          <w:rFonts w:hint="default" w:ascii="Times New Roman" w:hAnsi="Times New Roman" w:cs="Times New Roman"/>
          <w:color w:val="auto"/>
          <w:sz w:val="24"/>
          <w:szCs w:val="24"/>
          <w:highlight w:val="none"/>
          <w:lang w:val="en-US" w:eastAsia="zh-CN"/>
        </w:rPr>
        <w:t>537.5</w:t>
      </w:r>
      <w:r>
        <w:rPr>
          <w:rFonts w:hint="default" w:ascii="Times New Roman" w:hAnsi="Times New Roman" w:eastAsia="宋体" w:cs="Times New Roman"/>
          <w:color w:val="auto"/>
          <w:sz w:val="24"/>
          <w:szCs w:val="24"/>
          <w:highlight w:val="none"/>
          <w:lang w:val="en-US" w:eastAsia="zh-CN"/>
        </w:rPr>
        <w:t>mm，</w:t>
      </w:r>
      <w:r>
        <w:rPr>
          <w:rFonts w:hint="default" w:ascii="Times New Roman" w:hAnsi="Times New Roman" w:eastAsia="宋体" w:cs="Times New Roman"/>
          <w:color w:val="auto"/>
          <w:sz w:val="24"/>
          <w:szCs w:val="24"/>
          <w:highlight w:val="none"/>
        </w:rPr>
        <w:t>因此</w:t>
      </w:r>
      <w:r>
        <w:rPr>
          <w:rFonts w:hint="default" w:ascii="Times New Roman" w:hAnsi="Times New Roman" w:cs="Times New Roman"/>
          <w:color w:val="auto"/>
          <w:sz w:val="24"/>
          <w:szCs w:val="24"/>
          <w:highlight w:val="none"/>
          <w:lang w:val="en-US" w:eastAsia="zh-CN"/>
        </w:rPr>
        <w:t>煤矸石</w:t>
      </w:r>
      <w:r>
        <w:rPr>
          <w:rFonts w:hint="default" w:ascii="Times New Roman" w:hAnsi="Times New Roman" w:eastAsia="宋体" w:cs="Times New Roman"/>
          <w:color w:val="auto"/>
          <w:sz w:val="24"/>
          <w:szCs w:val="24"/>
          <w:highlight w:val="none"/>
          <w:lang w:val="en-US" w:eastAsia="zh-CN"/>
        </w:rPr>
        <w:t>不易形成淋溶</w:t>
      </w:r>
      <w:r>
        <w:rPr>
          <w:rFonts w:hint="default" w:ascii="Times New Roman" w:hAnsi="Times New Roman" w:eastAsia="宋体" w:cs="Times New Roman"/>
          <w:color w:val="auto"/>
          <w:sz w:val="24"/>
          <w:szCs w:val="24"/>
          <w:highlight w:val="none"/>
        </w:rPr>
        <w:t>浸泡</w:t>
      </w:r>
      <w:r>
        <w:rPr>
          <w:rFonts w:hint="default" w:ascii="Times New Roman" w:hAnsi="Times New Roman" w:eastAsia="宋体" w:cs="Times New Roman"/>
          <w:color w:val="auto"/>
          <w:sz w:val="24"/>
          <w:szCs w:val="24"/>
          <w:highlight w:val="none"/>
          <w:lang w:val="en-US" w:eastAsia="zh-CN"/>
        </w:rPr>
        <w:t>条件</w:t>
      </w:r>
      <w:r>
        <w:rPr>
          <w:rFonts w:hint="default" w:ascii="Times New Roman" w:hAnsi="Times New Roman" w:eastAsia="宋体" w:cs="Times New Roman"/>
          <w:color w:val="auto"/>
          <w:sz w:val="24"/>
          <w:szCs w:val="24"/>
          <w:highlight w:val="none"/>
        </w:rPr>
        <w:t>，因此实际淋溶水产生量很少，所以理论值仅为场地运行参考数据，为最不利情况计算。</w:t>
      </w:r>
    </w:p>
    <w:p w14:paraId="665BD2B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淋溶液成分分析</w:t>
      </w:r>
    </w:p>
    <w:p w14:paraId="4205C8CD">
      <w:pPr>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auto"/>
        <w:ind w:firstLine="480" w:firstLineChars="200"/>
        <w:jc w:val="both"/>
        <w:textAlignment w:val="auto"/>
        <w:rPr>
          <w:rFonts w:hint="default" w:ascii="Times New Roman" w:hAnsi="Times New Roman" w:eastAsia="宋体" w:cs="Times New Roman"/>
          <w:color w:val="auto"/>
          <w:kern w:val="0"/>
          <w:sz w:val="24"/>
          <w:szCs w:val="21"/>
          <w:highlight w:val="none"/>
          <w:lang w:val="en-US" w:eastAsia="zh-CN" w:bidi="ar-SA"/>
        </w:rPr>
      </w:pPr>
      <w:r>
        <w:rPr>
          <w:rFonts w:hint="default" w:ascii="Times New Roman" w:hAnsi="Times New Roman" w:eastAsia="宋体" w:cs="Times New Roman"/>
          <w:color w:val="auto"/>
          <w:kern w:val="2"/>
          <w:sz w:val="24"/>
          <w:szCs w:val="22"/>
          <w:highlight w:val="none"/>
          <w:lang w:val="en-US" w:eastAsia="zh-CN" w:bidi="ar"/>
        </w:rPr>
        <w:t>本项目回填材料为</w:t>
      </w:r>
      <w:r>
        <w:rPr>
          <w:rFonts w:hint="default" w:ascii="Times New Roman" w:hAnsi="Times New Roman" w:cs="Times New Roman"/>
          <w:color w:val="auto"/>
          <w:kern w:val="2"/>
          <w:sz w:val="24"/>
          <w:szCs w:val="22"/>
          <w:highlight w:val="none"/>
          <w:lang w:val="en-US" w:eastAsia="zh-CN" w:bidi="ar"/>
        </w:rPr>
        <w:t>41#项目区的煤矸石</w:t>
      </w:r>
      <w:r>
        <w:rPr>
          <w:rFonts w:hint="default" w:ascii="Times New Roman" w:hAnsi="Times New Roman" w:eastAsia="宋体" w:cs="Times New Roman"/>
          <w:color w:val="auto"/>
          <w:kern w:val="0"/>
          <w:sz w:val="24"/>
          <w:szCs w:val="24"/>
          <w:highlight w:val="none"/>
          <w:lang w:val="en-US" w:eastAsia="zh-CN" w:bidi="ar-SA"/>
        </w:rPr>
        <w:t>，</w:t>
      </w:r>
      <w:r>
        <w:rPr>
          <w:rFonts w:hint="default" w:ascii="Times New Roman" w:hAnsi="Times New Roman" w:cs="Times New Roman"/>
          <w:color w:val="auto"/>
          <w:kern w:val="0"/>
          <w:sz w:val="24"/>
          <w:szCs w:val="24"/>
          <w:highlight w:val="none"/>
          <w:lang w:val="en-US" w:eastAsia="zh-CN" w:bidi="ar-SA"/>
        </w:rPr>
        <w:t>对煤矸石</w:t>
      </w:r>
      <w:r>
        <w:rPr>
          <w:rFonts w:hint="default" w:ascii="Times New Roman" w:hAnsi="Times New Roman" w:eastAsia="宋体" w:cs="Times New Roman"/>
          <w:color w:val="auto"/>
          <w:kern w:val="0"/>
          <w:sz w:val="24"/>
          <w:szCs w:val="24"/>
          <w:highlight w:val="none"/>
          <w:lang w:val="en-US" w:eastAsia="zh-CN" w:bidi="ar-SA"/>
        </w:rPr>
        <w:t>进行的固体废物浸出液检测结果，产生的淋溶液性质具有以下特点：COD、</w:t>
      </w:r>
      <w:r>
        <w:rPr>
          <w:rFonts w:hint="default" w:ascii="Times New Roman" w:hAnsi="Times New Roman" w:cs="Times New Roman"/>
          <w:color w:val="auto"/>
          <w:kern w:val="0"/>
          <w:sz w:val="24"/>
          <w:szCs w:val="24"/>
          <w:highlight w:val="none"/>
          <w:lang w:val="en-US" w:eastAsia="zh-CN" w:bidi="ar-SA"/>
        </w:rPr>
        <w:t>BOD</w:t>
      </w:r>
      <w:r>
        <w:rPr>
          <w:rFonts w:hint="default" w:ascii="Times New Roman" w:hAnsi="Times New Roman" w:eastAsia="宋体" w:cs="Times New Roman"/>
          <w:color w:val="auto"/>
          <w:kern w:val="0"/>
          <w:sz w:val="24"/>
          <w:szCs w:val="24"/>
          <w:highlight w:val="none"/>
          <w:lang w:val="en-US" w:eastAsia="zh-CN" w:bidi="ar-SA"/>
        </w:rPr>
        <w:t>较高</w:t>
      </w:r>
      <w:r>
        <w:rPr>
          <w:rFonts w:hint="default" w:ascii="Times New Roman" w:hAnsi="Times New Roman"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pH值中等，正常状态下本项目污水渗漏的污染源强见表3-3-</w:t>
      </w:r>
      <w:r>
        <w:rPr>
          <w:rFonts w:hint="default" w:ascii="Times New Roman" w:hAnsi="Times New Roman" w:cs="Times New Roman"/>
          <w:color w:val="auto"/>
          <w:kern w:val="0"/>
          <w:sz w:val="24"/>
          <w:szCs w:val="24"/>
          <w:highlight w:val="none"/>
          <w:lang w:val="en-US" w:eastAsia="zh-CN" w:bidi="ar-SA"/>
        </w:rPr>
        <w:t>9</w:t>
      </w:r>
      <w:r>
        <w:rPr>
          <w:rFonts w:hint="default" w:ascii="Times New Roman" w:hAnsi="Times New Roman" w:eastAsia="宋体" w:cs="Times New Roman"/>
          <w:color w:val="auto"/>
          <w:kern w:val="0"/>
          <w:sz w:val="24"/>
          <w:szCs w:val="24"/>
          <w:highlight w:val="none"/>
          <w:lang w:val="en-US" w:eastAsia="zh-CN" w:bidi="ar-SA"/>
        </w:rPr>
        <w:t>。</w:t>
      </w:r>
    </w:p>
    <w:p w14:paraId="411C240D">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表3-3-9  非正常状态下地下水污染物源强计算表</w:t>
      </w:r>
    </w:p>
    <w:tbl>
      <w:tblPr>
        <w:tblStyle w:val="20"/>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069"/>
        <w:gridCol w:w="1470"/>
        <w:gridCol w:w="1563"/>
        <w:gridCol w:w="1287"/>
        <w:gridCol w:w="1787"/>
        <w:gridCol w:w="1343"/>
      </w:tblGrid>
      <w:tr w14:paraId="048EA8D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785" w:hRule="atLeast"/>
          <w:jc w:val="center"/>
        </w:trPr>
        <w:tc>
          <w:tcPr>
            <w:tcW w:w="627" w:type="pct"/>
            <w:tcBorders>
              <w:tl2br w:val="nil"/>
              <w:tr2bl w:val="nil"/>
            </w:tcBorders>
            <w:shd w:val="clear" w:color="auto" w:fill="auto"/>
            <w:vAlign w:val="center"/>
          </w:tcPr>
          <w:p w14:paraId="13611FFE">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序号</w:t>
            </w:r>
          </w:p>
        </w:tc>
        <w:tc>
          <w:tcPr>
            <w:tcW w:w="862" w:type="pct"/>
            <w:tcBorders>
              <w:tl2br w:val="nil"/>
              <w:tr2bl w:val="nil"/>
            </w:tcBorders>
            <w:shd w:val="clear" w:color="auto" w:fill="auto"/>
            <w:vAlign w:val="center"/>
          </w:tcPr>
          <w:p w14:paraId="5284F0D8">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污染物</w:t>
            </w:r>
          </w:p>
        </w:tc>
        <w:tc>
          <w:tcPr>
            <w:tcW w:w="917" w:type="pct"/>
            <w:tcBorders>
              <w:tl2br w:val="nil"/>
              <w:tr2bl w:val="nil"/>
            </w:tcBorders>
            <w:shd w:val="clear" w:color="auto" w:fill="auto"/>
            <w:vAlign w:val="center"/>
          </w:tcPr>
          <w:p w14:paraId="38E3533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渗漏面积m</w:t>
            </w:r>
            <w:r>
              <w:rPr>
                <w:rFonts w:hint="default" w:ascii="Times New Roman" w:hAnsi="Times New Roman" w:cs="Times New Roman"/>
                <w:color w:val="auto"/>
                <w:highlight w:val="none"/>
                <w:vertAlign w:val="superscript"/>
                <w:lang w:val="en-US" w:eastAsia="zh-CN"/>
              </w:rPr>
              <w:t>2</w:t>
            </w:r>
          </w:p>
        </w:tc>
        <w:tc>
          <w:tcPr>
            <w:tcW w:w="755" w:type="pct"/>
            <w:tcBorders>
              <w:tl2br w:val="nil"/>
              <w:tr2bl w:val="nil"/>
            </w:tcBorders>
            <w:shd w:val="clear" w:color="auto" w:fill="auto"/>
            <w:vAlign w:val="center"/>
          </w:tcPr>
          <w:p w14:paraId="0F30833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渗漏强度m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/d</w:t>
            </w:r>
          </w:p>
        </w:tc>
        <w:tc>
          <w:tcPr>
            <w:tcW w:w="1048" w:type="pct"/>
            <w:tcBorders>
              <w:tl2br w:val="nil"/>
              <w:tr2bl w:val="nil"/>
            </w:tcBorders>
            <w:shd w:val="clear" w:color="auto" w:fill="auto"/>
            <w:vAlign w:val="center"/>
          </w:tcPr>
          <w:p w14:paraId="4A7F5D07">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污染物浓度</w:t>
            </w:r>
          </w:p>
          <w:p w14:paraId="3707C8E0">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mg/L</w:t>
            </w:r>
          </w:p>
        </w:tc>
        <w:tc>
          <w:tcPr>
            <w:tcW w:w="788" w:type="pct"/>
            <w:tcBorders>
              <w:tl2br w:val="nil"/>
              <w:tr2bl w:val="nil"/>
            </w:tcBorders>
            <w:shd w:val="clear" w:color="auto" w:fill="auto"/>
            <w:vAlign w:val="center"/>
          </w:tcPr>
          <w:p w14:paraId="28B0C695">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污染物质量</w:t>
            </w:r>
          </w:p>
          <w:p w14:paraId="2BED813A">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g/d</w:t>
            </w:r>
          </w:p>
        </w:tc>
      </w:tr>
      <w:tr w14:paraId="63B92C3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27" w:hRule="atLeast"/>
          <w:jc w:val="center"/>
        </w:trPr>
        <w:tc>
          <w:tcPr>
            <w:tcW w:w="627" w:type="pct"/>
            <w:tcBorders>
              <w:tl2br w:val="nil"/>
              <w:tr2bl w:val="nil"/>
            </w:tcBorders>
            <w:shd w:val="clear" w:color="auto" w:fill="auto"/>
            <w:vAlign w:val="center"/>
          </w:tcPr>
          <w:p w14:paraId="0CF6411A">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862" w:type="pct"/>
            <w:tcBorders>
              <w:tl2br w:val="nil"/>
              <w:tr2bl w:val="nil"/>
            </w:tcBorders>
            <w:shd w:val="clear" w:color="auto" w:fill="auto"/>
            <w:vAlign w:val="center"/>
          </w:tcPr>
          <w:p w14:paraId="4F854A00">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总铍</w:t>
            </w:r>
          </w:p>
        </w:tc>
        <w:tc>
          <w:tcPr>
            <w:tcW w:w="917" w:type="pct"/>
            <w:tcBorders>
              <w:tl2br w:val="nil"/>
              <w:tr2bl w:val="nil"/>
            </w:tcBorders>
            <w:shd w:val="clear" w:color="auto" w:fill="auto"/>
            <w:vAlign w:val="center"/>
          </w:tcPr>
          <w:p w14:paraId="4AE42102">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3801</w:t>
            </w:r>
          </w:p>
        </w:tc>
        <w:tc>
          <w:tcPr>
            <w:tcW w:w="755" w:type="pct"/>
            <w:tcBorders>
              <w:tl2br w:val="nil"/>
              <w:tr2bl w:val="nil"/>
            </w:tcBorders>
            <w:shd w:val="clear" w:color="auto" w:fill="auto"/>
            <w:vAlign w:val="center"/>
          </w:tcPr>
          <w:p w14:paraId="75D7F8B2">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0.016</w:t>
            </w:r>
          </w:p>
        </w:tc>
        <w:tc>
          <w:tcPr>
            <w:tcW w:w="1048" w:type="pct"/>
            <w:tcBorders>
              <w:tl2br w:val="nil"/>
              <w:tr2bl w:val="nil"/>
            </w:tcBorders>
            <w:shd w:val="clear" w:color="auto" w:fill="auto"/>
            <w:vAlign w:val="center"/>
          </w:tcPr>
          <w:p w14:paraId="7FE137BC">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0.00008</w:t>
            </w:r>
          </w:p>
        </w:tc>
        <w:tc>
          <w:tcPr>
            <w:tcW w:w="788" w:type="pct"/>
            <w:tcBorders>
              <w:tl2br w:val="nil"/>
              <w:tr2bl w:val="nil"/>
            </w:tcBorders>
            <w:shd w:val="clear" w:color="auto" w:fill="auto"/>
            <w:vAlign w:val="center"/>
          </w:tcPr>
          <w:p w14:paraId="28116477">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0.00486528</w:t>
            </w:r>
          </w:p>
        </w:tc>
      </w:tr>
      <w:tr w14:paraId="759C247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27" w:hRule="atLeast"/>
          <w:jc w:val="center"/>
        </w:trPr>
        <w:tc>
          <w:tcPr>
            <w:tcW w:w="627" w:type="pct"/>
            <w:tcBorders>
              <w:tl2br w:val="nil"/>
              <w:tr2bl w:val="nil"/>
            </w:tcBorders>
            <w:shd w:val="clear" w:color="auto" w:fill="auto"/>
            <w:vAlign w:val="center"/>
          </w:tcPr>
          <w:p w14:paraId="50BBE0A2">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862" w:type="pct"/>
            <w:tcBorders>
              <w:tl2br w:val="nil"/>
              <w:tr2bl w:val="nil"/>
            </w:tcBorders>
            <w:shd w:val="clear" w:color="auto" w:fill="auto"/>
            <w:vAlign w:val="center"/>
          </w:tcPr>
          <w:p w14:paraId="096F24D6">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BOD</w:t>
            </w:r>
            <w:r>
              <w:rPr>
                <w:rFonts w:hint="default" w:ascii="Times New Roman" w:hAnsi="Times New Roman" w:cs="Times New Roman"/>
                <w:color w:val="auto"/>
                <w:highlight w:val="none"/>
                <w:vertAlign w:val="subscript"/>
                <w:lang w:val="en-US" w:eastAsia="zh-CN"/>
              </w:rPr>
              <w:t>5</w:t>
            </w:r>
          </w:p>
        </w:tc>
        <w:tc>
          <w:tcPr>
            <w:tcW w:w="917" w:type="pct"/>
            <w:tcBorders>
              <w:tl2br w:val="nil"/>
              <w:tr2bl w:val="nil"/>
            </w:tcBorders>
            <w:shd w:val="clear" w:color="auto" w:fill="auto"/>
            <w:vAlign w:val="center"/>
          </w:tcPr>
          <w:p w14:paraId="3EA44569">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3801</w:t>
            </w:r>
          </w:p>
        </w:tc>
        <w:tc>
          <w:tcPr>
            <w:tcW w:w="755" w:type="pct"/>
            <w:tcBorders>
              <w:tl2br w:val="nil"/>
              <w:tr2bl w:val="nil"/>
            </w:tcBorders>
            <w:shd w:val="clear" w:color="auto" w:fill="auto"/>
            <w:vAlign w:val="center"/>
          </w:tcPr>
          <w:p w14:paraId="48043330">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0.016</w:t>
            </w:r>
          </w:p>
        </w:tc>
        <w:tc>
          <w:tcPr>
            <w:tcW w:w="1048" w:type="pct"/>
            <w:tcBorders>
              <w:tl2br w:val="nil"/>
              <w:tr2bl w:val="nil"/>
            </w:tcBorders>
            <w:shd w:val="clear" w:color="auto" w:fill="auto"/>
            <w:vAlign w:val="center"/>
          </w:tcPr>
          <w:p w14:paraId="4357278A">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19.2</w:t>
            </w:r>
          </w:p>
        </w:tc>
        <w:tc>
          <w:tcPr>
            <w:tcW w:w="788" w:type="pct"/>
            <w:tcBorders>
              <w:tl2br w:val="nil"/>
              <w:tr2bl w:val="nil"/>
            </w:tcBorders>
            <w:shd w:val="clear" w:color="auto" w:fill="auto"/>
            <w:vAlign w:val="center"/>
          </w:tcPr>
          <w:p w14:paraId="3C058FB4">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1167.6672</w:t>
            </w:r>
          </w:p>
        </w:tc>
      </w:tr>
      <w:tr w14:paraId="5C6010A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2" w:hRule="atLeast"/>
          <w:jc w:val="center"/>
        </w:trPr>
        <w:tc>
          <w:tcPr>
            <w:tcW w:w="627" w:type="pct"/>
            <w:tcBorders>
              <w:tl2br w:val="nil"/>
              <w:tr2bl w:val="nil"/>
            </w:tcBorders>
            <w:shd w:val="clear" w:color="auto" w:fill="auto"/>
            <w:vAlign w:val="center"/>
          </w:tcPr>
          <w:p w14:paraId="7EC2FFBC">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w:t>
            </w:r>
          </w:p>
        </w:tc>
        <w:tc>
          <w:tcPr>
            <w:tcW w:w="862" w:type="pct"/>
            <w:tcBorders>
              <w:tl2br w:val="nil"/>
              <w:tr2bl w:val="nil"/>
            </w:tcBorders>
            <w:shd w:val="clear" w:color="auto" w:fill="auto"/>
            <w:vAlign w:val="center"/>
          </w:tcPr>
          <w:p w14:paraId="7281F541">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COD</w:t>
            </w:r>
          </w:p>
        </w:tc>
        <w:tc>
          <w:tcPr>
            <w:tcW w:w="917" w:type="pct"/>
            <w:tcBorders>
              <w:tl2br w:val="nil"/>
              <w:tr2bl w:val="nil"/>
            </w:tcBorders>
            <w:shd w:val="clear" w:color="auto" w:fill="auto"/>
            <w:vAlign w:val="center"/>
          </w:tcPr>
          <w:p w14:paraId="54072D5D">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3801</w:t>
            </w:r>
          </w:p>
        </w:tc>
        <w:tc>
          <w:tcPr>
            <w:tcW w:w="755" w:type="pct"/>
            <w:tcBorders>
              <w:tl2br w:val="nil"/>
              <w:tr2bl w:val="nil"/>
            </w:tcBorders>
            <w:shd w:val="clear" w:color="auto" w:fill="auto"/>
            <w:vAlign w:val="center"/>
          </w:tcPr>
          <w:p w14:paraId="2B8D4BBD">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0.016</w:t>
            </w:r>
          </w:p>
        </w:tc>
        <w:tc>
          <w:tcPr>
            <w:tcW w:w="1048" w:type="pct"/>
            <w:tcBorders>
              <w:tl2br w:val="nil"/>
              <w:tr2bl w:val="nil"/>
            </w:tcBorders>
            <w:shd w:val="clear" w:color="auto" w:fill="auto"/>
            <w:vAlign w:val="center"/>
          </w:tcPr>
          <w:p w14:paraId="1EB67240">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96</w:t>
            </w:r>
          </w:p>
        </w:tc>
        <w:tc>
          <w:tcPr>
            <w:tcW w:w="788" w:type="pct"/>
            <w:tcBorders>
              <w:tl2br w:val="nil"/>
              <w:tr2bl w:val="nil"/>
            </w:tcBorders>
            <w:shd w:val="clear" w:color="auto" w:fill="auto"/>
            <w:vAlign w:val="center"/>
          </w:tcPr>
          <w:p w14:paraId="396A0E2E">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5838.336</w:t>
            </w:r>
          </w:p>
        </w:tc>
      </w:tr>
      <w:tr w14:paraId="56C3709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2" w:hRule="atLeast"/>
          <w:jc w:val="center"/>
        </w:trPr>
        <w:tc>
          <w:tcPr>
            <w:tcW w:w="627" w:type="pct"/>
            <w:tcBorders>
              <w:tl2br w:val="nil"/>
              <w:tr2bl w:val="nil"/>
            </w:tcBorders>
            <w:shd w:val="clear" w:color="auto" w:fill="auto"/>
            <w:vAlign w:val="center"/>
          </w:tcPr>
          <w:p w14:paraId="529AE2F1">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w:t>
            </w:r>
          </w:p>
        </w:tc>
        <w:tc>
          <w:tcPr>
            <w:tcW w:w="862" w:type="pct"/>
            <w:tcBorders>
              <w:tl2br w:val="nil"/>
              <w:tr2bl w:val="nil"/>
            </w:tcBorders>
            <w:shd w:val="clear" w:color="auto" w:fill="auto"/>
            <w:vAlign w:val="center"/>
          </w:tcPr>
          <w:p w14:paraId="18F33901">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氨氮</w:t>
            </w:r>
          </w:p>
        </w:tc>
        <w:tc>
          <w:tcPr>
            <w:tcW w:w="917" w:type="pct"/>
            <w:tcBorders>
              <w:tl2br w:val="nil"/>
              <w:tr2bl w:val="nil"/>
            </w:tcBorders>
            <w:shd w:val="clear" w:color="auto" w:fill="auto"/>
            <w:vAlign w:val="center"/>
          </w:tcPr>
          <w:p w14:paraId="6D3D2E63">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3801</w:t>
            </w:r>
          </w:p>
        </w:tc>
        <w:tc>
          <w:tcPr>
            <w:tcW w:w="755" w:type="pct"/>
            <w:tcBorders>
              <w:tl2br w:val="nil"/>
              <w:tr2bl w:val="nil"/>
            </w:tcBorders>
            <w:shd w:val="clear" w:color="auto" w:fill="auto"/>
            <w:vAlign w:val="center"/>
          </w:tcPr>
          <w:p w14:paraId="4B229143">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0.016</w:t>
            </w:r>
          </w:p>
        </w:tc>
        <w:tc>
          <w:tcPr>
            <w:tcW w:w="1048" w:type="pct"/>
            <w:tcBorders>
              <w:tl2br w:val="nil"/>
              <w:tr2bl w:val="nil"/>
            </w:tcBorders>
            <w:shd w:val="clear" w:color="auto" w:fill="auto"/>
            <w:vAlign w:val="center"/>
          </w:tcPr>
          <w:p w14:paraId="10A7573D">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0.165</w:t>
            </w:r>
          </w:p>
        </w:tc>
        <w:tc>
          <w:tcPr>
            <w:tcW w:w="788" w:type="pct"/>
            <w:tcBorders>
              <w:tl2br w:val="nil"/>
              <w:tr2bl w:val="nil"/>
            </w:tcBorders>
            <w:shd w:val="clear" w:color="auto" w:fill="auto"/>
            <w:vAlign w:val="center"/>
          </w:tcPr>
          <w:p w14:paraId="0A126C47">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10.03464</w:t>
            </w:r>
          </w:p>
        </w:tc>
      </w:tr>
      <w:tr w14:paraId="5675058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2" w:hRule="atLeast"/>
          <w:jc w:val="center"/>
        </w:trPr>
        <w:tc>
          <w:tcPr>
            <w:tcW w:w="627" w:type="pct"/>
            <w:tcBorders>
              <w:tl2br w:val="nil"/>
              <w:tr2bl w:val="nil"/>
            </w:tcBorders>
            <w:shd w:val="clear" w:color="auto" w:fill="auto"/>
            <w:vAlign w:val="center"/>
          </w:tcPr>
          <w:p w14:paraId="69790F6F">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862" w:type="pct"/>
            <w:tcBorders>
              <w:tl2br w:val="nil"/>
              <w:tr2bl w:val="nil"/>
            </w:tcBorders>
            <w:shd w:val="clear" w:color="auto" w:fill="auto"/>
            <w:vAlign w:val="center"/>
          </w:tcPr>
          <w:p w14:paraId="4ED8F29D">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六价铬</w:t>
            </w:r>
          </w:p>
        </w:tc>
        <w:tc>
          <w:tcPr>
            <w:tcW w:w="917" w:type="pct"/>
            <w:tcBorders>
              <w:tl2br w:val="nil"/>
              <w:tr2bl w:val="nil"/>
            </w:tcBorders>
            <w:shd w:val="clear" w:color="auto" w:fill="auto"/>
            <w:vAlign w:val="center"/>
          </w:tcPr>
          <w:p w14:paraId="2914A3F2">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3801</w:t>
            </w:r>
          </w:p>
        </w:tc>
        <w:tc>
          <w:tcPr>
            <w:tcW w:w="755" w:type="pct"/>
            <w:tcBorders>
              <w:tl2br w:val="nil"/>
              <w:tr2bl w:val="nil"/>
            </w:tcBorders>
            <w:shd w:val="clear" w:color="auto" w:fill="auto"/>
            <w:vAlign w:val="center"/>
          </w:tcPr>
          <w:p w14:paraId="1F599C56">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0.016</w:t>
            </w:r>
          </w:p>
        </w:tc>
        <w:tc>
          <w:tcPr>
            <w:tcW w:w="1048" w:type="pct"/>
            <w:tcBorders>
              <w:tl2br w:val="nil"/>
              <w:tr2bl w:val="nil"/>
            </w:tcBorders>
            <w:shd w:val="clear" w:color="auto" w:fill="auto"/>
            <w:vAlign w:val="center"/>
          </w:tcPr>
          <w:p w14:paraId="11C737BC">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0.028</w:t>
            </w:r>
          </w:p>
        </w:tc>
        <w:tc>
          <w:tcPr>
            <w:tcW w:w="788" w:type="pct"/>
            <w:tcBorders>
              <w:tl2br w:val="nil"/>
              <w:tr2bl w:val="nil"/>
            </w:tcBorders>
            <w:shd w:val="clear" w:color="auto" w:fill="auto"/>
            <w:vAlign w:val="center"/>
          </w:tcPr>
          <w:p w14:paraId="1586FEDD">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1.702848</w:t>
            </w:r>
          </w:p>
        </w:tc>
      </w:tr>
    </w:tbl>
    <w:p w14:paraId="7D915F97">
      <w:pPr>
        <w:pStyle w:val="2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6、土壤</w:t>
      </w:r>
    </w:p>
    <w:p w14:paraId="3A7FAE1A">
      <w:pPr>
        <w:pStyle w:val="2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2#项目区施工期间土壤环境影响主要是在回填过程中，产生的扬尘会对附近土壤产生影响。其他项目区对土壤环境无影响。</w:t>
      </w:r>
    </w:p>
    <w:p w14:paraId="3201947E">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kern w:val="0"/>
          <w:sz w:val="24"/>
          <w:szCs w:val="24"/>
          <w:highlight w:val="none"/>
          <w:lang w:val="en-US" w:eastAsia="zh-CN" w:bidi="ar"/>
        </w:rPr>
      </w:pPr>
      <w:r>
        <w:rPr>
          <w:rFonts w:hint="default" w:ascii="Times New Roman" w:hAnsi="Times New Roman" w:eastAsia="宋体" w:cs="Times New Roman"/>
          <w:b w:val="0"/>
          <w:bCs w:val="0"/>
          <w:color w:val="auto"/>
          <w:kern w:val="0"/>
          <w:sz w:val="24"/>
          <w:szCs w:val="24"/>
          <w:highlight w:val="none"/>
          <w:lang w:val="en-US" w:eastAsia="zh-CN" w:bidi="ar"/>
        </w:rPr>
        <w:t>由于在填埋作业过程中卸料扬尘、堆积存放期间风蚀等扬尘对土壤的影响，取决于风力大小、固废类别及填埋方式，抑尘措施，风力越大对附近土壤产生影响的可能性也越大，根据</w:t>
      </w:r>
      <w:r>
        <w:rPr>
          <w:rFonts w:hint="default" w:ascii="Times New Roman" w:hAnsi="Times New Roman" w:cs="Times New Roman"/>
          <w:b w:val="0"/>
          <w:bCs w:val="0"/>
          <w:color w:val="auto"/>
          <w:kern w:val="0"/>
          <w:sz w:val="24"/>
          <w:szCs w:val="24"/>
          <w:highlight w:val="none"/>
          <w:lang w:val="en-US" w:eastAsia="zh-CN" w:bidi="ar"/>
        </w:rPr>
        <w:t>前面</w:t>
      </w:r>
      <w:r>
        <w:rPr>
          <w:rFonts w:hint="default" w:ascii="Times New Roman" w:hAnsi="Times New Roman" w:eastAsia="宋体" w:cs="Times New Roman"/>
          <w:b w:val="0"/>
          <w:bCs w:val="0"/>
          <w:color w:val="auto"/>
          <w:kern w:val="0"/>
          <w:sz w:val="24"/>
          <w:szCs w:val="24"/>
          <w:highlight w:val="none"/>
          <w:lang w:val="en-US" w:eastAsia="zh-CN" w:bidi="ar"/>
        </w:rPr>
        <w:t>扬尘核算，回填复垦区扬尘产生量</w:t>
      </w:r>
      <w:r>
        <w:rPr>
          <w:rFonts w:hint="default" w:ascii="Times New Roman" w:hAnsi="Times New Roman" w:cs="Times New Roman"/>
          <w:b w:val="0"/>
          <w:bCs w:val="0"/>
          <w:color w:val="auto"/>
          <w:kern w:val="0"/>
          <w:sz w:val="24"/>
          <w:szCs w:val="24"/>
          <w:highlight w:val="none"/>
          <w:lang w:val="en-US" w:eastAsia="zh-CN" w:bidi="ar"/>
        </w:rPr>
        <w:t>0.014</w:t>
      </w:r>
      <w:r>
        <w:rPr>
          <w:rFonts w:hint="default" w:ascii="Times New Roman" w:hAnsi="Times New Roman" w:eastAsia="宋体" w:cs="Times New Roman"/>
          <w:b w:val="0"/>
          <w:bCs w:val="0"/>
          <w:color w:val="auto"/>
          <w:kern w:val="0"/>
          <w:sz w:val="24"/>
          <w:szCs w:val="24"/>
          <w:highlight w:val="none"/>
          <w:lang w:val="en-US" w:eastAsia="zh-CN" w:bidi="ar"/>
        </w:rPr>
        <w:t>t/a。</w:t>
      </w:r>
    </w:p>
    <w:p w14:paraId="58D01DA5">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cs="Times New Roman"/>
          <w:color w:val="auto"/>
          <w:lang w:val="en-US" w:eastAsia="zh-CN"/>
        </w:rPr>
      </w:pPr>
      <w:r>
        <w:rPr>
          <w:rFonts w:hint="default" w:ascii="Times New Roman" w:hAnsi="Times New Roman" w:cs="Times New Roman"/>
          <w:color w:val="auto"/>
          <w:kern w:val="2"/>
          <w:sz w:val="24"/>
          <w:szCs w:val="24"/>
          <w:highlight w:val="none"/>
          <w:lang w:val="en-US" w:eastAsia="zh-CN"/>
        </w:rPr>
        <w:t>煤矸石中重金属</w:t>
      </w:r>
      <w:r>
        <w:rPr>
          <w:rFonts w:hint="default" w:ascii="Times New Roman" w:hAnsi="Times New Roman" w:eastAsia="宋体" w:cs="Times New Roman"/>
          <w:color w:val="auto"/>
          <w:kern w:val="2"/>
          <w:sz w:val="24"/>
          <w:szCs w:val="24"/>
          <w:highlight w:val="none"/>
          <w:lang w:val="en-US" w:eastAsia="zh-CN"/>
        </w:rPr>
        <w:t>的检测结果</w:t>
      </w:r>
      <w:r>
        <w:rPr>
          <w:rFonts w:hint="default" w:ascii="Times New Roman" w:hAnsi="Times New Roman" w:cs="Times New Roman"/>
          <w:color w:val="auto"/>
          <w:kern w:val="2"/>
          <w:sz w:val="24"/>
          <w:szCs w:val="24"/>
          <w:highlight w:val="none"/>
          <w:lang w:val="en-US" w:eastAsia="zh-CN"/>
        </w:rPr>
        <w:t>见下表</w:t>
      </w:r>
      <w:r>
        <w:rPr>
          <w:rFonts w:hint="default" w:ascii="Times New Roman" w:hAnsi="Times New Roman" w:eastAsia="宋体" w:cs="Times New Roman"/>
          <w:color w:val="auto"/>
          <w:kern w:val="2"/>
          <w:sz w:val="24"/>
          <w:szCs w:val="24"/>
          <w:highlight w:val="none"/>
          <w:lang w:val="en-US" w:eastAsia="zh-CN"/>
        </w:rPr>
        <w:t>，本项目土壤预测评价范围内单位年份表层土壤中物质的输入量计算见表3</w:t>
      </w:r>
      <w:r>
        <w:rPr>
          <w:rFonts w:hint="default" w:ascii="Times New Roman" w:hAnsi="Times New Roman" w:cs="Times New Roman"/>
          <w:color w:val="auto"/>
          <w:kern w:val="2"/>
          <w:sz w:val="24"/>
          <w:szCs w:val="24"/>
          <w:highlight w:val="none"/>
          <w:lang w:val="en-US" w:eastAsia="zh-CN"/>
        </w:rPr>
        <w:t>-</w:t>
      </w:r>
      <w:r>
        <w:rPr>
          <w:rFonts w:hint="default" w:ascii="Times New Roman" w:hAnsi="Times New Roman" w:eastAsia="宋体" w:cs="Times New Roman"/>
          <w:color w:val="auto"/>
          <w:kern w:val="2"/>
          <w:sz w:val="24"/>
          <w:szCs w:val="24"/>
          <w:highlight w:val="none"/>
          <w:lang w:val="en-US" w:eastAsia="zh-CN"/>
        </w:rPr>
        <w:t>3-</w:t>
      </w:r>
      <w:r>
        <w:rPr>
          <w:rFonts w:hint="default" w:ascii="Times New Roman" w:hAnsi="Times New Roman" w:cs="Times New Roman"/>
          <w:color w:val="auto"/>
          <w:kern w:val="2"/>
          <w:sz w:val="24"/>
          <w:szCs w:val="24"/>
          <w:highlight w:val="none"/>
          <w:lang w:val="en-US" w:eastAsia="zh-CN"/>
        </w:rPr>
        <w:t>10</w:t>
      </w:r>
      <w:r>
        <w:rPr>
          <w:rFonts w:hint="default" w:ascii="Times New Roman" w:hAnsi="Times New Roman" w:eastAsia="宋体" w:cs="Times New Roman"/>
          <w:color w:val="auto"/>
          <w:kern w:val="2"/>
          <w:sz w:val="24"/>
          <w:szCs w:val="24"/>
          <w:highlight w:val="none"/>
          <w:lang w:val="en-US" w:eastAsia="zh-CN"/>
        </w:rPr>
        <w:t>。</w:t>
      </w:r>
    </w:p>
    <w:p w14:paraId="328E3196">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表</w:t>
      </w:r>
      <w:r>
        <w:rPr>
          <w:rFonts w:hint="default" w:ascii="Times New Roman" w:hAnsi="Times New Roman" w:cs="Times New Roman"/>
          <w:color w:val="auto"/>
          <w:highlight w:val="none"/>
          <w:lang w:val="en-US" w:eastAsia="zh-CN"/>
        </w:rPr>
        <w:t>3-3-10  煤矸石大气沉降计算结果表</w:t>
      </w:r>
    </w:p>
    <w:tbl>
      <w:tblPr>
        <w:tblStyle w:val="20"/>
        <w:tblW w:w="477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83"/>
        <w:gridCol w:w="1425"/>
        <w:gridCol w:w="1610"/>
        <w:gridCol w:w="1299"/>
        <w:gridCol w:w="2520"/>
      </w:tblGrid>
      <w:tr w14:paraId="3DAB75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788" w:type="pct"/>
            <w:tcBorders>
              <w:tl2br w:val="nil"/>
              <w:tr2bl w:val="nil"/>
            </w:tcBorders>
            <w:noWrap w:val="0"/>
            <w:vAlign w:val="center"/>
          </w:tcPr>
          <w:p w14:paraId="4005D753">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检测项目</w:t>
            </w:r>
          </w:p>
        </w:tc>
        <w:tc>
          <w:tcPr>
            <w:tcW w:w="875" w:type="pct"/>
            <w:tcBorders>
              <w:tl2br w:val="nil"/>
              <w:tr2bl w:val="nil"/>
            </w:tcBorders>
            <w:noWrap w:val="0"/>
            <w:vAlign w:val="center"/>
          </w:tcPr>
          <w:p w14:paraId="2D7419FD">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取值</w:t>
            </w:r>
            <w:r>
              <w:rPr>
                <w:rFonts w:hint="default" w:ascii="Times New Roman" w:hAnsi="Times New Roman" w:cs="Times New Roman"/>
                <w:color w:val="auto"/>
                <w:highlight w:val="none"/>
              </w:rPr>
              <w:t>mg/</w:t>
            </w:r>
            <w:r>
              <w:rPr>
                <w:rFonts w:hint="default" w:ascii="Times New Roman" w:hAnsi="Times New Roman" w:cs="Times New Roman"/>
                <w:color w:val="auto"/>
                <w:highlight w:val="none"/>
                <w:lang w:val="en-US" w:eastAsia="zh-CN"/>
              </w:rPr>
              <w:t>L</w:t>
            </w:r>
          </w:p>
        </w:tc>
        <w:tc>
          <w:tcPr>
            <w:tcW w:w="989" w:type="pct"/>
            <w:tcBorders>
              <w:tl2br w:val="nil"/>
              <w:tr2bl w:val="nil"/>
            </w:tcBorders>
            <w:noWrap w:val="0"/>
            <w:vAlign w:val="center"/>
          </w:tcPr>
          <w:p w14:paraId="1BF9C950">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扬尘产生量</w:t>
            </w:r>
          </w:p>
          <w:p w14:paraId="045774CB">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t</w:t>
            </w:r>
          </w:p>
        </w:tc>
        <w:tc>
          <w:tcPr>
            <w:tcW w:w="798" w:type="pct"/>
            <w:tcBorders>
              <w:tl2br w:val="nil"/>
              <w:tr2bl w:val="nil"/>
            </w:tcBorders>
            <w:noWrap w:val="0"/>
            <w:vAlign w:val="center"/>
          </w:tcPr>
          <w:p w14:paraId="2913225E">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预测评价范围m</w:t>
            </w:r>
            <w:r>
              <w:rPr>
                <w:rFonts w:hint="default" w:ascii="Times New Roman" w:hAnsi="Times New Roman" w:cs="Times New Roman"/>
                <w:color w:val="auto"/>
                <w:highlight w:val="none"/>
                <w:vertAlign w:val="superscript"/>
                <w:lang w:val="en-US" w:eastAsia="zh-CN"/>
              </w:rPr>
              <w:t>2</w:t>
            </w:r>
          </w:p>
        </w:tc>
        <w:tc>
          <w:tcPr>
            <w:tcW w:w="1547" w:type="pct"/>
            <w:tcBorders>
              <w:tl2br w:val="nil"/>
              <w:tr2bl w:val="nil"/>
            </w:tcBorders>
            <w:noWrap w:val="0"/>
            <w:vAlign w:val="center"/>
          </w:tcPr>
          <w:p w14:paraId="39138CF2">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单位年份表层土壤中某种物质的输入量，g</w:t>
            </w:r>
          </w:p>
        </w:tc>
      </w:tr>
      <w:tr w14:paraId="2DD523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88" w:type="pct"/>
            <w:tcBorders>
              <w:tl2br w:val="nil"/>
              <w:tr2bl w:val="nil"/>
            </w:tcBorders>
            <w:noWrap w:val="0"/>
            <w:vAlign w:val="center"/>
          </w:tcPr>
          <w:p w14:paraId="51B97D9F">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总砷</w:t>
            </w:r>
          </w:p>
        </w:tc>
        <w:tc>
          <w:tcPr>
            <w:tcW w:w="875" w:type="pct"/>
            <w:tcBorders>
              <w:tl2br w:val="nil"/>
              <w:tr2bl w:val="nil"/>
            </w:tcBorders>
            <w:noWrap w:val="0"/>
            <w:vAlign w:val="center"/>
          </w:tcPr>
          <w:p w14:paraId="54BC2942">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0.0004</w:t>
            </w:r>
          </w:p>
        </w:tc>
        <w:tc>
          <w:tcPr>
            <w:tcW w:w="989" w:type="pct"/>
            <w:tcBorders>
              <w:tl2br w:val="nil"/>
              <w:tr2bl w:val="nil"/>
            </w:tcBorders>
            <w:noWrap w:val="0"/>
            <w:vAlign w:val="center"/>
          </w:tcPr>
          <w:p w14:paraId="26EF20C4">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0.014</w:t>
            </w:r>
          </w:p>
        </w:tc>
        <w:tc>
          <w:tcPr>
            <w:tcW w:w="798" w:type="pct"/>
            <w:tcBorders>
              <w:tl2br w:val="nil"/>
              <w:tr2bl w:val="nil"/>
            </w:tcBorders>
            <w:noWrap w:val="0"/>
            <w:vAlign w:val="center"/>
          </w:tcPr>
          <w:p w14:paraId="74EB33EE">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3801</w:t>
            </w:r>
          </w:p>
        </w:tc>
        <w:tc>
          <w:tcPr>
            <w:tcW w:w="2520" w:type="dxa"/>
            <w:tcBorders>
              <w:tl2br w:val="nil"/>
              <w:tr2bl w:val="nil"/>
            </w:tcBorders>
            <w:noWrap w:val="0"/>
            <w:vAlign w:val="center"/>
          </w:tcPr>
          <w:p w14:paraId="2937CEB9">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2.06E-09</w:t>
            </w:r>
          </w:p>
        </w:tc>
      </w:tr>
      <w:tr w14:paraId="32B52B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88" w:type="pct"/>
            <w:tcBorders>
              <w:tl2br w:val="nil"/>
              <w:tr2bl w:val="nil"/>
            </w:tcBorders>
            <w:noWrap w:val="0"/>
            <w:vAlign w:val="center"/>
          </w:tcPr>
          <w:p w14:paraId="360C2574">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六价铬</w:t>
            </w:r>
          </w:p>
        </w:tc>
        <w:tc>
          <w:tcPr>
            <w:tcW w:w="875" w:type="pct"/>
            <w:tcBorders>
              <w:tl2br w:val="nil"/>
              <w:tr2bl w:val="nil"/>
            </w:tcBorders>
            <w:noWrap w:val="0"/>
            <w:vAlign w:val="center"/>
          </w:tcPr>
          <w:p w14:paraId="5BEF88B6">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0.028</w:t>
            </w:r>
          </w:p>
        </w:tc>
        <w:tc>
          <w:tcPr>
            <w:tcW w:w="989" w:type="pct"/>
            <w:tcBorders>
              <w:tl2br w:val="nil"/>
              <w:tr2bl w:val="nil"/>
            </w:tcBorders>
            <w:noWrap w:val="0"/>
            <w:vAlign w:val="center"/>
          </w:tcPr>
          <w:p w14:paraId="30C86195">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0.014</w:t>
            </w:r>
          </w:p>
        </w:tc>
        <w:tc>
          <w:tcPr>
            <w:tcW w:w="798" w:type="pct"/>
            <w:tcBorders>
              <w:tl2br w:val="nil"/>
              <w:tr2bl w:val="nil"/>
            </w:tcBorders>
            <w:noWrap w:val="0"/>
            <w:vAlign w:val="center"/>
          </w:tcPr>
          <w:p w14:paraId="3642D64A">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3801</w:t>
            </w:r>
          </w:p>
        </w:tc>
        <w:tc>
          <w:tcPr>
            <w:tcW w:w="2520" w:type="dxa"/>
            <w:tcBorders>
              <w:tl2br w:val="nil"/>
              <w:tr2bl w:val="nil"/>
            </w:tcBorders>
            <w:noWrap w:val="0"/>
            <w:vAlign w:val="center"/>
          </w:tcPr>
          <w:p w14:paraId="1F3A481C">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1.442E-07</w:t>
            </w:r>
          </w:p>
        </w:tc>
      </w:tr>
      <w:tr w14:paraId="01FBCF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88" w:type="pct"/>
            <w:tcBorders>
              <w:tl2br w:val="nil"/>
              <w:tr2bl w:val="nil"/>
            </w:tcBorders>
            <w:noWrap w:val="0"/>
            <w:vAlign w:val="center"/>
          </w:tcPr>
          <w:p w14:paraId="09C83061">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总铍</w:t>
            </w:r>
          </w:p>
        </w:tc>
        <w:tc>
          <w:tcPr>
            <w:tcW w:w="875" w:type="pct"/>
            <w:tcBorders>
              <w:tl2br w:val="nil"/>
              <w:tr2bl w:val="nil"/>
            </w:tcBorders>
            <w:noWrap w:val="0"/>
            <w:vAlign w:val="center"/>
          </w:tcPr>
          <w:p w14:paraId="17463BB2">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0.00008</w:t>
            </w:r>
          </w:p>
        </w:tc>
        <w:tc>
          <w:tcPr>
            <w:tcW w:w="989" w:type="pct"/>
            <w:tcBorders>
              <w:tl2br w:val="nil"/>
              <w:tr2bl w:val="nil"/>
            </w:tcBorders>
            <w:noWrap w:val="0"/>
            <w:vAlign w:val="center"/>
          </w:tcPr>
          <w:p w14:paraId="3C451DCB">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0.014</w:t>
            </w:r>
          </w:p>
        </w:tc>
        <w:tc>
          <w:tcPr>
            <w:tcW w:w="798" w:type="pct"/>
            <w:tcBorders>
              <w:tl2br w:val="nil"/>
              <w:tr2bl w:val="nil"/>
            </w:tcBorders>
            <w:noWrap w:val="0"/>
            <w:vAlign w:val="center"/>
          </w:tcPr>
          <w:p w14:paraId="285D28B0">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3801</w:t>
            </w:r>
          </w:p>
        </w:tc>
        <w:tc>
          <w:tcPr>
            <w:tcW w:w="2520" w:type="dxa"/>
            <w:tcBorders>
              <w:tl2br w:val="nil"/>
              <w:tr2bl w:val="nil"/>
            </w:tcBorders>
            <w:noWrap w:val="0"/>
            <w:vAlign w:val="center"/>
          </w:tcPr>
          <w:p w14:paraId="03ABF284">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4.12E-10</w:t>
            </w:r>
          </w:p>
        </w:tc>
      </w:tr>
    </w:tbl>
    <w:p w14:paraId="4098D50F">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注：</w:t>
      </w:r>
      <w:r>
        <w:rPr>
          <w:rFonts w:hint="default" w:ascii="Times New Roman" w:hAnsi="Times New Roman" w:cs="Times New Roman"/>
          <w:color w:val="auto"/>
          <w:kern w:val="2"/>
          <w:sz w:val="21"/>
          <w:szCs w:val="21"/>
          <w:highlight w:val="none"/>
          <w:lang w:val="en-US" w:eastAsia="zh-CN"/>
        </w:rPr>
        <w:t>鸡西</w:t>
      </w:r>
      <w:r>
        <w:rPr>
          <w:rFonts w:hint="default" w:ascii="Times New Roman" w:hAnsi="Times New Roman" w:eastAsia="宋体" w:cs="Times New Roman"/>
          <w:color w:val="auto"/>
          <w:kern w:val="2"/>
          <w:sz w:val="21"/>
          <w:szCs w:val="21"/>
          <w:highlight w:val="none"/>
          <w:lang w:val="en-US" w:eastAsia="zh-CN"/>
        </w:rPr>
        <w:t>多年盛行风向为</w:t>
      </w:r>
      <w:r>
        <w:rPr>
          <w:rFonts w:hint="default" w:ascii="Times New Roman" w:hAnsi="Times New Roman" w:cs="Times New Roman"/>
          <w:color w:val="auto"/>
          <w:kern w:val="2"/>
          <w:sz w:val="21"/>
          <w:szCs w:val="21"/>
          <w:highlight w:val="none"/>
          <w:lang w:val="en-US" w:eastAsia="zh-CN"/>
        </w:rPr>
        <w:t>西</w:t>
      </w:r>
      <w:r>
        <w:rPr>
          <w:rFonts w:hint="default" w:ascii="Times New Roman" w:hAnsi="Times New Roman" w:eastAsia="宋体" w:cs="Times New Roman"/>
          <w:color w:val="auto"/>
          <w:kern w:val="2"/>
          <w:sz w:val="21"/>
          <w:szCs w:val="21"/>
          <w:highlight w:val="none"/>
          <w:lang w:val="en-US" w:eastAsia="zh-CN"/>
        </w:rPr>
        <w:t>风，风向频率和为2</w:t>
      </w:r>
      <w:r>
        <w:rPr>
          <w:rFonts w:hint="default" w:ascii="Times New Roman" w:hAnsi="Times New Roman" w:cs="Times New Roman"/>
          <w:color w:val="auto"/>
          <w:kern w:val="2"/>
          <w:sz w:val="21"/>
          <w:szCs w:val="21"/>
          <w:highlight w:val="none"/>
          <w:lang w:val="en-US" w:eastAsia="zh-CN"/>
        </w:rPr>
        <w:t>8</w:t>
      </w:r>
      <w:r>
        <w:rPr>
          <w:rFonts w:hint="default" w:ascii="Times New Roman" w:hAnsi="Times New Roman" w:eastAsia="宋体" w:cs="Times New Roman"/>
          <w:color w:val="auto"/>
          <w:kern w:val="2"/>
          <w:sz w:val="21"/>
          <w:szCs w:val="21"/>
          <w:highlight w:val="none"/>
          <w:lang w:val="en-US" w:eastAsia="zh-CN"/>
        </w:rPr>
        <w:t>%，预测评价范围按土壤评价范围2</w:t>
      </w:r>
      <w:r>
        <w:rPr>
          <w:rFonts w:hint="default" w:ascii="Times New Roman" w:hAnsi="Times New Roman" w:cs="Times New Roman"/>
          <w:color w:val="auto"/>
          <w:kern w:val="2"/>
          <w:sz w:val="21"/>
          <w:szCs w:val="21"/>
          <w:highlight w:val="none"/>
          <w:lang w:val="en-US" w:eastAsia="zh-CN"/>
        </w:rPr>
        <w:t>8</w:t>
      </w:r>
      <w:r>
        <w:rPr>
          <w:rFonts w:hint="default" w:ascii="Times New Roman" w:hAnsi="Times New Roman" w:eastAsia="宋体" w:cs="Times New Roman"/>
          <w:color w:val="auto"/>
          <w:kern w:val="2"/>
          <w:sz w:val="21"/>
          <w:szCs w:val="21"/>
          <w:highlight w:val="none"/>
          <w:lang w:val="en-US" w:eastAsia="zh-CN"/>
        </w:rPr>
        <w:t>%核算</w:t>
      </w:r>
      <w:r>
        <w:rPr>
          <w:rFonts w:hint="default" w:ascii="Times New Roman" w:hAnsi="Times New Roman" w:cs="Times New Roman"/>
          <w:color w:val="auto"/>
          <w:kern w:val="2"/>
          <w:sz w:val="21"/>
          <w:szCs w:val="21"/>
          <w:highlight w:val="none"/>
          <w:lang w:val="en-US" w:eastAsia="zh-CN"/>
        </w:rPr>
        <w:t>。</w:t>
      </w:r>
    </w:p>
    <w:p w14:paraId="1A4D8D7A">
      <w:pPr>
        <w:pStyle w:val="2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7、非正常工况</w:t>
      </w:r>
    </w:p>
    <w:p w14:paraId="4A351338">
      <w:pPr>
        <w:widowControl w:val="0"/>
        <w:adjustRightInd/>
        <w:snapToGrid/>
        <w:spacing w:line="360" w:lineRule="auto"/>
        <w:ind w:firstLine="480" w:firstLineChars="200"/>
        <w:jc w:val="both"/>
        <w:rPr>
          <w:rFonts w:hint="default" w:ascii="Times New Roman" w:hAnsi="Times New Roman" w:eastAsia="宋体" w:cs="Times New Roman"/>
          <w:color w:val="auto"/>
          <w:kern w:val="2"/>
          <w:sz w:val="24"/>
          <w:szCs w:val="28"/>
          <w:highlight w:val="none"/>
          <w:lang w:val="en-US" w:eastAsia="zh-CN" w:bidi="ar-SA"/>
        </w:rPr>
      </w:pPr>
      <w:r>
        <w:rPr>
          <w:rFonts w:hint="default" w:ascii="Times New Roman" w:hAnsi="Times New Roman" w:cs="Times New Roman"/>
          <w:color w:val="auto"/>
          <w:kern w:val="2"/>
          <w:sz w:val="24"/>
          <w:szCs w:val="28"/>
          <w:highlight w:val="none"/>
          <w:lang w:val="en-US" w:eastAsia="zh-CN" w:bidi="ar-SA"/>
        </w:rPr>
        <w:t>（1）</w:t>
      </w:r>
      <w:r>
        <w:rPr>
          <w:rFonts w:hint="default" w:ascii="Times New Roman" w:hAnsi="Times New Roman" w:eastAsia="宋体" w:cs="Times New Roman"/>
          <w:color w:val="auto"/>
          <w:kern w:val="2"/>
          <w:sz w:val="24"/>
          <w:szCs w:val="28"/>
          <w:highlight w:val="none"/>
          <w:lang w:val="en-US" w:eastAsia="zh-CN" w:bidi="ar-SA"/>
        </w:rPr>
        <w:t>废气</w:t>
      </w:r>
    </w:p>
    <w:p w14:paraId="6DA8B60D">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本项目非正常工况主要为洒水车故障，导致抑尘效率为0%，则非正常工况下，废气源强下表。依据《环境影响评价技术导则-大气环境》（HJ2.2-2018）附录A推荐模型中的AERSCREEN模式进行估算结果见表3-3-11。</w:t>
      </w:r>
    </w:p>
    <w:p w14:paraId="5121B922">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表3-3-11 非正常工况下污染物参数</w:t>
      </w:r>
    </w:p>
    <w:tbl>
      <w:tblPr>
        <w:tblStyle w:val="20"/>
        <w:tblW w:w="437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4"/>
        <w:gridCol w:w="705"/>
        <w:gridCol w:w="638"/>
        <w:gridCol w:w="528"/>
        <w:gridCol w:w="426"/>
        <w:gridCol w:w="574"/>
        <w:gridCol w:w="605"/>
        <w:gridCol w:w="521"/>
        <w:gridCol w:w="924"/>
        <w:gridCol w:w="775"/>
        <w:gridCol w:w="710"/>
        <w:gridCol w:w="625"/>
      </w:tblGrid>
      <w:tr w14:paraId="0AB67B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4" w:type="pct"/>
            <w:vMerge w:val="restart"/>
            <w:noWrap w:val="0"/>
            <w:vAlign w:val="center"/>
          </w:tcPr>
          <w:p w14:paraId="7E09F7D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面源名称</w:t>
            </w:r>
          </w:p>
        </w:tc>
        <w:tc>
          <w:tcPr>
            <w:tcW w:w="900" w:type="pct"/>
            <w:gridSpan w:val="2"/>
            <w:noWrap w:val="0"/>
            <w:vAlign w:val="center"/>
          </w:tcPr>
          <w:p w14:paraId="439E46E2">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各顶点坐标</w:t>
            </w:r>
            <w:r>
              <w:rPr>
                <w:rFonts w:hint="default" w:ascii="Times New Roman" w:hAnsi="Times New Roman" w:cs="Times New Roman"/>
                <w:color w:val="auto"/>
                <w:highlight w:val="none"/>
                <w:lang w:val="en-US" w:eastAsia="zh-CN"/>
              </w:rPr>
              <w:t>/m</w:t>
            </w:r>
          </w:p>
        </w:tc>
        <w:tc>
          <w:tcPr>
            <w:tcW w:w="354" w:type="pct"/>
            <w:vMerge w:val="restart"/>
            <w:noWrap w:val="0"/>
            <w:vAlign w:val="center"/>
          </w:tcPr>
          <w:p w14:paraId="04AD2F0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面源海拔高度/m</w:t>
            </w:r>
          </w:p>
        </w:tc>
        <w:tc>
          <w:tcPr>
            <w:tcW w:w="285" w:type="pct"/>
            <w:vMerge w:val="restart"/>
            <w:noWrap w:val="0"/>
            <w:vAlign w:val="center"/>
          </w:tcPr>
          <w:p w14:paraId="567F24D5">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与正北向夹角/</w:t>
            </w:r>
          </w:p>
          <w:p w14:paraId="6142BDB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w:t>
            </w:r>
          </w:p>
        </w:tc>
        <w:tc>
          <w:tcPr>
            <w:tcW w:w="384" w:type="pct"/>
            <w:vMerge w:val="restart"/>
            <w:noWrap w:val="0"/>
            <w:vAlign w:val="center"/>
          </w:tcPr>
          <w:p w14:paraId="7568BE9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面源排放高度/m</w:t>
            </w:r>
          </w:p>
        </w:tc>
        <w:tc>
          <w:tcPr>
            <w:tcW w:w="405" w:type="pct"/>
            <w:vMerge w:val="restart"/>
            <w:noWrap w:val="0"/>
            <w:vAlign w:val="center"/>
          </w:tcPr>
          <w:p w14:paraId="281E42E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年排放小时数/h</w:t>
            </w:r>
          </w:p>
        </w:tc>
        <w:tc>
          <w:tcPr>
            <w:tcW w:w="349" w:type="pct"/>
            <w:vMerge w:val="restart"/>
            <w:noWrap w:val="0"/>
            <w:vAlign w:val="center"/>
          </w:tcPr>
          <w:p w14:paraId="5E13011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排放</w:t>
            </w:r>
          </w:p>
          <w:p w14:paraId="7D4BE49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工况</w:t>
            </w:r>
          </w:p>
        </w:tc>
        <w:tc>
          <w:tcPr>
            <w:tcW w:w="619" w:type="pct"/>
            <w:noWrap w:val="0"/>
            <w:vAlign w:val="center"/>
          </w:tcPr>
          <w:p w14:paraId="78704C6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污染物排放速率/（kg/h）</w:t>
            </w:r>
          </w:p>
        </w:tc>
        <w:tc>
          <w:tcPr>
            <w:tcW w:w="519" w:type="pct"/>
            <w:vMerge w:val="restart"/>
            <w:noWrap w:val="0"/>
            <w:vAlign w:val="center"/>
          </w:tcPr>
          <w:p w14:paraId="1A4382E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单次持续时间/h</w:t>
            </w:r>
          </w:p>
        </w:tc>
        <w:tc>
          <w:tcPr>
            <w:tcW w:w="476" w:type="pct"/>
            <w:vMerge w:val="restart"/>
            <w:noWrap w:val="0"/>
            <w:vAlign w:val="center"/>
          </w:tcPr>
          <w:p w14:paraId="1D6C20F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年发生频次/次</w:t>
            </w:r>
          </w:p>
        </w:tc>
        <w:tc>
          <w:tcPr>
            <w:tcW w:w="419" w:type="pct"/>
            <w:vMerge w:val="restart"/>
            <w:noWrap w:val="0"/>
            <w:vAlign w:val="center"/>
          </w:tcPr>
          <w:p w14:paraId="1481D99F">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应对</w:t>
            </w:r>
          </w:p>
          <w:p w14:paraId="2A18ED0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措施</w:t>
            </w:r>
          </w:p>
        </w:tc>
      </w:tr>
      <w:tr w14:paraId="58AD77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4" w:type="pct"/>
            <w:vMerge w:val="continue"/>
            <w:noWrap w:val="0"/>
            <w:vAlign w:val="center"/>
          </w:tcPr>
          <w:p w14:paraId="447D7D25">
            <w:pPr>
              <w:pStyle w:val="44"/>
              <w:bidi w:val="0"/>
              <w:rPr>
                <w:rFonts w:hint="default" w:ascii="Times New Roman" w:hAnsi="Times New Roman" w:cs="Times New Roman"/>
                <w:color w:val="auto"/>
                <w:highlight w:val="none"/>
              </w:rPr>
            </w:pPr>
          </w:p>
        </w:tc>
        <w:tc>
          <w:tcPr>
            <w:tcW w:w="472" w:type="pct"/>
            <w:noWrap w:val="0"/>
            <w:vAlign w:val="center"/>
          </w:tcPr>
          <w:p w14:paraId="61D8B5E2">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X</w:t>
            </w:r>
          </w:p>
        </w:tc>
        <w:tc>
          <w:tcPr>
            <w:tcW w:w="427" w:type="pct"/>
            <w:noWrap w:val="0"/>
            <w:vAlign w:val="center"/>
          </w:tcPr>
          <w:p w14:paraId="37233812">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Y</w:t>
            </w:r>
          </w:p>
        </w:tc>
        <w:tc>
          <w:tcPr>
            <w:tcW w:w="354" w:type="pct"/>
            <w:vMerge w:val="continue"/>
            <w:noWrap w:val="0"/>
            <w:vAlign w:val="center"/>
          </w:tcPr>
          <w:p w14:paraId="26CF001B">
            <w:pPr>
              <w:pStyle w:val="44"/>
              <w:bidi w:val="0"/>
              <w:rPr>
                <w:rFonts w:hint="default" w:ascii="Times New Roman" w:hAnsi="Times New Roman" w:cs="Times New Roman"/>
                <w:color w:val="auto"/>
                <w:highlight w:val="none"/>
              </w:rPr>
            </w:pPr>
          </w:p>
        </w:tc>
        <w:tc>
          <w:tcPr>
            <w:tcW w:w="285" w:type="pct"/>
            <w:vMerge w:val="continue"/>
            <w:noWrap w:val="0"/>
            <w:vAlign w:val="center"/>
          </w:tcPr>
          <w:p w14:paraId="44740616">
            <w:pPr>
              <w:pStyle w:val="44"/>
              <w:bidi w:val="0"/>
              <w:rPr>
                <w:rFonts w:hint="default" w:ascii="Times New Roman" w:hAnsi="Times New Roman" w:cs="Times New Roman"/>
                <w:color w:val="auto"/>
                <w:highlight w:val="none"/>
              </w:rPr>
            </w:pPr>
          </w:p>
        </w:tc>
        <w:tc>
          <w:tcPr>
            <w:tcW w:w="384" w:type="pct"/>
            <w:vMerge w:val="continue"/>
            <w:noWrap w:val="0"/>
            <w:vAlign w:val="center"/>
          </w:tcPr>
          <w:p w14:paraId="1F1C88CC">
            <w:pPr>
              <w:pStyle w:val="44"/>
              <w:bidi w:val="0"/>
              <w:rPr>
                <w:rFonts w:hint="default" w:ascii="Times New Roman" w:hAnsi="Times New Roman" w:cs="Times New Roman"/>
                <w:color w:val="auto"/>
                <w:highlight w:val="none"/>
              </w:rPr>
            </w:pPr>
          </w:p>
        </w:tc>
        <w:tc>
          <w:tcPr>
            <w:tcW w:w="405" w:type="pct"/>
            <w:vMerge w:val="continue"/>
            <w:noWrap w:val="0"/>
            <w:vAlign w:val="center"/>
          </w:tcPr>
          <w:p w14:paraId="5F66F791">
            <w:pPr>
              <w:pStyle w:val="44"/>
              <w:bidi w:val="0"/>
              <w:rPr>
                <w:rFonts w:hint="default" w:ascii="Times New Roman" w:hAnsi="Times New Roman" w:cs="Times New Roman"/>
                <w:color w:val="auto"/>
                <w:highlight w:val="none"/>
              </w:rPr>
            </w:pPr>
          </w:p>
        </w:tc>
        <w:tc>
          <w:tcPr>
            <w:tcW w:w="349" w:type="pct"/>
            <w:vMerge w:val="continue"/>
            <w:noWrap w:val="0"/>
            <w:vAlign w:val="center"/>
          </w:tcPr>
          <w:p w14:paraId="51F7EBBF">
            <w:pPr>
              <w:pStyle w:val="44"/>
              <w:bidi w:val="0"/>
              <w:rPr>
                <w:rFonts w:hint="default" w:ascii="Times New Roman" w:hAnsi="Times New Roman" w:cs="Times New Roman"/>
                <w:color w:val="auto"/>
                <w:highlight w:val="none"/>
              </w:rPr>
            </w:pPr>
          </w:p>
        </w:tc>
        <w:tc>
          <w:tcPr>
            <w:tcW w:w="619" w:type="pct"/>
            <w:noWrap w:val="0"/>
            <w:vAlign w:val="center"/>
          </w:tcPr>
          <w:p w14:paraId="12BA07CF">
            <w:pPr>
              <w:pStyle w:val="44"/>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TSP</w:t>
            </w:r>
          </w:p>
        </w:tc>
        <w:tc>
          <w:tcPr>
            <w:tcW w:w="519" w:type="pct"/>
            <w:vMerge w:val="continue"/>
            <w:noWrap w:val="0"/>
            <w:vAlign w:val="center"/>
          </w:tcPr>
          <w:p w14:paraId="39E0B876">
            <w:pPr>
              <w:pStyle w:val="44"/>
              <w:bidi w:val="0"/>
              <w:rPr>
                <w:rFonts w:hint="default" w:ascii="Times New Roman" w:hAnsi="Times New Roman" w:cs="Times New Roman"/>
                <w:color w:val="auto"/>
                <w:highlight w:val="none"/>
              </w:rPr>
            </w:pPr>
          </w:p>
        </w:tc>
        <w:tc>
          <w:tcPr>
            <w:tcW w:w="476" w:type="pct"/>
            <w:vMerge w:val="continue"/>
            <w:noWrap w:val="0"/>
            <w:vAlign w:val="center"/>
          </w:tcPr>
          <w:p w14:paraId="43DF9FC2">
            <w:pPr>
              <w:pStyle w:val="44"/>
              <w:bidi w:val="0"/>
              <w:rPr>
                <w:rFonts w:hint="default" w:ascii="Times New Roman" w:hAnsi="Times New Roman" w:cs="Times New Roman"/>
                <w:color w:val="auto"/>
                <w:highlight w:val="none"/>
              </w:rPr>
            </w:pPr>
          </w:p>
        </w:tc>
        <w:tc>
          <w:tcPr>
            <w:tcW w:w="419" w:type="pct"/>
            <w:vMerge w:val="continue"/>
            <w:noWrap w:val="0"/>
            <w:vAlign w:val="center"/>
          </w:tcPr>
          <w:p w14:paraId="56BF26D2">
            <w:pPr>
              <w:pStyle w:val="44"/>
              <w:bidi w:val="0"/>
              <w:rPr>
                <w:rFonts w:hint="default" w:ascii="Times New Roman" w:hAnsi="Times New Roman" w:cs="Times New Roman"/>
                <w:color w:val="auto"/>
                <w:highlight w:val="none"/>
              </w:rPr>
            </w:pPr>
          </w:p>
        </w:tc>
      </w:tr>
      <w:tr w14:paraId="70701C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4" w:type="pct"/>
            <w:vMerge w:val="restart"/>
            <w:noWrap w:val="0"/>
            <w:vAlign w:val="center"/>
          </w:tcPr>
          <w:p w14:paraId="53EB61A3">
            <w:pPr>
              <w:pStyle w:val="44"/>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回填区</w:t>
            </w:r>
          </w:p>
        </w:tc>
        <w:tc>
          <w:tcPr>
            <w:tcW w:w="472" w:type="pct"/>
            <w:noWrap w:val="0"/>
            <w:vAlign w:val="center"/>
          </w:tcPr>
          <w:p w14:paraId="065DD32E">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-5108</w:t>
            </w:r>
          </w:p>
        </w:tc>
        <w:tc>
          <w:tcPr>
            <w:tcW w:w="427" w:type="pct"/>
            <w:noWrap w:val="0"/>
            <w:vAlign w:val="center"/>
          </w:tcPr>
          <w:p w14:paraId="11729B5F">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3429</w:t>
            </w:r>
          </w:p>
        </w:tc>
        <w:tc>
          <w:tcPr>
            <w:tcW w:w="354" w:type="pct"/>
            <w:vMerge w:val="restart"/>
            <w:noWrap w:val="0"/>
            <w:vAlign w:val="center"/>
          </w:tcPr>
          <w:p w14:paraId="6546C6B5">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w:t>
            </w:r>
            <w:r>
              <w:rPr>
                <w:rFonts w:hint="eastAsia" w:cs="Times New Roman"/>
                <w:color w:val="auto"/>
                <w:highlight w:val="none"/>
                <w:lang w:val="en-US" w:eastAsia="zh-CN"/>
              </w:rPr>
              <w:t>0</w:t>
            </w:r>
            <w:r>
              <w:rPr>
                <w:rFonts w:hint="default" w:ascii="Times New Roman" w:hAnsi="Times New Roman" w:cs="Times New Roman"/>
                <w:color w:val="auto"/>
                <w:highlight w:val="none"/>
                <w:lang w:val="en-US" w:eastAsia="zh-CN"/>
              </w:rPr>
              <w:t>0</w:t>
            </w:r>
          </w:p>
        </w:tc>
        <w:tc>
          <w:tcPr>
            <w:tcW w:w="285" w:type="pct"/>
            <w:vMerge w:val="restart"/>
            <w:noWrap w:val="0"/>
            <w:vAlign w:val="center"/>
          </w:tcPr>
          <w:p w14:paraId="20792428">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25</w:t>
            </w:r>
          </w:p>
        </w:tc>
        <w:tc>
          <w:tcPr>
            <w:tcW w:w="384" w:type="pct"/>
            <w:vMerge w:val="restart"/>
            <w:noWrap w:val="0"/>
            <w:vAlign w:val="center"/>
          </w:tcPr>
          <w:p w14:paraId="1C488A49">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1.5</w:t>
            </w:r>
          </w:p>
        </w:tc>
        <w:tc>
          <w:tcPr>
            <w:tcW w:w="405" w:type="pct"/>
            <w:vMerge w:val="restart"/>
            <w:noWrap w:val="0"/>
            <w:vAlign w:val="center"/>
          </w:tcPr>
          <w:p w14:paraId="65B77F1A">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1680</w:t>
            </w:r>
          </w:p>
        </w:tc>
        <w:tc>
          <w:tcPr>
            <w:tcW w:w="349" w:type="pct"/>
            <w:vMerge w:val="restart"/>
            <w:noWrap w:val="0"/>
            <w:vAlign w:val="center"/>
          </w:tcPr>
          <w:p w14:paraId="5C987421">
            <w:pPr>
              <w:pStyle w:val="44"/>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非</w:t>
            </w:r>
            <w:r>
              <w:rPr>
                <w:rFonts w:hint="default" w:ascii="Times New Roman" w:hAnsi="Times New Roman" w:cs="Times New Roman"/>
                <w:color w:val="auto"/>
                <w:highlight w:val="none"/>
                <w:lang w:eastAsia="zh-CN"/>
              </w:rPr>
              <w:t>正常工况</w:t>
            </w:r>
          </w:p>
        </w:tc>
        <w:tc>
          <w:tcPr>
            <w:tcW w:w="619" w:type="pct"/>
            <w:vMerge w:val="restart"/>
            <w:noWrap w:val="0"/>
            <w:vAlign w:val="center"/>
          </w:tcPr>
          <w:p w14:paraId="6D150822">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0.022</w:t>
            </w:r>
          </w:p>
        </w:tc>
        <w:tc>
          <w:tcPr>
            <w:tcW w:w="519" w:type="pct"/>
            <w:vMerge w:val="restart"/>
            <w:noWrap w:val="0"/>
            <w:vAlign w:val="center"/>
          </w:tcPr>
          <w:p w14:paraId="5CD4D430">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476" w:type="pct"/>
            <w:vMerge w:val="restart"/>
            <w:noWrap w:val="0"/>
            <w:vAlign w:val="center"/>
          </w:tcPr>
          <w:p w14:paraId="46A27614">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419" w:type="pct"/>
            <w:vMerge w:val="restart"/>
            <w:noWrap w:val="0"/>
            <w:vAlign w:val="center"/>
          </w:tcPr>
          <w:p w14:paraId="68E48EF3">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及时维修，加强维护</w:t>
            </w:r>
          </w:p>
        </w:tc>
      </w:tr>
      <w:tr w14:paraId="20E960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4" w:type="pct"/>
            <w:vMerge w:val="continue"/>
            <w:noWrap w:val="0"/>
            <w:vAlign w:val="center"/>
          </w:tcPr>
          <w:p w14:paraId="0D916960">
            <w:pPr>
              <w:pStyle w:val="44"/>
              <w:bidi w:val="0"/>
              <w:rPr>
                <w:rFonts w:hint="default" w:ascii="Times New Roman" w:hAnsi="Times New Roman" w:cs="Times New Roman"/>
                <w:color w:val="auto"/>
                <w:highlight w:val="none"/>
                <w:lang w:eastAsia="zh-CN"/>
              </w:rPr>
            </w:pPr>
          </w:p>
        </w:tc>
        <w:tc>
          <w:tcPr>
            <w:tcW w:w="472" w:type="pct"/>
            <w:noWrap w:val="0"/>
            <w:vAlign w:val="center"/>
          </w:tcPr>
          <w:p w14:paraId="7785A704">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-5066</w:t>
            </w:r>
          </w:p>
        </w:tc>
        <w:tc>
          <w:tcPr>
            <w:tcW w:w="427" w:type="pct"/>
            <w:noWrap w:val="0"/>
            <w:vAlign w:val="center"/>
          </w:tcPr>
          <w:p w14:paraId="27B3CAA3">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3382</w:t>
            </w:r>
          </w:p>
        </w:tc>
        <w:tc>
          <w:tcPr>
            <w:tcW w:w="354" w:type="pct"/>
            <w:vMerge w:val="continue"/>
            <w:noWrap w:val="0"/>
            <w:vAlign w:val="center"/>
          </w:tcPr>
          <w:p w14:paraId="20B931C5">
            <w:pPr>
              <w:pStyle w:val="44"/>
              <w:bidi w:val="0"/>
              <w:rPr>
                <w:rFonts w:hint="default" w:ascii="Times New Roman" w:hAnsi="Times New Roman" w:cs="Times New Roman"/>
                <w:color w:val="auto"/>
                <w:highlight w:val="none"/>
                <w:lang w:val="en-US" w:eastAsia="zh-CN"/>
              </w:rPr>
            </w:pPr>
          </w:p>
        </w:tc>
        <w:tc>
          <w:tcPr>
            <w:tcW w:w="285" w:type="pct"/>
            <w:vMerge w:val="continue"/>
            <w:noWrap w:val="0"/>
            <w:vAlign w:val="center"/>
          </w:tcPr>
          <w:p w14:paraId="501A2E67">
            <w:pPr>
              <w:pStyle w:val="44"/>
              <w:bidi w:val="0"/>
              <w:rPr>
                <w:rFonts w:hint="default" w:ascii="Times New Roman" w:hAnsi="Times New Roman" w:cs="Times New Roman"/>
                <w:color w:val="auto"/>
                <w:highlight w:val="none"/>
                <w:lang w:val="en-US" w:eastAsia="zh-CN"/>
              </w:rPr>
            </w:pPr>
          </w:p>
        </w:tc>
        <w:tc>
          <w:tcPr>
            <w:tcW w:w="384" w:type="pct"/>
            <w:vMerge w:val="continue"/>
            <w:noWrap w:val="0"/>
            <w:vAlign w:val="center"/>
          </w:tcPr>
          <w:p w14:paraId="77705774">
            <w:pPr>
              <w:pStyle w:val="44"/>
              <w:bidi w:val="0"/>
              <w:rPr>
                <w:rFonts w:hint="default" w:ascii="Times New Roman" w:hAnsi="Times New Roman" w:cs="Times New Roman"/>
                <w:color w:val="auto"/>
                <w:highlight w:val="none"/>
                <w:lang w:val="en-US" w:eastAsia="zh-CN"/>
              </w:rPr>
            </w:pPr>
          </w:p>
        </w:tc>
        <w:tc>
          <w:tcPr>
            <w:tcW w:w="405" w:type="pct"/>
            <w:vMerge w:val="continue"/>
            <w:noWrap w:val="0"/>
            <w:vAlign w:val="center"/>
          </w:tcPr>
          <w:p w14:paraId="2F18BD5A">
            <w:pPr>
              <w:pStyle w:val="44"/>
              <w:bidi w:val="0"/>
              <w:rPr>
                <w:rFonts w:hint="default" w:ascii="Times New Roman" w:hAnsi="Times New Roman" w:cs="Times New Roman"/>
                <w:color w:val="auto"/>
                <w:highlight w:val="none"/>
                <w:lang w:val="en-US" w:eastAsia="zh-CN"/>
              </w:rPr>
            </w:pPr>
          </w:p>
        </w:tc>
        <w:tc>
          <w:tcPr>
            <w:tcW w:w="349" w:type="pct"/>
            <w:vMerge w:val="continue"/>
            <w:noWrap w:val="0"/>
            <w:vAlign w:val="center"/>
          </w:tcPr>
          <w:p w14:paraId="65018119">
            <w:pPr>
              <w:pStyle w:val="44"/>
              <w:bidi w:val="0"/>
              <w:rPr>
                <w:rFonts w:hint="default" w:ascii="Times New Roman" w:hAnsi="Times New Roman" w:cs="Times New Roman"/>
                <w:color w:val="auto"/>
                <w:highlight w:val="none"/>
                <w:lang w:eastAsia="zh-CN"/>
              </w:rPr>
            </w:pPr>
          </w:p>
        </w:tc>
        <w:tc>
          <w:tcPr>
            <w:tcW w:w="619" w:type="pct"/>
            <w:vMerge w:val="continue"/>
            <w:noWrap w:val="0"/>
            <w:vAlign w:val="center"/>
          </w:tcPr>
          <w:p w14:paraId="2DBEA604">
            <w:pPr>
              <w:pStyle w:val="44"/>
              <w:bidi w:val="0"/>
              <w:rPr>
                <w:rFonts w:hint="default" w:ascii="Times New Roman" w:hAnsi="Times New Roman" w:cs="Times New Roman"/>
                <w:color w:val="auto"/>
                <w:highlight w:val="none"/>
                <w:lang w:val="en-US" w:eastAsia="zh-CN"/>
              </w:rPr>
            </w:pPr>
          </w:p>
        </w:tc>
        <w:tc>
          <w:tcPr>
            <w:tcW w:w="519" w:type="pct"/>
            <w:vMerge w:val="continue"/>
            <w:noWrap w:val="0"/>
            <w:vAlign w:val="center"/>
          </w:tcPr>
          <w:p w14:paraId="53F276BE">
            <w:pPr>
              <w:pStyle w:val="44"/>
              <w:bidi w:val="0"/>
              <w:rPr>
                <w:rFonts w:hint="default" w:ascii="Times New Roman" w:hAnsi="Times New Roman" w:cs="Times New Roman"/>
                <w:color w:val="auto"/>
                <w:highlight w:val="none"/>
                <w:lang w:val="en-US" w:eastAsia="zh-CN"/>
              </w:rPr>
            </w:pPr>
          </w:p>
        </w:tc>
        <w:tc>
          <w:tcPr>
            <w:tcW w:w="476" w:type="pct"/>
            <w:vMerge w:val="continue"/>
            <w:noWrap w:val="0"/>
            <w:vAlign w:val="center"/>
          </w:tcPr>
          <w:p w14:paraId="4F3AA7BA">
            <w:pPr>
              <w:pStyle w:val="44"/>
              <w:bidi w:val="0"/>
              <w:rPr>
                <w:rFonts w:hint="default" w:ascii="Times New Roman" w:hAnsi="Times New Roman" w:cs="Times New Roman"/>
                <w:color w:val="auto"/>
                <w:highlight w:val="none"/>
                <w:lang w:val="en-US" w:eastAsia="zh-CN"/>
              </w:rPr>
            </w:pPr>
          </w:p>
        </w:tc>
        <w:tc>
          <w:tcPr>
            <w:tcW w:w="419" w:type="pct"/>
            <w:vMerge w:val="continue"/>
            <w:noWrap w:val="0"/>
            <w:vAlign w:val="center"/>
          </w:tcPr>
          <w:p w14:paraId="2CA9F042">
            <w:pPr>
              <w:pStyle w:val="44"/>
              <w:bidi w:val="0"/>
              <w:rPr>
                <w:rFonts w:hint="default" w:ascii="Times New Roman" w:hAnsi="Times New Roman" w:cs="Times New Roman"/>
                <w:color w:val="auto"/>
                <w:highlight w:val="none"/>
                <w:lang w:val="en-US" w:eastAsia="zh-CN"/>
              </w:rPr>
            </w:pPr>
          </w:p>
        </w:tc>
      </w:tr>
      <w:tr w14:paraId="4BA2DF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4" w:type="pct"/>
            <w:vMerge w:val="continue"/>
            <w:noWrap w:val="0"/>
            <w:vAlign w:val="center"/>
          </w:tcPr>
          <w:p w14:paraId="0F616B25">
            <w:pPr>
              <w:pStyle w:val="44"/>
              <w:bidi w:val="0"/>
              <w:rPr>
                <w:rFonts w:hint="default" w:ascii="Times New Roman" w:hAnsi="Times New Roman" w:cs="Times New Roman"/>
                <w:color w:val="auto"/>
                <w:highlight w:val="none"/>
                <w:lang w:eastAsia="zh-CN"/>
              </w:rPr>
            </w:pPr>
          </w:p>
        </w:tc>
        <w:tc>
          <w:tcPr>
            <w:tcW w:w="472" w:type="pct"/>
            <w:noWrap w:val="0"/>
            <w:vAlign w:val="center"/>
          </w:tcPr>
          <w:p w14:paraId="487DF4FF">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-4994</w:t>
            </w:r>
          </w:p>
        </w:tc>
        <w:tc>
          <w:tcPr>
            <w:tcW w:w="427" w:type="pct"/>
            <w:noWrap w:val="0"/>
            <w:vAlign w:val="center"/>
          </w:tcPr>
          <w:p w14:paraId="66669967">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3393</w:t>
            </w:r>
          </w:p>
        </w:tc>
        <w:tc>
          <w:tcPr>
            <w:tcW w:w="354" w:type="pct"/>
            <w:vMerge w:val="continue"/>
            <w:noWrap w:val="0"/>
            <w:vAlign w:val="center"/>
          </w:tcPr>
          <w:p w14:paraId="050EB7E6">
            <w:pPr>
              <w:pStyle w:val="44"/>
              <w:bidi w:val="0"/>
              <w:rPr>
                <w:rFonts w:hint="default" w:ascii="Times New Roman" w:hAnsi="Times New Roman" w:cs="Times New Roman"/>
                <w:color w:val="auto"/>
                <w:highlight w:val="none"/>
                <w:lang w:val="en-US" w:eastAsia="zh-CN"/>
              </w:rPr>
            </w:pPr>
          </w:p>
        </w:tc>
        <w:tc>
          <w:tcPr>
            <w:tcW w:w="285" w:type="pct"/>
            <w:vMerge w:val="continue"/>
            <w:noWrap w:val="0"/>
            <w:vAlign w:val="center"/>
          </w:tcPr>
          <w:p w14:paraId="55C36BE5">
            <w:pPr>
              <w:pStyle w:val="44"/>
              <w:bidi w:val="0"/>
              <w:rPr>
                <w:rFonts w:hint="default" w:ascii="Times New Roman" w:hAnsi="Times New Roman" w:cs="Times New Roman"/>
                <w:color w:val="auto"/>
                <w:highlight w:val="none"/>
                <w:lang w:val="en-US" w:eastAsia="zh-CN"/>
              </w:rPr>
            </w:pPr>
          </w:p>
        </w:tc>
        <w:tc>
          <w:tcPr>
            <w:tcW w:w="384" w:type="pct"/>
            <w:vMerge w:val="continue"/>
            <w:noWrap w:val="0"/>
            <w:vAlign w:val="center"/>
          </w:tcPr>
          <w:p w14:paraId="0D329181">
            <w:pPr>
              <w:pStyle w:val="44"/>
              <w:bidi w:val="0"/>
              <w:rPr>
                <w:rFonts w:hint="default" w:ascii="Times New Roman" w:hAnsi="Times New Roman" w:cs="Times New Roman"/>
                <w:color w:val="auto"/>
                <w:highlight w:val="none"/>
                <w:lang w:val="en-US" w:eastAsia="zh-CN"/>
              </w:rPr>
            </w:pPr>
          </w:p>
        </w:tc>
        <w:tc>
          <w:tcPr>
            <w:tcW w:w="405" w:type="pct"/>
            <w:vMerge w:val="continue"/>
            <w:noWrap w:val="0"/>
            <w:vAlign w:val="center"/>
          </w:tcPr>
          <w:p w14:paraId="7DD91398">
            <w:pPr>
              <w:pStyle w:val="44"/>
              <w:bidi w:val="0"/>
              <w:rPr>
                <w:rFonts w:hint="default" w:ascii="Times New Roman" w:hAnsi="Times New Roman" w:cs="Times New Roman"/>
                <w:color w:val="auto"/>
                <w:highlight w:val="none"/>
                <w:lang w:val="en-US" w:eastAsia="zh-CN"/>
              </w:rPr>
            </w:pPr>
          </w:p>
        </w:tc>
        <w:tc>
          <w:tcPr>
            <w:tcW w:w="349" w:type="pct"/>
            <w:vMerge w:val="continue"/>
            <w:noWrap w:val="0"/>
            <w:vAlign w:val="center"/>
          </w:tcPr>
          <w:p w14:paraId="68CA8F99">
            <w:pPr>
              <w:pStyle w:val="44"/>
              <w:bidi w:val="0"/>
              <w:rPr>
                <w:rFonts w:hint="default" w:ascii="Times New Roman" w:hAnsi="Times New Roman" w:cs="Times New Roman"/>
                <w:color w:val="auto"/>
                <w:highlight w:val="none"/>
                <w:lang w:eastAsia="zh-CN"/>
              </w:rPr>
            </w:pPr>
          </w:p>
        </w:tc>
        <w:tc>
          <w:tcPr>
            <w:tcW w:w="619" w:type="pct"/>
            <w:vMerge w:val="continue"/>
            <w:noWrap w:val="0"/>
            <w:vAlign w:val="center"/>
          </w:tcPr>
          <w:p w14:paraId="025D89B2">
            <w:pPr>
              <w:pStyle w:val="44"/>
              <w:bidi w:val="0"/>
              <w:rPr>
                <w:rFonts w:hint="default" w:ascii="Times New Roman" w:hAnsi="Times New Roman" w:cs="Times New Roman"/>
                <w:color w:val="auto"/>
                <w:highlight w:val="none"/>
                <w:lang w:val="en-US" w:eastAsia="zh-CN"/>
              </w:rPr>
            </w:pPr>
          </w:p>
        </w:tc>
        <w:tc>
          <w:tcPr>
            <w:tcW w:w="519" w:type="pct"/>
            <w:vMerge w:val="continue"/>
            <w:noWrap w:val="0"/>
            <w:vAlign w:val="center"/>
          </w:tcPr>
          <w:p w14:paraId="3869E29B">
            <w:pPr>
              <w:pStyle w:val="44"/>
              <w:bidi w:val="0"/>
              <w:rPr>
                <w:rFonts w:hint="default" w:ascii="Times New Roman" w:hAnsi="Times New Roman" w:cs="Times New Roman"/>
                <w:color w:val="auto"/>
                <w:highlight w:val="none"/>
                <w:lang w:val="en-US" w:eastAsia="zh-CN"/>
              </w:rPr>
            </w:pPr>
          </w:p>
        </w:tc>
        <w:tc>
          <w:tcPr>
            <w:tcW w:w="476" w:type="pct"/>
            <w:vMerge w:val="continue"/>
            <w:noWrap w:val="0"/>
            <w:vAlign w:val="center"/>
          </w:tcPr>
          <w:p w14:paraId="53565196">
            <w:pPr>
              <w:pStyle w:val="44"/>
              <w:bidi w:val="0"/>
              <w:rPr>
                <w:rFonts w:hint="default" w:ascii="Times New Roman" w:hAnsi="Times New Roman" w:cs="Times New Roman"/>
                <w:color w:val="auto"/>
                <w:highlight w:val="none"/>
                <w:lang w:val="en-US" w:eastAsia="zh-CN"/>
              </w:rPr>
            </w:pPr>
          </w:p>
        </w:tc>
        <w:tc>
          <w:tcPr>
            <w:tcW w:w="419" w:type="pct"/>
            <w:vMerge w:val="continue"/>
            <w:noWrap w:val="0"/>
            <w:vAlign w:val="center"/>
          </w:tcPr>
          <w:p w14:paraId="37098D67">
            <w:pPr>
              <w:pStyle w:val="44"/>
              <w:bidi w:val="0"/>
              <w:rPr>
                <w:rFonts w:hint="default" w:ascii="Times New Roman" w:hAnsi="Times New Roman" w:cs="Times New Roman"/>
                <w:color w:val="auto"/>
                <w:highlight w:val="none"/>
                <w:lang w:val="en-US" w:eastAsia="zh-CN"/>
              </w:rPr>
            </w:pPr>
          </w:p>
        </w:tc>
      </w:tr>
      <w:tr w14:paraId="604533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4" w:type="pct"/>
            <w:vMerge w:val="continue"/>
            <w:noWrap w:val="0"/>
            <w:vAlign w:val="center"/>
          </w:tcPr>
          <w:p w14:paraId="6E0E35E5">
            <w:pPr>
              <w:pStyle w:val="44"/>
              <w:bidi w:val="0"/>
              <w:rPr>
                <w:rFonts w:hint="default" w:ascii="Times New Roman" w:hAnsi="Times New Roman" w:cs="Times New Roman"/>
                <w:color w:val="auto"/>
                <w:highlight w:val="none"/>
                <w:lang w:eastAsia="zh-CN"/>
              </w:rPr>
            </w:pPr>
          </w:p>
        </w:tc>
        <w:tc>
          <w:tcPr>
            <w:tcW w:w="472" w:type="pct"/>
            <w:noWrap w:val="0"/>
            <w:vAlign w:val="center"/>
          </w:tcPr>
          <w:p w14:paraId="63C66187">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-4688</w:t>
            </w:r>
          </w:p>
        </w:tc>
        <w:tc>
          <w:tcPr>
            <w:tcW w:w="427" w:type="pct"/>
            <w:noWrap w:val="0"/>
            <w:vAlign w:val="center"/>
          </w:tcPr>
          <w:p w14:paraId="5DBA875C">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3431</w:t>
            </w:r>
          </w:p>
        </w:tc>
        <w:tc>
          <w:tcPr>
            <w:tcW w:w="354" w:type="pct"/>
            <w:vMerge w:val="continue"/>
            <w:noWrap w:val="0"/>
            <w:vAlign w:val="center"/>
          </w:tcPr>
          <w:p w14:paraId="19E73C45">
            <w:pPr>
              <w:pStyle w:val="44"/>
              <w:bidi w:val="0"/>
              <w:rPr>
                <w:rFonts w:hint="default" w:ascii="Times New Roman" w:hAnsi="Times New Roman" w:cs="Times New Roman"/>
                <w:color w:val="auto"/>
                <w:highlight w:val="none"/>
                <w:lang w:val="en-US" w:eastAsia="zh-CN"/>
              </w:rPr>
            </w:pPr>
          </w:p>
        </w:tc>
        <w:tc>
          <w:tcPr>
            <w:tcW w:w="285" w:type="pct"/>
            <w:vMerge w:val="continue"/>
            <w:noWrap w:val="0"/>
            <w:vAlign w:val="center"/>
          </w:tcPr>
          <w:p w14:paraId="13DB0350">
            <w:pPr>
              <w:pStyle w:val="44"/>
              <w:bidi w:val="0"/>
              <w:rPr>
                <w:rFonts w:hint="default" w:ascii="Times New Roman" w:hAnsi="Times New Roman" w:cs="Times New Roman"/>
                <w:color w:val="auto"/>
                <w:highlight w:val="none"/>
                <w:lang w:val="en-US" w:eastAsia="zh-CN"/>
              </w:rPr>
            </w:pPr>
          </w:p>
        </w:tc>
        <w:tc>
          <w:tcPr>
            <w:tcW w:w="384" w:type="pct"/>
            <w:vMerge w:val="continue"/>
            <w:noWrap w:val="0"/>
            <w:vAlign w:val="center"/>
          </w:tcPr>
          <w:p w14:paraId="082312F6">
            <w:pPr>
              <w:pStyle w:val="44"/>
              <w:bidi w:val="0"/>
              <w:rPr>
                <w:rFonts w:hint="default" w:ascii="Times New Roman" w:hAnsi="Times New Roman" w:cs="Times New Roman"/>
                <w:color w:val="auto"/>
                <w:highlight w:val="none"/>
                <w:lang w:val="en-US" w:eastAsia="zh-CN"/>
              </w:rPr>
            </w:pPr>
          </w:p>
        </w:tc>
        <w:tc>
          <w:tcPr>
            <w:tcW w:w="405" w:type="pct"/>
            <w:vMerge w:val="continue"/>
            <w:noWrap w:val="0"/>
            <w:vAlign w:val="center"/>
          </w:tcPr>
          <w:p w14:paraId="4DB90019">
            <w:pPr>
              <w:pStyle w:val="44"/>
              <w:bidi w:val="0"/>
              <w:rPr>
                <w:rFonts w:hint="default" w:ascii="Times New Roman" w:hAnsi="Times New Roman" w:cs="Times New Roman"/>
                <w:color w:val="auto"/>
                <w:highlight w:val="none"/>
                <w:lang w:val="en-US" w:eastAsia="zh-CN"/>
              </w:rPr>
            </w:pPr>
          </w:p>
        </w:tc>
        <w:tc>
          <w:tcPr>
            <w:tcW w:w="349" w:type="pct"/>
            <w:vMerge w:val="continue"/>
            <w:noWrap w:val="0"/>
            <w:vAlign w:val="center"/>
          </w:tcPr>
          <w:p w14:paraId="3AE73DC2">
            <w:pPr>
              <w:pStyle w:val="44"/>
              <w:bidi w:val="0"/>
              <w:rPr>
                <w:rFonts w:hint="default" w:ascii="Times New Roman" w:hAnsi="Times New Roman" w:cs="Times New Roman"/>
                <w:color w:val="auto"/>
                <w:highlight w:val="none"/>
                <w:lang w:eastAsia="zh-CN"/>
              </w:rPr>
            </w:pPr>
          </w:p>
        </w:tc>
        <w:tc>
          <w:tcPr>
            <w:tcW w:w="619" w:type="pct"/>
            <w:vMerge w:val="continue"/>
            <w:noWrap w:val="0"/>
            <w:vAlign w:val="center"/>
          </w:tcPr>
          <w:p w14:paraId="65131D3E">
            <w:pPr>
              <w:pStyle w:val="44"/>
              <w:bidi w:val="0"/>
              <w:rPr>
                <w:rFonts w:hint="default" w:ascii="Times New Roman" w:hAnsi="Times New Roman" w:cs="Times New Roman"/>
                <w:color w:val="auto"/>
                <w:highlight w:val="none"/>
                <w:lang w:val="en-US" w:eastAsia="zh-CN"/>
              </w:rPr>
            </w:pPr>
          </w:p>
        </w:tc>
        <w:tc>
          <w:tcPr>
            <w:tcW w:w="519" w:type="pct"/>
            <w:vMerge w:val="continue"/>
            <w:noWrap w:val="0"/>
            <w:vAlign w:val="center"/>
          </w:tcPr>
          <w:p w14:paraId="2A0EFE60">
            <w:pPr>
              <w:pStyle w:val="44"/>
              <w:bidi w:val="0"/>
              <w:rPr>
                <w:rFonts w:hint="default" w:ascii="Times New Roman" w:hAnsi="Times New Roman" w:cs="Times New Roman"/>
                <w:color w:val="auto"/>
                <w:highlight w:val="none"/>
                <w:lang w:val="en-US" w:eastAsia="zh-CN"/>
              </w:rPr>
            </w:pPr>
          </w:p>
        </w:tc>
        <w:tc>
          <w:tcPr>
            <w:tcW w:w="476" w:type="pct"/>
            <w:vMerge w:val="continue"/>
            <w:noWrap w:val="0"/>
            <w:vAlign w:val="center"/>
          </w:tcPr>
          <w:p w14:paraId="2CF8FA2E">
            <w:pPr>
              <w:pStyle w:val="44"/>
              <w:bidi w:val="0"/>
              <w:rPr>
                <w:rFonts w:hint="default" w:ascii="Times New Roman" w:hAnsi="Times New Roman" w:cs="Times New Roman"/>
                <w:color w:val="auto"/>
                <w:highlight w:val="none"/>
                <w:lang w:val="en-US" w:eastAsia="zh-CN"/>
              </w:rPr>
            </w:pPr>
          </w:p>
        </w:tc>
        <w:tc>
          <w:tcPr>
            <w:tcW w:w="419" w:type="pct"/>
            <w:vMerge w:val="continue"/>
            <w:noWrap w:val="0"/>
            <w:vAlign w:val="center"/>
          </w:tcPr>
          <w:p w14:paraId="15F0C729">
            <w:pPr>
              <w:pStyle w:val="44"/>
              <w:bidi w:val="0"/>
              <w:rPr>
                <w:rFonts w:hint="default" w:ascii="Times New Roman" w:hAnsi="Times New Roman" w:cs="Times New Roman"/>
                <w:color w:val="auto"/>
                <w:highlight w:val="none"/>
                <w:lang w:val="en-US" w:eastAsia="zh-CN"/>
              </w:rPr>
            </w:pPr>
          </w:p>
        </w:tc>
      </w:tr>
      <w:tr w14:paraId="4C409B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4" w:type="pct"/>
            <w:vMerge w:val="continue"/>
            <w:noWrap w:val="0"/>
            <w:vAlign w:val="center"/>
          </w:tcPr>
          <w:p w14:paraId="25C5D539">
            <w:pPr>
              <w:pStyle w:val="44"/>
              <w:bidi w:val="0"/>
              <w:rPr>
                <w:rFonts w:hint="default" w:ascii="Times New Roman" w:hAnsi="Times New Roman" w:cs="Times New Roman"/>
                <w:color w:val="auto"/>
                <w:highlight w:val="none"/>
                <w:lang w:eastAsia="zh-CN"/>
              </w:rPr>
            </w:pPr>
          </w:p>
        </w:tc>
        <w:tc>
          <w:tcPr>
            <w:tcW w:w="472" w:type="pct"/>
            <w:noWrap w:val="0"/>
            <w:vAlign w:val="center"/>
          </w:tcPr>
          <w:p w14:paraId="23119BF5">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-4549</w:t>
            </w:r>
          </w:p>
        </w:tc>
        <w:tc>
          <w:tcPr>
            <w:tcW w:w="427" w:type="pct"/>
            <w:noWrap w:val="0"/>
            <w:vAlign w:val="center"/>
          </w:tcPr>
          <w:p w14:paraId="78E39AF4">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3489</w:t>
            </w:r>
          </w:p>
        </w:tc>
        <w:tc>
          <w:tcPr>
            <w:tcW w:w="354" w:type="pct"/>
            <w:vMerge w:val="continue"/>
            <w:noWrap w:val="0"/>
            <w:vAlign w:val="center"/>
          </w:tcPr>
          <w:p w14:paraId="56F9046F">
            <w:pPr>
              <w:pStyle w:val="44"/>
              <w:bidi w:val="0"/>
              <w:rPr>
                <w:rFonts w:hint="default" w:ascii="Times New Roman" w:hAnsi="Times New Roman" w:cs="Times New Roman"/>
                <w:color w:val="auto"/>
                <w:highlight w:val="none"/>
                <w:lang w:val="en-US" w:eastAsia="zh-CN"/>
              </w:rPr>
            </w:pPr>
          </w:p>
        </w:tc>
        <w:tc>
          <w:tcPr>
            <w:tcW w:w="285" w:type="pct"/>
            <w:vMerge w:val="continue"/>
            <w:noWrap w:val="0"/>
            <w:vAlign w:val="center"/>
          </w:tcPr>
          <w:p w14:paraId="7746F7B6">
            <w:pPr>
              <w:pStyle w:val="44"/>
              <w:bidi w:val="0"/>
              <w:rPr>
                <w:rFonts w:hint="default" w:ascii="Times New Roman" w:hAnsi="Times New Roman" w:cs="Times New Roman"/>
                <w:color w:val="auto"/>
                <w:highlight w:val="none"/>
                <w:lang w:val="en-US" w:eastAsia="zh-CN"/>
              </w:rPr>
            </w:pPr>
          </w:p>
        </w:tc>
        <w:tc>
          <w:tcPr>
            <w:tcW w:w="384" w:type="pct"/>
            <w:vMerge w:val="continue"/>
            <w:noWrap w:val="0"/>
            <w:vAlign w:val="center"/>
          </w:tcPr>
          <w:p w14:paraId="0B310BE6">
            <w:pPr>
              <w:pStyle w:val="44"/>
              <w:bidi w:val="0"/>
              <w:rPr>
                <w:rFonts w:hint="default" w:ascii="Times New Roman" w:hAnsi="Times New Roman" w:cs="Times New Roman"/>
                <w:color w:val="auto"/>
                <w:highlight w:val="none"/>
                <w:lang w:val="en-US" w:eastAsia="zh-CN"/>
              </w:rPr>
            </w:pPr>
          </w:p>
        </w:tc>
        <w:tc>
          <w:tcPr>
            <w:tcW w:w="405" w:type="pct"/>
            <w:vMerge w:val="continue"/>
            <w:noWrap w:val="0"/>
            <w:vAlign w:val="center"/>
          </w:tcPr>
          <w:p w14:paraId="7E3655B9">
            <w:pPr>
              <w:pStyle w:val="44"/>
              <w:bidi w:val="0"/>
              <w:rPr>
                <w:rFonts w:hint="default" w:ascii="Times New Roman" w:hAnsi="Times New Roman" w:cs="Times New Roman"/>
                <w:color w:val="auto"/>
                <w:highlight w:val="none"/>
                <w:lang w:val="en-US" w:eastAsia="zh-CN"/>
              </w:rPr>
            </w:pPr>
          </w:p>
        </w:tc>
        <w:tc>
          <w:tcPr>
            <w:tcW w:w="349" w:type="pct"/>
            <w:vMerge w:val="continue"/>
            <w:noWrap w:val="0"/>
            <w:vAlign w:val="center"/>
          </w:tcPr>
          <w:p w14:paraId="09E2803E">
            <w:pPr>
              <w:pStyle w:val="44"/>
              <w:bidi w:val="0"/>
              <w:rPr>
                <w:rFonts w:hint="default" w:ascii="Times New Roman" w:hAnsi="Times New Roman" w:cs="Times New Roman"/>
                <w:color w:val="auto"/>
                <w:highlight w:val="none"/>
                <w:lang w:eastAsia="zh-CN"/>
              </w:rPr>
            </w:pPr>
          </w:p>
        </w:tc>
        <w:tc>
          <w:tcPr>
            <w:tcW w:w="619" w:type="pct"/>
            <w:vMerge w:val="continue"/>
            <w:noWrap w:val="0"/>
            <w:vAlign w:val="center"/>
          </w:tcPr>
          <w:p w14:paraId="22197DF0">
            <w:pPr>
              <w:pStyle w:val="44"/>
              <w:bidi w:val="0"/>
              <w:rPr>
                <w:rFonts w:hint="default" w:ascii="Times New Roman" w:hAnsi="Times New Roman" w:cs="Times New Roman"/>
                <w:color w:val="auto"/>
                <w:highlight w:val="none"/>
                <w:lang w:val="en-US" w:eastAsia="zh-CN"/>
              </w:rPr>
            </w:pPr>
          </w:p>
        </w:tc>
        <w:tc>
          <w:tcPr>
            <w:tcW w:w="519" w:type="pct"/>
            <w:vMerge w:val="continue"/>
            <w:noWrap w:val="0"/>
            <w:vAlign w:val="center"/>
          </w:tcPr>
          <w:p w14:paraId="340B1CAF">
            <w:pPr>
              <w:pStyle w:val="44"/>
              <w:bidi w:val="0"/>
              <w:rPr>
                <w:rFonts w:hint="default" w:ascii="Times New Roman" w:hAnsi="Times New Roman" w:cs="Times New Roman"/>
                <w:color w:val="auto"/>
                <w:highlight w:val="none"/>
                <w:lang w:val="en-US" w:eastAsia="zh-CN"/>
              </w:rPr>
            </w:pPr>
          </w:p>
        </w:tc>
        <w:tc>
          <w:tcPr>
            <w:tcW w:w="476" w:type="pct"/>
            <w:vMerge w:val="continue"/>
            <w:noWrap w:val="0"/>
            <w:vAlign w:val="center"/>
          </w:tcPr>
          <w:p w14:paraId="722AB769">
            <w:pPr>
              <w:pStyle w:val="44"/>
              <w:bidi w:val="0"/>
              <w:rPr>
                <w:rFonts w:hint="default" w:ascii="Times New Roman" w:hAnsi="Times New Roman" w:cs="Times New Roman"/>
                <w:color w:val="auto"/>
                <w:highlight w:val="none"/>
                <w:lang w:val="en-US" w:eastAsia="zh-CN"/>
              </w:rPr>
            </w:pPr>
          </w:p>
        </w:tc>
        <w:tc>
          <w:tcPr>
            <w:tcW w:w="419" w:type="pct"/>
            <w:vMerge w:val="continue"/>
            <w:noWrap w:val="0"/>
            <w:vAlign w:val="center"/>
          </w:tcPr>
          <w:p w14:paraId="1EE6C4CE">
            <w:pPr>
              <w:pStyle w:val="44"/>
              <w:bidi w:val="0"/>
              <w:rPr>
                <w:rFonts w:hint="default" w:ascii="Times New Roman" w:hAnsi="Times New Roman" w:cs="Times New Roman"/>
                <w:color w:val="auto"/>
                <w:highlight w:val="none"/>
                <w:lang w:val="en-US" w:eastAsia="zh-CN"/>
              </w:rPr>
            </w:pPr>
          </w:p>
        </w:tc>
      </w:tr>
      <w:tr w14:paraId="4CE79C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4" w:type="pct"/>
            <w:vMerge w:val="continue"/>
            <w:noWrap w:val="0"/>
            <w:vAlign w:val="center"/>
          </w:tcPr>
          <w:p w14:paraId="36774271">
            <w:pPr>
              <w:pStyle w:val="44"/>
              <w:bidi w:val="0"/>
              <w:rPr>
                <w:rFonts w:hint="default" w:ascii="Times New Roman" w:hAnsi="Times New Roman" w:cs="Times New Roman"/>
                <w:color w:val="auto"/>
                <w:highlight w:val="none"/>
                <w:lang w:eastAsia="zh-CN"/>
              </w:rPr>
            </w:pPr>
          </w:p>
        </w:tc>
        <w:tc>
          <w:tcPr>
            <w:tcW w:w="472" w:type="pct"/>
            <w:noWrap w:val="0"/>
            <w:vAlign w:val="center"/>
          </w:tcPr>
          <w:p w14:paraId="286DD67A">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-4502</w:t>
            </w:r>
          </w:p>
        </w:tc>
        <w:tc>
          <w:tcPr>
            <w:tcW w:w="427" w:type="pct"/>
            <w:noWrap w:val="0"/>
            <w:vAlign w:val="center"/>
          </w:tcPr>
          <w:p w14:paraId="72EB6B29">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3547</w:t>
            </w:r>
          </w:p>
        </w:tc>
        <w:tc>
          <w:tcPr>
            <w:tcW w:w="354" w:type="pct"/>
            <w:vMerge w:val="continue"/>
            <w:noWrap w:val="0"/>
            <w:vAlign w:val="center"/>
          </w:tcPr>
          <w:p w14:paraId="4C013F1E">
            <w:pPr>
              <w:pStyle w:val="44"/>
              <w:bidi w:val="0"/>
              <w:rPr>
                <w:rFonts w:hint="default" w:ascii="Times New Roman" w:hAnsi="Times New Roman" w:cs="Times New Roman"/>
                <w:color w:val="auto"/>
                <w:highlight w:val="none"/>
                <w:lang w:val="en-US" w:eastAsia="zh-CN"/>
              </w:rPr>
            </w:pPr>
          </w:p>
        </w:tc>
        <w:tc>
          <w:tcPr>
            <w:tcW w:w="285" w:type="pct"/>
            <w:vMerge w:val="continue"/>
            <w:noWrap w:val="0"/>
            <w:vAlign w:val="center"/>
          </w:tcPr>
          <w:p w14:paraId="0D651CC2">
            <w:pPr>
              <w:pStyle w:val="44"/>
              <w:bidi w:val="0"/>
              <w:rPr>
                <w:rFonts w:hint="default" w:ascii="Times New Roman" w:hAnsi="Times New Roman" w:cs="Times New Roman"/>
                <w:color w:val="auto"/>
                <w:highlight w:val="none"/>
                <w:lang w:val="en-US" w:eastAsia="zh-CN"/>
              </w:rPr>
            </w:pPr>
          </w:p>
        </w:tc>
        <w:tc>
          <w:tcPr>
            <w:tcW w:w="384" w:type="pct"/>
            <w:vMerge w:val="continue"/>
            <w:noWrap w:val="0"/>
            <w:vAlign w:val="center"/>
          </w:tcPr>
          <w:p w14:paraId="10A9DC26">
            <w:pPr>
              <w:pStyle w:val="44"/>
              <w:bidi w:val="0"/>
              <w:rPr>
                <w:rFonts w:hint="default" w:ascii="Times New Roman" w:hAnsi="Times New Roman" w:cs="Times New Roman"/>
                <w:color w:val="auto"/>
                <w:highlight w:val="none"/>
                <w:lang w:val="en-US" w:eastAsia="zh-CN"/>
              </w:rPr>
            </w:pPr>
          </w:p>
        </w:tc>
        <w:tc>
          <w:tcPr>
            <w:tcW w:w="405" w:type="pct"/>
            <w:vMerge w:val="continue"/>
            <w:noWrap w:val="0"/>
            <w:vAlign w:val="center"/>
          </w:tcPr>
          <w:p w14:paraId="08E711F6">
            <w:pPr>
              <w:pStyle w:val="44"/>
              <w:bidi w:val="0"/>
              <w:rPr>
                <w:rFonts w:hint="default" w:ascii="Times New Roman" w:hAnsi="Times New Roman" w:cs="Times New Roman"/>
                <w:color w:val="auto"/>
                <w:highlight w:val="none"/>
                <w:lang w:val="en-US" w:eastAsia="zh-CN"/>
              </w:rPr>
            </w:pPr>
          </w:p>
        </w:tc>
        <w:tc>
          <w:tcPr>
            <w:tcW w:w="349" w:type="pct"/>
            <w:vMerge w:val="continue"/>
            <w:noWrap w:val="0"/>
            <w:vAlign w:val="center"/>
          </w:tcPr>
          <w:p w14:paraId="314CF552">
            <w:pPr>
              <w:pStyle w:val="44"/>
              <w:bidi w:val="0"/>
              <w:rPr>
                <w:rFonts w:hint="default" w:ascii="Times New Roman" w:hAnsi="Times New Roman" w:cs="Times New Roman"/>
                <w:color w:val="auto"/>
                <w:highlight w:val="none"/>
                <w:lang w:eastAsia="zh-CN"/>
              </w:rPr>
            </w:pPr>
          </w:p>
        </w:tc>
        <w:tc>
          <w:tcPr>
            <w:tcW w:w="619" w:type="pct"/>
            <w:vMerge w:val="continue"/>
            <w:noWrap w:val="0"/>
            <w:vAlign w:val="center"/>
          </w:tcPr>
          <w:p w14:paraId="609D7875">
            <w:pPr>
              <w:pStyle w:val="44"/>
              <w:bidi w:val="0"/>
              <w:rPr>
                <w:rFonts w:hint="default" w:ascii="Times New Roman" w:hAnsi="Times New Roman" w:cs="Times New Roman"/>
                <w:color w:val="auto"/>
                <w:highlight w:val="none"/>
                <w:lang w:val="en-US" w:eastAsia="zh-CN"/>
              </w:rPr>
            </w:pPr>
          </w:p>
        </w:tc>
        <w:tc>
          <w:tcPr>
            <w:tcW w:w="519" w:type="pct"/>
            <w:vMerge w:val="continue"/>
            <w:noWrap w:val="0"/>
            <w:vAlign w:val="center"/>
          </w:tcPr>
          <w:p w14:paraId="5C15E58B">
            <w:pPr>
              <w:pStyle w:val="44"/>
              <w:bidi w:val="0"/>
              <w:rPr>
                <w:rFonts w:hint="default" w:ascii="Times New Roman" w:hAnsi="Times New Roman" w:cs="Times New Roman"/>
                <w:color w:val="auto"/>
                <w:highlight w:val="none"/>
                <w:lang w:val="en-US" w:eastAsia="zh-CN"/>
              </w:rPr>
            </w:pPr>
          </w:p>
        </w:tc>
        <w:tc>
          <w:tcPr>
            <w:tcW w:w="476" w:type="pct"/>
            <w:vMerge w:val="continue"/>
            <w:noWrap w:val="0"/>
            <w:vAlign w:val="center"/>
          </w:tcPr>
          <w:p w14:paraId="44DCBA21">
            <w:pPr>
              <w:pStyle w:val="44"/>
              <w:bidi w:val="0"/>
              <w:rPr>
                <w:rFonts w:hint="default" w:ascii="Times New Roman" w:hAnsi="Times New Roman" w:cs="Times New Roman"/>
                <w:color w:val="auto"/>
                <w:highlight w:val="none"/>
                <w:lang w:val="en-US" w:eastAsia="zh-CN"/>
              </w:rPr>
            </w:pPr>
          </w:p>
        </w:tc>
        <w:tc>
          <w:tcPr>
            <w:tcW w:w="419" w:type="pct"/>
            <w:vMerge w:val="continue"/>
            <w:noWrap w:val="0"/>
            <w:vAlign w:val="center"/>
          </w:tcPr>
          <w:p w14:paraId="2CD3253D">
            <w:pPr>
              <w:pStyle w:val="44"/>
              <w:bidi w:val="0"/>
              <w:rPr>
                <w:rFonts w:hint="default" w:ascii="Times New Roman" w:hAnsi="Times New Roman" w:cs="Times New Roman"/>
                <w:color w:val="auto"/>
                <w:highlight w:val="none"/>
                <w:lang w:val="en-US" w:eastAsia="zh-CN"/>
              </w:rPr>
            </w:pPr>
          </w:p>
        </w:tc>
      </w:tr>
      <w:tr w14:paraId="2AD211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4" w:type="pct"/>
            <w:vMerge w:val="continue"/>
            <w:noWrap w:val="0"/>
            <w:vAlign w:val="center"/>
          </w:tcPr>
          <w:p w14:paraId="6A7DCB24">
            <w:pPr>
              <w:pStyle w:val="44"/>
              <w:bidi w:val="0"/>
              <w:rPr>
                <w:rFonts w:hint="default" w:ascii="Times New Roman" w:hAnsi="Times New Roman" w:cs="Times New Roman"/>
                <w:color w:val="auto"/>
                <w:highlight w:val="none"/>
                <w:lang w:eastAsia="zh-CN"/>
              </w:rPr>
            </w:pPr>
          </w:p>
        </w:tc>
        <w:tc>
          <w:tcPr>
            <w:tcW w:w="472" w:type="pct"/>
            <w:noWrap w:val="0"/>
            <w:vAlign w:val="center"/>
          </w:tcPr>
          <w:p w14:paraId="64C74A71">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-4753</w:t>
            </w:r>
          </w:p>
        </w:tc>
        <w:tc>
          <w:tcPr>
            <w:tcW w:w="427" w:type="pct"/>
            <w:noWrap w:val="0"/>
            <w:vAlign w:val="center"/>
          </w:tcPr>
          <w:p w14:paraId="69135280">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3661</w:t>
            </w:r>
          </w:p>
        </w:tc>
        <w:tc>
          <w:tcPr>
            <w:tcW w:w="354" w:type="pct"/>
            <w:vMerge w:val="continue"/>
            <w:noWrap w:val="0"/>
            <w:vAlign w:val="center"/>
          </w:tcPr>
          <w:p w14:paraId="2E090B77">
            <w:pPr>
              <w:pStyle w:val="44"/>
              <w:bidi w:val="0"/>
              <w:rPr>
                <w:rFonts w:hint="default" w:ascii="Times New Roman" w:hAnsi="Times New Roman" w:cs="Times New Roman"/>
                <w:color w:val="auto"/>
                <w:highlight w:val="none"/>
                <w:lang w:val="en-US" w:eastAsia="zh-CN"/>
              </w:rPr>
            </w:pPr>
          </w:p>
        </w:tc>
        <w:tc>
          <w:tcPr>
            <w:tcW w:w="285" w:type="pct"/>
            <w:vMerge w:val="continue"/>
            <w:noWrap w:val="0"/>
            <w:vAlign w:val="center"/>
          </w:tcPr>
          <w:p w14:paraId="2FAE5DF7">
            <w:pPr>
              <w:pStyle w:val="44"/>
              <w:bidi w:val="0"/>
              <w:rPr>
                <w:rFonts w:hint="default" w:ascii="Times New Roman" w:hAnsi="Times New Roman" w:cs="Times New Roman"/>
                <w:color w:val="auto"/>
                <w:highlight w:val="none"/>
                <w:lang w:val="en-US" w:eastAsia="zh-CN"/>
              </w:rPr>
            </w:pPr>
          </w:p>
        </w:tc>
        <w:tc>
          <w:tcPr>
            <w:tcW w:w="384" w:type="pct"/>
            <w:vMerge w:val="continue"/>
            <w:noWrap w:val="0"/>
            <w:vAlign w:val="center"/>
          </w:tcPr>
          <w:p w14:paraId="28AC8C35">
            <w:pPr>
              <w:pStyle w:val="44"/>
              <w:bidi w:val="0"/>
              <w:rPr>
                <w:rFonts w:hint="default" w:ascii="Times New Roman" w:hAnsi="Times New Roman" w:cs="Times New Roman"/>
                <w:color w:val="auto"/>
                <w:highlight w:val="none"/>
                <w:lang w:val="en-US" w:eastAsia="zh-CN"/>
              </w:rPr>
            </w:pPr>
          </w:p>
        </w:tc>
        <w:tc>
          <w:tcPr>
            <w:tcW w:w="405" w:type="pct"/>
            <w:vMerge w:val="continue"/>
            <w:noWrap w:val="0"/>
            <w:vAlign w:val="center"/>
          </w:tcPr>
          <w:p w14:paraId="648E5A41">
            <w:pPr>
              <w:pStyle w:val="44"/>
              <w:bidi w:val="0"/>
              <w:rPr>
                <w:rFonts w:hint="default" w:ascii="Times New Roman" w:hAnsi="Times New Roman" w:cs="Times New Roman"/>
                <w:color w:val="auto"/>
                <w:highlight w:val="none"/>
                <w:lang w:val="en-US" w:eastAsia="zh-CN"/>
              </w:rPr>
            </w:pPr>
          </w:p>
        </w:tc>
        <w:tc>
          <w:tcPr>
            <w:tcW w:w="349" w:type="pct"/>
            <w:vMerge w:val="continue"/>
            <w:noWrap w:val="0"/>
            <w:vAlign w:val="center"/>
          </w:tcPr>
          <w:p w14:paraId="35857F5F">
            <w:pPr>
              <w:pStyle w:val="44"/>
              <w:bidi w:val="0"/>
              <w:rPr>
                <w:rFonts w:hint="default" w:ascii="Times New Roman" w:hAnsi="Times New Roman" w:cs="Times New Roman"/>
                <w:color w:val="auto"/>
                <w:highlight w:val="none"/>
                <w:lang w:eastAsia="zh-CN"/>
              </w:rPr>
            </w:pPr>
          </w:p>
        </w:tc>
        <w:tc>
          <w:tcPr>
            <w:tcW w:w="619" w:type="pct"/>
            <w:vMerge w:val="continue"/>
            <w:noWrap w:val="0"/>
            <w:vAlign w:val="center"/>
          </w:tcPr>
          <w:p w14:paraId="637F508B">
            <w:pPr>
              <w:pStyle w:val="44"/>
              <w:bidi w:val="0"/>
              <w:rPr>
                <w:rFonts w:hint="default" w:ascii="Times New Roman" w:hAnsi="Times New Roman" w:cs="Times New Roman"/>
                <w:color w:val="auto"/>
                <w:highlight w:val="none"/>
                <w:lang w:val="en-US" w:eastAsia="zh-CN"/>
              </w:rPr>
            </w:pPr>
          </w:p>
        </w:tc>
        <w:tc>
          <w:tcPr>
            <w:tcW w:w="519" w:type="pct"/>
            <w:vMerge w:val="continue"/>
            <w:noWrap w:val="0"/>
            <w:vAlign w:val="center"/>
          </w:tcPr>
          <w:p w14:paraId="6321D226">
            <w:pPr>
              <w:pStyle w:val="44"/>
              <w:bidi w:val="0"/>
              <w:rPr>
                <w:rFonts w:hint="default" w:ascii="Times New Roman" w:hAnsi="Times New Roman" w:cs="Times New Roman"/>
                <w:color w:val="auto"/>
                <w:highlight w:val="none"/>
                <w:lang w:val="en-US" w:eastAsia="zh-CN"/>
              </w:rPr>
            </w:pPr>
          </w:p>
        </w:tc>
        <w:tc>
          <w:tcPr>
            <w:tcW w:w="476" w:type="pct"/>
            <w:vMerge w:val="continue"/>
            <w:noWrap w:val="0"/>
            <w:vAlign w:val="center"/>
          </w:tcPr>
          <w:p w14:paraId="6C426A5F">
            <w:pPr>
              <w:pStyle w:val="44"/>
              <w:bidi w:val="0"/>
              <w:rPr>
                <w:rFonts w:hint="default" w:ascii="Times New Roman" w:hAnsi="Times New Roman" w:cs="Times New Roman"/>
                <w:color w:val="auto"/>
                <w:highlight w:val="none"/>
                <w:lang w:val="en-US" w:eastAsia="zh-CN"/>
              </w:rPr>
            </w:pPr>
          </w:p>
        </w:tc>
        <w:tc>
          <w:tcPr>
            <w:tcW w:w="419" w:type="pct"/>
            <w:vMerge w:val="continue"/>
            <w:noWrap w:val="0"/>
            <w:vAlign w:val="center"/>
          </w:tcPr>
          <w:p w14:paraId="49930BA4">
            <w:pPr>
              <w:pStyle w:val="44"/>
              <w:bidi w:val="0"/>
              <w:rPr>
                <w:rFonts w:hint="default" w:ascii="Times New Roman" w:hAnsi="Times New Roman" w:cs="Times New Roman"/>
                <w:color w:val="auto"/>
                <w:highlight w:val="none"/>
                <w:lang w:val="en-US" w:eastAsia="zh-CN"/>
              </w:rPr>
            </w:pPr>
          </w:p>
        </w:tc>
      </w:tr>
      <w:tr w14:paraId="0C5B46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4" w:type="pct"/>
            <w:vMerge w:val="continue"/>
            <w:noWrap w:val="0"/>
            <w:vAlign w:val="center"/>
          </w:tcPr>
          <w:p w14:paraId="3F49BD62">
            <w:pPr>
              <w:pStyle w:val="44"/>
              <w:bidi w:val="0"/>
              <w:rPr>
                <w:rFonts w:hint="default" w:ascii="Times New Roman" w:hAnsi="Times New Roman" w:cs="Times New Roman"/>
                <w:color w:val="auto"/>
                <w:highlight w:val="none"/>
                <w:lang w:eastAsia="zh-CN"/>
              </w:rPr>
            </w:pPr>
          </w:p>
        </w:tc>
        <w:tc>
          <w:tcPr>
            <w:tcW w:w="472" w:type="pct"/>
            <w:noWrap w:val="0"/>
            <w:vAlign w:val="center"/>
          </w:tcPr>
          <w:p w14:paraId="010B144E">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-4882</w:t>
            </w:r>
          </w:p>
        </w:tc>
        <w:tc>
          <w:tcPr>
            <w:tcW w:w="427" w:type="pct"/>
            <w:noWrap w:val="0"/>
            <w:vAlign w:val="center"/>
          </w:tcPr>
          <w:p w14:paraId="3F17A2C3">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3614</w:t>
            </w:r>
          </w:p>
        </w:tc>
        <w:tc>
          <w:tcPr>
            <w:tcW w:w="354" w:type="pct"/>
            <w:vMerge w:val="continue"/>
            <w:noWrap w:val="0"/>
            <w:vAlign w:val="center"/>
          </w:tcPr>
          <w:p w14:paraId="4C77E167">
            <w:pPr>
              <w:pStyle w:val="44"/>
              <w:bidi w:val="0"/>
              <w:rPr>
                <w:rFonts w:hint="default" w:ascii="Times New Roman" w:hAnsi="Times New Roman" w:cs="Times New Roman"/>
                <w:color w:val="auto"/>
                <w:highlight w:val="none"/>
                <w:lang w:val="en-US" w:eastAsia="zh-CN"/>
              </w:rPr>
            </w:pPr>
          </w:p>
        </w:tc>
        <w:tc>
          <w:tcPr>
            <w:tcW w:w="285" w:type="pct"/>
            <w:vMerge w:val="continue"/>
            <w:noWrap w:val="0"/>
            <w:vAlign w:val="center"/>
          </w:tcPr>
          <w:p w14:paraId="3BFB9D67">
            <w:pPr>
              <w:pStyle w:val="44"/>
              <w:bidi w:val="0"/>
              <w:rPr>
                <w:rFonts w:hint="default" w:ascii="Times New Roman" w:hAnsi="Times New Roman" w:cs="Times New Roman"/>
                <w:color w:val="auto"/>
                <w:highlight w:val="none"/>
                <w:lang w:val="en-US" w:eastAsia="zh-CN"/>
              </w:rPr>
            </w:pPr>
          </w:p>
        </w:tc>
        <w:tc>
          <w:tcPr>
            <w:tcW w:w="384" w:type="pct"/>
            <w:vMerge w:val="continue"/>
            <w:noWrap w:val="0"/>
            <w:vAlign w:val="center"/>
          </w:tcPr>
          <w:p w14:paraId="61E0F2AC">
            <w:pPr>
              <w:pStyle w:val="44"/>
              <w:bidi w:val="0"/>
              <w:rPr>
                <w:rFonts w:hint="default" w:ascii="Times New Roman" w:hAnsi="Times New Roman" w:cs="Times New Roman"/>
                <w:color w:val="auto"/>
                <w:highlight w:val="none"/>
                <w:lang w:val="en-US" w:eastAsia="zh-CN"/>
              </w:rPr>
            </w:pPr>
          </w:p>
        </w:tc>
        <w:tc>
          <w:tcPr>
            <w:tcW w:w="405" w:type="pct"/>
            <w:vMerge w:val="continue"/>
            <w:noWrap w:val="0"/>
            <w:vAlign w:val="center"/>
          </w:tcPr>
          <w:p w14:paraId="512B9564">
            <w:pPr>
              <w:pStyle w:val="44"/>
              <w:bidi w:val="0"/>
              <w:rPr>
                <w:rFonts w:hint="default" w:ascii="Times New Roman" w:hAnsi="Times New Roman" w:cs="Times New Roman"/>
                <w:color w:val="auto"/>
                <w:highlight w:val="none"/>
                <w:lang w:val="en-US" w:eastAsia="zh-CN"/>
              </w:rPr>
            </w:pPr>
          </w:p>
        </w:tc>
        <w:tc>
          <w:tcPr>
            <w:tcW w:w="349" w:type="pct"/>
            <w:vMerge w:val="continue"/>
            <w:noWrap w:val="0"/>
            <w:vAlign w:val="center"/>
          </w:tcPr>
          <w:p w14:paraId="46939CC5">
            <w:pPr>
              <w:pStyle w:val="44"/>
              <w:bidi w:val="0"/>
              <w:rPr>
                <w:rFonts w:hint="default" w:ascii="Times New Roman" w:hAnsi="Times New Roman" w:cs="Times New Roman"/>
                <w:color w:val="auto"/>
                <w:highlight w:val="none"/>
                <w:lang w:eastAsia="zh-CN"/>
              </w:rPr>
            </w:pPr>
          </w:p>
        </w:tc>
        <w:tc>
          <w:tcPr>
            <w:tcW w:w="619" w:type="pct"/>
            <w:vMerge w:val="continue"/>
            <w:noWrap w:val="0"/>
            <w:vAlign w:val="center"/>
          </w:tcPr>
          <w:p w14:paraId="0AF98FFE">
            <w:pPr>
              <w:pStyle w:val="44"/>
              <w:bidi w:val="0"/>
              <w:rPr>
                <w:rFonts w:hint="default" w:ascii="Times New Roman" w:hAnsi="Times New Roman" w:cs="Times New Roman"/>
                <w:color w:val="auto"/>
                <w:highlight w:val="none"/>
                <w:lang w:val="en-US" w:eastAsia="zh-CN"/>
              </w:rPr>
            </w:pPr>
          </w:p>
        </w:tc>
        <w:tc>
          <w:tcPr>
            <w:tcW w:w="519" w:type="pct"/>
            <w:vMerge w:val="continue"/>
            <w:noWrap w:val="0"/>
            <w:vAlign w:val="center"/>
          </w:tcPr>
          <w:p w14:paraId="14CC042C">
            <w:pPr>
              <w:pStyle w:val="44"/>
              <w:bidi w:val="0"/>
              <w:rPr>
                <w:rFonts w:hint="default" w:ascii="Times New Roman" w:hAnsi="Times New Roman" w:cs="Times New Roman"/>
                <w:color w:val="auto"/>
                <w:highlight w:val="none"/>
                <w:lang w:val="en-US" w:eastAsia="zh-CN"/>
              </w:rPr>
            </w:pPr>
          </w:p>
        </w:tc>
        <w:tc>
          <w:tcPr>
            <w:tcW w:w="476" w:type="pct"/>
            <w:vMerge w:val="continue"/>
            <w:noWrap w:val="0"/>
            <w:vAlign w:val="center"/>
          </w:tcPr>
          <w:p w14:paraId="4C89B41B">
            <w:pPr>
              <w:pStyle w:val="44"/>
              <w:bidi w:val="0"/>
              <w:rPr>
                <w:rFonts w:hint="default" w:ascii="Times New Roman" w:hAnsi="Times New Roman" w:cs="Times New Roman"/>
                <w:color w:val="auto"/>
                <w:highlight w:val="none"/>
                <w:lang w:val="en-US" w:eastAsia="zh-CN"/>
              </w:rPr>
            </w:pPr>
          </w:p>
        </w:tc>
        <w:tc>
          <w:tcPr>
            <w:tcW w:w="419" w:type="pct"/>
            <w:vMerge w:val="continue"/>
            <w:noWrap w:val="0"/>
            <w:vAlign w:val="center"/>
          </w:tcPr>
          <w:p w14:paraId="6C939143">
            <w:pPr>
              <w:pStyle w:val="44"/>
              <w:bidi w:val="0"/>
              <w:rPr>
                <w:rFonts w:hint="default" w:ascii="Times New Roman" w:hAnsi="Times New Roman" w:cs="Times New Roman"/>
                <w:color w:val="auto"/>
                <w:highlight w:val="none"/>
                <w:lang w:val="en-US" w:eastAsia="zh-CN"/>
              </w:rPr>
            </w:pPr>
          </w:p>
        </w:tc>
      </w:tr>
      <w:tr w14:paraId="196488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4" w:type="pct"/>
            <w:vMerge w:val="continue"/>
            <w:noWrap w:val="0"/>
            <w:vAlign w:val="center"/>
          </w:tcPr>
          <w:p w14:paraId="4608BD00">
            <w:pPr>
              <w:pStyle w:val="44"/>
              <w:bidi w:val="0"/>
              <w:rPr>
                <w:rFonts w:hint="default" w:ascii="Times New Roman" w:hAnsi="Times New Roman" w:cs="Times New Roman"/>
                <w:color w:val="auto"/>
                <w:highlight w:val="none"/>
                <w:lang w:eastAsia="zh-CN"/>
              </w:rPr>
            </w:pPr>
          </w:p>
        </w:tc>
        <w:tc>
          <w:tcPr>
            <w:tcW w:w="472" w:type="pct"/>
            <w:noWrap w:val="0"/>
            <w:vAlign w:val="center"/>
          </w:tcPr>
          <w:p w14:paraId="47314DBD">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-4994</w:t>
            </w:r>
          </w:p>
        </w:tc>
        <w:tc>
          <w:tcPr>
            <w:tcW w:w="427" w:type="pct"/>
            <w:noWrap w:val="0"/>
            <w:vAlign w:val="center"/>
          </w:tcPr>
          <w:p w14:paraId="21DD2110">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3549</w:t>
            </w:r>
          </w:p>
        </w:tc>
        <w:tc>
          <w:tcPr>
            <w:tcW w:w="354" w:type="pct"/>
            <w:vMerge w:val="continue"/>
            <w:noWrap w:val="0"/>
            <w:vAlign w:val="center"/>
          </w:tcPr>
          <w:p w14:paraId="1906F14F">
            <w:pPr>
              <w:pStyle w:val="44"/>
              <w:bidi w:val="0"/>
              <w:rPr>
                <w:rFonts w:hint="default" w:ascii="Times New Roman" w:hAnsi="Times New Roman" w:cs="Times New Roman"/>
                <w:color w:val="auto"/>
                <w:highlight w:val="none"/>
                <w:lang w:val="en-US" w:eastAsia="zh-CN"/>
              </w:rPr>
            </w:pPr>
          </w:p>
        </w:tc>
        <w:tc>
          <w:tcPr>
            <w:tcW w:w="285" w:type="pct"/>
            <w:vMerge w:val="continue"/>
            <w:noWrap w:val="0"/>
            <w:vAlign w:val="center"/>
          </w:tcPr>
          <w:p w14:paraId="163529F4">
            <w:pPr>
              <w:pStyle w:val="44"/>
              <w:bidi w:val="0"/>
              <w:rPr>
                <w:rFonts w:hint="default" w:ascii="Times New Roman" w:hAnsi="Times New Roman" w:cs="Times New Roman"/>
                <w:color w:val="auto"/>
                <w:highlight w:val="none"/>
                <w:lang w:val="en-US" w:eastAsia="zh-CN"/>
              </w:rPr>
            </w:pPr>
          </w:p>
        </w:tc>
        <w:tc>
          <w:tcPr>
            <w:tcW w:w="384" w:type="pct"/>
            <w:vMerge w:val="continue"/>
            <w:noWrap w:val="0"/>
            <w:vAlign w:val="center"/>
          </w:tcPr>
          <w:p w14:paraId="0C805A16">
            <w:pPr>
              <w:pStyle w:val="44"/>
              <w:bidi w:val="0"/>
              <w:rPr>
                <w:rFonts w:hint="default" w:ascii="Times New Roman" w:hAnsi="Times New Roman" w:cs="Times New Roman"/>
                <w:color w:val="auto"/>
                <w:highlight w:val="none"/>
                <w:lang w:val="en-US" w:eastAsia="zh-CN"/>
              </w:rPr>
            </w:pPr>
          </w:p>
        </w:tc>
        <w:tc>
          <w:tcPr>
            <w:tcW w:w="405" w:type="pct"/>
            <w:vMerge w:val="continue"/>
            <w:noWrap w:val="0"/>
            <w:vAlign w:val="center"/>
          </w:tcPr>
          <w:p w14:paraId="47EFF9F5">
            <w:pPr>
              <w:pStyle w:val="44"/>
              <w:bidi w:val="0"/>
              <w:rPr>
                <w:rFonts w:hint="default" w:ascii="Times New Roman" w:hAnsi="Times New Roman" w:cs="Times New Roman"/>
                <w:color w:val="auto"/>
                <w:highlight w:val="none"/>
                <w:lang w:val="en-US" w:eastAsia="zh-CN"/>
              </w:rPr>
            </w:pPr>
          </w:p>
        </w:tc>
        <w:tc>
          <w:tcPr>
            <w:tcW w:w="349" w:type="pct"/>
            <w:vMerge w:val="continue"/>
            <w:noWrap w:val="0"/>
            <w:vAlign w:val="center"/>
          </w:tcPr>
          <w:p w14:paraId="119283B7">
            <w:pPr>
              <w:pStyle w:val="44"/>
              <w:bidi w:val="0"/>
              <w:rPr>
                <w:rFonts w:hint="default" w:ascii="Times New Roman" w:hAnsi="Times New Roman" w:cs="Times New Roman"/>
                <w:color w:val="auto"/>
                <w:highlight w:val="none"/>
                <w:lang w:eastAsia="zh-CN"/>
              </w:rPr>
            </w:pPr>
          </w:p>
        </w:tc>
        <w:tc>
          <w:tcPr>
            <w:tcW w:w="619" w:type="pct"/>
            <w:vMerge w:val="continue"/>
            <w:noWrap w:val="0"/>
            <w:vAlign w:val="center"/>
          </w:tcPr>
          <w:p w14:paraId="267688E5">
            <w:pPr>
              <w:pStyle w:val="44"/>
              <w:bidi w:val="0"/>
              <w:rPr>
                <w:rFonts w:hint="default" w:ascii="Times New Roman" w:hAnsi="Times New Roman" w:cs="Times New Roman"/>
                <w:color w:val="auto"/>
                <w:highlight w:val="none"/>
                <w:lang w:val="en-US" w:eastAsia="zh-CN"/>
              </w:rPr>
            </w:pPr>
          </w:p>
        </w:tc>
        <w:tc>
          <w:tcPr>
            <w:tcW w:w="519" w:type="pct"/>
            <w:vMerge w:val="continue"/>
            <w:noWrap w:val="0"/>
            <w:vAlign w:val="center"/>
          </w:tcPr>
          <w:p w14:paraId="421C94DC">
            <w:pPr>
              <w:pStyle w:val="44"/>
              <w:bidi w:val="0"/>
              <w:rPr>
                <w:rFonts w:hint="default" w:ascii="Times New Roman" w:hAnsi="Times New Roman" w:cs="Times New Roman"/>
                <w:color w:val="auto"/>
                <w:highlight w:val="none"/>
                <w:lang w:val="en-US" w:eastAsia="zh-CN"/>
              </w:rPr>
            </w:pPr>
          </w:p>
        </w:tc>
        <w:tc>
          <w:tcPr>
            <w:tcW w:w="476" w:type="pct"/>
            <w:vMerge w:val="continue"/>
            <w:noWrap w:val="0"/>
            <w:vAlign w:val="center"/>
          </w:tcPr>
          <w:p w14:paraId="6870487E">
            <w:pPr>
              <w:pStyle w:val="44"/>
              <w:bidi w:val="0"/>
              <w:rPr>
                <w:rFonts w:hint="default" w:ascii="Times New Roman" w:hAnsi="Times New Roman" w:cs="Times New Roman"/>
                <w:color w:val="auto"/>
                <w:highlight w:val="none"/>
                <w:lang w:val="en-US" w:eastAsia="zh-CN"/>
              </w:rPr>
            </w:pPr>
          </w:p>
        </w:tc>
        <w:tc>
          <w:tcPr>
            <w:tcW w:w="419" w:type="pct"/>
            <w:vMerge w:val="continue"/>
            <w:noWrap w:val="0"/>
            <w:vAlign w:val="center"/>
          </w:tcPr>
          <w:p w14:paraId="0856DEFB">
            <w:pPr>
              <w:pStyle w:val="44"/>
              <w:bidi w:val="0"/>
              <w:rPr>
                <w:rFonts w:hint="default" w:ascii="Times New Roman" w:hAnsi="Times New Roman" w:cs="Times New Roman"/>
                <w:color w:val="auto"/>
                <w:highlight w:val="none"/>
                <w:lang w:val="en-US" w:eastAsia="zh-CN"/>
              </w:rPr>
            </w:pPr>
          </w:p>
        </w:tc>
      </w:tr>
      <w:tr w14:paraId="78F293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4" w:type="pct"/>
            <w:vMerge w:val="continue"/>
            <w:noWrap w:val="0"/>
            <w:vAlign w:val="center"/>
          </w:tcPr>
          <w:p w14:paraId="5275C40C">
            <w:pPr>
              <w:pStyle w:val="44"/>
              <w:bidi w:val="0"/>
              <w:rPr>
                <w:rFonts w:hint="default" w:ascii="Times New Roman" w:hAnsi="Times New Roman" w:cs="Times New Roman"/>
                <w:color w:val="auto"/>
                <w:highlight w:val="none"/>
                <w:lang w:eastAsia="zh-CN"/>
              </w:rPr>
            </w:pPr>
          </w:p>
        </w:tc>
        <w:tc>
          <w:tcPr>
            <w:tcW w:w="472" w:type="pct"/>
            <w:noWrap w:val="0"/>
            <w:vAlign w:val="center"/>
          </w:tcPr>
          <w:p w14:paraId="302D6784">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-5128</w:t>
            </w:r>
          </w:p>
        </w:tc>
        <w:tc>
          <w:tcPr>
            <w:tcW w:w="427" w:type="pct"/>
            <w:noWrap w:val="0"/>
            <w:vAlign w:val="center"/>
          </w:tcPr>
          <w:p w14:paraId="4AB4844F">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3449</w:t>
            </w:r>
          </w:p>
        </w:tc>
        <w:tc>
          <w:tcPr>
            <w:tcW w:w="354" w:type="pct"/>
            <w:vMerge w:val="continue"/>
            <w:noWrap w:val="0"/>
            <w:vAlign w:val="center"/>
          </w:tcPr>
          <w:p w14:paraId="2A5E7EE5">
            <w:pPr>
              <w:pStyle w:val="44"/>
              <w:bidi w:val="0"/>
              <w:rPr>
                <w:rFonts w:hint="default" w:ascii="Times New Roman" w:hAnsi="Times New Roman" w:cs="Times New Roman"/>
                <w:color w:val="auto"/>
                <w:highlight w:val="none"/>
                <w:lang w:val="en-US" w:eastAsia="zh-CN"/>
              </w:rPr>
            </w:pPr>
          </w:p>
        </w:tc>
        <w:tc>
          <w:tcPr>
            <w:tcW w:w="285" w:type="pct"/>
            <w:vMerge w:val="continue"/>
            <w:noWrap w:val="0"/>
            <w:vAlign w:val="center"/>
          </w:tcPr>
          <w:p w14:paraId="2D7D0FEE">
            <w:pPr>
              <w:pStyle w:val="44"/>
              <w:bidi w:val="0"/>
              <w:rPr>
                <w:rFonts w:hint="default" w:ascii="Times New Roman" w:hAnsi="Times New Roman" w:cs="Times New Roman"/>
                <w:color w:val="auto"/>
                <w:highlight w:val="none"/>
                <w:lang w:val="en-US" w:eastAsia="zh-CN"/>
              </w:rPr>
            </w:pPr>
          </w:p>
        </w:tc>
        <w:tc>
          <w:tcPr>
            <w:tcW w:w="384" w:type="pct"/>
            <w:vMerge w:val="continue"/>
            <w:noWrap w:val="0"/>
            <w:vAlign w:val="center"/>
          </w:tcPr>
          <w:p w14:paraId="6790BDD6">
            <w:pPr>
              <w:pStyle w:val="44"/>
              <w:bidi w:val="0"/>
              <w:rPr>
                <w:rFonts w:hint="default" w:ascii="Times New Roman" w:hAnsi="Times New Roman" w:cs="Times New Roman"/>
                <w:color w:val="auto"/>
                <w:highlight w:val="none"/>
                <w:lang w:val="en-US" w:eastAsia="zh-CN"/>
              </w:rPr>
            </w:pPr>
          </w:p>
        </w:tc>
        <w:tc>
          <w:tcPr>
            <w:tcW w:w="405" w:type="pct"/>
            <w:vMerge w:val="continue"/>
            <w:noWrap w:val="0"/>
            <w:vAlign w:val="center"/>
          </w:tcPr>
          <w:p w14:paraId="5EB59B50">
            <w:pPr>
              <w:pStyle w:val="44"/>
              <w:bidi w:val="0"/>
              <w:rPr>
                <w:rFonts w:hint="default" w:ascii="Times New Roman" w:hAnsi="Times New Roman" w:cs="Times New Roman"/>
                <w:color w:val="auto"/>
                <w:highlight w:val="none"/>
                <w:lang w:val="en-US" w:eastAsia="zh-CN"/>
              </w:rPr>
            </w:pPr>
          </w:p>
        </w:tc>
        <w:tc>
          <w:tcPr>
            <w:tcW w:w="349" w:type="pct"/>
            <w:vMerge w:val="continue"/>
            <w:noWrap w:val="0"/>
            <w:vAlign w:val="center"/>
          </w:tcPr>
          <w:p w14:paraId="1DA70EFE">
            <w:pPr>
              <w:pStyle w:val="44"/>
              <w:bidi w:val="0"/>
              <w:rPr>
                <w:rFonts w:hint="default" w:ascii="Times New Roman" w:hAnsi="Times New Roman" w:cs="Times New Roman"/>
                <w:color w:val="auto"/>
                <w:highlight w:val="none"/>
                <w:lang w:eastAsia="zh-CN"/>
              </w:rPr>
            </w:pPr>
          </w:p>
        </w:tc>
        <w:tc>
          <w:tcPr>
            <w:tcW w:w="619" w:type="pct"/>
            <w:vMerge w:val="continue"/>
            <w:noWrap w:val="0"/>
            <w:vAlign w:val="center"/>
          </w:tcPr>
          <w:p w14:paraId="720DA462">
            <w:pPr>
              <w:pStyle w:val="44"/>
              <w:bidi w:val="0"/>
              <w:rPr>
                <w:rFonts w:hint="default" w:ascii="Times New Roman" w:hAnsi="Times New Roman" w:cs="Times New Roman"/>
                <w:color w:val="auto"/>
                <w:highlight w:val="none"/>
                <w:lang w:val="en-US" w:eastAsia="zh-CN"/>
              </w:rPr>
            </w:pPr>
          </w:p>
        </w:tc>
        <w:tc>
          <w:tcPr>
            <w:tcW w:w="519" w:type="pct"/>
            <w:vMerge w:val="continue"/>
            <w:noWrap w:val="0"/>
            <w:vAlign w:val="center"/>
          </w:tcPr>
          <w:p w14:paraId="6C4DC107">
            <w:pPr>
              <w:pStyle w:val="44"/>
              <w:bidi w:val="0"/>
              <w:rPr>
                <w:rFonts w:hint="default" w:ascii="Times New Roman" w:hAnsi="Times New Roman" w:cs="Times New Roman"/>
                <w:color w:val="auto"/>
                <w:highlight w:val="none"/>
                <w:lang w:val="en-US" w:eastAsia="zh-CN"/>
              </w:rPr>
            </w:pPr>
          </w:p>
        </w:tc>
        <w:tc>
          <w:tcPr>
            <w:tcW w:w="476" w:type="pct"/>
            <w:vMerge w:val="continue"/>
            <w:noWrap w:val="0"/>
            <w:vAlign w:val="center"/>
          </w:tcPr>
          <w:p w14:paraId="3BE21FEC">
            <w:pPr>
              <w:pStyle w:val="44"/>
              <w:bidi w:val="0"/>
              <w:rPr>
                <w:rFonts w:hint="default" w:ascii="Times New Roman" w:hAnsi="Times New Roman" w:cs="Times New Roman"/>
                <w:color w:val="auto"/>
                <w:highlight w:val="none"/>
                <w:lang w:val="en-US" w:eastAsia="zh-CN"/>
              </w:rPr>
            </w:pPr>
          </w:p>
        </w:tc>
        <w:tc>
          <w:tcPr>
            <w:tcW w:w="419" w:type="pct"/>
            <w:vMerge w:val="continue"/>
            <w:noWrap w:val="0"/>
            <w:vAlign w:val="center"/>
          </w:tcPr>
          <w:p w14:paraId="5467C553">
            <w:pPr>
              <w:pStyle w:val="44"/>
              <w:bidi w:val="0"/>
              <w:rPr>
                <w:rFonts w:hint="default" w:ascii="Times New Roman" w:hAnsi="Times New Roman" w:cs="Times New Roman"/>
                <w:color w:val="auto"/>
                <w:highlight w:val="none"/>
                <w:lang w:val="en-US" w:eastAsia="zh-CN"/>
              </w:rPr>
            </w:pPr>
          </w:p>
        </w:tc>
      </w:tr>
      <w:tr w14:paraId="18D0E9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4" w:type="pct"/>
            <w:vMerge w:val="continue"/>
            <w:noWrap w:val="0"/>
            <w:vAlign w:val="center"/>
          </w:tcPr>
          <w:p w14:paraId="7920C7F8">
            <w:pPr>
              <w:pStyle w:val="44"/>
              <w:bidi w:val="0"/>
              <w:rPr>
                <w:rFonts w:hint="default" w:ascii="Times New Roman" w:hAnsi="Times New Roman" w:cs="Times New Roman"/>
                <w:color w:val="auto"/>
                <w:highlight w:val="none"/>
                <w:lang w:eastAsia="zh-CN"/>
              </w:rPr>
            </w:pPr>
          </w:p>
        </w:tc>
        <w:tc>
          <w:tcPr>
            <w:tcW w:w="472" w:type="pct"/>
            <w:noWrap w:val="0"/>
            <w:vAlign w:val="center"/>
          </w:tcPr>
          <w:p w14:paraId="6C20DDFA">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-5110</w:t>
            </w:r>
          </w:p>
        </w:tc>
        <w:tc>
          <w:tcPr>
            <w:tcW w:w="427" w:type="pct"/>
            <w:noWrap w:val="0"/>
            <w:vAlign w:val="center"/>
          </w:tcPr>
          <w:p w14:paraId="2EC8E881">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3431</w:t>
            </w:r>
          </w:p>
        </w:tc>
        <w:tc>
          <w:tcPr>
            <w:tcW w:w="354" w:type="pct"/>
            <w:vMerge w:val="continue"/>
            <w:noWrap w:val="0"/>
            <w:vAlign w:val="center"/>
          </w:tcPr>
          <w:p w14:paraId="0509E712">
            <w:pPr>
              <w:pStyle w:val="44"/>
              <w:bidi w:val="0"/>
              <w:rPr>
                <w:rFonts w:hint="default" w:ascii="Times New Roman" w:hAnsi="Times New Roman" w:cs="Times New Roman"/>
                <w:color w:val="auto"/>
                <w:highlight w:val="none"/>
                <w:lang w:val="en-US" w:eastAsia="zh-CN"/>
              </w:rPr>
            </w:pPr>
          </w:p>
        </w:tc>
        <w:tc>
          <w:tcPr>
            <w:tcW w:w="285" w:type="pct"/>
            <w:vMerge w:val="continue"/>
            <w:noWrap w:val="0"/>
            <w:vAlign w:val="center"/>
          </w:tcPr>
          <w:p w14:paraId="35B81839">
            <w:pPr>
              <w:pStyle w:val="44"/>
              <w:bidi w:val="0"/>
              <w:rPr>
                <w:rFonts w:hint="default" w:ascii="Times New Roman" w:hAnsi="Times New Roman" w:cs="Times New Roman"/>
                <w:color w:val="auto"/>
                <w:highlight w:val="none"/>
                <w:lang w:val="en-US" w:eastAsia="zh-CN"/>
              </w:rPr>
            </w:pPr>
          </w:p>
        </w:tc>
        <w:tc>
          <w:tcPr>
            <w:tcW w:w="384" w:type="pct"/>
            <w:vMerge w:val="continue"/>
            <w:noWrap w:val="0"/>
            <w:vAlign w:val="center"/>
          </w:tcPr>
          <w:p w14:paraId="139362A2">
            <w:pPr>
              <w:pStyle w:val="44"/>
              <w:bidi w:val="0"/>
              <w:rPr>
                <w:rFonts w:hint="default" w:ascii="Times New Roman" w:hAnsi="Times New Roman" w:cs="Times New Roman"/>
                <w:color w:val="auto"/>
                <w:highlight w:val="none"/>
                <w:lang w:val="en-US" w:eastAsia="zh-CN"/>
              </w:rPr>
            </w:pPr>
          </w:p>
        </w:tc>
        <w:tc>
          <w:tcPr>
            <w:tcW w:w="405" w:type="pct"/>
            <w:vMerge w:val="continue"/>
            <w:noWrap w:val="0"/>
            <w:vAlign w:val="center"/>
          </w:tcPr>
          <w:p w14:paraId="1B8D9EDF">
            <w:pPr>
              <w:pStyle w:val="44"/>
              <w:bidi w:val="0"/>
              <w:rPr>
                <w:rFonts w:hint="default" w:ascii="Times New Roman" w:hAnsi="Times New Roman" w:cs="Times New Roman"/>
                <w:color w:val="auto"/>
                <w:highlight w:val="none"/>
                <w:lang w:val="en-US" w:eastAsia="zh-CN"/>
              </w:rPr>
            </w:pPr>
          </w:p>
        </w:tc>
        <w:tc>
          <w:tcPr>
            <w:tcW w:w="349" w:type="pct"/>
            <w:vMerge w:val="continue"/>
            <w:noWrap w:val="0"/>
            <w:vAlign w:val="center"/>
          </w:tcPr>
          <w:p w14:paraId="4213B1F8">
            <w:pPr>
              <w:pStyle w:val="44"/>
              <w:bidi w:val="0"/>
              <w:rPr>
                <w:rFonts w:hint="default" w:ascii="Times New Roman" w:hAnsi="Times New Roman" w:cs="Times New Roman"/>
                <w:color w:val="auto"/>
                <w:highlight w:val="none"/>
                <w:lang w:eastAsia="zh-CN"/>
              </w:rPr>
            </w:pPr>
          </w:p>
        </w:tc>
        <w:tc>
          <w:tcPr>
            <w:tcW w:w="619" w:type="pct"/>
            <w:vMerge w:val="continue"/>
            <w:noWrap w:val="0"/>
            <w:vAlign w:val="center"/>
          </w:tcPr>
          <w:p w14:paraId="1D4B4EDF">
            <w:pPr>
              <w:pStyle w:val="44"/>
              <w:bidi w:val="0"/>
              <w:rPr>
                <w:rFonts w:hint="default" w:ascii="Times New Roman" w:hAnsi="Times New Roman" w:cs="Times New Roman"/>
                <w:color w:val="auto"/>
                <w:highlight w:val="none"/>
                <w:lang w:val="en-US" w:eastAsia="zh-CN"/>
              </w:rPr>
            </w:pPr>
          </w:p>
        </w:tc>
        <w:tc>
          <w:tcPr>
            <w:tcW w:w="519" w:type="pct"/>
            <w:vMerge w:val="continue"/>
            <w:noWrap w:val="0"/>
            <w:vAlign w:val="center"/>
          </w:tcPr>
          <w:p w14:paraId="62B74523">
            <w:pPr>
              <w:pStyle w:val="44"/>
              <w:bidi w:val="0"/>
              <w:rPr>
                <w:rFonts w:hint="default" w:ascii="Times New Roman" w:hAnsi="Times New Roman" w:cs="Times New Roman"/>
                <w:color w:val="auto"/>
                <w:highlight w:val="none"/>
                <w:lang w:val="en-US" w:eastAsia="zh-CN"/>
              </w:rPr>
            </w:pPr>
          </w:p>
        </w:tc>
        <w:tc>
          <w:tcPr>
            <w:tcW w:w="476" w:type="pct"/>
            <w:vMerge w:val="continue"/>
            <w:noWrap w:val="0"/>
            <w:vAlign w:val="center"/>
          </w:tcPr>
          <w:p w14:paraId="695A1E14">
            <w:pPr>
              <w:pStyle w:val="44"/>
              <w:bidi w:val="0"/>
              <w:rPr>
                <w:rFonts w:hint="default" w:ascii="Times New Roman" w:hAnsi="Times New Roman" w:cs="Times New Roman"/>
                <w:color w:val="auto"/>
                <w:highlight w:val="none"/>
                <w:lang w:val="en-US" w:eastAsia="zh-CN"/>
              </w:rPr>
            </w:pPr>
          </w:p>
        </w:tc>
        <w:tc>
          <w:tcPr>
            <w:tcW w:w="419" w:type="pct"/>
            <w:vMerge w:val="continue"/>
            <w:noWrap w:val="0"/>
            <w:vAlign w:val="center"/>
          </w:tcPr>
          <w:p w14:paraId="6917484B">
            <w:pPr>
              <w:pStyle w:val="44"/>
              <w:bidi w:val="0"/>
              <w:rPr>
                <w:rFonts w:hint="default" w:ascii="Times New Roman" w:hAnsi="Times New Roman" w:cs="Times New Roman"/>
                <w:color w:val="auto"/>
                <w:highlight w:val="none"/>
                <w:lang w:val="en-US" w:eastAsia="zh-CN"/>
              </w:rPr>
            </w:pPr>
          </w:p>
        </w:tc>
      </w:tr>
    </w:tbl>
    <w:p w14:paraId="45451AE6">
      <w:pPr>
        <w:pStyle w:val="39"/>
        <w:rPr>
          <w:rFonts w:hint="default" w:ascii="Times New Roman" w:hAnsi="Times New Roman" w:cs="Times New Roman"/>
          <w:color w:val="auto"/>
          <w:highlight w:val="none"/>
        </w:rPr>
      </w:pPr>
      <w:r>
        <w:rPr>
          <w:rFonts w:hint="default" w:ascii="Times New Roman" w:hAnsi="Times New Roman" w:cs="Times New Roman"/>
          <w:color w:val="auto"/>
          <w:highlight w:val="none"/>
        </w:rPr>
        <w:t>3.3.3生态恢复期污染源及源强分析</w:t>
      </w:r>
      <w:bookmarkEnd w:id="194"/>
    </w:p>
    <w:p w14:paraId="264F27E0">
      <w:pPr>
        <w:pStyle w:val="25"/>
        <w:bidi w:val="0"/>
        <w:rPr>
          <w:rFonts w:hint="default" w:ascii="Times New Roman" w:hAnsi="Times New Roman" w:cs="Times New Roman"/>
          <w:color w:val="auto"/>
          <w:highlight w:val="none"/>
        </w:rPr>
      </w:pPr>
      <w:bookmarkStart w:id="195" w:name="_Toc3809"/>
      <w:r>
        <w:rPr>
          <w:rFonts w:hint="default" w:ascii="Times New Roman" w:hAnsi="Times New Roman" w:cs="Times New Roman"/>
          <w:color w:val="auto"/>
          <w:highlight w:val="none"/>
        </w:rPr>
        <w:t>（1）废气污染源分析</w:t>
      </w:r>
    </w:p>
    <w:p w14:paraId="6C4C3293">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生态恢复</w:t>
      </w:r>
      <w:r>
        <w:rPr>
          <w:rFonts w:hint="default" w:ascii="Times New Roman" w:hAnsi="Times New Roman" w:cs="Times New Roman"/>
          <w:color w:val="auto"/>
          <w:highlight w:val="none"/>
        </w:rPr>
        <w:t>阶段主要为植被养护，整个过程无废气产生。所以</w:t>
      </w:r>
      <w:r>
        <w:rPr>
          <w:rFonts w:hint="default" w:ascii="Times New Roman" w:hAnsi="Times New Roman" w:cs="Times New Roman"/>
          <w:color w:val="auto"/>
          <w:highlight w:val="none"/>
          <w:lang w:val="en-US" w:eastAsia="zh-CN"/>
        </w:rPr>
        <w:t>生态恢复</w:t>
      </w:r>
      <w:r>
        <w:rPr>
          <w:rFonts w:hint="default" w:ascii="Times New Roman" w:hAnsi="Times New Roman" w:cs="Times New Roman"/>
          <w:color w:val="auto"/>
          <w:highlight w:val="none"/>
        </w:rPr>
        <w:t>阶段废气不做考虑。</w:t>
      </w:r>
    </w:p>
    <w:p w14:paraId="4508BBF9">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（2）废水污染源分析</w:t>
      </w:r>
    </w:p>
    <w:p w14:paraId="5E5A9E62">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生态恢复</w:t>
      </w:r>
      <w:r>
        <w:rPr>
          <w:rFonts w:hint="default" w:ascii="Times New Roman" w:hAnsi="Times New Roman" w:cs="Times New Roman"/>
          <w:color w:val="auto"/>
          <w:highlight w:val="none"/>
        </w:rPr>
        <w:t>主要为养护，不产生废水。</w:t>
      </w:r>
      <w:r>
        <w:rPr>
          <w:rFonts w:hint="default" w:ascii="Times New Roman" w:hAnsi="Times New Roman" w:cs="Times New Roman"/>
          <w:color w:val="auto"/>
          <w:highlight w:val="none"/>
          <w:lang w:val="en-US" w:eastAsia="zh-CN"/>
        </w:rPr>
        <w:t>生态恢复</w:t>
      </w:r>
      <w:r>
        <w:rPr>
          <w:rFonts w:hint="default" w:ascii="Times New Roman" w:hAnsi="Times New Roman" w:cs="Times New Roman"/>
          <w:color w:val="auto"/>
          <w:highlight w:val="none"/>
        </w:rPr>
        <w:t>阶段人员</w:t>
      </w:r>
      <w:r>
        <w:rPr>
          <w:rFonts w:hint="default" w:ascii="Times New Roman" w:hAnsi="Times New Roman" w:cs="Times New Roman"/>
          <w:color w:val="auto"/>
          <w:highlight w:val="none"/>
          <w:lang w:val="en-US" w:eastAsia="zh-CN"/>
        </w:rPr>
        <w:t>定期巡查</w:t>
      </w:r>
      <w:r>
        <w:rPr>
          <w:rFonts w:hint="default" w:ascii="Times New Roman" w:hAnsi="Times New Roman" w:cs="Times New Roman"/>
          <w:color w:val="auto"/>
          <w:highlight w:val="none"/>
        </w:rPr>
        <w:t>，不新增生活污水。</w:t>
      </w:r>
    </w:p>
    <w:p w14:paraId="5ABB8B2A">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（3）噪声污染源分析</w:t>
      </w:r>
    </w:p>
    <w:p w14:paraId="21EAF8D7">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生态恢复</w:t>
      </w:r>
      <w:r>
        <w:rPr>
          <w:rFonts w:hint="default" w:ascii="Times New Roman" w:hAnsi="Times New Roman" w:cs="Times New Roman"/>
          <w:color w:val="auto"/>
          <w:highlight w:val="none"/>
        </w:rPr>
        <w:t>阶段不产生噪声污染。</w:t>
      </w:r>
    </w:p>
    <w:p w14:paraId="51227752">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（4）固废污染源分析</w:t>
      </w:r>
    </w:p>
    <w:p w14:paraId="3F106E15">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生态恢复</w:t>
      </w:r>
      <w:r>
        <w:rPr>
          <w:rFonts w:hint="default" w:ascii="Times New Roman" w:hAnsi="Times New Roman" w:cs="Times New Roman"/>
          <w:color w:val="auto"/>
          <w:highlight w:val="none"/>
        </w:rPr>
        <w:t>阶段主要为养护，不产生固体废物。</w:t>
      </w:r>
    </w:p>
    <w:p w14:paraId="2EFA799D">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（5）生态影响分析</w:t>
      </w:r>
    </w:p>
    <w:p w14:paraId="651A88F3">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生态恢复</w:t>
      </w:r>
      <w:r>
        <w:rPr>
          <w:rFonts w:hint="default" w:ascii="Times New Roman" w:hAnsi="Times New Roman" w:cs="Times New Roman"/>
          <w:color w:val="auto"/>
          <w:highlight w:val="none"/>
        </w:rPr>
        <w:t>为植被的抚育、养护、补植过程，不产生废物，项目植被盖度最终要不低于原有植被覆盖率，同时对生态景观也起到很好的效果。</w:t>
      </w:r>
    </w:p>
    <w:p w14:paraId="4DC31701">
      <w:pPr>
        <w:pStyle w:val="3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3.3.4环境风险识别</w:t>
      </w:r>
      <w:bookmarkEnd w:id="195"/>
    </w:p>
    <w:p w14:paraId="50564E04">
      <w:pPr>
        <w:pStyle w:val="25"/>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val="zh-CN"/>
        </w:rPr>
        <w:t>物质风险识别</w:t>
      </w:r>
    </w:p>
    <w:p w14:paraId="19FBC254">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本项目的回填材料主要为煤矸石，属一般工业固体废物。根据《建设项目环境风险评价技术导则》（HJ/T169-2018）及《危险化学品重大危险源辨识》（GB18218-2018）判定，本项目不涉及的危险物质。</w:t>
      </w:r>
    </w:p>
    <w:p w14:paraId="6A5ABFF1">
      <w:pPr>
        <w:pStyle w:val="25"/>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val="zh-CN"/>
        </w:rPr>
        <w:t>设施危险性识别</w:t>
      </w:r>
    </w:p>
    <w:p w14:paraId="36827FEE">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本项目出现的主要事故有：排水沟堵塞，场址以外区域雨水大量进入回填区，</w:t>
      </w:r>
      <w:bookmarkStart w:id="196" w:name="_Hlk148604580"/>
      <w:r>
        <w:rPr>
          <w:rFonts w:hint="default" w:ascii="Times New Roman" w:hAnsi="Times New Roman" w:cs="Times New Roman"/>
          <w:color w:val="auto"/>
          <w:highlight w:val="none"/>
        </w:rPr>
        <w:t>造成淋溶水下渗入地下水，破坏土壤和地下水环境。</w:t>
      </w:r>
    </w:p>
    <w:bookmarkEnd w:id="196"/>
    <w:p w14:paraId="47729F35">
      <w:pPr>
        <w:pStyle w:val="25"/>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lang w:val="zh-CN"/>
        </w:rPr>
        <w:t>风险环节及源项分析</w:t>
      </w:r>
    </w:p>
    <w:p w14:paraId="1352949D">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正常运行的条件下，不会对场区周围的环境产生污染。但在连续大雨或暴雨的情况下，由于排水沟堵塞，使雨水不能及时排出，或由于场区外四周地表降水汇集，雨水进入场区而导致淋溶水量显著增大，可能引发环境污染事故。造成淋溶水下渗入地下水，破坏土壤和地下水环境。</w:t>
      </w:r>
    </w:p>
    <w:p w14:paraId="621C1523">
      <w:pPr>
        <w:pStyle w:val="39"/>
        <w:bidi w:val="0"/>
        <w:rPr>
          <w:rFonts w:hint="default" w:ascii="Times New Roman" w:hAnsi="Times New Roman" w:cs="Times New Roman"/>
          <w:color w:val="auto"/>
          <w:highlight w:val="none"/>
        </w:rPr>
      </w:pPr>
      <w:bookmarkStart w:id="197" w:name="_Toc6069"/>
      <w:r>
        <w:rPr>
          <w:rFonts w:hint="default" w:ascii="Times New Roman" w:hAnsi="Times New Roman" w:cs="Times New Roman"/>
          <w:color w:val="auto"/>
          <w:highlight w:val="none"/>
        </w:rPr>
        <w:t>3.3.5清洁生产</w:t>
      </w:r>
      <w:bookmarkEnd w:id="197"/>
    </w:p>
    <w:p w14:paraId="6A63D234">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（1）生产工艺与装备要求</w:t>
      </w:r>
    </w:p>
    <w:p w14:paraId="128403B6">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本项目工艺简单，污染源少，是成熟的固体废物处理工艺。本项目煤矸石为</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1 \* ROMAN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I</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类一般工业固体废物，处理成本较低，废渣收集、清运、处置过程自动化程度高，堆放作业简便，生产工艺与装备要求达到国内先进水平。</w:t>
      </w:r>
    </w:p>
    <w:p w14:paraId="6D8F2964">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（2）原材料及产品指标</w:t>
      </w:r>
    </w:p>
    <w:p w14:paraId="2833DE16">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2#项目区利用41#项目区现有</w:t>
      </w:r>
      <w:r>
        <w:rPr>
          <w:rFonts w:hint="default" w:ascii="Times New Roman" w:hAnsi="Times New Roman" w:cs="Times New Roman"/>
          <w:color w:val="auto"/>
          <w:highlight w:val="none"/>
        </w:rPr>
        <w:t>煤矸石，为一般工业固体废物，回填材料唯一，不接收危险废物。</w:t>
      </w:r>
    </w:p>
    <w:p w14:paraId="68DBB61A">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本项目不是工业生产类项目，不生产产品，采用回填的工艺技术，对煤矸石进行处置，项目的建设从原材料及产品指标分析满足清洁生产的要求。</w:t>
      </w:r>
    </w:p>
    <w:p w14:paraId="4FE5E18E">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（3）资源和能源利用指标</w:t>
      </w:r>
    </w:p>
    <w:p w14:paraId="410AE3D2">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本工程主要消耗的是土地资源，本项目现状为废弃采坑，周围没有需要特殊保护的敏感目标。本项目回填完毕后对废弃采坑覆土进行土地复垦，可恢复土地的使用功能，不会造成土地资源的浪费。</w:t>
      </w:r>
    </w:p>
    <w:p w14:paraId="59D2C3F5">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（4）污染物产生指标清洁生产分析</w:t>
      </w:r>
    </w:p>
    <w:p w14:paraId="05B47196">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本项目工艺简单，污染物排放较少，产生的生活污水不外排，生活垃圾交由市政部门处理，污染物产生指标满足清洁生产要求。</w:t>
      </w:r>
    </w:p>
    <w:p w14:paraId="76764A53">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（5）废物回收利用指标</w:t>
      </w:r>
    </w:p>
    <w:p w14:paraId="330E5341">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本项目所回填的煤矸石仍然具有一定的利用价值，如果有其他企业有意向接收，可以将其运往相应的企业进行加工再利用，实现资源的综合利用，符合清洁生产的要求。</w:t>
      </w:r>
    </w:p>
    <w:p w14:paraId="479CBD41">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（6）环境管理相关指标</w:t>
      </w:r>
    </w:p>
    <w:p w14:paraId="63153BE1">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环境管理主要包括三个方面，即法律法规标准、废物处理处置、生产过程环境管理。</w:t>
      </w:r>
    </w:p>
    <w:p w14:paraId="40A71BB4">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法律法规标准：本项目在规划实施及建设和运营的全过程中，可以做到符合国家和地方有关环境法律法规，污染物排放达到国家和地方排放标准、总量控制和排污许可证管理要求。</w:t>
      </w:r>
    </w:p>
    <w:p w14:paraId="65DE909F">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废物处理处置：本项目的废物处置处理遵循分类原则、回收利用原则、减量化原则、无公害化原则及分散与集中相结合的原则，将废渣堆存。</w:t>
      </w:r>
    </w:p>
    <w:p w14:paraId="265F0180">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生产过程环境管理：本项目拟采取的主要管理措施有环境考核指标岗位责任制和管理制度、产品全面质量管理制度、安全生产管理制度、员工环境管理培训制度、环境风险管理制度等。</w:t>
      </w:r>
    </w:p>
    <w:p w14:paraId="25C947E5">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由以上分析可知，本项目的工艺设备、防渗水平、能源消耗、环境管理制度等方面满足清洁生产要求。</w:t>
      </w:r>
    </w:p>
    <w:p w14:paraId="18984B52">
      <w:pPr>
        <w:pStyle w:val="25"/>
        <w:ind w:firstLine="480"/>
        <w:rPr>
          <w:rFonts w:hint="default" w:ascii="Times New Roman" w:hAnsi="Times New Roman" w:cs="Times New Roman"/>
          <w:color w:val="auto"/>
          <w:highlight w:val="none"/>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7741031A">
      <w:pPr>
        <w:pStyle w:val="42"/>
        <w:rPr>
          <w:rFonts w:hint="default" w:ascii="Times New Roman" w:hAnsi="Times New Roman" w:cs="Times New Roman"/>
          <w:color w:val="auto"/>
        </w:rPr>
      </w:pPr>
      <w:bookmarkStart w:id="198" w:name="_Toc20255"/>
      <w:bookmarkStart w:id="199" w:name="_Toc31266"/>
      <w:bookmarkStart w:id="200" w:name="_Toc152926818"/>
      <w:bookmarkStart w:id="201" w:name="_Toc119316800"/>
      <w:bookmarkStart w:id="202" w:name="_Toc477954563"/>
      <w:bookmarkStart w:id="203" w:name="_Toc494017090"/>
      <w:bookmarkStart w:id="204" w:name="_Toc477954569"/>
      <w:bookmarkStart w:id="205" w:name="_Toc119316804"/>
      <w:bookmarkStart w:id="206" w:name="_Toc152926823"/>
      <w:bookmarkStart w:id="207" w:name="_Toc488925382"/>
      <w:bookmarkStart w:id="208" w:name="_Toc18878"/>
      <w:r>
        <w:rPr>
          <w:rFonts w:hint="default" w:ascii="Times New Roman" w:hAnsi="Times New Roman" w:cs="Times New Roman"/>
          <w:color w:val="auto"/>
        </w:rPr>
        <w:t>4环境现状调查与评价</w:t>
      </w:r>
      <w:bookmarkEnd w:id="198"/>
      <w:bookmarkEnd w:id="199"/>
      <w:bookmarkEnd w:id="200"/>
      <w:bookmarkEnd w:id="201"/>
      <w:bookmarkEnd w:id="202"/>
    </w:p>
    <w:p w14:paraId="25195BEC">
      <w:pPr>
        <w:pStyle w:val="41"/>
        <w:rPr>
          <w:rFonts w:hint="default" w:ascii="Times New Roman" w:hAnsi="Times New Roman" w:cs="Times New Roman"/>
          <w:color w:val="auto"/>
        </w:rPr>
      </w:pPr>
      <w:bookmarkStart w:id="209" w:name="_Toc2383"/>
      <w:bookmarkStart w:id="210" w:name="_Toc152926819"/>
      <w:bookmarkStart w:id="211" w:name="_Toc119316801"/>
      <w:bookmarkStart w:id="212" w:name="_Toc23958"/>
      <w:r>
        <w:rPr>
          <w:rFonts w:hint="default" w:ascii="Times New Roman" w:hAnsi="Times New Roman" w:cs="Times New Roman"/>
          <w:color w:val="auto"/>
        </w:rPr>
        <w:t>4.1自然环境概况</w:t>
      </w:r>
      <w:bookmarkEnd w:id="209"/>
      <w:bookmarkEnd w:id="210"/>
      <w:bookmarkEnd w:id="211"/>
      <w:bookmarkEnd w:id="212"/>
    </w:p>
    <w:p w14:paraId="3DFA4969">
      <w:pPr>
        <w:pStyle w:val="39"/>
        <w:rPr>
          <w:rFonts w:hint="default" w:ascii="Times New Roman" w:hAnsi="Times New Roman" w:cs="Times New Roman"/>
          <w:color w:val="auto"/>
        </w:rPr>
      </w:pPr>
      <w:bookmarkStart w:id="213" w:name="_Toc218825485"/>
      <w:bookmarkStart w:id="214" w:name="_Toc28895"/>
      <w:r>
        <w:rPr>
          <w:rFonts w:hint="default" w:ascii="Times New Roman" w:hAnsi="Times New Roman" w:cs="Times New Roman"/>
          <w:color w:val="auto"/>
        </w:rPr>
        <w:t>4.1.1地理位置</w:t>
      </w:r>
      <w:bookmarkEnd w:id="213"/>
      <w:bookmarkEnd w:id="214"/>
    </w:p>
    <w:p w14:paraId="2CC0E60E">
      <w:pPr>
        <w:pStyle w:val="25"/>
        <w:adjustRightInd/>
        <w:snapToGrid/>
        <w:ind w:firstLine="472"/>
        <w:rPr>
          <w:rFonts w:hint="default" w:ascii="Times New Roman" w:hAnsi="Times New Roman" w:cs="Times New Roman"/>
          <w:color w:val="auto"/>
          <w:spacing w:val="-2"/>
        </w:rPr>
      </w:pPr>
      <w:r>
        <w:rPr>
          <w:rFonts w:hint="default" w:ascii="Times New Roman" w:hAnsi="Times New Roman" w:cs="Times New Roman"/>
          <w:color w:val="auto"/>
          <w:spacing w:val="-2"/>
        </w:rPr>
        <w:t>项目区位于鸡西市城子河区内，</w:t>
      </w:r>
      <w:r>
        <w:rPr>
          <w:rFonts w:hint="default" w:ascii="Times New Roman" w:hAnsi="Times New Roman" w:cs="Times New Roman"/>
          <w:snapToGrid w:val="0"/>
          <w:color w:val="auto"/>
          <w:highlight w:val="none"/>
        </w:rPr>
        <w:t>拟建项目修复历史遗留废弃矿山共计12个，其中包括露天采石场8个、</w:t>
      </w:r>
      <w:r>
        <w:rPr>
          <w:rFonts w:hint="default" w:ascii="Times New Roman" w:hAnsi="Times New Roman" w:cs="Times New Roman"/>
          <w:snapToGrid w:val="0"/>
          <w:color w:val="auto"/>
          <w:highlight w:val="none"/>
          <w:lang w:eastAsia="zh-CN"/>
        </w:rPr>
        <w:t>煤矿工业广场2个、矸石堆场2个</w:t>
      </w:r>
      <w:r>
        <w:rPr>
          <w:rFonts w:hint="default" w:ascii="Times New Roman" w:hAnsi="Times New Roman" w:cs="Times New Roman"/>
          <w:color w:val="auto"/>
          <w:spacing w:val="-2"/>
        </w:rPr>
        <w:t>。项目区交通便利，</w:t>
      </w:r>
      <w:r>
        <w:rPr>
          <w:rFonts w:hint="default" w:ascii="Times New Roman" w:hAnsi="Times New Roman" w:cs="Times New Roman"/>
          <w:color w:val="auto"/>
          <w:spacing w:val="-2"/>
          <w:lang w:val="en-US" w:eastAsia="zh-CN"/>
        </w:rPr>
        <w:t>项目位置图见下图</w:t>
      </w:r>
      <w:r>
        <w:rPr>
          <w:rFonts w:hint="default" w:ascii="Times New Roman" w:hAnsi="Times New Roman" w:cs="Times New Roman"/>
          <w:color w:val="auto"/>
          <w:spacing w:val="-2"/>
        </w:rPr>
        <w:t>。</w:t>
      </w:r>
    </w:p>
    <w:p w14:paraId="7BBF4CCC">
      <w:pPr>
        <w:pStyle w:val="25"/>
        <w:adjustRightInd/>
        <w:snapToGrid/>
        <w:ind w:firstLine="472"/>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267325" cy="3281680"/>
            <wp:effectExtent l="0" t="0" r="9525" b="13970"/>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63"/>
                    <a:stretch>
                      <a:fillRect/>
                    </a:stretch>
                  </pic:blipFill>
                  <pic:spPr>
                    <a:xfrm>
                      <a:off x="0" y="0"/>
                      <a:ext cx="5267325" cy="3281680"/>
                    </a:xfrm>
                    <a:prstGeom prst="rect">
                      <a:avLst/>
                    </a:prstGeom>
                    <a:noFill/>
                    <a:ln>
                      <a:noFill/>
                    </a:ln>
                  </pic:spPr>
                </pic:pic>
              </a:graphicData>
            </a:graphic>
          </wp:inline>
        </w:drawing>
      </w:r>
    </w:p>
    <w:p w14:paraId="19FC72D8">
      <w:pPr>
        <w:pStyle w:val="27"/>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图4-1-1 项目位置图</w:t>
      </w:r>
    </w:p>
    <w:p w14:paraId="7467EF74">
      <w:pPr>
        <w:pStyle w:val="39"/>
        <w:bidi w:val="0"/>
        <w:rPr>
          <w:rFonts w:hint="default" w:ascii="Times New Roman" w:hAnsi="Times New Roman" w:cs="Times New Roman"/>
          <w:color w:val="auto"/>
        </w:rPr>
      </w:pPr>
      <w:bookmarkStart w:id="215" w:name="_Toc4508"/>
      <w:r>
        <w:rPr>
          <w:rFonts w:hint="default" w:ascii="Times New Roman" w:hAnsi="Times New Roman" w:cs="Times New Roman"/>
          <w:color w:val="auto"/>
        </w:rPr>
        <w:t>4.1.2气候气象</w:t>
      </w:r>
      <w:bookmarkEnd w:id="215"/>
    </w:p>
    <w:p w14:paraId="54C91B9D">
      <w:pPr>
        <w:pStyle w:val="25"/>
        <w:bidi w:val="0"/>
        <w:rPr>
          <w:rFonts w:hint="default" w:ascii="Times New Roman" w:hAnsi="Times New Roman" w:cs="Times New Roman"/>
          <w:color w:val="auto"/>
        </w:rPr>
      </w:pPr>
      <w:r>
        <w:rPr>
          <w:rFonts w:hint="default" w:ascii="Times New Roman" w:hAnsi="Times New Roman" w:cs="Times New Roman"/>
          <w:color w:val="auto"/>
        </w:rPr>
        <w:t>城子河区地处中纬度亚洲大陆东岸，位于黑龙江省东南部，属于中温带大陆性季风气候。四季气候变化明显，春季易干旱多大风，夏季短促雨季集中，秋季寒潮降温，常有冻害发生，冬季寒冷漫长且干燥。密山市属丘陵漫岗平原，属于二、三积温带，年积温2500℃，夏季最高气温可达37℃，冬季最低气温可达-35℃，年平均气温2.6-3.3℃左右，由南向北递减，年温差在72℃，年均日照2330-2515小时。降水时间主要集中在6-8月份（该时期大量集中降水可直接导致洪涝灾害的发生，同时也是引发滑坡、泥石流和水土流失等灾害的主导因素），年平均降水量519.6毫米，夏季降水占全年降水量的60%以上，年平均相对湿度为65%左右，无霜期148天左右，终霜期在5月2日左右，初霜期在9月27日左右。</w:t>
      </w:r>
    </w:p>
    <w:p w14:paraId="5EBCB69C">
      <w:pPr>
        <w:pStyle w:val="39"/>
        <w:bidi w:val="0"/>
        <w:rPr>
          <w:rFonts w:hint="default" w:ascii="Times New Roman" w:hAnsi="Times New Roman" w:cs="Times New Roman"/>
          <w:color w:val="auto"/>
        </w:rPr>
      </w:pPr>
      <w:bookmarkStart w:id="216" w:name="_Toc9481"/>
      <w:r>
        <w:rPr>
          <w:rFonts w:hint="default" w:ascii="Times New Roman" w:hAnsi="Times New Roman" w:cs="Times New Roman"/>
          <w:color w:val="auto"/>
        </w:rPr>
        <w:t>4.1.3地形地貌</w:t>
      </w:r>
      <w:bookmarkEnd w:id="216"/>
    </w:p>
    <w:p w14:paraId="634046B8">
      <w:pPr>
        <w:pStyle w:val="25"/>
        <w:bidi w:val="0"/>
        <w:rPr>
          <w:rFonts w:hint="default" w:ascii="Times New Roman" w:hAnsi="Times New Roman" w:cs="Times New Roman"/>
          <w:color w:val="auto"/>
        </w:rPr>
      </w:pPr>
      <w:bookmarkStart w:id="217" w:name="_Toc241292978"/>
      <w:r>
        <w:rPr>
          <w:rFonts w:hint="default" w:ascii="Times New Roman" w:hAnsi="Times New Roman" w:cs="Times New Roman"/>
          <w:color w:val="auto"/>
        </w:rPr>
        <w:t>地貌特征为“八山半水一分田”。境内地势北高南低，海拔180-600m。全区分为丘陵、低山河谷平原三个地貌类型剥蚀。剥蚀堆积地形主要为低山丘陵，体浑圆坡度在10-20°之间，多由沉积岩组成。上覆第四系风化残积坡物，为柞木林、次生及人工岩组成。上覆第四系风化残积坡物，为柞木林、次生及人工所覆盖。堆积地形主要有现代河床及低漫滩、牛轭湖高，主要沿低漫滩、牛轭湖高，主要沿低漫滩、牛轭湖高，主要沿低漫滩、牛轭湖、高漫滩，主要沿城子河两岸分布。河床宽度50m-100m，在其两侧有零星低漫滩、牛轭湖、高漫滩宽度2km左右，在近丘陵区变窄。</w:t>
      </w:r>
    </w:p>
    <w:p w14:paraId="74C10EC9">
      <w:pPr>
        <w:pStyle w:val="25"/>
        <w:bidi w:val="0"/>
        <w:rPr>
          <w:rFonts w:hint="default" w:ascii="Times New Roman" w:hAnsi="Times New Roman" w:cs="Times New Roman"/>
          <w:color w:val="auto"/>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cs="Times New Roman"/>
          <w:color w:val="auto"/>
        </w:rPr>
        <w:t>项目区位于城子河区周边，地形属山前丘陵地貌形态，海拔在300-465m之间，山坡坡度在15-20°之间。</w:t>
      </w:r>
    </w:p>
    <w:p w14:paraId="47E58C99">
      <w:pPr>
        <w:ind w:left="0" w:leftChars="0"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drawing>
          <wp:inline distT="0" distB="0" distL="114300" distR="114300">
            <wp:extent cx="7681595" cy="5008880"/>
            <wp:effectExtent l="0" t="0" r="14605" b="1270"/>
            <wp:docPr id="3" name="图片 2" descr="鸡西交通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鸡西交通图1"/>
                    <pic:cNvPicPr>
                      <a:picLocks noChangeAspect="1"/>
                    </pic:cNvPicPr>
                  </pic:nvPicPr>
                  <pic:blipFill>
                    <a:blip r:embed="rId64"/>
                    <a:stretch>
                      <a:fillRect/>
                    </a:stretch>
                  </pic:blipFill>
                  <pic:spPr>
                    <a:xfrm>
                      <a:off x="0" y="0"/>
                      <a:ext cx="7681595" cy="5008880"/>
                    </a:xfrm>
                    <a:prstGeom prst="rect">
                      <a:avLst/>
                    </a:prstGeom>
                    <a:noFill/>
                    <a:ln>
                      <a:noFill/>
                    </a:ln>
                  </pic:spPr>
                </pic:pic>
              </a:graphicData>
            </a:graphic>
          </wp:inline>
        </w:drawing>
      </w:r>
    </w:p>
    <w:p w14:paraId="1F0D1915">
      <w:pPr>
        <w:pStyle w:val="27"/>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图4-1-2交通运输图</w:t>
      </w:r>
    </w:p>
    <w:p w14:paraId="1C2DAC8C">
      <w:pPr>
        <w:pStyle w:val="25"/>
        <w:ind w:firstLine="480"/>
        <w:rPr>
          <w:rFonts w:hint="default" w:ascii="Times New Roman" w:hAnsi="Times New Roman" w:cs="Times New Roman"/>
          <w:color w:val="auto"/>
        </w:rPr>
      </w:pPr>
    </w:p>
    <w:p w14:paraId="1BAA9C6C">
      <w:pPr>
        <w:pStyle w:val="25"/>
        <w:ind w:left="0" w:leftChars="0" w:firstLine="0" w:firstLineChars="0"/>
        <w:rPr>
          <w:rFonts w:hint="default" w:ascii="Times New Roman" w:hAnsi="Times New Roman" w:cs="Times New Roman"/>
          <w:color w:val="auto"/>
        </w:rPr>
        <w:sectPr>
          <w:pgSz w:w="16838" w:h="11906" w:orient="landscape"/>
          <w:pgMar w:top="1440" w:right="1440" w:bottom="1440" w:left="1440" w:header="851" w:footer="765" w:gutter="0"/>
          <w:pgBorders>
            <w:top w:val="none" w:sz="0" w:space="0"/>
            <w:left w:val="none" w:sz="0" w:space="0"/>
            <w:bottom w:val="none" w:sz="0" w:space="0"/>
            <w:right w:val="none" w:sz="0" w:space="0"/>
          </w:pgBorders>
          <w:cols w:space="425" w:num="1"/>
          <w:docGrid w:type="lines" w:linePitch="312" w:charSpace="0"/>
        </w:sectPr>
      </w:pPr>
    </w:p>
    <w:p w14:paraId="427EBB70">
      <w:pPr>
        <w:pStyle w:val="39"/>
        <w:bidi w:val="0"/>
        <w:rPr>
          <w:rFonts w:hint="default" w:ascii="Times New Roman" w:hAnsi="Times New Roman" w:cs="Times New Roman"/>
          <w:color w:val="auto"/>
        </w:rPr>
      </w:pPr>
      <w:bookmarkStart w:id="218" w:name="_Toc22020"/>
      <w:r>
        <w:rPr>
          <w:rFonts w:hint="default" w:ascii="Times New Roman" w:hAnsi="Times New Roman" w:cs="Times New Roman"/>
          <w:color w:val="auto"/>
        </w:rPr>
        <w:t>4.1.</w:t>
      </w:r>
      <w:bookmarkEnd w:id="217"/>
      <w:r>
        <w:rPr>
          <w:rFonts w:hint="default" w:ascii="Times New Roman" w:hAnsi="Times New Roman" w:cs="Times New Roman"/>
          <w:color w:val="auto"/>
        </w:rPr>
        <w:t>4水文</w:t>
      </w:r>
      <w:bookmarkEnd w:id="218"/>
    </w:p>
    <w:p w14:paraId="58C9EB0F">
      <w:pPr>
        <w:pStyle w:val="25"/>
        <w:bidi w:val="0"/>
        <w:rPr>
          <w:rFonts w:hint="default" w:ascii="Times New Roman" w:hAnsi="Times New Roman" w:cs="Times New Roman"/>
          <w:color w:val="auto"/>
        </w:rPr>
      </w:pPr>
      <w:r>
        <w:rPr>
          <w:rFonts w:hint="default" w:ascii="Times New Roman" w:hAnsi="Times New Roman" w:cs="Times New Roman"/>
          <w:color w:val="auto"/>
        </w:rPr>
        <w:t>鸡西市所经地域水系属乌苏里江水系，主要河流为穆棱河、柳毛河、金银库河。穆棱河为乌苏里江左岸的较大支流，发源于老爷岭山脉东坡的穆棱窝集岭的北坡，源头海拔高程773m。由南向北至鸡西附近的青龙山处折而东流，经穆棱、鸡西、鸡东、密山、虎林等5个市县，在虎林县湖北闸处河道分成两路，一路沿穆兴水路(分洪河道)注入兴凯湖，一路沿穆棱河原河道东流，在虎头镇南18km处注入乌苏里江。河口高程海拔56m，河流全长834km，河道弯曲系数为1.2-2.6。流域面积17600km</w:t>
      </w:r>
      <w:r>
        <w:rPr>
          <w:rFonts w:hint="default" w:ascii="Times New Roman" w:hAnsi="Times New Roman" w:cs="Times New Roman"/>
          <w:color w:val="auto"/>
          <w:vertAlign w:val="superscript"/>
        </w:rPr>
        <w:t>2</w:t>
      </w:r>
      <w:r>
        <w:rPr>
          <w:rFonts w:hint="default" w:ascii="Times New Roman" w:hAnsi="Times New Roman" w:cs="Times New Roman"/>
          <w:color w:val="auto"/>
        </w:rPr>
        <w:t>，流域平均宽度为43km。河道比降大，一般为10‰--0.1‰。穆棱河水系支流众多，主要有大石头河、亮子河、小穆棱河、牤牛河、滴道河、哈达河、黄泥河和裴德河等。穆棱河多年平均年径流量为23.5亿立方米，折合径流深为133.5mm。径流以降雨和融水为主要补给，水量在年内季节分配不均匀，由于穆棱河上游地区暴雨集中，因此地表侵蚀严重。上游的穆棱站多年平均侵蚀模数为35.8t/km</w:t>
      </w:r>
      <w:r>
        <w:rPr>
          <w:rFonts w:hint="default" w:ascii="Times New Roman" w:hAnsi="Times New Roman" w:cs="Times New Roman"/>
          <w:color w:val="auto"/>
          <w:vertAlign w:val="superscript"/>
        </w:rPr>
        <w:t>2</w:t>
      </w:r>
      <w:r>
        <w:rPr>
          <w:rFonts w:hint="default" w:ascii="Times New Roman" w:hAnsi="Times New Roman" w:cs="Times New Roman"/>
          <w:color w:val="auto"/>
        </w:rPr>
        <w:t>•年，而下游则小，杨岗站为18.8t/km</w:t>
      </w:r>
      <w:r>
        <w:rPr>
          <w:rFonts w:hint="default" w:ascii="Times New Roman" w:hAnsi="Times New Roman" w:cs="Times New Roman"/>
          <w:color w:val="auto"/>
          <w:vertAlign w:val="superscript"/>
        </w:rPr>
        <w:t>2</w:t>
      </w:r>
      <w:r>
        <w:rPr>
          <w:rFonts w:hint="default" w:ascii="Times New Roman" w:hAnsi="Times New Roman" w:cs="Times New Roman"/>
          <w:color w:val="auto"/>
        </w:rPr>
        <w:t>•年，至使上游泥沙含量大于下游。穆棱水文站1965-1970年间，平均含沙量为32kg/m</w:t>
      </w:r>
      <w:r>
        <w:rPr>
          <w:rFonts w:hint="default" w:ascii="Times New Roman" w:hAnsi="Times New Roman" w:cs="Times New Roman"/>
          <w:color w:val="auto"/>
          <w:vertAlign w:val="superscript"/>
        </w:rPr>
        <w:t>3</w:t>
      </w:r>
      <w:r>
        <w:rPr>
          <w:rFonts w:hint="default" w:ascii="Times New Roman" w:hAnsi="Times New Roman" w:cs="Times New Roman"/>
          <w:color w:val="auto"/>
        </w:rPr>
        <w:t>。</w:t>
      </w:r>
    </w:p>
    <w:p w14:paraId="1C7D3823">
      <w:pPr>
        <w:pStyle w:val="39"/>
        <w:bidi w:val="0"/>
        <w:rPr>
          <w:rFonts w:hint="default" w:ascii="Times New Roman" w:hAnsi="Times New Roman" w:cs="Times New Roman"/>
          <w:color w:val="auto"/>
        </w:rPr>
      </w:pPr>
      <w:bookmarkStart w:id="219" w:name="_Toc23745"/>
      <w:bookmarkStart w:id="220" w:name="_Toc241292979"/>
      <w:r>
        <w:rPr>
          <w:rFonts w:hint="default" w:ascii="Times New Roman" w:hAnsi="Times New Roman" w:cs="Times New Roman"/>
          <w:color w:val="auto"/>
        </w:rPr>
        <w:t>4.1.5地质条件</w:t>
      </w:r>
      <w:bookmarkEnd w:id="219"/>
    </w:p>
    <w:p w14:paraId="03366275">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4.1.5.1</w:t>
      </w:r>
      <w:r>
        <w:rPr>
          <w:rFonts w:hint="default" w:ascii="Times New Roman" w:hAnsi="Times New Roman" w:cs="Times New Roman"/>
          <w:color w:val="auto"/>
        </w:rPr>
        <w:t>地层</w:t>
      </w:r>
    </w:p>
    <w:p w14:paraId="173FAA3B">
      <w:pPr>
        <w:pStyle w:val="25"/>
        <w:bidi w:val="0"/>
        <w:rPr>
          <w:rFonts w:hint="default" w:ascii="Times New Roman" w:hAnsi="Times New Roman" w:cs="Times New Roman"/>
          <w:color w:val="auto"/>
        </w:rPr>
      </w:pPr>
      <w:r>
        <w:rPr>
          <w:rFonts w:hint="default" w:ascii="Times New Roman" w:hAnsi="Times New Roman" w:cs="Times New Roman"/>
          <w:color w:val="auto"/>
        </w:rPr>
        <w:t>工作区地层较为发育，中元古代、中-新元古代、早古生代、晚古生代、中生代及新生代地层发育较为齐全其分布特征、岩性以及相互接触关系见表4-1。</w:t>
      </w:r>
    </w:p>
    <w:p w14:paraId="141899D8">
      <w:pPr>
        <w:pStyle w:val="25"/>
        <w:bidi w:val="0"/>
        <w:rPr>
          <w:rFonts w:hint="default" w:ascii="Times New Roman" w:hAnsi="Times New Roman" w:cs="Times New Roman"/>
          <w:color w:val="auto"/>
        </w:rPr>
      </w:pPr>
      <w:r>
        <w:rPr>
          <w:rFonts w:hint="default" w:ascii="Times New Roman" w:hAnsi="Times New Roman" w:cs="Times New Roman"/>
          <w:color w:val="auto"/>
        </w:rPr>
        <w:t>工作区前中生代地层分区为佳木斯-兴凯地层区（1-9）佳木斯地层分区（1-9-1）双鸭山-鸡西地层小区（1-9-1-1）。中生代地层分区为</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 1 \* ROMAN </w:instrText>
      </w:r>
      <w:r>
        <w:rPr>
          <w:rFonts w:hint="default" w:ascii="Times New Roman" w:hAnsi="Times New Roman" w:cs="Times New Roman"/>
          <w:color w:val="auto"/>
        </w:rPr>
        <w:fldChar w:fldCharType="separate"/>
      </w:r>
      <w:r>
        <w:rPr>
          <w:rFonts w:hint="default" w:ascii="Times New Roman" w:hAnsi="Times New Roman" w:cs="Times New Roman"/>
          <w:color w:val="auto"/>
        </w:rPr>
        <w:t>I</w:t>
      </w:r>
      <w:r>
        <w:rPr>
          <w:rFonts w:hint="default" w:ascii="Times New Roman" w:hAnsi="Times New Roman" w:cs="Times New Roman"/>
          <w:color w:val="auto"/>
        </w:rPr>
        <w:fldChar w:fldCharType="end"/>
      </w:r>
      <w:r>
        <w:rPr>
          <w:rFonts w:hint="default" w:ascii="Times New Roman" w:hAnsi="Times New Roman" w:cs="Times New Roman"/>
          <w:color w:val="auto"/>
        </w:rPr>
        <w:t>3东北东部地层区（</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 1 \* ROMAN </w:instrText>
      </w:r>
      <w:r>
        <w:rPr>
          <w:rFonts w:hint="default" w:ascii="Times New Roman" w:hAnsi="Times New Roman" w:cs="Times New Roman"/>
          <w:color w:val="auto"/>
        </w:rPr>
        <w:fldChar w:fldCharType="separate"/>
      </w:r>
      <w:r>
        <w:rPr>
          <w:rFonts w:hint="default" w:ascii="Times New Roman" w:hAnsi="Times New Roman" w:cs="Times New Roman"/>
          <w:color w:val="auto"/>
        </w:rPr>
        <w:t>I</w:t>
      </w:r>
      <w:r>
        <w:rPr>
          <w:rFonts w:hint="default" w:ascii="Times New Roman" w:hAnsi="Times New Roman" w:cs="Times New Roman"/>
          <w:color w:val="auto"/>
        </w:rPr>
        <w:fldChar w:fldCharType="end"/>
      </w:r>
      <w:r>
        <w:rPr>
          <w:rFonts w:hint="default" w:ascii="Times New Roman" w:hAnsi="Times New Roman" w:cs="Times New Roman"/>
          <w:color w:val="auto"/>
        </w:rPr>
        <w:t>3）鸡西密山底层分区（</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 1 \* ROMAN </w:instrText>
      </w:r>
      <w:r>
        <w:rPr>
          <w:rFonts w:hint="default" w:ascii="Times New Roman" w:hAnsi="Times New Roman" w:cs="Times New Roman"/>
          <w:color w:val="auto"/>
        </w:rPr>
        <w:fldChar w:fldCharType="separate"/>
      </w:r>
      <w:r>
        <w:rPr>
          <w:rFonts w:hint="default" w:ascii="Times New Roman" w:hAnsi="Times New Roman" w:cs="Times New Roman"/>
          <w:color w:val="auto"/>
        </w:rPr>
        <w:t>I</w:t>
      </w:r>
      <w:r>
        <w:rPr>
          <w:rFonts w:hint="default" w:ascii="Times New Roman" w:hAnsi="Times New Roman" w:cs="Times New Roman"/>
          <w:color w:val="auto"/>
        </w:rPr>
        <w:fldChar w:fldCharType="end"/>
      </w:r>
      <w:r>
        <w:rPr>
          <w:rFonts w:hint="default" w:ascii="Times New Roman" w:hAnsi="Times New Roman" w:cs="Times New Roman"/>
          <w:color w:val="auto"/>
        </w:rPr>
        <w:t>33）鸡西地层小区（</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 1 \* ROMAN </w:instrText>
      </w:r>
      <w:r>
        <w:rPr>
          <w:rFonts w:hint="default" w:ascii="Times New Roman" w:hAnsi="Times New Roman" w:cs="Times New Roman"/>
          <w:color w:val="auto"/>
        </w:rPr>
        <w:fldChar w:fldCharType="separate"/>
      </w:r>
      <w:r>
        <w:rPr>
          <w:rFonts w:hint="default" w:ascii="Times New Roman" w:hAnsi="Times New Roman" w:cs="Times New Roman"/>
          <w:color w:val="auto"/>
        </w:rPr>
        <w:t>I</w:t>
      </w:r>
      <w:r>
        <w:rPr>
          <w:rFonts w:hint="default" w:ascii="Times New Roman" w:hAnsi="Times New Roman" w:cs="Times New Roman"/>
          <w:color w:val="auto"/>
        </w:rPr>
        <w:fldChar w:fldCharType="end"/>
      </w:r>
      <w:r>
        <w:rPr>
          <w:rFonts w:hint="default" w:ascii="Times New Roman" w:hAnsi="Times New Roman" w:cs="Times New Roman"/>
          <w:color w:val="auto"/>
        </w:rPr>
        <w:t>33-1）。新生代地层区划为东北地层区（</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 2 \* ROMAN </w:instrText>
      </w:r>
      <w:r>
        <w:rPr>
          <w:rFonts w:hint="default" w:ascii="Times New Roman" w:hAnsi="Times New Roman" w:cs="Times New Roman"/>
          <w:color w:val="auto"/>
        </w:rPr>
        <w:fldChar w:fldCharType="separate"/>
      </w:r>
      <w:r>
        <w:rPr>
          <w:rFonts w:hint="default" w:ascii="Times New Roman" w:hAnsi="Times New Roman" w:cs="Times New Roman"/>
          <w:color w:val="auto"/>
        </w:rPr>
        <w:t>II</w:t>
      </w:r>
      <w:r>
        <w:rPr>
          <w:rFonts w:hint="default" w:ascii="Times New Roman" w:hAnsi="Times New Roman" w:cs="Times New Roman"/>
          <w:color w:val="auto"/>
        </w:rPr>
        <w:fldChar w:fldCharType="end"/>
      </w:r>
      <w:r>
        <w:rPr>
          <w:rFonts w:hint="default" w:ascii="Times New Roman" w:hAnsi="Times New Roman" w:cs="Times New Roman"/>
          <w:color w:val="auto"/>
        </w:rPr>
        <w:t>2）张广才岭-老爷岭地层分区（</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 2 \* ROMAN </w:instrText>
      </w:r>
      <w:r>
        <w:rPr>
          <w:rFonts w:hint="default" w:ascii="Times New Roman" w:hAnsi="Times New Roman" w:cs="Times New Roman"/>
          <w:color w:val="auto"/>
        </w:rPr>
        <w:fldChar w:fldCharType="separate"/>
      </w:r>
      <w:r>
        <w:rPr>
          <w:rFonts w:hint="default" w:ascii="Times New Roman" w:hAnsi="Times New Roman" w:cs="Times New Roman"/>
          <w:color w:val="auto"/>
        </w:rPr>
        <w:t>II</w:t>
      </w:r>
      <w:r>
        <w:rPr>
          <w:rFonts w:hint="default" w:ascii="Times New Roman" w:hAnsi="Times New Roman" w:cs="Times New Roman"/>
          <w:color w:val="auto"/>
        </w:rPr>
        <w:fldChar w:fldCharType="end"/>
      </w:r>
      <w:r>
        <w:rPr>
          <w:rFonts w:hint="default" w:ascii="Times New Roman" w:hAnsi="Times New Roman" w:cs="Times New Roman"/>
          <w:color w:val="auto"/>
        </w:rPr>
        <w:t>24）。</w:t>
      </w:r>
    </w:p>
    <w:p w14:paraId="7D58F5B2">
      <w:pPr>
        <w:pStyle w:val="27"/>
        <w:bidi w:val="0"/>
        <w:rPr>
          <w:rFonts w:hint="default" w:ascii="Times New Roman" w:hAnsi="Times New Roman" w:cs="Times New Roman"/>
          <w:color w:val="auto"/>
        </w:rPr>
      </w:pPr>
      <w:r>
        <w:rPr>
          <w:rFonts w:hint="default" w:ascii="Times New Roman" w:hAnsi="Times New Roman" w:cs="Times New Roman"/>
          <w:color w:val="auto"/>
        </w:rPr>
        <w:t>表4-1</w:t>
      </w:r>
      <w:r>
        <w:rPr>
          <w:rFonts w:hint="default" w:ascii="Times New Roman" w:hAnsi="Times New Roman" w:cs="Times New Roman"/>
          <w:color w:val="auto"/>
          <w:lang w:val="en-US" w:eastAsia="zh-CN"/>
        </w:rPr>
        <w:t>-1</w:t>
      </w:r>
      <w:r>
        <w:rPr>
          <w:rFonts w:hint="default" w:ascii="Times New Roman" w:hAnsi="Times New Roman" w:cs="Times New Roman"/>
          <w:color w:val="auto"/>
        </w:rPr>
        <w:t xml:space="preserve">  前第四纪地层表</w:t>
      </w:r>
    </w:p>
    <w:tbl>
      <w:tblPr>
        <w:tblStyle w:val="20"/>
        <w:tblW w:w="853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397"/>
        <w:gridCol w:w="397"/>
        <w:gridCol w:w="466"/>
        <w:gridCol w:w="397"/>
        <w:gridCol w:w="527"/>
        <w:gridCol w:w="504"/>
        <w:gridCol w:w="600"/>
        <w:gridCol w:w="16"/>
        <w:gridCol w:w="1512"/>
        <w:gridCol w:w="14"/>
        <w:gridCol w:w="3695"/>
        <w:gridCol w:w="14"/>
      </w:tblGrid>
      <w:tr w14:paraId="072F6F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gridAfter w:val="1"/>
          <w:wAfter w:w="14" w:type="dxa"/>
          <w:trHeight w:val="440" w:hRule="atLeast"/>
          <w:jc w:val="center"/>
        </w:trPr>
        <w:tc>
          <w:tcPr>
            <w:tcW w:w="397" w:type="dxa"/>
            <w:tcBorders>
              <w:tl2br w:val="nil"/>
              <w:tr2bl w:val="nil"/>
            </w:tcBorders>
            <w:vAlign w:val="center"/>
          </w:tcPr>
          <w:p w14:paraId="7C1E1A2D">
            <w:pPr>
              <w:pStyle w:val="44"/>
              <w:bidi w:val="0"/>
              <w:rPr>
                <w:rFonts w:hint="default" w:ascii="Times New Roman" w:hAnsi="Times New Roman" w:cs="Times New Roman"/>
                <w:color w:val="auto"/>
              </w:rPr>
            </w:pPr>
            <w:r>
              <w:rPr>
                <w:rFonts w:hint="default" w:ascii="Times New Roman" w:hAnsi="Times New Roman" w:cs="Times New Roman"/>
                <w:color w:val="auto"/>
              </w:rPr>
              <w:t>界</w:t>
            </w:r>
          </w:p>
        </w:tc>
        <w:tc>
          <w:tcPr>
            <w:tcW w:w="397" w:type="dxa"/>
            <w:tcBorders>
              <w:tl2br w:val="nil"/>
              <w:tr2bl w:val="nil"/>
            </w:tcBorders>
            <w:vAlign w:val="center"/>
          </w:tcPr>
          <w:p w14:paraId="45242C4C">
            <w:pPr>
              <w:pStyle w:val="44"/>
              <w:bidi w:val="0"/>
              <w:rPr>
                <w:rFonts w:hint="default" w:ascii="Times New Roman" w:hAnsi="Times New Roman" w:cs="Times New Roman"/>
                <w:color w:val="auto"/>
              </w:rPr>
            </w:pPr>
            <w:r>
              <w:rPr>
                <w:rFonts w:hint="default" w:ascii="Times New Roman" w:hAnsi="Times New Roman" w:cs="Times New Roman"/>
                <w:color w:val="auto"/>
              </w:rPr>
              <w:t>系</w:t>
            </w:r>
          </w:p>
        </w:tc>
        <w:tc>
          <w:tcPr>
            <w:tcW w:w="466" w:type="dxa"/>
            <w:tcBorders>
              <w:tl2br w:val="nil"/>
              <w:tr2bl w:val="nil"/>
            </w:tcBorders>
            <w:vAlign w:val="center"/>
          </w:tcPr>
          <w:p w14:paraId="17ADBCD0">
            <w:pPr>
              <w:pStyle w:val="44"/>
              <w:bidi w:val="0"/>
              <w:rPr>
                <w:rFonts w:hint="default" w:ascii="Times New Roman" w:hAnsi="Times New Roman" w:cs="Times New Roman"/>
                <w:color w:val="auto"/>
              </w:rPr>
            </w:pPr>
            <w:r>
              <w:rPr>
                <w:rFonts w:hint="default" w:ascii="Times New Roman" w:hAnsi="Times New Roman" w:cs="Times New Roman"/>
                <w:color w:val="auto"/>
              </w:rPr>
              <w:t>统</w:t>
            </w:r>
          </w:p>
        </w:tc>
        <w:tc>
          <w:tcPr>
            <w:tcW w:w="924" w:type="dxa"/>
            <w:gridSpan w:val="2"/>
            <w:tcBorders>
              <w:tl2br w:val="nil"/>
              <w:tr2bl w:val="nil"/>
            </w:tcBorders>
            <w:vAlign w:val="center"/>
          </w:tcPr>
          <w:p w14:paraId="01FFB8CE">
            <w:pPr>
              <w:pStyle w:val="44"/>
              <w:bidi w:val="0"/>
              <w:rPr>
                <w:rFonts w:hint="default" w:ascii="Times New Roman" w:hAnsi="Times New Roman" w:cs="Times New Roman"/>
                <w:color w:val="auto"/>
              </w:rPr>
            </w:pPr>
            <w:r>
              <w:rPr>
                <w:rFonts w:hint="default" w:ascii="Times New Roman" w:hAnsi="Times New Roman" w:cs="Times New Roman"/>
                <w:color w:val="auto"/>
              </w:rPr>
              <w:t>组</w:t>
            </w:r>
          </w:p>
        </w:tc>
        <w:tc>
          <w:tcPr>
            <w:tcW w:w="504" w:type="dxa"/>
            <w:tcBorders>
              <w:tl2br w:val="nil"/>
              <w:tr2bl w:val="nil"/>
            </w:tcBorders>
            <w:vAlign w:val="center"/>
          </w:tcPr>
          <w:p w14:paraId="6E37BFDB">
            <w:pPr>
              <w:pStyle w:val="44"/>
              <w:bidi w:val="0"/>
              <w:rPr>
                <w:rFonts w:hint="default" w:ascii="Times New Roman" w:hAnsi="Times New Roman" w:cs="Times New Roman"/>
                <w:color w:val="auto"/>
              </w:rPr>
            </w:pPr>
            <w:r>
              <w:rPr>
                <w:rFonts w:hint="default" w:ascii="Times New Roman" w:hAnsi="Times New Roman" w:cs="Times New Roman"/>
                <w:color w:val="auto"/>
              </w:rPr>
              <w:t>代号</w:t>
            </w:r>
          </w:p>
        </w:tc>
        <w:tc>
          <w:tcPr>
            <w:tcW w:w="600" w:type="dxa"/>
            <w:tcBorders>
              <w:tl2br w:val="nil"/>
              <w:tr2bl w:val="nil"/>
            </w:tcBorders>
            <w:vAlign w:val="center"/>
          </w:tcPr>
          <w:p w14:paraId="5FC4B294">
            <w:pPr>
              <w:pStyle w:val="44"/>
              <w:bidi w:val="0"/>
              <w:rPr>
                <w:rFonts w:hint="default" w:ascii="Times New Roman" w:hAnsi="Times New Roman" w:cs="Times New Roman"/>
                <w:color w:val="auto"/>
              </w:rPr>
            </w:pPr>
            <w:r>
              <w:rPr>
                <w:rFonts w:hint="default" w:ascii="Times New Roman" w:hAnsi="Times New Roman" w:cs="Times New Roman"/>
                <w:color w:val="auto"/>
              </w:rPr>
              <w:t>厚度</w:t>
            </w:r>
          </w:p>
          <w:p w14:paraId="7B5560DF">
            <w:pPr>
              <w:pStyle w:val="44"/>
              <w:bidi w:val="0"/>
              <w:rPr>
                <w:rFonts w:hint="default" w:ascii="Times New Roman" w:hAnsi="Times New Roman" w:cs="Times New Roman"/>
                <w:color w:val="auto"/>
              </w:rPr>
            </w:pPr>
            <w:r>
              <w:rPr>
                <w:rFonts w:hint="default" w:ascii="Times New Roman" w:hAnsi="Times New Roman" w:cs="Times New Roman"/>
                <w:color w:val="auto"/>
              </w:rPr>
              <w:t>（m）</w:t>
            </w:r>
          </w:p>
        </w:tc>
        <w:tc>
          <w:tcPr>
            <w:tcW w:w="1528" w:type="dxa"/>
            <w:gridSpan w:val="2"/>
            <w:tcBorders>
              <w:tl2br w:val="nil"/>
              <w:tr2bl w:val="nil"/>
            </w:tcBorders>
            <w:vAlign w:val="center"/>
          </w:tcPr>
          <w:p w14:paraId="5721DF2B">
            <w:pPr>
              <w:pStyle w:val="44"/>
              <w:bidi w:val="0"/>
              <w:rPr>
                <w:rFonts w:hint="default" w:ascii="Times New Roman" w:hAnsi="Times New Roman" w:cs="Times New Roman"/>
                <w:color w:val="auto"/>
              </w:rPr>
            </w:pPr>
            <w:r>
              <w:rPr>
                <w:rFonts w:hint="default" w:ascii="Times New Roman" w:hAnsi="Times New Roman" w:cs="Times New Roman"/>
                <w:color w:val="auto"/>
              </w:rPr>
              <w:t>分布</w:t>
            </w:r>
          </w:p>
        </w:tc>
        <w:tc>
          <w:tcPr>
            <w:tcW w:w="3709" w:type="dxa"/>
            <w:gridSpan w:val="2"/>
            <w:tcBorders>
              <w:tl2br w:val="nil"/>
              <w:tr2bl w:val="nil"/>
            </w:tcBorders>
            <w:vAlign w:val="center"/>
          </w:tcPr>
          <w:p w14:paraId="0BE97E47">
            <w:pPr>
              <w:pStyle w:val="44"/>
              <w:bidi w:val="0"/>
              <w:rPr>
                <w:rFonts w:hint="default" w:ascii="Times New Roman" w:hAnsi="Times New Roman" w:cs="Times New Roman"/>
                <w:color w:val="auto"/>
              </w:rPr>
            </w:pPr>
            <w:r>
              <w:rPr>
                <w:rFonts w:hint="default" w:ascii="Times New Roman" w:hAnsi="Times New Roman" w:cs="Times New Roman"/>
                <w:color w:val="auto"/>
              </w:rPr>
              <w:t>岩性特征</w:t>
            </w:r>
          </w:p>
        </w:tc>
      </w:tr>
      <w:tr w14:paraId="10041A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gridAfter w:val="1"/>
          <w:wAfter w:w="14" w:type="dxa"/>
          <w:trHeight w:val="440" w:hRule="atLeast"/>
          <w:jc w:val="center"/>
        </w:trPr>
        <w:tc>
          <w:tcPr>
            <w:tcW w:w="397" w:type="dxa"/>
            <w:tcBorders>
              <w:tl2br w:val="nil"/>
              <w:tr2bl w:val="nil"/>
            </w:tcBorders>
            <w:vAlign w:val="center"/>
          </w:tcPr>
          <w:p w14:paraId="0C90DC46">
            <w:pPr>
              <w:pStyle w:val="44"/>
              <w:bidi w:val="0"/>
              <w:rPr>
                <w:rFonts w:hint="default" w:ascii="Times New Roman" w:hAnsi="Times New Roman" w:cs="Times New Roman"/>
                <w:color w:val="auto"/>
              </w:rPr>
            </w:pPr>
            <w:r>
              <w:rPr>
                <w:rFonts w:hint="default" w:ascii="Times New Roman" w:hAnsi="Times New Roman" w:cs="Times New Roman"/>
                <w:color w:val="auto"/>
              </w:rPr>
              <w:t>新生界</w:t>
            </w:r>
          </w:p>
        </w:tc>
        <w:tc>
          <w:tcPr>
            <w:tcW w:w="397" w:type="dxa"/>
            <w:tcBorders>
              <w:tl2br w:val="nil"/>
              <w:tr2bl w:val="nil"/>
            </w:tcBorders>
            <w:vAlign w:val="center"/>
          </w:tcPr>
          <w:p w14:paraId="17AB1830">
            <w:pPr>
              <w:pStyle w:val="44"/>
              <w:bidi w:val="0"/>
              <w:rPr>
                <w:rFonts w:hint="default" w:ascii="Times New Roman" w:hAnsi="Times New Roman" w:cs="Times New Roman"/>
                <w:color w:val="auto"/>
              </w:rPr>
            </w:pPr>
            <w:r>
              <w:rPr>
                <w:rFonts w:hint="default" w:ascii="Times New Roman" w:hAnsi="Times New Roman" w:cs="Times New Roman"/>
                <w:color w:val="auto"/>
              </w:rPr>
              <w:t>第三系</w:t>
            </w:r>
          </w:p>
        </w:tc>
        <w:tc>
          <w:tcPr>
            <w:tcW w:w="466" w:type="dxa"/>
            <w:tcBorders>
              <w:tl2br w:val="nil"/>
              <w:tr2bl w:val="nil"/>
            </w:tcBorders>
            <w:vAlign w:val="center"/>
          </w:tcPr>
          <w:p w14:paraId="5CD20A5F">
            <w:pPr>
              <w:pStyle w:val="44"/>
              <w:bidi w:val="0"/>
              <w:rPr>
                <w:rFonts w:hint="default" w:ascii="Times New Roman" w:hAnsi="Times New Roman" w:cs="Times New Roman"/>
                <w:color w:val="auto"/>
              </w:rPr>
            </w:pPr>
            <w:r>
              <w:rPr>
                <w:rFonts w:hint="default" w:ascii="Times New Roman" w:hAnsi="Times New Roman" w:cs="Times New Roman"/>
                <w:color w:val="auto"/>
              </w:rPr>
              <w:t>渐～始新统</w:t>
            </w:r>
          </w:p>
        </w:tc>
        <w:tc>
          <w:tcPr>
            <w:tcW w:w="924" w:type="dxa"/>
            <w:gridSpan w:val="2"/>
            <w:tcBorders>
              <w:tl2br w:val="nil"/>
              <w:tr2bl w:val="nil"/>
            </w:tcBorders>
            <w:vAlign w:val="center"/>
          </w:tcPr>
          <w:p w14:paraId="60C116F0">
            <w:pPr>
              <w:pStyle w:val="44"/>
              <w:bidi w:val="0"/>
              <w:rPr>
                <w:rFonts w:hint="default" w:ascii="Times New Roman" w:hAnsi="Times New Roman" w:cs="Times New Roman"/>
                <w:color w:val="auto"/>
              </w:rPr>
            </w:pPr>
            <w:r>
              <w:rPr>
                <w:rFonts w:hint="default" w:ascii="Times New Roman" w:hAnsi="Times New Roman" w:cs="Times New Roman"/>
                <w:color w:val="auto"/>
              </w:rPr>
              <w:t>虎林组</w:t>
            </w:r>
          </w:p>
        </w:tc>
        <w:tc>
          <w:tcPr>
            <w:tcW w:w="504" w:type="dxa"/>
            <w:tcBorders>
              <w:tl2br w:val="nil"/>
              <w:tr2bl w:val="nil"/>
            </w:tcBorders>
            <w:vAlign w:val="center"/>
          </w:tcPr>
          <w:p w14:paraId="35F42C34">
            <w:pPr>
              <w:pStyle w:val="44"/>
              <w:bidi w:val="0"/>
              <w:rPr>
                <w:rFonts w:hint="default" w:ascii="Times New Roman" w:hAnsi="Times New Roman" w:cs="Times New Roman"/>
                <w:color w:val="auto"/>
              </w:rPr>
            </w:pPr>
            <w:r>
              <w:rPr>
                <w:rFonts w:hint="default" w:ascii="Times New Roman" w:hAnsi="Times New Roman" w:cs="Times New Roman"/>
                <w:color w:val="auto"/>
              </w:rPr>
              <w:t>E2-3h</w:t>
            </w:r>
          </w:p>
        </w:tc>
        <w:tc>
          <w:tcPr>
            <w:tcW w:w="600" w:type="dxa"/>
            <w:tcBorders>
              <w:tl2br w:val="nil"/>
              <w:tr2bl w:val="nil"/>
            </w:tcBorders>
            <w:vAlign w:val="center"/>
          </w:tcPr>
          <w:p w14:paraId="31B0B3D1">
            <w:pPr>
              <w:pStyle w:val="44"/>
              <w:bidi w:val="0"/>
              <w:rPr>
                <w:rFonts w:hint="default" w:ascii="Times New Roman" w:hAnsi="Times New Roman" w:cs="Times New Roman"/>
                <w:color w:val="auto"/>
              </w:rPr>
            </w:pPr>
            <w:r>
              <w:rPr>
                <w:rFonts w:hint="default" w:ascii="Times New Roman" w:hAnsi="Times New Roman" w:cs="Times New Roman"/>
                <w:color w:val="auto"/>
              </w:rPr>
              <w:t>&lt;500</w:t>
            </w:r>
          </w:p>
        </w:tc>
        <w:tc>
          <w:tcPr>
            <w:tcW w:w="1528" w:type="dxa"/>
            <w:gridSpan w:val="2"/>
            <w:tcBorders>
              <w:tl2br w:val="nil"/>
              <w:tr2bl w:val="nil"/>
            </w:tcBorders>
            <w:vAlign w:val="center"/>
          </w:tcPr>
          <w:p w14:paraId="64E8B3BA">
            <w:pPr>
              <w:pStyle w:val="44"/>
              <w:bidi w:val="0"/>
              <w:rPr>
                <w:rFonts w:hint="default" w:ascii="Times New Roman" w:hAnsi="Times New Roman" w:cs="Times New Roman"/>
                <w:color w:val="auto"/>
              </w:rPr>
            </w:pPr>
            <w:r>
              <w:rPr>
                <w:rFonts w:hint="default" w:ascii="Times New Roman" w:hAnsi="Times New Roman" w:cs="Times New Roman"/>
                <w:color w:val="auto"/>
              </w:rPr>
              <w:t>鸡东～密山穆棱河各有分布</w:t>
            </w:r>
          </w:p>
        </w:tc>
        <w:tc>
          <w:tcPr>
            <w:tcW w:w="3709" w:type="dxa"/>
            <w:gridSpan w:val="2"/>
            <w:tcBorders>
              <w:tl2br w:val="nil"/>
              <w:tr2bl w:val="nil"/>
            </w:tcBorders>
            <w:vAlign w:val="center"/>
          </w:tcPr>
          <w:p w14:paraId="522F8550">
            <w:pPr>
              <w:pStyle w:val="44"/>
              <w:bidi w:val="0"/>
              <w:rPr>
                <w:rFonts w:hint="default" w:ascii="Times New Roman" w:hAnsi="Times New Roman" w:cs="Times New Roman"/>
                <w:color w:val="auto"/>
              </w:rPr>
            </w:pPr>
            <w:r>
              <w:rPr>
                <w:rFonts w:hint="default" w:ascii="Times New Roman" w:hAnsi="Times New Roman" w:cs="Times New Roman"/>
                <w:color w:val="auto"/>
              </w:rPr>
              <w:t>以砂岩、砂砾岩为主，底部夹多层页岩、褐煤以及玄武凝灰岩。</w:t>
            </w:r>
          </w:p>
        </w:tc>
      </w:tr>
      <w:tr w14:paraId="575178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gridAfter w:val="1"/>
          <w:wAfter w:w="14" w:type="dxa"/>
          <w:cantSplit/>
          <w:trHeight w:val="766" w:hRule="atLeast"/>
          <w:jc w:val="center"/>
        </w:trPr>
        <w:tc>
          <w:tcPr>
            <w:tcW w:w="397" w:type="dxa"/>
            <w:vMerge w:val="restart"/>
            <w:tcBorders>
              <w:tl2br w:val="nil"/>
              <w:tr2bl w:val="nil"/>
            </w:tcBorders>
            <w:vAlign w:val="center"/>
          </w:tcPr>
          <w:p w14:paraId="7077642B">
            <w:pPr>
              <w:pStyle w:val="44"/>
              <w:bidi w:val="0"/>
              <w:rPr>
                <w:rFonts w:hint="default" w:ascii="Times New Roman" w:hAnsi="Times New Roman" w:cs="Times New Roman"/>
                <w:color w:val="auto"/>
              </w:rPr>
            </w:pPr>
            <w:r>
              <w:rPr>
                <w:rFonts w:hint="default" w:ascii="Times New Roman" w:hAnsi="Times New Roman" w:cs="Times New Roman"/>
                <w:color w:val="auto"/>
              </w:rPr>
              <w:t>中</w:t>
            </w:r>
          </w:p>
          <w:p w14:paraId="07CB219C">
            <w:pPr>
              <w:pStyle w:val="44"/>
              <w:bidi w:val="0"/>
              <w:rPr>
                <w:rFonts w:hint="default" w:ascii="Times New Roman" w:hAnsi="Times New Roman" w:cs="Times New Roman"/>
                <w:color w:val="auto"/>
              </w:rPr>
            </w:pPr>
          </w:p>
          <w:p w14:paraId="68DAA910">
            <w:pPr>
              <w:pStyle w:val="44"/>
              <w:bidi w:val="0"/>
              <w:rPr>
                <w:rFonts w:hint="default" w:ascii="Times New Roman" w:hAnsi="Times New Roman" w:cs="Times New Roman"/>
                <w:color w:val="auto"/>
              </w:rPr>
            </w:pPr>
          </w:p>
          <w:p w14:paraId="61F4EB7F">
            <w:pPr>
              <w:pStyle w:val="44"/>
              <w:bidi w:val="0"/>
              <w:rPr>
                <w:rFonts w:hint="default" w:ascii="Times New Roman" w:hAnsi="Times New Roman" w:cs="Times New Roman"/>
                <w:color w:val="auto"/>
              </w:rPr>
            </w:pPr>
          </w:p>
          <w:p w14:paraId="0240B3A0">
            <w:pPr>
              <w:pStyle w:val="44"/>
              <w:bidi w:val="0"/>
              <w:rPr>
                <w:rFonts w:hint="default" w:ascii="Times New Roman" w:hAnsi="Times New Roman" w:cs="Times New Roman"/>
                <w:color w:val="auto"/>
              </w:rPr>
            </w:pPr>
          </w:p>
          <w:p w14:paraId="6217C1B9">
            <w:pPr>
              <w:pStyle w:val="44"/>
              <w:bidi w:val="0"/>
              <w:rPr>
                <w:rFonts w:hint="default" w:ascii="Times New Roman" w:hAnsi="Times New Roman" w:cs="Times New Roman"/>
                <w:color w:val="auto"/>
              </w:rPr>
            </w:pPr>
            <w:r>
              <w:rPr>
                <w:rFonts w:hint="default" w:ascii="Times New Roman" w:hAnsi="Times New Roman" w:cs="Times New Roman"/>
                <w:color w:val="auto"/>
              </w:rPr>
              <w:t>生</w:t>
            </w:r>
          </w:p>
          <w:p w14:paraId="5749AFC0">
            <w:pPr>
              <w:pStyle w:val="44"/>
              <w:bidi w:val="0"/>
              <w:rPr>
                <w:rFonts w:hint="default" w:ascii="Times New Roman" w:hAnsi="Times New Roman" w:cs="Times New Roman"/>
                <w:color w:val="auto"/>
              </w:rPr>
            </w:pPr>
          </w:p>
          <w:p w14:paraId="1F5F53B5">
            <w:pPr>
              <w:pStyle w:val="44"/>
              <w:bidi w:val="0"/>
              <w:rPr>
                <w:rFonts w:hint="default" w:ascii="Times New Roman" w:hAnsi="Times New Roman" w:cs="Times New Roman"/>
                <w:color w:val="auto"/>
              </w:rPr>
            </w:pPr>
          </w:p>
          <w:p w14:paraId="7894EEB7">
            <w:pPr>
              <w:pStyle w:val="44"/>
              <w:bidi w:val="0"/>
              <w:rPr>
                <w:rFonts w:hint="default" w:ascii="Times New Roman" w:hAnsi="Times New Roman" w:cs="Times New Roman"/>
                <w:color w:val="auto"/>
              </w:rPr>
            </w:pPr>
          </w:p>
          <w:p w14:paraId="095D8291">
            <w:pPr>
              <w:pStyle w:val="44"/>
              <w:bidi w:val="0"/>
              <w:rPr>
                <w:rFonts w:hint="default" w:ascii="Times New Roman" w:hAnsi="Times New Roman" w:cs="Times New Roman"/>
                <w:color w:val="auto"/>
              </w:rPr>
            </w:pPr>
          </w:p>
          <w:p w14:paraId="2C258F10">
            <w:pPr>
              <w:pStyle w:val="44"/>
              <w:bidi w:val="0"/>
              <w:rPr>
                <w:rFonts w:hint="default" w:ascii="Times New Roman" w:hAnsi="Times New Roman" w:cs="Times New Roman"/>
                <w:color w:val="auto"/>
              </w:rPr>
            </w:pPr>
            <w:r>
              <w:rPr>
                <w:rFonts w:hint="default" w:ascii="Times New Roman" w:hAnsi="Times New Roman" w:cs="Times New Roman"/>
                <w:color w:val="auto"/>
              </w:rPr>
              <w:t>界</w:t>
            </w:r>
          </w:p>
        </w:tc>
        <w:tc>
          <w:tcPr>
            <w:tcW w:w="397" w:type="dxa"/>
            <w:vMerge w:val="restart"/>
            <w:tcBorders>
              <w:tl2br w:val="nil"/>
              <w:tr2bl w:val="nil"/>
            </w:tcBorders>
            <w:vAlign w:val="center"/>
          </w:tcPr>
          <w:p w14:paraId="3BDDE9B6">
            <w:pPr>
              <w:pStyle w:val="44"/>
              <w:bidi w:val="0"/>
              <w:rPr>
                <w:rFonts w:hint="default" w:ascii="Times New Roman" w:hAnsi="Times New Roman" w:cs="Times New Roman"/>
                <w:color w:val="auto"/>
              </w:rPr>
            </w:pPr>
            <w:r>
              <w:rPr>
                <w:rFonts w:hint="default" w:ascii="Times New Roman" w:hAnsi="Times New Roman" w:cs="Times New Roman"/>
                <w:color w:val="auto"/>
              </w:rPr>
              <w:t>白</w:t>
            </w:r>
          </w:p>
          <w:p w14:paraId="6EC5E49C">
            <w:pPr>
              <w:pStyle w:val="44"/>
              <w:bidi w:val="0"/>
              <w:rPr>
                <w:rFonts w:hint="default" w:ascii="Times New Roman" w:hAnsi="Times New Roman" w:cs="Times New Roman"/>
                <w:color w:val="auto"/>
              </w:rPr>
            </w:pPr>
          </w:p>
          <w:p w14:paraId="7BB79CB3">
            <w:pPr>
              <w:pStyle w:val="44"/>
              <w:bidi w:val="0"/>
              <w:rPr>
                <w:rFonts w:hint="default" w:ascii="Times New Roman" w:hAnsi="Times New Roman" w:cs="Times New Roman"/>
                <w:color w:val="auto"/>
              </w:rPr>
            </w:pPr>
          </w:p>
          <w:p w14:paraId="52706278">
            <w:pPr>
              <w:pStyle w:val="44"/>
              <w:bidi w:val="0"/>
              <w:rPr>
                <w:rFonts w:hint="default" w:ascii="Times New Roman" w:hAnsi="Times New Roman" w:cs="Times New Roman"/>
                <w:color w:val="auto"/>
              </w:rPr>
            </w:pPr>
            <w:r>
              <w:rPr>
                <w:rFonts w:hint="default" w:ascii="Times New Roman" w:hAnsi="Times New Roman" w:cs="Times New Roman"/>
                <w:color w:val="auto"/>
              </w:rPr>
              <w:t>垩</w:t>
            </w:r>
          </w:p>
          <w:p w14:paraId="40493A45">
            <w:pPr>
              <w:pStyle w:val="44"/>
              <w:bidi w:val="0"/>
              <w:rPr>
                <w:rFonts w:hint="default" w:ascii="Times New Roman" w:hAnsi="Times New Roman" w:cs="Times New Roman"/>
                <w:color w:val="auto"/>
              </w:rPr>
            </w:pPr>
          </w:p>
          <w:p w14:paraId="661E4728">
            <w:pPr>
              <w:pStyle w:val="44"/>
              <w:bidi w:val="0"/>
              <w:rPr>
                <w:rFonts w:hint="default" w:ascii="Times New Roman" w:hAnsi="Times New Roman" w:cs="Times New Roman"/>
                <w:color w:val="auto"/>
              </w:rPr>
            </w:pPr>
          </w:p>
          <w:p w14:paraId="4D1BEE1F">
            <w:pPr>
              <w:pStyle w:val="44"/>
              <w:bidi w:val="0"/>
              <w:rPr>
                <w:rFonts w:hint="default" w:ascii="Times New Roman" w:hAnsi="Times New Roman" w:cs="Times New Roman"/>
                <w:color w:val="auto"/>
              </w:rPr>
            </w:pPr>
            <w:r>
              <w:rPr>
                <w:rFonts w:hint="default" w:ascii="Times New Roman" w:hAnsi="Times New Roman" w:cs="Times New Roman"/>
                <w:color w:val="auto"/>
              </w:rPr>
              <w:t>系</w:t>
            </w:r>
          </w:p>
        </w:tc>
        <w:tc>
          <w:tcPr>
            <w:tcW w:w="466" w:type="dxa"/>
            <w:tcBorders>
              <w:tl2br w:val="nil"/>
              <w:tr2bl w:val="nil"/>
            </w:tcBorders>
            <w:vAlign w:val="center"/>
          </w:tcPr>
          <w:p w14:paraId="0FBEC509">
            <w:pPr>
              <w:pStyle w:val="44"/>
              <w:bidi w:val="0"/>
              <w:rPr>
                <w:rFonts w:hint="default" w:ascii="Times New Roman" w:hAnsi="Times New Roman" w:cs="Times New Roman"/>
                <w:color w:val="auto"/>
              </w:rPr>
            </w:pPr>
            <w:r>
              <w:rPr>
                <w:rFonts w:hint="default" w:ascii="Times New Roman" w:hAnsi="Times New Roman" w:cs="Times New Roman"/>
                <w:color w:val="auto"/>
              </w:rPr>
              <w:t>上～下统</w:t>
            </w:r>
          </w:p>
        </w:tc>
        <w:tc>
          <w:tcPr>
            <w:tcW w:w="924" w:type="dxa"/>
            <w:gridSpan w:val="2"/>
            <w:tcBorders>
              <w:tl2br w:val="nil"/>
              <w:tr2bl w:val="nil"/>
            </w:tcBorders>
            <w:vAlign w:val="center"/>
          </w:tcPr>
          <w:p w14:paraId="17C837D9">
            <w:pPr>
              <w:pStyle w:val="44"/>
              <w:bidi w:val="0"/>
              <w:rPr>
                <w:rFonts w:hint="default" w:ascii="Times New Roman" w:hAnsi="Times New Roman" w:cs="Times New Roman"/>
                <w:color w:val="auto"/>
              </w:rPr>
            </w:pPr>
            <w:r>
              <w:rPr>
                <w:rFonts w:hint="default" w:ascii="Times New Roman" w:hAnsi="Times New Roman" w:cs="Times New Roman"/>
                <w:color w:val="auto"/>
              </w:rPr>
              <w:t>猴石</w:t>
            </w:r>
          </w:p>
          <w:p w14:paraId="646EEAD5">
            <w:pPr>
              <w:pStyle w:val="44"/>
              <w:bidi w:val="0"/>
              <w:rPr>
                <w:rFonts w:hint="default" w:ascii="Times New Roman" w:hAnsi="Times New Roman" w:cs="Times New Roman"/>
                <w:color w:val="auto"/>
              </w:rPr>
            </w:pPr>
            <w:r>
              <w:rPr>
                <w:rFonts w:hint="default" w:ascii="Times New Roman" w:hAnsi="Times New Roman" w:cs="Times New Roman"/>
                <w:color w:val="auto"/>
              </w:rPr>
              <w:t>沟组</w:t>
            </w:r>
          </w:p>
        </w:tc>
        <w:tc>
          <w:tcPr>
            <w:tcW w:w="504" w:type="dxa"/>
            <w:tcBorders>
              <w:tl2br w:val="nil"/>
              <w:tr2bl w:val="nil"/>
            </w:tcBorders>
            <w:vAlign w:val="center"/>
          </w:tcPr>
          <w:p w14:paraId="3A30E8A7">
            <w:pPr>
              <w:pStyle w:val="44"/>
              <w:bidi w:val="0"/>
              <w:rPr>
                <w:rFonts w:hint="default" w:ascii="Times New Roman" w:hAnsi="Times New Roman" w:cs="Times New Roman"/>
                <w:color w:val="auto"/>
              </w:rPr>
            </w:pPr>
            <w:r>
              <w:rPr>
                <w:rFonts w:hint="default" w:ascii="Times New Roman" w:hAnsi="Times New Roman" w:cs="Times New Roman"/>
                <w:color w:val="auto"/>
              </w:rPr>
              <w:t>K1-2h</w:t>
            </w:r>
          </w:p>
        </w:tc>
        <w:tc>
          <w:tcPr>
            <w:tcW w:w="600" w:type="dxa"/>
            <w:tcBorders>
              <w:tl2br w:val="nil"/>
              <w:tr2bl w:val="nil"/>
            </w:tcBorders>
            <w:vAlign w:val="center"/>
          </w:tcPr>
          <w:p w14:paraId="0E63B8D8">
            <w:pPr>
              <w:pStyle w:val="44"/>
              <w:bidi w:val="0"/>
              <w:rPr>
                <w:rFonts w:hint="default" w:ascii="Times New Roman" w:hAnsi="Times New Roman" w:cs="Times New Roman"/>
                <w:color w:val="auto"/>
              </w:rPr>
            </w:pPr>
            <w:r>
              <w:rPr>
                <w:rFonts w:hint="default" w:ascii="Times New Roman" w:hAnsi="Times New Roman" w:cs="Times New Roman"/>
                <w:color w:val="auto"/>
              </w:rPr>
              <w:t>&gt;200</w:t>
            </w:r>
          </w:p>
        </w:tc>
        <w:tc>
          <w:tcPr>
            <w:tcW w:w="1528" w:type="dxa"/>
            <w:gridSpan w:val="2"/>
            <w:tcBorders>
              <w:tl2br w:val="nil"/>
              <w:tr2bl w:val="nil"/>
            </w:tcBorders>
            <w:vAlign w:val="center"/>
          </w:tcPr>
          <w:p w14:paraId="0D5205AF">
            <w:pPr>
              <w:pStyle w:val="44"/>
              <w:bidi w:val="0"/>
              <w:rPr>
                <w:rFonts w:hint="default" w:ascii="Times New Roman" w:hAnsi="Times New Roman" w:cs="Times New Roman"/>
                <w:color w:val="auto"/>
              </w:rPr>
            </w:pPr>
            <w:r>
              <w:rPr>
                <w:rFonts w:hint="default" w:ascii="Times New Roman" w:hAnsi="Times New Roman" w:cs="Times New Roman"/>
                <w:color w:val="auto"/>
              </w:rPr>
              <w:t>主要分布在鸡西地区</w:t>
            </w:r>
          </w:p>
        </w:tc>
        <w:tc>
          <w:tcPr>
            <w:tcW w:w="3709" w:type="dxa"/>
            <w:gridSpan w:val="2"/>
            <w:tcBorders>
              <w:tl2br w:val="nil"/>
              <w:tr2bl w:val="nil"/>
            </w:tcBorders>
            <w:vAlign w:val="center"/>
          </w:tcPr>
          <w:p w14:paraId="0E47CD73">
            <w:pPr>
              <w:pStyle w:val="44"/>
              <w:bidi w:val="0"/>
              <w:rPr>
                <w:rFonts w:hint="default" w:ascii="Times New Roman" w:hAnsi="Times New Roman" w:cs="Times New Roman"/>
                <w:color w:val="auto"/>
              </w:rPr>
            </w:pPr>
            <w:r>
              <w:rPr>
                <w:rFonts w:hint="default" w:ascii="Times New Roman" w:hAnsi="Times New Roman" w:cs="Times New Roman"/>
                <w:color w:val="auto"/>
              </w:rPr>
              <w:t>河湖相沉积，横向变化大，在鸡西一带一般以砂砾石为主。</w:t>
            </w:r>
          </w:p>
        </w:tc>
      </w:tr>
      <w:tr w14:paraId="1A1AB1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gridAfter w:val="1"/>
          <w:wAfter w:w="14" w:type="dxa"/>
          <w:cantSplit/>
          <w:trHeight w:val="761" w:hRule="atLeast"/>
          <w:jc w:val="center"/>
        </w:trPr>
        <w:tc>
          <w:tcPr>
            <w:tcW w:w="397" w:type="dxa"/>
            <w:vMerge w:val="continue"/>
            <w:tcBorders>
              <w:tl2br w:val="nil"/>
              <w:tr2bl w:val="nil"/>
            </w:tcBorders>
            <w:vAlign w:val="center"/>
          </w:tcPr>
          <w:p w14:paraId="0A9FAC8A">
            <w:pPr>
              <w:pStyle w:val="44"/>
              <w:bidi w:val="0"/>
              <w:rPr>
                <w:rFonts w:hint="default" w:ascii="Times New Roman" w:hAnsi="Times New Roman" w:cs="Times New Roman"/>
                <w:color w:val="auto"/>
              </w:rPr>
            </w:pPr>
          </w:p>
        </w:tc>
        <w:tc>
          <w:tcPr>
            <w:tcW w:w="397" w:type="dxa"/>
            <w:vMerge w:val="continue"/>
            <w:tcBorders>
              <w:tl2br w:val="nil"/>
              <w:tr2bl w:val="nil"/>
            </w:tcBorders>
            <w:vAlign w:val="center"/>
          </w:tcPr>
          <w:p w14:paraId="7C906E80">
            <w:pPr>
              <w:pStyle w:val="44"/>
              <w:bidi w:val="0"/>
              <w:rPr>
                <w:rFonts w:hint="default" w:ascii="Times New Roman" w:hAnsi="Times New Roman" w:cs="Times New Roman"/>
                <w:color w:val="auto"/>
              </w:rPr>
            </w:pPr>
          </w:p>
        </w:tc>
        <w:tc>
          <w:tcPr>
            <w:tcW w:w="466" w:type="dxa"/>
            <w:vMerge w:val="restart"/>
            <w:tcBorders>
              <w:tl2br w:val="nil"/>
              <w:tr2bl w:val="nil"/>
            </w:tcBorders>
            <w:vAlign w:val="center"/>
          </w:tcPr>
          <w:p w14:paraId="36C423ED">
            <w:pPr>
              <w:pStyle w:val="44"/>
              <w:bidi w:val="0"/>
              <w:rPr>
                <w:rFonts w:hint="default" w:ascii="Times New Roman" w:hAnsi="Times New Roman" w:cs="Times New Roman"/>
                <w:color w:val="auto"/>
              </w:rPr>
            </w:pPr>
            <w:r>
              <w:rPr>
                <w:rFonts w:hint="default" w:ascii="Times New Roman" w:hAnsi="Times New Roman" w:cs="Times New Roman"/>
                <w:color w:val="auto"/>
              </w:rPr>
              <w:t>下</w:t>
            </w:r>
          </w:p>
          <w:p w14:paraId="3D6337FD">
            <w:pPr>
              <w:pStyle w:val="44"/>
              <w:bidi w:val="0"/>
              <w:rPr>
                <w:rFonts w:hint="default" w:ascii="Times New Roman" w:hAnsi="Times New Roman" w:cs="Times New Roman"/>
                <w:color w:val="auto"/>
              </w:rPr>
            </w:pPr>
          </w:p>
          <w:p w14:paraId="46DBA5B2">
            <w:pPr>
              <w:pStyle w:val="44"/>
              <w:bidi w:val="0"/>
              <w:rPr>
                <w:rFonts w:hint="default" w:ascii="Times New Roman" w:hAnsi="Times New Roman" w:cs="Times New Roman"/>
                <w:color w:val="auto"/>
              </w:rPr>
            </w:pPr>
          </w:p>
          <w:p w14:paraId="55561F73">
            <w:pPr>
              <w:pStyle w:val="44"/>
              <w:bidi w:val="0"/>
              <w:rPr>
                <w:rFonts w:hint="default" w:ascii="Times New Roman" w:hAnsi="Times New Roman" w:cs="Times New Roman"/>
                <w:color w:val="auto"/>
              </w:rPr>
            </w:pPr>
          </w:p>
          <w:p w14:paraId="77C1EF08">
            <w:pPr>
              <w:pStyle w:val="44"/>
              <w:bidi w:val="0"/>
              <w:rPr>
                <w:rFonts w:hint="default" w:ascii="Times New Roman" w:hAnsi="Times New Roman" w:cs="Times New Roman"/>
                <w:color w:val="auto"/>
              </w:rPr>
            </w:pPr>
            <w:r>
              <w:rPr>
                <w:rFonts w:hint="default" w:ascii="Times New Roman" w:hAnsi="Times New Roman" w:cs="Times New Roman"/>
                <w:color w:val="auto"/>
              </w:rPr>
              <w:t>统</w:t>
            </w:r>
          </w:p>
        </w:tc>
        <w:tc>
          <w:tcPr>
            <w:tcW w:w="924" w:type="dxa"/>
            <w:gridSpan w:val="2"/>
            <w:tcBorders>
              <w:tl2br w:val="nil"/>
              <w:tr2bl w:val="nil"/>
            </w:tcBorders>
            <w:vAlign w:val="center"/>
          </w:tcPr>
          <w:p w14:paraId="7D424FA0">
            <w:pPr>
              <w:pStyle w:val="44"/>
              <w:bidi w:val="0"/>
              <w:rPr>
                <w:rFonts w:hint="default" w:ascii="Times New Roman" w:hAnsi="Times New Roman" w:cs="Times New Roman"/>
                <w:color w:val="auto"/>
              </w:rPr>
            </w:pPr>
            <w:r>
              <w:rPr>
                <w:rFonts w:hint="default" w:ascii="Times New Roman" w:hAnsi="Times New Roman" w:cs="Times New Roman"/>
                <w:color w:val="auto"/>
              </w:rPr>
              <w:t>穆棱组</w:t>
            </w:r>
          </w:p>
        </w:tc>
        <w:tc>
          <w:tcPr>
            <w:tcW w:w="504" w:type="dxa"/>
            <w:tcBorders>
              <w:tl2br w:val="nil"/>
              <w:tr2bl w:val="nil"/>
            </w:tcBorders>
            <w:vAlign w:val="center"/>
          </w:tcPr>
          <w:p w14:paraId="5386A0CD">
            <w:pPr>
              <w:pStyle w:val="44"/>
              <w:bidi w:val="0"/>
              <w:rPr>
                <w:rFonts w:hint="default" w:ascii="Times New Roman" w:hAnsi="Times New Roman" w:cs="Times New Roman"/>
                <w:color w:val="auto"/>
              </w:rPr>
            </w:pPr>
            <w:r>
              <w:rPr>
                <w:rFonts w:hint="default" w:ascii="Times New Roman" w:hAnsi="Times New Roman" w:cs="Times New Roman"/>
                <w:color w:val="auto"/>
              </w:rPr>
              <w:t>K1m</w:t>
            </w:r>
          </w:p>
        </w:tc>
        <w:tc>
          <w:tcPr>
            <w:tcW w:w="600" w:type="dxa"/>
            <w:tcBorders>
              <w:tl2br w:val="nil"/>
              <w:tr2bl w:val="nil"/>
            </w:tcBorders>
            <w:vAlign w:val="center"/>
          </w:tcPr>
          <w:p w14:paraId="3326C804">
            <w:pPr>
              <w:pStyle w:val="44"/>
              <w:bidi w:val="0"/>
              <w:rPr>
                <w:rFonts w:hint="default" w:ascii="Times New Roman" w:hAnsi="Times New Roman" w:cs="Times New Roman"/>
                <w:color w:val="auto"/>
              </w:rPr>
            </w:pPr>
          </w:p>
        </w:tc>
        <w:tc>
          <w:tcPr>
            <w:tcW w:w="1528" w:type="dxa"/>
            <w:gridSpan w:val="2"/>
            <w:tcBorders>
              <w:tl2br w:val="nil"/>
              <w:tr2bl w:val="nil"/>
            </w:tcBorders>
            <w:vAlign w:val="center"/>
          </w:tcPr>
          <w:p w14:paraId="3554625B">
            <w:pPr>
              <w:pStyle w:val="44"/>
              <w:bidi w:val="0"/>
              <w:rPr>
                <w:rFonts w:hint="default" w:ascii="Times New Roman" w:hAnsi="Times New Roman" w:cs="Times New Roman"/>
                <w:color w:val="auto"/>
              </w:rPr>
            </w:pPr>
            <w:r>
              <w:rPr>
                <w:rFonts w:hint="default" w:ascii="Times New Roman" w:hAnsi="Times New Roman" w:cs="Times New Roman"/>
                <w:color w:val="auto"/>
              </w:rPr>
              <w:t>鸡西盆地的光义、梨树沟、麻山等地</w:t>
            </w:r>
          </w:p>
        </w:tc>
        <w:tc>
          <w:tcPr>
            <w:tcW w:w="3709" w:type="dxa"/>
            <w:gridSpan w:val="2"/>
            <w:tcBorders>
              <w:tl2br w:val="nil"/>
              <w:tr2bl w:val="nil"/>
            </w:tcBorders>
            <w:vAlign w:val="center"/>
          </w:tcPr>
          <w:p w14:paraId="46C9C654">
            <w:pPr>
              <w:pStyle w:val="44"/>
              <w:bidi w:val="0"/>
              <w:rPr>
                <w:rFonts w:hint="default" w:ascii="Times New Roman" w:hAnsi="Times New Roman" w:cs="Times New Roman"/>
                <w:color w:val="auto"/>
              </w:rPr>
            </w:pPr>
            <w:r>
              <w:rPr>
                <w:rFonts w:hint="default" w:ascii="Times New Roman" w:hAnsi="Times New Roman" w:cs="Times New Roman"/>
                <w:color w:val="auto"/>
              </w:rPr>
              <w:t>指整合于城子河组之上，东山组之下的陆相含煤地层。以灰白色细砂岩、深灰色粉砂岩为主夹灰黑色泥岩及多层灰绿色凝灰岩和工业煤层，下部以细砂岩、粉砂岩为主；中部以细砂岩与泥岩互层为主；上部以细砂岩、粉砂细砂岩、粉砂岩为主。发育植物化石。</w:t>
            </w:r>
          </w:p>
        </w:tc>
      </w:tr>
      <w:tr w14:paraId="486B18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gridAfter w:val="1"/>
          <w:wAfter w:w="14" w:type="dxa"/>
          <w:cantSplit/>
          <w:trHeight w:val="440" w:hRule="atLeast"/>
          <w:jc w:val="center"/>
        </w:trPr>
        <w:tc>
          <w:tcPr>
            <w:tcW w:w="397" w:type="dxa"/>
            <w:vMerge w:val="continue"/>
            <w:tcBorders>
              <w:tl2br w:val="nil"/>
              <w:tr2bl w:val="nil"/>
            </w:tcBorders>
            <w:vAlign w:val="center"/>
          </w:tcPr>
          <w:p w14:paraId="264EE3ED">
            <w:pPr>
              <w:pStyle w:val="44"/>
              <w:bidi w:val="0"/>
              <w:rPr>
                <w:rFonts w:hint="default" w:ascii="Times New Roman" w:hAnsi="Times New Roman" w:cs="Times New Roman"/>
                <w:color w:val="auto"/>
              </w:rPr>
            </w:pPr>
          </w:p>
        </w:tc>
        <w:tc>
          <w:tcPr>
            <w:tcW w:w="397" w:type="dxa"/>
            <w:vMerge w:val="continue"/>
            <w:tcBorders>
              <w:tl2br w:val="nil"/>
              <w:tr2bl w:val="nil"/>
            </w:tcBorders>
            <w:vAlign w:val="center"/>
          </w:tcPr>
          <w:p w14:paraId="07EC9FB8">
            <w:pPr>
              <w:pStyle w:val="44"/>
              <w:bidi w:val="0"/>
              <w:rPr>
                <w:rFonts w:hint="default" w:ascii="Times New Roman" w:hAnsi="Times New Roman" w:cs="Times New Roman"/>
                <w:color w:val="auto"/>
              </w:rPr>
            </w:pPr>
          </w:p>
        </w:tc>
        <w:tc>
          <w:tcPr>
            <w:tcW w:w="466" w:type="dxa"/>
            <w:vMerge w:val="continue"/>
            <w:tcBorders>
              <w:tl2br w:val="nil"/>
              <w:tr2bl w:val="nil"/>
            </w:tcBorders>
            <w:vAlign w:val="center"/>
          </w:tcPr>
          <w:p w14:paraId="3903A1CD">
            <w:pPr>
              <w:pStyle w:val="44"/>
              <w:bidi w:val="0"/>
              <w:rPr>
                <w:rFonts w:hint="default" w:ascii="Times New Roman" w:hAnsi="Times New Roman" w:cs="Times New Roman"/>
                <w:color w:val="auto"/>
              </w:rPr>
            </w:pPr>
          </w:p>
        </w:tc>
        <w:tc>
          <w:tcPr>
            <w:tcW w:w="924" w:type="dxa"/>
            <w:gridSpan w:val="2"/>
            <w:tcBorders>
              <w:tl2br w:val="nil"/>
              <w:tr2bl w:val="nil"/>
            </w:tcBorders>
            <w:vAlign w:val="center"/>
          </w:tcPr>
          <w:p w14:paraId="6B265068">
            <w:pPr>
              <w:pStyle w:val="44"/>
              <w:bidi w:val="0"/>
              <w:rPr>
                <w:rFonts w:hint="default" w:ascii="Times New Roman" w:hAnsi="Times New Roman" w:cs="Times New Roman"/>
                <w:color w:val="auto"/>
              </w:rPr>
            </w:pPr>
            <w:r>
              <w:rPr>
                <w:rFonts w:hint="default" w:ascii="Times New Roman" w:hAnsi="Times New Roman" w:cs="Times New Roman"/>
                <w:color w:val="auto"/>
              </w:rPr>
              <w:t>城子</w:t>
            </w:r>
          </w:p>
          <w:p w14:paraId="349F2F71">
            <w:pPr>
              <w:pStyle w:val="44"/>
              <w:bidi w:val="0"/>
              <w:rPr>
                <w:rFonts w:hint="default" w:ascii="Times New Roman" w:hAnsi="Times New Roman" w:cs="Times New Roman"/>
                <w:color w:val="auto"/>
              </w:rPr>
            </w:pPr>
            <w:r>
              <w:rPr>
                <w:rFonts w:hint="default" w:ascii="Times New Roman" w:hAnsi="Times New Roman" w:cs="Times New Roman"/>
                <w:color w:val="auto"/>
              </w:rPr>
              <w:t>河组</w:t>
            </w:r>
          </w:p>
        </w:tc>
        <w:tc>
          <w:tcPr>
            <w:tcW w:w="504" w:type="dxa"/>
            <w:tcBorders>
              <w:tl2br w:val="nil"/>
              <w:tr2bl w:val="nil"/>
            </w:tcBorders>
            <w:vAlign w:val="center"/>
          </w:tcPr>
          <w:p w14:paraId="0B61489A">
            <w:pPr>
              <w:pStyle w:val="44"/>
              <w:bidi w:val="0"/>
              <w:rPr>
                <w:rFonts w:hint="default" w:ascii="Times New Roman" w:hAnsi="Times New Roman" w:cs="Times New Roman"/>
                <w:color w:val="auto"/>
              </w:rPr>
            </w:pPr>
            <w:r>
              <w:rPr>
                <w:rFonts w:hint="default" w:ascii="Times New Roman" w:hAnsi="Times New Roman" w:cs="Times New Roman"/>
                <w:color w:val="auto"/>
              </w:rPr>
              <w:t>K1C</w:t>
            </w:r>
          </w:p>
        </w:tc>
        <w:tc>
          <w:tcPr>
            <w:tcW w:w="600" w:type="dxa"/>
            <w:tcBorders>
              <w:tl2br w:val="nil"/>
              <w:tr2bl w:val="nil"/>
            </w:tcBorders>
            <w:vAlign w:val="center"/>
          </w:tcPr>
          <w:p w14:paraId="6418E01F">
            <w:pPr>
              <w:pStyle w:val="44"/>
              <w:bidi w:val="0"/>
              <w:rPr>
                <w:rFonts w:hint="default" w:ascii="Times New Roman" w:hAnsi="Times New Roman" w:cs="Times New Roman"/>
                <w:color w:val="auto"/>
              </w:rPr>
            </w:pPr>
          </w:p>
        </w:tc>
        <w:tc>
          <w:tcPr>
            <w:tcW w:w="1528" w:type="dxa"/>
            <w:gridSpan w:val="2"/>
            <w:tcBorders>
              <w:tl2br w:val="nil"/>
              <w:tr2bl w:val="nil"/>
            </w:tcBorders>
            <w:vAlign w:val="center"/>
          </w:tcPr>
          <w:p w14:paraId="57044F9C">
            <w:pPr>
              <w:pStyle w:val="44"/>
              <w:bidi w:val="0"/>
              <w:rPr>
                <w:rFonts w:hint="default" w:ascii="Times New Roman" w:hAnsi="Times New Roman" w:cs="Times New Roman"/>
                <w:color w:val="auto"/>
              </w:rPr>
            </w:pPr>
            <w:r>
              <w:rPr>
                <w:rFonts w:hint="default" w:ascii="Times New Roman" w:hAnsi="Times New Roman" w:cs="Times New Roman"/>
                <w:color w:val="auto"/>
              </w:rPr>
              <w:t>鸡西城子河等地分布</w:t>
            </w:r>
          </w:p>
        </w:tc>
        <w:tc>
          <w:tcPr>
            <w:tcW w:w="3709" w:type="dxa"/>
            <w:gridSpan w:val="2"/>
            <w:tcBorders>
              <w:tl2br w:val="nil"/>
              <w:tr2bl w:val="nil"/>
            </w:tcBorders>
            <w:vAlign w:val="center"/>
          </w:tcPr>
          <w:p w14:paraId="1A50E1CF">
            <w:pPr>
              <w:pStyle w:val="44"/>
              <w:bidi w:val="0"/>
              <w:rPr>
                <w:rFonts w:hint="default" w:ascii="Times New Roman" w:hAnsi="Times New Roman" w:cs="Times New Roman"/>
                <w:color w:val="auto"/>
              </w:rPr>
            </w:pPr>
            <w:r>
              <w:rPr>
                <w:rFonts w:hint="default" w:ascii="Times New Roman" w:hAnsi="Times New Roman" w:cs="Times New Roman"/>
                <w:color w:val="auto"/>
              </w:rPr>
              <w:t>平行不整合于滴道组之上、整合于穆棱组之下的陆相含煤地层，并有海相沉积夹层。以灰白色中细粒砂岩为主，夹粉砂岩、泥岩、凝灰岩及多层工业煤层。产丰富的植物及双壳类化石。</w:t>
            </w:r>
          </w:p>
        </w:tc>
      </w:tr>
      <w:tr w14:paraId="5B1AE3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gridAfter w:val="1"/>
          <w:wAfter w:w="14" w:type="dxa"/>
          <w:cantSplit/>
          <w:trHeight w:val="573" w:hRule="atLeast"/>
          <w:jc w:val="center"/>
        </w:trPr>
        <w:tc>
          <w:tcPr>
            <w:tcW w:w="397" w:type="dxa"/>
            <w:vMerge w:val="continue"/>
            <w:tcBorders>
              <w:tl2br w:val="nil"/>
              <w:tr2bl w:val="nil"/>
            </w:tcBorders>
            <w:vAlign w:val="center"/>
          </w:tcPr>
          <w:p w14:paraId="4B8D62A5">
            <w:pPr>
              <w:pStyle w:val="44"/>
              <w:bidi w:val="0"/>
              <w:rPr>
                <w:rFonts w:hint="default" w:ascii="Times New Roman" w:hAnsi="Times New Roman" w:cs="Times New Roman"/>
                <w:color w:val="auto"/>
              </w:rPr>
            </w:pPr>
          </w:p>
        </w:tc>
        <w:tc>
          <w:tcPr>
            <w:tcW w:w="397" w:type="dxa"/>
            <w:vMerge w:val="continue"/>
            <w:tcBorders>
              <w:tl2br w:val="nil"/>
              <w:tr2bl w:val="nil"/>
            </w:tcBorders>
            <w:vAlign w:val="center"/>
          </w:tcPr>
          <w:p w14:paraId="2C900BCA">
            <w:pPr>
              <w:pStyle w:val="44"/>
              <w:bidi w:val="0"/>
              <w:rPr>
                <w:rFonts w:hint="default" w:ascii="Times New Roman" w:hAnsi="Times New Roman" w:cs="Times New Roman"/>
                <w:color w:val="auto"/>
              </w:rPr>
            </w:pPr>
          </w:p>
        </w:tc>
        <w:tc>
          <w:tcPr>
            <w:tcW w:w="466" w:type="dxa"/>
            <w:vMerge w:val="continue"/>
            <w:tcBorders>
              <w:tl2br w:val="nil"/>
              <w:tr2bl w:val="nil"/>
            </w:tcBorders>
            <w:vAlign w:val="center"/>
          </w:tcPr>
          <w:p w14:paraId="6807F8B8">
            <w:pPr>
              <w:pStyle w:val="44"/>
              <w:bidi w:val="0"/>
              <w:rPr>
                <w:rFonts w:hint="default" w:ascii="Times New Roman" w:hAnsi="Times New Roman" w:cs="Times New Roman"/>
                <w:color w:val="auto"/>
              </w:rPr>
            </w:pPr>
          </w:p>
        </w:tc>
        <w:tc>
          <w:tcPr>
            <w:tcW w:w="924" w:type="dxa"/>
            <w:gridSpan w:val="2"/>
            <w:tcBorders>
              <w:tl2br w:val="nil"/>
              <w:tr2bl w:val="nil"/>
            </w:tcBorders>
            <w:vAlign w:val="center"/>
          </w:tcPr>
          <w:p w14:paraId="7E39A89D">
            <w:pPr>
              <w:pStyle w:val="44"/>
              <w:bidi w:val="0"/>
              <w:rPr>
                <w:rFonts w:hint="default" w:ascii="Times New Roman" w:hAnsi="Times New Roman" w:cs="Times New Roman"/>
                <w:color w:val="auto"/>
              </w:rPr>
            </w:pPr>
            <w:r>
              <w:rPr>
                <w:rFonts w:hint="default" w:ascii="Times New Roman" w:hAnsi="Times New Roman" w:cs="Times New Roman"/>
                <w:color w:val="auto"/>
              </w:rPr>
              <w:t>滴道组</w:t>
            </w:r>
          </w:p>
        </w:tc>
        <w:tc>
          <w:tcPr>
            <w:tcW w:w="504" w:type="dxa"/>
            <w:tcBorders>
              <w:tl2br w:val="nil"/>
              <w:tr2bl w:val="nil"/>
            </w:tcBorders>
            <w:vAlign w:val="center"/>
          </w:tcPr>
          <w:p w14:paraId="714DCF49">
            <w:pPr>
              <w:pStyle w:val="44"/>
              <w:bidi w:val="0"/>
              <w:rPr>
                <w:rFonts w:hint="default" w:ascii="Times New Roman" w:hAnsi="Times New Roman" w:cs="Times New Roman"/>
                <w:color w:val="auto"/>
              </w:rPr>
            </w:pPr>
            <w:r>
              <w:rPr>
                <w:rFonts w:hint="default" w:ascii="Times New Roman" w:hAnsi="Times New Roman" w:cs="Times New Roman"/>
                <w:color w:val="auto"/>
              </w:rPr>
              <w:t>K1d</w:t>
            </w:r>
          </w:p>
        </w:tc>
        <w:tc>
          <w:tcPr>
            <w:tcW w:w="600" w:type="dxa"/>
            <w:tcBorders>
              <w:tl2br w:val="nil"/>
              <w:tr2bl w:val="nil"/>
            </w:tcBorders>
            <w:vAlign w:val="center"/>
          </w:tcPr>
          <w:p w14:paraId="1F009ACA">
            <w:pPr>
              <w:pStyle w:val="44"/>
              <w:bidi w:val="0"/>
              <w:rPr>
                <w:rFonts w:hint="default" w:ascii="Times New Roman" w:hAnsi="Times New Roman" w:cs="Times New Roman"/>
                <w:color w:val="auto"/>
              </w:rPr>
            </w:pPr>
          </w:p>
        </w:tc>
        <w:tc>
          <w:tcPr>
            <w:tcW w:w="1528" w:type="dxa"/>
            <w:gridSpan w:val="2"/>
            <w:tcBorders>
              <w:tl2br w:val="nil"/>
              <w:tr2bl w:val="nil"/>
            </w:tcBorders>
            <w:vAlign w:val="center"/>
          </w:tcPr>
          <w:p w14:paraId="3AEE3EF9">
            <w:pPr>
              <w:pStyle w:val="44"/>
              <w:bidi w:val="0"/>
              <w:rPr>
                <w:rFonts w:hint="default" w:ascii="Times New Roman" w:hAnsi="Times New Roman" w:cs="Times New Roman"/>
                <w:color w:val="auto"/>
              </w:rPr>
            </w:pPr>
            <w:r>
              <w:rPr>
                <w:rFonts w:hint="default" w:ascii="Times New Roman" w:hAnsi="Times New Roman" w:cs="Times New Roman"/>
                <w:color w:val="auto"/>
              </w:rPr>
              <w:t>鸡东县黄家店乡以北分布</w:t>
            </w:r>
          </w:p>
        </w:tc>
        <w:tc>
          <w:tcPr>
            <w:tcW w:w="3709" w:type="dxa"/>
            <w:gridSpan w:val="2"/>
            <w:tcBorders>
              <w:tl2br w:val="nil"/>
              <w:tr2bl w:val="nil"/>
            </w:tcBorders>
            <w:vAlign w:val="center"/>
          </w:tcPr>
          <w:p w14:paraId="29BCBCD6">
            <w:pPr>
              <w:pStyle w:val="44"/>
              <w:bidi w:val="0"/>
              <w:rPr>
                <w:rFonts w:hint="default" w:ascii="Times New Roman" w:hAnsi="Times New Roman" w:cs="Times New Roman"/>
                <w:color w:val="auto"/>
              </w:rPr>
            </w:pPr>
            <w:r>
              <w:rPr>
                <w:rFonts w:hint="default" w:ascii="Times New Roman" w:hAnsi="Times New Roman" w:cs="Times New Roman"/>
                <w:color w:val="auto"/>
              </w:rPr>
              <w:t>指分布于鸡西盆地、勃利盆地，平行不整合于城子河组之下，不整合于盆地基底上的陆相火山—沉积含煤地层</w:t>
            </w:r>
          </w:p>
        </w:tc>
      </w:tr>
      <w:tr w14:paraId="3F9C2D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gridAfter w:val="1"/>
          <w:wAfter w:w="14" w:type="dxa"/>
          <w:cantSplit/>
          <w:trHeight w:val="587" w:hRule="atLeast"/>
          <w:jc w:val="center"/>
        </w:trPr>
        <w:tc>
          <w:tcPr>
            <w:tcW w:w="397" w:type="dxa"/>
            <w:vMerge w:val="continue"/>
            <w:tcBorders>
              <w:tl2br w:val="nil"/>
              <w:tr2bl w:val="nil"/>
            </w:tcBorders>
            <w:vAlign w:val="center"/>
          </w:tcPr>
          <w:p w14:paraId="66E77DD3">
            <w:pPr>
              <w:pStyle w:val="44"/>
              <w:bidi w:val="0"/>
              <w:rPr>
                <w:rFonts w:hint="default" w:ascii="Times New Roman" w:hAnsi="Times New Roman" w:cs="Times New Roman"/>
                <w:color w:val="auto"/>
              </w:rPr>
            </w:pPr>
          </w:p>
        </w:tc>
        <w:tc>
          <w:tcPr>
            <w:tcW w:w="397" w:type="dxa"/>
            <w:vMerge w:val="restart"/>
            <w:tcBorders>
              <w:tl2br w:val="nil"/>
              <w:tr2bl w:val="nil"/>
            </w:tcBorders>
            <w:vAlign w:val="center"/>
          </w:tcPr>
          <w:p w14:paraId="6A91037C">
            <w:pPr>
              <w:pStyle w:val="44"/>
              <w:bidi w:val="0"/>
              <w:rPr>
                <w:rFonts w:hint="default" w:ascii="Times New Roman" w:hAnsi="Times New Roman" w:cs="Times New Roman"/>
                <w:color w:val="auto"/>
              </w:rPr>
            </w:pPr>
            <w:r>
              <w:rPr>
                <w:rFonts w:hint="default" w:ascii="Times New Roman" w:hAnsi="Times New Roman" w:cs="Times New Roman"/>
                <w:color w:val="auto"/>
              </w:rPr>
              <w:t>侏</w:t>
            </w:r>
          </w:p>
          <w:p w14:paraId="5D69A015">
            <w:pPr>
              <w:pStyle w:val="44"/>
              <w:bidi w:val="0"/>
              <w:rPr>
                <w:rFonts w:hint="default" w:ascii="Times New Roman" w:hAnsi="Times New Roman" w:cs="Times New Roman"/>
                <w:color w:val="auto"/>
              </w:rPr>
            </w:pPr>
          </w:p>
          <w:p w14:paraId="194631F0">
            <w:pPr>
              <w:pStyle w:val="44"/>
              <w:bidi w:val="0"/>
              <w:rPr>
                <w:rFonts w:hint="default" w:ascii="Times New Roman" w:hAnsi="Times New Roman" w:cs="Times New Roman"/>
                <w:color w:val="auto"/>
              </w:rPr>
            </w:pPr>
          </w:p>
          <w:p w14:paraId="5457AEEC">
            <w:pPr>
              <w:pStyle w:val="44"/>
              <w:bidi w:val="0"/>
              <w:rPr>
                <w:rFonts w:hint="default" w:ascii="Times New Roman" w:hAnsi="Times New Roman" w:cs="Times New Roman"/>
                <w:color w:val="auto"/>
              </w:rPr>
            </w:pPr>
            <w:r>
              <w:rPr>
                <w:rFonts w:hint="default" w:ascii="Times New Roman" w:hAnsi="Times New Roman" w:cs="Times New Roman"/>
                <w:color w:val="auto"/>
              </w:rPr>
              <w:t>罗</w:t>
            </w:r>
          </w:p>
          <w:p w14:paraId="720A56CE">
            <w:pPr>
              <w:pStyle w:val="44"/>
              <w:bidi w:val="0"/>
              <w:rPr>
                <w:rFonts w:hint="default" w:ascii="Times New Roman" w:hAnsi="Times New Roman" w:cs="Times New Roman"/>
                <w:color w:val="auto"/>
              </w:rPr>
            </w:pPr>
          </w:p>
          <w:p w14:paraId="58682700">
            <w:pPr>
              <w:pStyle w:val="44"/>
              <w:bidi w:val="0"/>
              <w:rPr>
                <w:rFonts w:hint="default" w:ascii="Times New Roman" w:hAnsi="Times New Roman" w:cs="Times New Roman"/>
                <w:color w:val="auto"/>
              </w:rPr>
            </w:pPr>
          </w:p>
          <w:p w14:paraId="6627D714">
            <w:pPr>
              <w:pStyle w:val="44"/>
              <w:bidi w:val="0"/>
              <w:rPr>
                <w:rFonts w:hint="default" w:ascii="Times New Roman" w:hAnsi="Times New Roman" w:cs="Times New Roman"/>
                <w:color w:val="auto"/>
              </w:rPr>
            </w:pPr>
            <w:r>
              <w:rPr>
                <w:rFonts w:hint="default" w:ascii="Times New Roman" w:hAnsi="Times New Roman" w:cs="Times New Roman"/>
                <w:color w:val="auto"/>
              </w:rPr>
              <w:t>系</w:t>
            </w:r>
          </w:p>
        </w:tc>
        <w:tc>
          <w:tcPr>
            <w:tcW w:w="466" w:type="dxa"/>
            <w:vMerge w:val="restart"/>
            <w:tcBorders>
              <w:tl2br w:val="nil"/>
              <w:tr2bl w:val="nil"/>
            </w:tcBorders>
            <w:vAlign w:val="center"/>
          </w:tcPr>
          <w:p w14:paraId="6DC9B70C">
            <w:pPr>
              <w:pStyle w:val="44"/>
              <w:bidi w:val="0"/>
              <w:rPr>
                <w:rFonts w:hint="default" w:ascii="Times New Roman" w:hAnsi="Times New Roman" w:cs="Times New Roman"/>
                <w:color w:val="auto"/>
              </w:rPr>
            </w:pPr>
            <w:r>
              <w:rPr>
                <w:rFonts w:hint="default" w:ascii="Times New Roman" w:hAnsi="Times New Roman" w:cs="Times New Roman"/>
                <w:color w:val="auto"/>
              </w:rPr>
              <w:t>上</w:t>
            </w:r>
          </w:p>
          <w:p w14:paraId="3661132E">
            <w:pPr>
              <w:pStyle w:val="44"/>
              <w:bidi w:val="0"/>
              <w:rPr>
                <w:rFonts w:hint="default" w:ascii="Times New Roman" w:hAnsi="Times New Roman" w:cs="Times New Roman"/>
                <w:color w:val="auto"/>
              </w:rPr>
            </w:pPr>
          </w:p>
          <w:p w14:paraId="72C09A2C">
            <w:pPr>
              <w:pStyle w:val="44"/>
              <w:bidi w:val="0"/>
              <w:rPr>
                <w:rFonts w:hint="default" w:ascii="Times New Roman" w:hAnsi="Times New Roman" w:cs="Times New Roman"/>
                <w:color w:val="auto"/>
              </w:rPr>
            </w:pPr>
          </w:p>
          <w:p w14:paraId="3FE8011C">
            <w:pPr>
              <w:pStyle w:val="44"/>
              <w:bidi w:val="0"/>
              <w:rPr>
                <w:rFonts w:hint="default" w:ascii="Times New Roman" w:hAnsi="Times New Roman" w:cs="Times New Roman"/>
                <w:color w:val="auto"/>
              </w:rPr>
            </w:pPr>
          </w:p>
          <w:p w14:paraId="20719627">
            <w:pPr>
              <w:pStyle w:val="44"/>
              <w:bidi w:val="0"/>
              <w:rPr>
                <w:rFonts w:hint="default" w:ascii="Times New Roman" w:hAnsi="Times New Roman" w:cs="Times New Roman"/>
                <w:color w:val="auto"/>
              </w:rPr>
            </w:pPr>
            <w:r>
              <w:rPr>
                <w:rFonts w:hint="default" w:ascii="Times New Roman" w:hAnsi="Times New Roman" w:cs="Times New Roman"/>
                <w:color w:val="auto"/>
              </w:rPr>
              <w:t>统</w:t>
            </w:r>
          </w:p>
        </w:tc>
        <w:tc>
          <w:tcPr>
            <w:tcW w:w="924" w:type="dxa"/>
            <w:gridSpan w:val="2"/>
            <w:tcBorders>
              <w:tl2br w:val="nil"/>
              <w:tr2bl w:val="nil"/>
            </w:tcBorders>
            <w:vAlign w:val="center"/>
          </w:tcPr>
          <w:p w14:paraId="136A4EBA">
            <w:pPr>
              <w:pStyle w:val="44"/>
              <w:bidi w:val="0"/>
              <w:rPr>
                <w:rFonts w:hint="default" w:ascii="Times New Roman" w:hAnsi="Times New Roman" w:cs="Times New Roman"/>
                <w:color w:val="auto"/>
              </w:rPr>
            </w:pPr>
            <w:r>
              <w:rPr>
                <w:rFonts w:hint="default" w:ascii="Times New Roman" w:hAnsi="Times New Roman" w:cs="Times New Roman"/>
                <w:color w:val="auto"/>
              </w:rPr>
              <w:t>暑光组</w:t>
            </w:r>
          </w:p>
        </w:tc>
        <w:tc>
          <w:tcPr>
            <w:tcW w:w="504" w:type="dxa"/>
            <w:tcBorders>
              <w:tl2br w:val="nil"/>
              <w:tr2bl w:val="nil"/>
            </w:tcBorders>
            <w:vAlign w:val="center"/>
          </w:tcPr>
          <w:p w14:paraId="4B625863">
            <w:pPr>
              <w:pStyle w:val="44"/>
              <w:bidi w:val="0"/>
              <w:rPr>
                <w:rFonts w:hint="default" w:ascii="Times New Roman" w:hAnsi="Times New Roman" w:cs="Times New Roman"/>
                <w:color w:val="auto"/>
              </w:rPr>
            </w:pPr>
            <w:r>
              <w:rPr>
                <w:rFonts w:hint="default" w:ascii="Times New Roman" w:hAnsi="Times New Roman" w:cs="Times New Roman"/>
                <w:color w:val="auto"/>
              </w:rPr>
              <w:t>J2S</w:t>
            </w:r>
          </w:p>
        </w:tc>
        <w:tc>
          <w:tcPr>
            <w:tcW w:w="600" w:type="dxa"/>
            <w:tcBorders>
              <w:tl2br w:val="nil"/>
              <w:tr2bl w:val="nil"/>
            </w:tcBorders>
            <w:vAlign w:val="center"/>
          </w:tcPr>
          <w:p w14:paraId="41B0B691">
            <w:pPr>
              <w:pStyle w:val="44"/>
              <w:bidi w:val="0"/>
              <w:rPr>
                <w:rFonts w:hint="default" w:ascii="Times New Roman" w:hAnsi="Times New Roman" w:cs="Times New Roman"/>
                <w:color w:val="auto"/>
              </w:rPr>
            </w:pPr>
          </w:p>
        </w:tc>
        <w:tc>
          <w:tcPr>
            <w:tcW w:w="1528" w:type="dxa"/>
            <w:gridSpan w:val="2"/>
            <w:tcBorders>
              <w:tl2br w:val="nil"/>
              <w:tr2bl w:val="nil"/>
            </w:tcBorders>
            <w:vAlign w:val="center"/>
          </w:tcPr>
          <w:p w14:paraId="5FF7F41B">
            <w:pPr>
              <w:pStyle w:val="44"/>
              <w:bidi w:val="0"/>
              <w:rPr>
                <w:rFonts w:hint="default" w:ascii="Times New Roman" w:hAnsi="Times New Roman" w:cs="Times New Roman"/>
                <w:color w:val="auto"/>
              </w:rPr>
            </w:pPr>
            <w:r>
              <w:rPr>
                <w:rFonts w:hint="default" w:ascii="Times New Roman" w:hAnsi="Times New Roman" w:cs="Times New Roman"/>
                <w:color w:val="auto"/>
              </w:rPr>
              <w:t>鸡东平阳镇等地分布</w:t>
            </w:r>
          </w:p>
        </w:tc>
        <w:tc>
          <w:tcPr>
            <w:tcW w:w="3709" w:type="dxa"/>
            <w:gridSpan w:val="2"/>
            <w:tcBorders>
              <w:tl2br w:val="nil"/>
              <w:tr2bl w:val="nil"/>
            </w:tcBorders>
            <w:vAlign w:val="center"/>
          </w:tcPr>
          <w:p w14:paraId="182B0C62">
            <w:pPr>
              <w:pStyle w:val="44"/>
              <w:bidi w:val="0"/>
              <w:rPr>
                <w:rFonts w:hint="default" w:ascii="Times New Roman" w:hAnsi="Times New Roman" w:cs="Times New Roman"/>
                <w:color w:val="auto"/>
              </w:rPr>
            </w:pPr>
            <w:r>
              <w:rPr>
                <w:rFonts w:hint="default" w:ascii="Times New Roman" w:hAnsi="Times New Roman" w:cs="Times New Roman"/>
                <w:color w:val="auto"/>
              </w:rPr>
              <w:t>以粉砂岩为主，细砂岩次之夹粉砂岩，粉砂质泥岩，凝灰岩和煤层。</w:t>
            </w:r>
          </w:p>
        </w:tc>
      </w:tr>
      <w:tr w14:paraId="074C4A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gridAfter w:val="1"/>
          <w:wAfter w:w="14" w:type="dxa"/>
          <w:cantSplit/>
          <w:trHeight w:val="545" w:hRule="atLeast"/>
          <w:jc w:val="center"/>
        </w:trPr>
        <w:tc>
          <w:tcPr>
            <w:tcW w:w="397" w:type="dxa"/>
            <w:vMerge w:val="continue"/>
            <w:tcBorders>
              <w:tl2br w:val="nil"/>
              <w:tr2bl w:val="nil"/>
            </w:tcBorders>
            <w:vAlign w:val="center"/>
          </w:tcPr>
          <w:p w14:paraId="11E4A4F5">
            <w:pPr>
              <w:pStyle w:val="44"/>
              <w:bidi w:val="0"/>
              <w:rPr>
                <w:rFonts w:hint="default" w:ascii="Times New Roman" w:hAnsi="Times New Roman" w:cs="Times New Roman"/>
                <w:color w:val="auto"/>
              </w:rPr>
            </w:pPr>
          </w:p>
        </w:tc>
        <w:tc>
          <w:tcPr>
            <w:tcW w:w="397" w:type="dxa"/>
            <w:vMerge w:val="continue"/>
            <w:tcBorders>
              <w:tl2br w:val="nil"/>
              <w:tr2bl w:val="nil"/>
            </w:tcBorders>
            <w:vAlign w:val="center"/>
          </w:tcPr>
          <w:p w14:paraId="4D706501">
            <w:pPr>
              <w:pStyle w:val="44"/>
              <w:bidi w:val="0"/>
              <w:rPr>
                <w:rFonts w:hint="default" w:ascii="Times New Roman" w:hAnsi="Times New Roman" w:cs="Times New Roman"/>
                <w:color w:val="auto"/>
              </w:rPr>
            </w:pPr>
          </w:p>
        </w:tc>
        <w:tc>
          <w:tcPr>
            <w:tcW w:w="466" w:type="dxa"/>
            <w:vMerge w:val="continue"/>
            <w:tcBorders>
              <w:tl2br w:val="nil"/>
              <w:tr2bl w:val="nil"/>
            </w:tcBorders>
            <w:vAlign w:val="center"/>
          </w:tcPr>
          <w:p w14:paraId="44C867A4">
            <w:pPr>
              <w:pStyle w:val="44"/>
              <w:bidi w:val="0"/>
              <w:rPr>
                <w:rFonts w:hint="default" w:ascii="Times New Roman" w:hAnsi="Times New Roman" w:cs="Times New Roman"/>
                <w:color w:val="auto"/>
              </w:rPr>
            </w:pPr>
          </w:p>
        </w:tc>
        <w:tc>
          <w:tcPr>
            <w:tcW w:w="924" w:type="dxa"/>
            <w:gridSpan w:val="2"/>
            <w:tcBorders>
              <w:tl2br w:val="nil"/>
              <w:tr2bl w:val="nil"/>
            </w:tcBorders>
            <w:vAlign w:val="center"/>
          </w:tcPr>
          <w:p w14:paraId="2B659CD3">
            <w:pPr>
              <w:pStyle w:val="44"/>
              <w:bidi w:val="0"/>
              <w:rPr>
                <w:rFonts w:hint="default" w:ascii="Times New Roman" w:hAnsi="Times New Roman" w:cs="Times New Roman"/>
                <w:color w:val="auto"/>
              </w:rPr>
            </w:pPr>
            <w:r>
              <w:rPr>
                <w:rFonts w:hint="default" w:ascii="Times New Roman" w:hAnsi="Times New Roman" w:cs="Times New Roman"/>
                <w:color w:val="auto"/>
              </w:rPr>
              <w:t>滴道组</w:t>
            </w:r>
          </w:p>
        </w:tc>
        <w:tc>
          <w:tcPr>
            <w:tcW w:w="504" w:type="dxa"/>
            <w:tcBorders>
              <w:tl2br w:val="nil"/>
              <w:tr2bl w:val="nil"/>
            </w:tcBorders>
            <w:vAlign w:val="center"/>
          </w:tcPr>
          <w:p w14:paraId="226FAE95">
            <w:pPr>
              <w:pStyle w:val="44"/>
              <w:bidi w:val="0"/>
              <w:rPr>
                <w:rFonts w:hint="default" w:ascii="Times New Roman" w:hAnsi="Times New Roman" w:cs="Times New Roman"/>
                <w:color w:val="auto"/>
              </w:rPr>
            </w:pPr>
            <w:r>
              <w:rPr>
                <w:rFonts w:hint="default" w:ascii="Times New Roman" w:hAnsi="Times New Roman" w:cs="Times New Roman"/>
                <w:color w:val="auto"/>
              </w:rPr>
              <w:t>J3d</w:t>
            </w:r>
          </w:p>
        </w:tc>
        <w:tc>
          <w:tcPr>
            <w:tcW w:w="600" w:type="dxa"/>
            <w:tcBorders>
              <w:tl2br w:val="nil"/>
              <w:tr2bl w:val="nil"/>
            </w:tcBorders>
            <w:vAlign w:val="center"/>
          </w:tcPr>
          <w:p w14:paraId="0B52DFAA">
            <w:pPr>
              <w:pStyle w:val="44"/>
              <w:bidi w:val="0"/>
              <w:rPr>
                <w:rFonts w:hint="default" w:ascii="Times New Roman" w:hAnsi="Times New Roman" w:cs="Times New Roman"/>
                <w:color w:val="auto"/>
              </w:rPr>
            </w:pPr>
            <w:r>
              <w:rPr>
                <w:rFonts w:hint="default" w:ascii="Times New Roman" w:hAnsi="Times New Roman" w:cs="Times New Roman"/>
                <w:color w:val="auto"/>
              </w:rPr>
              <w:t>&gt;550</w:t>
            </w:r>
          </w:p>
        </w:tc>
        <w:tc>
          <w:tcPr>
            <w:tcW w:w="1528" w:type="dxa"/>
            <w:gridSpan w:val="2"/>
            <w:tcBorders>
              <w:tl2br w:val="nil"/>
              <w:tr2bl w:val="nil"/>
            </w:tcBorders>
            <w:vAlign w:val="center"/>
          </w:tcPr>
          <w:p w14:paraId="2B086809">
            <w:pPr>
              <w:pStyle w:val="44"/>
              <w:bidi w:val="0"/>
              <w:rPr>
                <w:rFonts w:hint="default" w:ascii="Times New Roman" w:hAnsi="Times New Roman" w:cs="Times New Roman"/>
                <w:color w:val="auto"/>
              </w:rPr>
            </w:pPr>
            <w:r>
              <w:rPr>
                <w:rFonts w:hint="default" w:ascii="Times New Roman" w:hAnsi="Times New Roman" w:cs="Times New Roman"/>
                <w:color w:val="auto"/>
              </w:rPr>
              <w:t>滴道至二吕，向东至穆棱河畔二龙山</w:t>
            </w:r>
          </w:p>
        </w:tc>
        <w:tc>
          <w:tcPr>
            <w:tcW w:w="3709" w:type="dxa"/>
            <w:gridSpan w:val="2"/>
            <w:tcBorders>
              <w:tl2br w:val="nil"/>
              <w:tr2bl w:val="nil"/>
            </w:tcBorders>
            <w:vAlign w:val="center"/>
          </w:tcPr>
          <w:p w14:paraId="34670D2D">
            <w:pPr>
              <w:pStyle w:val="44"/>
              <w:bidi w:val="0"/>
              <w:rPr>
                <w:rFonts w:hint="default" w:ascii="Times New Roman" w:hAnsi="Times New Roman" w:cs="Times New Roman"/>
                <w:color w:val="auto"/>
              </w:rPr>
            </w:pPr>
            <w:r>
              <w:rPr>
                <w:rFonts w:hint="default" w:ascii="Times New Roman" w:hAnsi="Times New Roman" w:cs="Times New Roman"/>
                <w:color w:val="auto"/>
              </w:rPr>
              <w:t>以砾岩、中细砂岩为主，夹多层凝灰砂岩。</w:t>
            </w:r>
          </w:p>
        </w:tc>
      </w:tr>
      <w:tr w14:paraId="4CCC50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gridAfter w:val="1"/>
          <w:wAfter w:w="14" w:type="dxa"/>
          <w:cantSplit/>
          <w:trHeight w:val="587" w:hRule="atLeast"/>
          <w:jc w:val="center"/>
        </w:trPr>
        <w:tc>
          <w:tcPr>
            <w:tcW w:w="397" w:type="dxa"/>
            <w:vMerge w:val="continue"/>
            <w:tcBorders>
              <w:tl2br w:val="nil"/>
              <w:tr2bl w:val="nil"/>
            </w:tcBorders>
            <w:vAlign w:val="center"/>
          </w:tcPr>
          <w:p w14:paraId="6F7C9FDD">
            <w:pPr>
              <w:pStyle w:val="44"/>
              <w:bidi w:val="0"/>
              <w:rPr>
                <w:rFonts w:hint="default" w:ascii="Times New Roman" w:hAnsi="Times New Roman" w:cs="Times New Roman"/>
                <w:color w:val="auto"/>
              </w:rPr>
            </w:pPr>
          </w:p>
        </w:tc>
        <w:tc>
          <w:tcPr>
            <w:tcW w:w="397" w:type="dxa"/>
            <w:vMerge w:val="continue"/>
            <w:tcBorders>
              <w:tl2br w:val="nil"/>
              <w:tr2bl w:val="nil"/>
            </w:tcBorders>
            <w:vAlign w:val="center"/>
          </w:tcPr>
          <w:p w14:paraId="09DC74F8">
            <w:pPr>
              <w:pStyle w:val="44"/>
              <w:bidi w:val="0"/>
              <w:rPr>
                <w:rFonts w:hint="default" w:ascii="Times New Roman" w:hAnsi="Times New Roman" w:cs="Times New Roman"/>
                <w:color w:val="auto"/>
              </w:rPr>
            </w:pPr>
          </w:p>
        </w:tc>
        <w:tc>
          <w:tcPr>
            <w:tcW w:w="466" w:type="dxa"/>
            <w:vMerge w:val="continue"/>
            <w:tcBorders>
              <w:tl2br w:val="nil"/>
              <w:tr2bl w:val="nil"/>
            </w:tcBorders>
            <w:vAlign w:val="center"/>
          </w:tcPr>
          <w:p w14:paraId="3FF9D300">
            <w:pPr>
              <w:pStyle w:val="44"/>
              <w:bidi w:val="0"/>
              <w:rPr>
                <w:rFonts w:hint="default" w:ascii="Times New Roman" w:hAnsi="Times New Roman" w:cs="Times New Roman"/>
                <w:color w:val="auto"/>
              </w:rPr>
            </w:pPr>
          </w:p>
        </w:tc>
        <w:tc>
          <w:tcPr>
            <w:tcW w:w="924" w:type="dxa"/>
            <w:gridSpan w:val="2"/>
            <w:tcBorders>
              <w:tl2br w:val="nil"/>
              <w:tr2bl w:val="nil"/>
            </w:tcBorders>
            <w:vAlign w:val="center"/>
          </w:tcPr>
          <w:p w14:paraId="7B84A522">
            <w:pPr>
              <w:pStyle w:val="44"/>
              <w:bidi w:val="0"/>
              <w:rPr>
                <w:rFonts w:hint="default" w:ascii="Times New Roman" w:hAnsi="Times New Roman" w:cs="Times New Roman"/>
                <w:color w:val="auto"/>
              </w:rPr>
            </w:pPr>
            <w:r>
              <w:rPr>
                <w:rFonts w:hint="default" w:ascii="Times New Roman" w:hAnsi="Times New Roman" w:cs="Times New Roman"/>
                <w:color w:val="auto"/>
              </w:rPr>
              <w:t>朝阳组</w:t>
            </w:r>
          </w:p>
        </w:tc>
        <w:tc>
          <w:tcPr>
            <w:tcW w:w="504" w:type="dxa"/>
            <w:tcBorders>
              <w:tl2br w:val="nil"/>
              <w:tr2bl w:val="nil"/>
            </w:tcBorders>
            <w:vAlign w:val="center"/>
          </w:tcPr>
          <w:p w14:paraId="6B5971FE">
            <w:pPr>
              <w:pStyle w:val="44"/>
              <w:bidi w:val="0"/>
              <w:rPr>
                <w:rFonts w:hint="default" w:ascii="Times New Roman" w:hAnsi="Times New Roman" w:cs="Times New Roman"/>
                <w:color w:val="auto"/>
              </w:rPr>
            </w:pPr>
            <w:r>
              <w:rPr>
                <w:rFonts w:hint="default" w:ascii="Times New Roman" w:hAnsi="Times New Roman" w:cs="Times New Roman"/>
                <w:color w:val="auto"/>
              </w:rPr>
              <w:t>J3C</w:t>
            </w:r>
          </w:p>
        </w:tc>
        <w:tc>
          <w:tcPr>
            <w:tcW w:w="600" w:type="dxa"/>
            <w:tcBorders>
              <w:tl2br w:val="nil"/>
              <w:tr2bl w:val="nil"/>
            </w:tcBorders>
            <w:vAlign w:val="center"/>
          </w:tcPr>
          <w:p w14:paraId="1277CFBA">
            <w:pPr>
              <w:pStyle w:val="44"/>
              <w:bidi w:val="0"/>
              <w:rPr>
                <w:rFonts w:hint="default" w:ascii="Times New Roman" w:hAnsi="Times New Roman" w:cs="Times New Roman"/>
                <w:color w:val="auto"/>
              </w:rPr>
            </w:pPr>
            <w:r>
              <w:rPr>
                <w:rFonts w:hint="default" w:ascii="Times New Roman" w:hAnsi="Times New Roman" w:cs="Times New Roman"/>
                <w:color w:val="auto"/>
              </w:rPr>
              <w:t>&gt;487</w:t>
            </w:r>
          </w:p>
        </w:tc>
        <w:tc>
          <w:tcPr>
            <w:tcW w:w="1528" w:type="dxa"/>
            <w:gridSpan w:val="2"/>
            <w:tcBorders>
              <w:tl2br w:val="nil"/>
              <w:tr2bl w:val="nil"/>
            </w:tcBorders>
            <w:vAlign w:val="center"/>
          </w:tcPr>
          <w:p w14:paraId="67D94D12">
            <w:pPr>
              <w:pStyle w:val="44"/>
              <w:bidi w:val="0"/>
              <w:rPr>
                <w:rFonts w:hint="default" w:ascii="Times New Roman" w:hAnsi="Times New Roman" w:cs="Times New Roman"/>
                <w:color w:val="auto"/>
              </w:rPr>
            </w:pPr>
            <w:r>
              <w:rPr>
                <w:rFonts w:hint="default" w:ascii="Times New Roman" w:hAnsi="Times New Roman" w:cs="Times New Roman"/>
                <w:color w:val="auto"/>
              </w:rPr>
              <w:t>鸡东东大山等地</w:t>
            </w:r>
          </w:p>
        </w:tc>
        <w:tc>
          <w:tcPr>
            <w:tcW w:w="3709" w:type="dxa"/>
            <w:gridSpan w:val="2"/>
            <w:tcBorders>
              <w:tl2br w:val="nil"/>
              <w:tr2bl w:val="nil"/>
            </w:tcBorders>
            <w:vAlign w:val="center"/>
          </w:tcPr>
          <w:p w14:paraId="5D3210C9">
            <w:pPr>
              <w:pStyle w:val="44"/>
              <w:bidi w:val="0"/>
              <w:rPr>
                <w:rFonts w:hint="default" w:ascii="Times New Roman" w:hAnsi="Times New Roman" w:cs="Times New Roman"/>
                <w:color w:val="auto"/>
              </w:rPr>
            </w:pPr>
            <w:r>
              <w:rPr>
                <w:rFonts w:hint="default" w:ascii="Times New Roman" w:hAnsi="Times New Roman" w:cs="Times New Roman"/>
                <w:color w:val="auto"/>
              </w:rPr>
              <w:t>以中酸性火山角砾岩为主，含砾凝灰岩、凝灰砂岩、粉砂岩和泥质板岩。</w:t>
            </w:r>
          </w:p>
        </w:tc>
      </w:tr>
      <w:tr w14:paraId="0E242C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gridAfter w:val="1"/>
          <w:wAfter w:w="14" w:type="dxa"/>
          <w:cantSplit/>
          <w:trHeight w:val="440" w:hRule="atLeast"/>
          <w:jc w:val="center"/>
        </w:trPr>
        <w:tc>
          <w:tcPr>
            <w:tcW w:w="397" w:type="dxa"/>
            <w:vMerge w:val="continue"/>
            <w:tcBorders>
              <w:tl2br w:val="nil"/>
              <w:tr2bl w:val="nil"/>
            </w:tcBorders>
            <w:vAlign w:val="center"/>
          </w:tcPr>
          <w:p w14:paraId="30178CE3">
            <w:pPr>
              <w:pStyle w:val="44"/>
              <w:bidi w:val="0"/>
              <w:rPr>
                <w:rFonts w:hint="default" w:ascii="Times New Roman" w:hAnsi="Times New Roman" w:cs="Times New Roman"/>
                <w:color w:val="auto"/>
              </w:rPr>
            </w:pPr>
          </w:p>
        </w:tc>
        <w:tc>
          <w:tcPr>
            <w:tcW w:w="397" w:type="dxa"/>
            <w:vMerge w:val="continue"/>
            <w:tcBorders>
              <w:tl2br w:val="nil"/>
              <w:tr2bl w:val="nil"/>
            </w:tcBorders>
            <w:vAlign w:val="center"/>
          </w:tcPr>
          <w:p w14:paraId="603C04F1">
            <w:pPr>
              <w:pStyle w:val="44"/>
              <w:bidi w:val="0"/>
              <w:rPr>
                <w:rFonts w:hint="default" w:ascii="Times New Roman" w:hAnsi="Times New Roman" w:cs="Times New Roman"/>
                <w:color w:val="auto"/>
              </w:rPr>
            </w:pPr>
          </w:p>
        </w:tc>
        <w:tc>
          <w:tcPr>
            <w:tcW w:w="466" w:type="dxa"/>
            <w:vMerge w:val="restart"/>
            <w:tcBorders>
              <w:tl2br w:val="nil"/>
              <w:tr2bl w:val="nil"/>
            </w:tcBorders>
            <w:vAlign w:val="center"/>
          </w:tcPr>
          <w:p w14:paraId="24E2B0CF">
            <w:pPr>
              <w:pStyle w:val="44"/>
              <w:bidi w:val="0"/>
              <w:rPr>
                <w:rFonts w:hint="default" w:ascii="Times New Roman" w:hAnsi="Times New Roman" w:cs="Times New Roman"/>
                <w:color w:val="auto"/>
              </w:rPr>
            </w:pPr>
            <w:r>
              <w:rPr>
                <w:rFonts w:hint="default" w:ascii="Times New Roman" w:hAnsi="Times New Roman" w:cs="Times New Roman"/>
                <w:color w:val="auto"/>
              </w:rPr>
              <w:t>中</w:t>
            </w:r>
          </w:p>
          <w:p w14:paraId="3344B835">
            <w:pPr>
              <w:pStyle w:val="44"/>
              <w:bidi w:val="0"/>
              <w:rPr>
                <w:rFonts w:hint="default" w:ascii="Times New Roman" w:hAnsi="Times New Roman" w:cs="Times New Roman"/>
                <w:color w:val="auto"/>
              </w:rPr>
            </w:pPr>
          </w:p>
          <w:p w14:paraId="17E27A09">
            <w:pPr>
              <w:pStyle w:val="44"/>
              <w:bidi w:val="0"/>
              <w:rPr>
                <w:rFonts w:hint="default" w:ascii="Times New Roman" w:hAnsi="Times New Roman" w:cs="Times New Roman"/>
                <w:color w:val="auto"/>
              </w:rPr>
            </w:pPr>
          </w:p>
          <w:p w14:paraId="76FE52C7">
            <w:pPr>
              <w:pStyle w:val="44"/>
              <w:bidi w:val="0"/>
              <w:rPr>
                <w:rFonts w:hint="default" w:ascii="Times New Roman" w:hAnsi="Times New Roman" w:cs="Times New Roman"/>
                <w:color w:val="auto"/>
              </w:rPr>
            </w:pPr>
          </w:p>
          <w:p w14:paraId="7A4DB146">
            <w:pPr>
              <w:pStyle w:val="44"/>
              <w:bidi w:val="0"/>
              <w:rPr>
                <w:rFonts w:hint="default" w:ascii="Times New Roman" w:hAnsi="Times New Roman" w:cs="Times New Roman"/>
                <w:color w:val="auto"/>
              </w:rPr>
            </w:pPr>
            <w:r>
              <w:rPr>
                <w:rFonts w:hint="default" w:ascii="Times New Roman" w:hAnsi="Times New Roman" w:cs="Times New Roman"/>
                <w:color w:val="auto"/>
              </w:rPr>
              <w:t>统</w:t>
            </w:r>
          </w:p>
        </w:tc>
        <w:tc>
          <w:tcPr>
            <w:tcW w:w="924" w:type="dxa"/>
            <w:gridSpan w:val="2"/>
            <w:tcBorders>
              <w:tl2br w:val="nil"/>
              <w:tr2bl w:val="nil"/>
            </w:tcBorders>
            <w:vAlign w:val="center"/>
          </w:tcPr>
          <w:p w14:paraId="15C29F9C">
            <w:pPr>
              <w:pStyle w:val="44"/>
              <w:bidi w:val="0"/>
              <w:rPr>
                <w:rFonts w:hint="default" w:ascii="Times New Roman" w:hAnsi="Times New Roman" w:cs="Times New Roman"/>
                <w:color w:val="auto"/>
              </w:rPr>
            </w:pPr>
            <w:r>
              <w:rPr>
                <w:rFonts w:hint="default" w:ascii="Times New Roman" w:hAnsi="Times New Roman" w:cs="Times New Roman"/>
                <w:color w:val="auto"/>
              </w:rPr>
              <w:t>红星</w:t>
            </w:r>
          </w:p>
          <w:p w14:paraId="55DEF489">
            <w:pPr>
              <w:pStyle w:val="44"/>
              <w:bidi w:val="0"/>
              <w:rPr>
                <w:rFonts w:hint="default" w:ascii="Times New Roman" w:hAnsi="Times New Roman" w:cs="Times New Roman"/>
                <w:color w:val="auto"/>
              </w:rPr>
            </w:pPr>
            <w:r>
              <w:rPr>
                <w:rFonts w:hint="default" w:ascii="Times New Roman" w:hAnsi="Times New Roman" w:cs="Times New Roman"/>
                <w:color w:val="auto"/>
              </w:rPr>
              <w:t>城组</w:t>
            </w:r>
          </w:p>
        </w:tc>
        <w:tc>
          <w:tcPr>
            <w:tcW w:w="504" w:type="dxa"/>
            <w:tcBorders>
              <w:tl2br w:val="nil"/>
              <w:tr2bl w:val="nil"/>
            </w:tcBorders>
            <w:vAlign w:val="center"/>
          </w:tcPr>
          <w:p w14:paraId="5DADB653">
            <w:pPr>
              <w:pStyle w:val="44"/>
              <w:bidi w:val="0"/>
              <w:rPr>
                <w:rFonts w:hint="default" w:ascii="Times New Roman" w:hAnsi="Times New Roman" w:cs="Times New Roman"/>
                <w:color w:val="auto"/>
              </w:rPr>
            </w:pPr>
            <w:r>
              <w:rPr>
                <w:rFonts w:hint="default" w:ascii="Times New Roman" w:hAnsi="Times New Roman" w:cs="Times New Roman"/>
                <w:color w:val="auto"/>
              </w:rPr>
              <w:t>J2h</w:t>
            </w:r>
          </w:p>
        </w:tc>
        <w:tc>
          <w:tcPr>
            <w:tcW w:w="600" w:type="dxa"/>
            <w:tcBorders>
              <w:tl2br w:val="nil"/>
              <w:tr2bl w:val="nil"/>
            </w:tcBorders>
            <w:vAlign w:val="center"/>
          </w:tcPr>
          <w:p w14:paraId="29ADCF8C">
            <w:pPr>
              <w:pStyle w:val="44"/>
              <w:bidi w:val="0"/>
              <w:rPr>
                <w:rFonts w:hint="default" w:ascii="Times New Roman" w:hAnsi="Times New Roman" w:cs="Times New Roman"/>
                <w:color w:val="auto"/>
              </w:rPr>
            </w:pPr>
            <w:r>
              <w:rPr>
                <w:rFonts w:hint="default" w:ascii="Times New Roman" w:hAnsi="Times New Roman" w:cs="Times New Roman"/>
                <w:color w:val="auto"/>
              </w:rPr>
              <w:t>633</w:t>
            </w:r>
          </w:p>
        </w:tc>
        <w:tc>
          <w:tcPr>
            <w:tcW w:w="1528" w:type="dxa"/>
            <w:gridSpan w:val="2"/>
            <w:tcBorders>
              <w:tl2br w:val="nil"/>
              <w:tr2bl w:val="nil"/>
            </w:tcBorders>
            <w:vAlign w:val="center"/>
          </w:tcPr>
          <w:p w14:paraId="0E4E5ACB">
            <w:pPr>
              <w:pStyle w:val="44"/>
              <w:bidi w:val="0"/>
              <w:rPr>
                <w:rFonts w:hint="default" w:ascii="Times New Roman" w:hAnsi="Times New Roman" w:cs="Times New Roman"/>
                <w:color w:val="auto"/>
              </w:rPr>
            </w:pPr>
            <w:r>
              <w:rPr>
                <w:rFonts w:hint="default" w:ascii="Times New Roman" w:hAnsi="Times New Roman" w:cs="Times New Roman"/>
                <w:color w:val="auto"/>
              </w:rPr>
              <w:t>鸡东县东大山、鸡东县西北部有零星出露</w:t>
            </w:r>
          </w:p>
        </w:tc>
        <w:tc>
          <w:tcPr>
            <w:tcW w:w="3709" w:type="dxa"/>
            <w:gridSpan w:val="2"/>
            <w:tcBorders>
              <w:tl2br w:val="nil"/>
              <w:tr2bl w:val="nil"/>
            </w:tcBorders>
            <w:vAlign w:val="center"/>
          </w:tcPr>
          <w:p w14:paraId="7242276A">
            <w:pPr>
              <w:pStyle w:val="44"/>
              <w:bidi w:val="0"/>
              <w:rPr>
                <w:rFonts w:hint="default" w:ascii="Times New Roman" w:hAnsi="Times New Roman" w:cs="Times New Roman"/>
                <w:color w:val="auto"/>
              </w:rPr>
            </w:pPr>
            <w:r>
              <w:rPr>
                <w:rFonts w:hint="default" w:ascii="Times New Roman" w:hAnsi="Times New Roman" w:cs="Times New Roman"/>
                <w:color w:val="auto"/>
              </w:rPr>
              <w:t>黄褐色、浅灰色细粒长石砂岩、钙质砂岩、凝灰岩，粉砂质板岩组成。</w:t>
            </w:r>
          </w:p>
        </w:tc>
      </w:tr>
      <w:tr w14:paraId="15CA3F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gridAfter w:val="1"/>
          <w:wAfter w:w="14" w:type="dxa"/>
          <w:cantSplit/>
          <w:trHeight w:val="532" w:hRule="atLeast"/>
          <w:jc w:val="center"/>
        </w:trPr>
        <w:tc>
          <w:tcPr>
            <w:tcW w:w="397" w:type="dxa"/>
            <w:vMerge w:val="continue"/>
            <w:tcBorders>
              <w:tl2br w:val="nil"/>
              <w:tr2bl w:val="nil"/>
            </w:tcBorders>
            <w:vAlign w:val="center"/>
          </w:tcPr>
          <w:p w14:paraId="3680EA2F">
            <w:pPr>
              <w:pStyle w:val="44"/>
              <w:bidi w:val="0"/>
              <w:rPr>
                <w:rFonts w:hint="default" w:ascii="Times New Roman" w:hAnsi="Times New Roman" w:cs="Times New Roman"/>
                <w:color w:val="auto"/>
              </w:rPr>
            </w:pPr>
          </w:p>
        </w:tc>
        <w:tc>
          <w:tcPr>
            <w:tcW w:w="397" w:type="dxa"/>
            <w:vMerge w:val="continue"/>
            <w:tcBorders>
              <w:tl2br w:val="nil"/>
              <w:tr2bl w:val="nil"/>
            </w:tcBorders>
            <w:vAlign w:val="center"/>
          </w:tcPr>
          <w:p w14:paraId="6A254E1A">
            <w:pPr>
              <w:pStyle w:val="44"/>
              <w:bidi w:val="0"/>
              <w:rPr>
                <w:rFonts w:hint="default" w:ascii="Times New Roman" w:hAnsi="Times New Roman" w:cs="Times New Roman"/>
                <w:color w:val="auto"/>
              </w:rPr>
            </w:pPr>
          </w:p>
        </w:tc>
        <w:tc>
          <w:tcPr>
            <w:tcW w:w="466" w:type="dxa"/>
            <w:vMerge w:val="continue"/>
            <w:tcBorders>
              <w:tl2br w:val="nil"/>
              <w:tr2bl w:val="nil"/>
            </w:tcBorders>
            <w:vAlign w:val="center"/>
          </w:tcPr>
          <w:p w14:paraId="5D59A80E">
            <w:pPr>
              <w:pStyle w:val="44"/>
              <w:bidi w:val="0"/>
              <w:rPr>
                <w:rFonts w:hint="default" w:ascii="Times New Roman" w:hAnsi="Times New Roman" w:cs="Times New Roman"/>
                <w:color w:val="auto"/>
              </w:rPr>
            </w:pPr>
          </w:p>
        </w:tc>
        <w:tc>
          <w:tcPr>
            <w:tcW w:w="924" w:type="dxa"/>
            <w:gridSpan w:val="2"/>
            <w:tcBorders>
              <w:tl2br w:val="nil"/>
              <w:tr2bl w:val="nil"/>
            </w:tcBorders>
            <w:vAlign w:val="center"/>
          </w:tcPr>
          <w:p w14:paraId="6723A828">
            <w:pPr>
              <w:pStyle w:val="44"/>
              <w:bidi w:val="0"/>
              <w:rPr>
                <w:rFonts w:hint="default" w:ascii="Times New Roman" w:hAnsi="Times New Roman" w:cs="Times New Roman"/>
                <w:color w:val="auto"/>
              </w:rPr>
            </w:pPr>
            <w:r>
              <w:rPr>
                <w:rFonts w:hint="default" w:ascii="Times New Roman" w:hAnsi="Times New Roman" w:cs="Times New Roman"/>
                <w:color w:val="auto"/>
              </w:rPr>
              <w:t>七虎林河组</w:t>
            </w:r>
          </w:p>
        </w:tc>
        <w:tc>
          <w:tcPr>
            <w:tcW w:w="504" w:type="dxa"/>
            <w:tcBorders>
              <w:tl2br w:val="nil"/>
              <w:tr2bl w:val="nil"/>
            </w:tcBorders>
            <w:vAlign w:val="center"/>
          </w:tcPr>
          <w:p w14:paraId="713CAA36">
            <w:pPr>
              <w:pStyle w:val="44"/>
              <w:bidi w:val="0"/>
              <w:rPr>
                <w:rFonts w:hint="default" w:ascii="Times New Roman" w:hAnsi="Times New Roman" w:cs="Times New Roman"/>
                <w:color w:val="auto"/>
              </w:rPr>
            </w:pPr>
            <w:r>
              <w:rPr>
                <w:rFonts w:hint="default" w:ascii="Times New Roman" w:hAnsi="Times New Roman" w:cs="Times New Roman"/>
                <w:color w:val="auto"/>
              </w:rPr>
              <w:t>J2q</w:t>
            </w:r>
          </w:p>
        </w:tc>
        <w:tc>
          <w:tcPr>
            <w:tcW w:w="600" w:type="dxa"/>
            <w:tcBorders>
              <w:tl2br w:val="nil"/>
              <w:tr2bl w:val="nil"/>
            </w:tcBorders>
            <w:vAlign w:val="center"/>
          </w:tcPr>
          <w:p w14:paraId="02F74EB1">
            <w:pPr>
              <w:pStyle w:val="44"/>
              <w:bidi w:val="0"/>
              <w:rPr>
                <w:rFonts w:hint="default" w:ascii="Times New Roman" w:hAnsi="Times New Roman" w:cs="Times New Roman"/>
                <w:color w:val="auto"/>
              </w:rPr>
            </w:pPr>
            <w:r>
              <w:rPr>
                <w:rFonts w:hint="default" w:ascii="Times New Roman" w:hAnsi="Times New Roman" w:cs="Times New Roman"/>
                <w:color w:val="auto"/>
              </w:rPr>
              <w:t>679</w:t>
            </w:r>
          </w:p>
        </w:tc>
        <w:tc>
          <w:tcPr>
            <w:tcW w:w="1528" w:type="dxa"/>
            <w:gridSpan w:val="2"/>
            <w:tcBorders>
              <w:tl2br w:val="nil"/>
              <w:tr2bl w:val="nil"/>
            </w:tcBorders>
            <w:vAlign w:val="center"/>
          </w:tcPr>
          <w:p w14:paraId="2B54FDBD">
            <w:pPr>
              <w:pStyle w:val="44"/>
              <w:bidi w:val="0"/>
              <w:rPr>
                <w:rFonts w:hint="default" w:ascii="Times New Roman" w:hAnsi="Times New Roman" w:cs="Times New Roman"/>
                <w:color w:val="auto"/>
              </w:rPr>
            </w:pPr>
            <w:r>
              <w:rPr>
                <w:rFonts w:hint="default" w:ascii="Times New Roman" w:hAnsi="Times New Roman" w:cs="Times New Roman"/>
                <w:color w:val="auto"/>
              </w:rPr>
              <w:t>鸡东县东大山鸡东县西北部零星出露</w:t>
            </w:r>
          </w:p>
        </w:tc>
        <w:tc>
          <w:tcPr>
            <w:tcW w:w="3709" w:type="dxa"/>
            <w:gridSpan w:val="2"/>
            <w:tcBorders>
              <w:tl2br w:val="nil"/>
              <w:tr2bl w:val="nil"/>
            </w:tcBorders>
            <w:vAlign w:val="center"/>
          </w:tcPr>
          <w:p w14:paraId="0745A6CF">
            <w:pPr>
              <w:pStyle w:val="44"/>
              <w:bidi w:val="0"/>
              <w:rPr>
                <w:rFonts w:hint="default" w:ascii="Times New Roman" w:hAnsi="Times New Roman" w:cs="Times New Roman"/>
                <w:color w:val="auto"/>
              </w:rPr>
            </w:pPr>
            <w:r>
              <w:rPr>
                <w:rFonts w:hint="default" w:ascii="Times New Roman" w:hAnsi="Times New Roman" w:cs="Times New Roman"/>
                <w:color w:val="auto"/>
              </w:rPr>
              <w:t>下部为粉砂岩、上部为粉砂、泥质板岩。</w:t>
            </w:r>
          </w:p>
        </w:tc>
      </w:tr>
      <w:tr w14:paraId="033308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gridAfter w:val="1"/>
          <w:wAfter w:w="14" w:type="dxa"/>
          <w:cantSplit/>
          <w:trHeight w:val="573" w:hRule="atLeast"/>
          <w:jc w:val="center"/>
        </w:trPr>
        <w:tc>
          <w:tcPr>
            <w:tcW w:w="397" w:type="dxa"/>
            <w:vMerge w:val="continue"/>
            <w:tcBorders>
              <w:tl2br w:val="nil"/>
              <w:tr2bl w:val="nil"/>
            </w:tcBorders>
            <w:vAlign w:val="center"/>
          </w:tcPr>
          <w:p w14:paraId="14A4CD87">
            <w:pPr>
              <w:pStyle w:val="44"/>
              <w:bidi w:val="0"/>
              <w:rPr>
                <w:rFonts w:hint="default" w:ascii="Times New Roman" w:hAnsi="Times New Roman" w:cs="Times New Roman"/>
                <w:color w:val="auto"/>
              </w:rPr>
            </w:pPr>
          </w:p>
        </w:tc>
        <w:tc>
          <w:tcPr>
            <w:tcW w:w="397" w:type="dxa"/>
            <w:vMerge w:val="continue"/>
            <w:tcBorders>
              <w:tl2br w:val="nil"/>
              <w:tr2bl w:val="nil"/>
            </w:tcBorders>
            <w:vAlign w:val="center"/>
          </w:tcPr>
          <w:p w14:paraId="3295EF19">
            <w:pPr>
              <w:pStyle w:val="44"/>
              <w:bidi w:val="0"/>
              <w:rPr>
                <w:rFonts w:hint="default" w:ascii="Times New Roman" w:hAnsi="Times New Roman" w:cs="Times New Roman"/>
                <w:color w:val="auto"/>
              </w:rPr>
            </w:pPr>
          </w:p>
        </w:tc>
        <w:tc>
          <w:tcPr>
            <w:tcW w:w="466" w:type="dxa"/>
            <w:vMerge w:val="continue"/>
            <w:tcBorders>
              <w:tl2br w:val="nil"/>
              <w:tr2bl w:val="nil"/>
            </w:tcBorders>
            <w:vAlign w:val="center"/>
          </w:tcPr>
          <w:p w14:paraId="0000CE06">
            <w:pPr>
              <w:pStyle w:val="44"/>
              <w:bidi w:val="0"/>
              <w:rPr>
                <w:rFonts w:hint="default" w:ascii="Times New Roman" w:hAnsi="Times New Roman" w:cs="Times New Roman"/>
                <w:color w:val="auto"/>
              </w:rPr>
            </w:pPr>
          </w:p>
        </w:tc>
        <w:tc>
          <w:tcPr>
            <w:tcW w:w="924" w:type="dxa"/>
            <w:gridSpan w:val="2"/>
            <w:tcBorders>
              <w:tl2br w:val="nil"/>
              <w:tr2bl w:val="nil"/>
            </w:tcBorders>
            <w:vAlign w:val="center"/>
          </w:tcPr>
          <w:p w14:paraId="6AB74A29">
            <w:pPr>
              <w:pStyle w:val="44"/>
              <w:bidi w:val="0"/>
              <w:rPr>
                <w:rFonts w:hint="default" w:ascii="Times New Roman" w:hAnsi="Times New Roman" w:cs="Times New Roman"/>
                <w:color w:val="auto"/>
              </w:rPr>
            </w:pPr>
            <w:r>
              <w:rPr>
                <w:rFonts w:hint="default" w:ascii="Times New Roman" w:hAnsi="Times New Roman" w:cs="Times New Roman"/>
                <w:color w:val="auto"/>
              </w:rPr>
              <w:t>裴德组</w:t>
            </w:r>
          </w:p>
        </w:tc>
        <w:tc>
          <w:tcPr>
            <w:tcW w:w="504" w:type="dxa"/>
            <w:tcBorders>
              <w:tl2br w:val="nil"/>
              <w:tr2bl w:val="nil"/>
            </w:tcBorders>
            <w:vAlign w:val="center"/>
          </w:tcPr>
          <w:p w14:paraId="021CDFFF">
            <w:pPr>
              <w:pStyle w:val="44"/>
              <w:bidi w:val="0"/>
              <w:rPr>
                <w:rFonts w:hint="default" w:ascii="Times New Roman" w:hAnsi="Times New Roman" w:cs="Times New Roman"/>
                <w:color w:val="auto"/>
              </w:rPr>
            </w:pPr>
            <w:r>
              <w:rPr>
                <w:rFonts w:hint="default" w:ascii="Times New Roman" w:hAnsi="Times New Roman" w:cs="Times New Roman"/>
                <w:color w:val="auto"/>
              </w:rPr>
              <w:t>J2p</w:t>
            </w:r>
          </w:p>
        </w:tc>
        <w:tc>
          <w:tcPr>
            <w:tcW w:w="600" w:type="dxa"/>
            <w:tcBorders>
              <w:tl2br w:val="nil"/>
              <w:tr2bl w:val="nil"/>
            </w:tcBorders>
            <w:vAlign w:val="center"/>
          </w:tcPr>
          <w:p w14:paraId="250EAF4B">
            <w:pPr>
              <w:pStyle w:val="44"/>
              <w:bidi w:val="0"/>
              <w:rPr>
                <w:rFonts w:hint="default" w:ascii="Times New Roman" w:hAnsi="Times New Roman" w:cs="Times New Roman"/>
                <w:color w:val="auto"/>
              </w:rPr>
            </w:pPr>
            <w:r>
              <w:rPr>
                <w:rFonts w:hint="default" w:ascii="Times New Roman" w:hAnsi="Times New Roman" w:cs="Times New Roman"/>
                <w:color w:val="auto"/>
              </w:rPr>
              <w:t>611</w:t>
            </w:r>
          </w:p>
        </w:tc>
        <w:tc>
          <w:tcPr>
            <w:tcW w:w="1528" w:type="dxa"/>
            <w:gridSpan w:val="2"/>
            <w:tcBorders>
              <w:tl2br w:val="nil"/>
              <w:tr2bl w:val="nil"/>
            </w:tcBorders>
            <w:vAlign w:val="center"/>
          </w:tcPr>
          <w:p w14:paraId="449F0931">
            <w:pPr>
              <w:pStyle w:val="44"/>
              <w:bidi w:val="0"/>
              <w:rPr>
                <w:rFonts w:hint="default" w:ascii="Times New Roman" w:hAnsi="Times New Roman" w:cs="Times New Roman"/>
                <w:color w:val="auto"/>
              </w:rPr>
            </w:pPr>
            <w:r>
              <w:rPr>
                <w:rFonts w:hint="default" w:ascii="Times New Roman" w:hAnsi="Times New Roman" w:cs="Times New Roman"/>
                <w:color w:val="auto"/>
              </w:rPr>
              <w:t>鸡东县东大山鸡东县西北部</w:t>
            </w:r>
          </w:p>
        </w:tc>
        <w:tc>
          <w:tcPr>
            <w:tcW w:w="3709" w:type="dxa"/>
            <w:gridSpan w:val="2"/>
            <w:tcBorders>
              <w:tl2br w:val="nil"/>
              <w:tr2bl w:val="nil"/>
            </w:tcBorders>
            <w:vAlign w:val="center"/>
          </w:tcPr>
          <w:p w14:paraId="77074687">
            <w:pPr>
              <w:pStyle w:val="44"/>
              <w:bidi w:val="0"/>
              <w:rPr>
                <w:rFonts w:hint="default" w:ascii="Times New Roman" w:hAnsi="Times New Roman" w:cs="Times New Roman"/>
                <w:color w:val="auto"/>
              </w:rPr>
            </w:pPr>
            <w:r>
              <w:rPr>
                <w:rFonts w:hint="default" w:ascii="Times New Roman" w:hAnsi="Times New Roman" w:cs="Times New Roman"/>
                <w:color w:val="auto"/>
              </w:rPr>
              <w:t>砾岩、砂岩夹煤、火山角砾、凝灰岩、砂岩夹煤。</w:t>
            </w:r>
          </w:p>
        </w:tc>
      </w:tr>
      <w:tr w14:paraId="3D508E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gridAfter w:val="1"/>
          <w:wAfter w:w="14" w:type="dxa"/>
          <w:cantSplit/>
          <w:trHeight w:val="587" w:hRule="atLeast"/>
          <w:jc w:val="center"/>
        </w:trPr>
        <w:tc>
          <w:tcPr>
            <w:tcW w:w="397" w:type="dxa"/>
            <w:vMerge w:val="continue"/>
            <w:tcBorders>
              <w:tl2br w:val="nil"/>
              <w:tr2bl w:val="nil"/>
            </w:tcBorders>
            <w:vAlign w:val="center"/>
          </w:tcPr>
          <w:p w14:paraId="3D927442">
            <w:pPr>
              <w:pStyle w:val="44"/>
              <w:bidi w:val="0"/>
              <w:rPr>
                <w:rFonts w:hint="default" w:ascii="Times New Roman" w:hAnsi="Times New Roman" w:cs="Times New Roman"/>
                <w:color w:val="auto"/>
              </w:rPr>
            </w:pPr>
          </w:p>
        </w:tc>
        <w:tc>
          <w:tcPr>
            <w:tcW w:w="397" w:type="dxa"/>
            <w:vMerge w:val="restart"/>
            <w:tcBorders>
              <w:tl2br w:val="nil"/>
              <w:tr2bl w:val="nil"/>
            </w:tcBorders>
            <w:vAlign w:val="center"/>
          </w:tcPr>
          <w:p w14:paraId="037D2AF6">
            <w:pPr>
              <w:pStyle w:val="44"/>
              <w:bidi w:val="0"/>
              <w:rPr>
                <w:rFonts w:hint="default" w:ascii="Times New Roman" w:hAnsi="Times New Roman" w:cs="Times New Roman"/>
                <w:color w:val="auto"/>
              </w:rPr>
            </w:pPr>
            <w:r>
              <w:rPr>
                <w:rFonts w:hint="default" w:ascii="Times New Roman" w:hAnsi="Times New Roman" w:cs="Times New Roman"/>
                <w:color w:val="auto"/>
              </w:rPr>
              <w:t>二叠系</w:t>
            </w:r>
          </w:p>
        </w:tc>
        <w:tc>
          <w:tcPr>
            <w:tcW w:w="466" w:type="dxa"/>
            <w:vMerge w:val="restart"/>
            <w:tcBorders>
              <w:tl2br w:val="nil"/>
              <w:tr2bl w:val="nil"/>
            </w:tcBorders>
            <w:vAlign w:val="center"/>
          </w:tcPr>
          <w:p w14:paraId="7A1C013F">
            <w:pPr>
              <w:pStyle w:val="44"/>
              <w:bidi w:val="0"/>
              <w:rPr>
                <w:rFonts w:hint="default" w:ascii="Times New Roman" w:hAnsi="Times New Roman" w:cs="Times New Roman"/>
                <w:color w:val="auto"/>
              </w:rPr>
            </w:pPr>
            <w:r>
              <w:rPr>
                <w:rFonts w:hint="default" w:ascii="Times New Roman" w:hAnsi="Times New Roman" w:cs="Times New Roman"/>
                <w:color w:val="auto"/>
              </w:rPr>
              <w:t>上</w:t>
            </w:r>
          </w:p>
          <w:p w14:paraId="7A5C3908">
            <w:pPr>
              <w:pStyle w:val="44"/>
              <w:bidi w:val="0"/>
              <w:rPr>
                <w:rFonts w:hint="default" w:ascii="Times New Roman" w:hAnsi="Times New Roman" w:cs="Times New Roman"/>
                <w:color w:val="auto"/>
              </w:rPr>
            </w:pPr>
          </w:p>
          <w:p w14:paraId="59C23BDB">
            <w:pPr>
              <w:pStyle w:val="44"/>
              <w:bidi w:val="0"/>
              <w:rPr>
                <w:rFonts w:hint="default" w:ascii="Times New Roman" w:hAnsi="Times New Roman" w:cs="Times New Roman"/>
                <w:color w:val="auto"/>
              </w:rPr>
            </w:pPr>
            <w:r>
              <w:rPr>
                <w:rFonts w:hint="default" w:ascii="Times New Roman" w:hAnsi="Times New Roman" w:cs="Times New Roman"/>
                <w:color w:val="auto"/>
              </w:rPr>
              <w:t>统</w:t>
            </w:r>
          </w:p>
        </w:tc>
        <w:tc>
          <w:tcPr>
            <w:tcW w:w="924" w:type="dxa"/>
            <w:gridSpan w:val="2"/>
            <w:tcBorders>
              <w:tl2br w:val="nil"/>
              <w:tr2bl w:val="nil"/>
            </w:tcBorders>
            <w:vAlign w:val="center"/>
          </w:tcPr>
          <w:p w14:paraId="1B4E25C6">
            <w:pPr>
              <w:pStyle w:val="44"/>
              <w:bidi w:val="0"/>
              <w:rPr>
                <w:rFonts w:hint="default" w:ascii="Times New Roman" w:hAnsi="Times New Roman" w:cs="Times New Roman"/>
                <w:color w:val="auto"/>
              </w:rPr>
            </w:pPr>
            <w:r>
              <w:rPr>
                <w:rFonts w:hint="default" w:ascii="Times New Roman" w:hAnsi="Times New Roman" w:cs="Times New Roman"/>
                <w:color w:val="auto"/>
              </w:rPr>
              <w:t>乐平统</w:t>
            </w:r>
          </w:p>
        </w:tc>
        <w:tc>
          <w:tcPr>
            <w:tcW w:w="504" w:type="dxa"/>
            <w:tcBorders>
              <w:tl2br w:val="nil"/>
              <w:tr2bl w:val="nil"/>
            </w:tcBorders>
            <w:vAlign w:val="center"/>
          </w:tcPr>
          <w:p w14:paraId="5A1444C1">
            <w:pPr>
              <w:pStyle w:val="44"/>
              <w:bidi w:val="0"/>
              <w:rPr>
                <w:rFonts w:hint="default" w:ascii="Times New Roman" w:hAnsi="Times New Roman" w:cs="Times New Roman"/>
                <w:color w:val="auto"/>
              </w:rPr>
            </w:pPr>
            <w:r>
              <w:rPr>
                <w:rFonts w:hint="default" w:ascii="Times New Roman" w:hAnsi="Times New Roman" w:cs="Times New Roman"/>
                <w:color w:val="auto"/>
              </w:rPr>
              <w:t>T3</w:t>
            </w:r>
          </w:p>
        </w:tc>
        <w:tc>
          <w:tcPr>
            <w:tcW w:w="600" w:type="dxa"/>
            <w:tcBorders>
              <w:tl2br w:val="nil"/>
              <w:tr2bl w:val="nil"/>
            </w:tcBorders>
            <w:vAlign w:val="center"/>
          </w:tcPr>
          <w:p w14:paraId="5F4B5EAE">
            <w:pPr>
              <w:pStyle w:val="44"/>
              <w:bidi w:val="0"/>
              <w:rPr>
                <w:rFonts w:hint="default" w:ascii="Times New Roman" w:hAnsi="Times New Roman" w:cs="Times New Roman"/>
                <w:color w:val="auto"/>
              </w:rPr>
            </w:pPr>
            <w:r>
              <w:rPr>
                <w:rFonts w:hint="default" w:ascii="Times New Roman" w:hAnsi="Times New Roman" w:cs="Times New Roman"/>
                <w:color w:val="auto"/>
              </w:rPr>
              <w:t>&gt;828</w:t>
            </w:r>
          </w:p>
        </w:tc>
        <w:tc>
          <w:tcPr>
            <w:tcW w:w="1528" w:type="dxa"/>
            <w:gridSpan w:val="2"/>
            <w:tcBorders>
              <w:tl2br w:val="nil"/>
              <w:tr2bl w:val="nil"/>
            </w:tcBorders>
            <w:vAlign w:val="center"/>
          </w:tcPr>
          <w:p w14:paraId="19990B6F">
            <w:pPr>
              <w:pStyle w:val="44"/>
              <w:bidi w:val="0"/>
              <w:rPr>
                <w:rFonts w:hint="default" w:ascii="Times New Roman" w:hAnsi="Times New Roman" w:cs="Times New Roman"/>
                <w:color w:val="auto"/>
              </w:rPr>
            </w:pPr>
            <w:r>
              <w:rPr>
                <w:rFonts w:hint="default" w:ascii="Times New Roman" w:hAnsi="Times New Roman" w:cs="Times New Roman"/>
                <w:color w:val="auto"/>
              </w:rPr>
              <w:t>在西大翁、四山林场一带</w:t>
            </w:r>
          </w:p>
        </w:tc>
        <w:tc>
          <w:tcPr>
            <w:tcW w:w="3709" w:type="dxa"/>
            <w:gridSpan w:val="2"/>
            <w:tcBorders>
              <w:tl2br w:val="nil"/>
              <w:tr2bl w:val="nil"/>
            </w:tcBorders>
            <w:vAlign w:val="center"/>
          </w:tcPr>
          <w:p w14:paraId="397532A7">
            <w:pPr>
              <w:pStyle w:val="44"/>
              <w:bidi w:val="0"/>
              <w:rPr>
                <w:rFonts w:hint="default" w:ascii="Times New Roman" w:hAnsi="Times New Roman" w:cs="Times New Roman"/>
                <w:color w:val="auto"/>
              </w:rPr>
            </w:pPr>
            <w:r>
              <w:rPr>
                <w:rFonts w:hint="default" w:ascii="Times New Roman" w:hAnsi="Times New Roman" w:cs="Times New Roman"/>
                <w:color w:val="auto"/>
              </w:rPr>
              <w:t>黑龙江增生杂岩、张广才岭杂岩</w:t>
            </w:r>
          </w:p>
        </w:tc>
      </w:tr>
      <w:tr w14:paraId="567A4C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gridAfter w:val="1"/>
          <w:wAfter w:w="14" w:type="dxa"/>
          <w:cantSplit/>
          <w:trHeight w:val="311" w:hRule="atLeast"/>
          <w:jc w:val="center"/>
        </w:trPr>
        <w:tc>
          <w:tcPr>
            <w:tcW w:w="397" w:type="dxa"/>
            <w:vMerge w:val="continue"/>
            <w:tcBorders>
              <w:tl2br w:val="nil"/>
              <w:tr2bl w:val="nil"/>
            </w:tcBorders>
            <w:vAlign w:val="center"/>
          </w:tcPr>
          <w:p w14:paraId="35FC8D8A">
            <w:pPr>
              <w:pStyle w:val="44"/>
              <w:bidi w:val="0"/>
              <w:rPr>
                <w:rFonts w:hint="default" w:ascii="Times New Roman" w:hAnsi="Times New Roman" w:cs="Times New Roman"/>
                <w:color w:val="auto"/>
              </w:rPr>
            </w:pPr>
          </w:p>
        </w:tc>
        <w:tc>
          <w:tcPr>
            <w:tcW w:w="397" w:type="dxa"/>
            <w:vMerge w:val="continue"/>
            <w:tcBorders>
              <w:tl2br w:val="nil"/>
              <w:tr2bl w:val="nil"/>
            </w:tcBorders>
            <w:vAlign w:val="center"/>
          </w:tcPr>
          <w:p w14:paraId="1A929DC2">
            <w:pPr>
              <w:pStyle w:val="44"/>
              <w:bidi w:val="0"/>
              <w:rPr>
                <w:rFonts w:hint="default" w:ascii="Times New Roman" w:hAnsi="Times New Roman" w:cs="Times New Roman"/>
                <w:color w:val="auto"/>
              </w:rPr>
            </w:pPr>
          </w:p>
        </w:tc>
        <w:tc>
          <w:tcPr>
            <w:tcW w:w="466" w:type="dxa"/>
            <w:vMerge w:val="continue"/>
            <w:tcBorders>
              <w:tl2br w:val="nil"/>
              <w:tr2bl w:val="nil"/>
            </w:tcBorders>
            <w:vAlign w:val="center"/>
          </w:tcPr>
          <w:p w14:paraId="088B7564">
            <w:pPr>
              <w:pStyle w:val="44"/>
              <w:bidi w:val="0"/>
              <w:rPr>
                <w:rFonts w:hint="default" w:ascii="Times New Roman" w:hAnsi="Times New Roman" w:cs="Times New Roman"/>
                <w:color w:val="auto"/>
              </w:rPr>
            </w:pPr>
          </w:p>
        </w:tc>
        <w:tc>
          <w:tcPr>
            <w:tcW w:w="924" w:type="dxa"/>
            <w:gridSpan w:val="2"/>
            <w:vMerge w:val="restart"/>
            <w:tcBorders>
              <w:tl2br w:val="nil"/>
              <w:tr2bl w:val="nil"/>
            </w:tcBorders>
            <w:vAlign w:val="center"/>
          </w:tcPr>
          <w:p w14:paraId="66A49FCB">
            <w:pPr>
              <w:pStyle w:val="44"/>
              <w:bidi w:val="0"/>
              <w:rPr>
                <w:rFonts w:hint="default" w:ascii="Times New Roman" w:hAnsi="Times New Roman" w:cs="Times New Roman"/>
                <w:color w:val="auto"/>
              </w:rPr>
            </w:pPr>
            <w:r>
              <w:rPr>
                <w:rFonts w:hint="default" w:ascii="Times New Roman" w:hAnsi="Times New Roman" w:cs="Times New Roman"/>
                <w:color w:val="auto"/>
              </w:rPr>
              <w:t>兴利组</w:t>
            </w:r>
          </w:p>
        </w:tc>
        <w:tc>
          <w:tcPr>
            <w:tcW w:w="504" w:type="dxa"/>
            <w:vMerge w:val="restart"/>
            <w:tcBorders>
              <w:tl2br w:val="nil"/>
              <w:tr2bl w:val="nil"/>
            </w:tcBorders>
            <w:vAlign w:val="center"/>
          </w:tcPr>
          <w:p w14:paraId="7099C489">
            <w:pPr>
              <w:pStyle w:val="44"/>
              <w:bidi w:val="0"/>
              <w:rPr>
                <w:rFonts w:hint="default" w:ascii="Times New Roman" w:hAnsi="Times New Roman" w:cs="Times New Roman"/>
                <w:color w:val="auto"/>
              </w:rPr>
            </w:pPr>
            <w:r>
              <w:rPr>
                <w:rFonts w:hint="default" w:ascii="Times New Roman" w:hAnsi="Times New Roman" w:cs="Times New Roman"/>
                <w:color w:val="auto"/>
              </w:rPr>
              <w:t>P2-TlX</w:t>
            </w:r>
          </w:p>
        </w:tc>
        <w:tc>
          <w:tcPr>
            <w:tcW w:w="600" w:type="dxa"/>
            <w:vMerge w:val="restart"/>
            <w:tcBorders>
              <w:tl2br w:val="nil"/>
              <w:tr2bl w:val="nil"/>
            </w:tcBorders>
            <w:vAlign w:val="center"/>
          </w:tcPr>
          <w:p w14:paraId="07BED174">
            <w:pPr>
              <w:pStyle w:val="44"/>
              <w:bidi w:val="0"/>
              <w:rPr>
                <w:rFonts w:hint="default" w:ascii="Times New Roman" w:hAnsi="Times New Roman" w:cs="Times New Roman"/>
                <w:color w:val="auto"/>
              </w:rPr>
            </w:pPr>
            <w:r>
              <w:rPr>
                <w:rFonts w:hint="default" w:ascii="Times New Roman" w:hAnsi="Times New Roman" w:cs="Times New Roman"/>
                <w:color w:val="auto"/>
              </w:rPr>
              <w:t>&gt;77</w:t>
            </w:r>
          </w:p>
        </w:tc>
        <w:tc>
          <w:tcPr>
            <w:tcW w:w="1528" w:type="dxa"/>
            <w:gridSpan w:val="2"/>
            <w:vMerge w:val="restart"/>
            <w:tcBorders>
              <w:tl2br w:val="nil"/>
              <w:tr2bl w:val="nil"/>
            </w:tcBorders>
            <w:vAlign w:val="center"/>
          </w:tcPr>
          <w:p w14:paraId="5B6BF6E9">
            <w:pPr>
              <w:pStyle w:val="44"/>
              <w:bidi w:val="0"/>
              <w:rPr>
                <w:rFonts w:hint="default" w:ascii="Times New Roman" w:hAnsi="Times New Roman" w:cs="Times New Roman"/>
                <w:color w:val="auto"/>
              </w:rPr>
            </w:pPr>
            <w:r>
              <w:rPr>
                <w:rFonts w:hint="default" w:ascii="Times New Roman" w:hAnsi="Times New Roman" w:cs="Times New Roman"/>
                <w:color w:val="auto"/>
              </w:rPr>
              <w:t>在本部南山～向阳水库一带</w:t>
            </w:r>
          </w:p>
        </w:tc>
        <w:tc>
          <w:tcPr>
            <w:tcW w:w="3709" w:type="dxa"/>
            <w:gridSpan w:val="2"/>
            <w:vMerge w:val="restart"/>
            <w:tcBorders>
              <w:tl2br w:val="nil"/>
              <w:tr2bl w:val="nil"/>
            </w:tcBorders>
            <w:vAlign w:val="center"/>
          </w:tcPr>
          <w:p w14:paraId="4DE17622">
            <w:pPr>
              <w:pStyle w:val="44"/>
              <w:bidi w:val="0"/>
              <w:rPr>
                <w:rFonts w:hint="default" w:ascii="Times New Roman" w:hAnsi="Times New Roman" w:cs="Times New Roman"/>
                <w:color w:val="auto"/>
              </w:rPr>
            </w:pPr>
            <w:r>
              <w:rPr>
                <w:rFonts w:hint="default" w:ascii="Times New Roman" w:hAnsi="Times New Roman" w:cs="Times New Roman"/>
                <w:color w:val="auto"/>
              </w:rPr>
              <w:t>中性火山岩、火山碎屑岩及砾岩。</w:t>
            </w:r>
          </w:p>
        </w:tc>
      </w:tr>
      <w:tr w14:paraId="32D8F2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gridAfter w:val="1"/>
          <w:wAfter w:w="14" w:type="dxa"/>
          <w:cantSplit/>
          <w:trHeight w:val="349" w:hRule="atLeast"/>
          <w:jc w:val="center"/>
        </w:trPr>
        <w:tc>
          <w:tcPr>
            <w:tcW w:w="397" w:type="dxa"/>
            <w:vMerge w:val="restart"/>
            <w:tcBorders>
              <w:tl2br w:val="nil"/>
              <w:tr2bl w:val="nil"/>
            </w:tcBorders>
            <w:vAlign w:val="center"/>
          </w:tcPr>
          <w:p w14:paraId="73C9CAFD">
            <w:pPr>
              <w:pStyle w:val="44"/>
              <w:bidi w:val="0"/>
              <w:rPr>
                <w:rFonts w:hint="default" w:ascii="Times New Roman" w:hAnsi="Times New Roman" w:cs="Times New Roman"/>
                <w:color w:val="auto"/>
              </w:rPr>
            </w:pPr>
            <w:r>
              <w:rPr>
                <w:rFonts w:hint="default" w:ascii="Times New Roman" w:hAnsi="Times New Roman" w:cs="Times New Roman"/>
                <w:color w:val="auto"/>
              </w:rPr>
              <w:t>古</w:t>
            </w:r>
          </w:p>
          <w:p w14:paraId="6157C319">
            <w:pPr>
              <w:pStyle w:val="44"/>
              <w:bidi w:val="0"/>
              <w:rPr>
                <w:rFonts w:hint="default" w:ascii="Times New Roman" w:hAnsi="Times New Roman" w:cs="Times New Roman"/>
                <w:color w:val="auto"/>
              </w:rPr>
            </w:pPr>
          </w:p>
          <w:p w14:paraId="51421FDF">
            <w:pPr>
              <w:pStyle w:val="44"/>
              <w:bidi w:val="0"/>
              <w:rPr>
                <w:rFonts w:hint="default" w:ascii="Times New Roman" w:hAnsi="Times New Roman" w:cs="Times New Roman"/>
                <w:color w:val="auto"/>
              </w:rPr>
            </w:pPr>
          </w:p>
          <w:p w14:paraId="464F956D">
            <w:pPr>
              <w:pStyle w:val="44"/>
              <w:bidi w:val="0"/>
              <w:rPr>
                <w:rFonts w:hint="default" w:ascii="Times New Roman" w:hAnsi="Times New Roman" w:cs="Times New Roman"/>
                <w:color w:val="auto"/>
              </w:rPr>
            </w:pPr>
            <w:r>
              <w:rPr>
                <w:rFonts w:hint="default" w:ascii="Times New Roman" w:hAnsi="Times New Roman" w:cs="Times New Roman"/>
                <w:color w:val="auto"/>
              </w:rPr>
              <w:t>生</w:t>
            </w:r>
          </w:p>
          <w:p w14:paraId="06F61097">
            <w:pPr>
              <w:pStyle w:val="44"/>
              <w:bidi w:val="0"/>
              <w:rPr>
                <w:rFonts w:hint="default" w:ascii="Times New Roman" w:hAnsi="Times New Roman" w:cs="Times New Roman"/>
                <w:color w:val="auto"/>
              </w:rPr>
            </w:pPr>
          </w:p>
          <w:p w14:paraId="7E99F3DB">
            <w:pPr>
              <w:pStyle w:val="44"/>
              <w:bidi w:val="0"/>
              <w:rPr>
                <w:rFonts w:hint="default" w:ascii="Times New Roman" w:hAnsi="Times New Roman" w:cs="Times New Roman"/>
                <w:color w:val="auto"/>
              </w:rPr>
            </w:pPr>
          </w:p>
          <w:p w14:paraId="7D39A662">
            <w:pPr>
              <w:pStyle w:val="44"/>
              <w:bidi w:val="0"/>
              <w:rPr>
                <w:rFonts w:hint="default" w:ascii="Times New Roman" w:hAnsi="Times New Roman" w:cs="Times New Roman"/>
                <w:color w:val="auto"/>
              </w:rPr>
            </w:pPr>
            <w:r>
              <w:rPr>
                <w:rFonts w:hint="default" w:ascii="Times New Roman" w:hAnsi="Times New Roman" w:cs="Times New Roman"/>
                <w:color w:val="auto"/>
              </w:rPr>
              <w:t>界</w:t>
            </w:r>
          </w:p>
        </w:tc>
        <w:tc>
          <w:tcPr>
            <w:tcW w:w="397" w:type="dxa"/>
            <w:vMerge w:val="restart"/>
            <w:tcBorders>
              <w:tl2br w:val="nil"/>
              <w:tr2bl w:val="nil"/>
            </w:tcBorders>
            <w:vAlign w:val="center"/>
          </w:tcPr>
          <w:p w14:paraId="1751ABB1">
            <w:pPr>
              <w:pStyle w:val="44"/>
              <w:bidi w:val="0"/>
              <w:rPr>
                <w:rFonts w:hint="default" w:ascii="Times New Roman" w:hAnsi="Times New Roman" w:cs="Times New Roman"/>
                <w:color w:val="auto"/>
              </w:rPr>
            </w:pPr>
            <w:r>
              <w:rPr>
                <w:rFonts w:hint="default" w:ascii="Times New Roman" w:hAnsi="Times New Roman" w:cs="Times New Roman"/>
                <w:color w:val="auto"/>
              </w:rPr>
              <w:t>二</w:t>
            </w:r>
          </w:p>
          <w:p w14:paraId="417B484D">
            <w:pPr>
              <w:pStyle w:val="44"/>
              <w:bidi w:val="0"/>
              <w:rPr>
                <w:rFonts w:hint="default" w:ascii="Times New Roman" w:hAnsi="Times New Roman" w:cs="Times New Roman"/>
                <w:color w:val="auto"/>
              </w:rPr>
            </w:pPr>
          </w:p>
          <w:p w14:paraId="4818A91B">
            <w:pPr>
              <w:pStyle w:val="44"/>
              <w:bidi w:val="0"/>
              <w:rPr>
                <w:rFonts w:hint="default" w:ascii="Times New Roman" w:hAnsi="Times New Roman" w:cs="Times New Roman"/>
                <w:color w:val="auto"/>
              </w:rPr>
            </w:pPr>
          </w:p>
          <w:p w14:paraId="28AC31DF">
            <w:pPr>
              <w:pStyle w:val="44"/>
              <w:bidi w:val="0"/>
              <w:rPr>
                <w:rFonts w:hint="default" w:ascii="Times New Roman" w:hAnsi="Times New Roman" w:cs="Times New Roman"/>
                <w:color w:val="auto"/>
              </w:rPr>
            </w:pPr>
            <w:r>
              <w:rPr>
                <w:rFonts w:hint="default" w:ascii="Times New Roman" w:hAnsi="Times New Roman" w:cs="Times New Roman"/>
                <w:color w:val="auto"/>
              </w:rPr>
              <w:t>叠</w:t>
            </w:r>
          </w:p>
          <w:p w14:paraId="075E8D15">
            <w:pPr>
              <w:pStyle w:val="44"/>
              <w:bidi w:val="0"/>
              <w:rPr>
                <w:rFonts w:hint="default" w:ascii="Times New Roman" w:hAnsi="Times New Roman" w:cs="Times New Roman"/>
                <w:color w:val="auto"/>
              </w:rPr>
            </w:pPr>
          </w:p>
          <w:p w14:paraId="61D69946">
            <w:pPr>
              <w:pStyle w:val="44"/>
              <w:bidi w:val="0"/>
              <w:rPr>
                <w:rFonts w:hint="default" w:ascii="Times New Roman" w:hAnsi="Times New Roman" w:cs="Times New Roman"/>
                <w:color w:val="auto"/>
              </w:rPr>
            </w:pPr>
          </w:p>
          <w:p w14:paraId="26CC8060">
            <w:pPr>
              <w:pStyle w:val="44"/>
              <w:bidi w:val="0"/>
              <w:rPr>
                <w:rFonts w:hint="default" w:ascii="Times New Roman" w:hAnsi="Times New Roman" w:cs="Times New Roman"/>
                <w:color w:val="auto"/>
              </w:rPr>
            </w:pPr>
            <w:r>
              <w:rPr>
                <w:rFonts w:hint="default" w:ascii="Times New Roman" w:hAnsi="Times New Roman" w:cs="Times New Roman"/>
                <w:color w:val="auto"/>
              </w:rPr>
              <w:t>系</w:t>
            </w:r>
          </w:p>
        </w:tc>
        <w:tc>
          <w:tcPr>
            <w:tcW w:w="466" w:type="dxa"/>
            <w:vMerge w:val="restart"/>
            <w:tcBorders>
              <w:tl2br w:val="nil"/>
              <w:tr2bl w:val="nil"/>
            </w:tcBorders>
            <w:vAlign w:val="center"/>
          </w:tcPr>
          <w:p w14:paraId="2C51E910">
            <w:pPr>
              <w:pStyle w:val="44"/>
              <w:bidi w:val="0"/>
              <w:rPr>
                <w:rFonts w:hint="default" w:ascii="Times New Roman" w:hAnsi="Times New Roman" w:cs="Times New Roman"/>
                <w:color w:val="auto"/>
              </w:rPr>
            </w:pPr>
            <w:r>
              <w:rPr>
                <w:rFonts w:hint="default" w:ascii="Times New Roman" w:hAnsi="Times New Roman" w:cs="Times New Roman"/>
                <w:color w:val="auto"/>
              </w:rPr>
              <w:t>上</w:t>
            </w:r>
          </w:p>
          <w:p w14:paraId="5DC7124F">
            <w:pPr>
              <w:pStyle w:val="44"/>
              <w:bidi w:val="0"/>
              <w:rPr>
                <w:rFonts w:hint="default" w:ascii="Times New Roman" w:hAnsi="Times New Roman" w:cs="Times New Roman"/>
                <w:color w:val="auto"/>
              </w:rPr>
            </w:pPr>
          </w:p>
          <w:p w14:paraId="27EB2940">
            <w:pPr>
              <w:pStyle w:val="44"/>
              <w:bidi w:val="0"/>
              <w:rPr>
                <w:rFonts w:hint="default" w:ascii="Times New Roman" w:hAnsi="Times New Roman" w:cs="Times New Roman"/>
                <w:color w:val="auto"/>
              </w:rPr>
            </w:pPr>
            <w:r>
              <w:rPr>
                <w:rFonts w:hint="default" w:ascii="Times New Roman" w:hAnsi="Times New Roman" w:cs="Times New Roman"/>
                <w:color w:val="auto"/>
              </w:rPr>
              <w:t>统</w:t>
            </w:r>
          </w:p>
        </w:tc>
        <w:tc>
          <w:tcPr>
            <w:tcW w:w="924" w:type="dxa"/>
            <w:gridSpan w:val="2"/>
            <w:vMerge w:val="continue"/>
            <w:tcBorders>
              <w:tl2br w:val="nil"/>
              <w:tr2bl w:val="nil"/>
            </w:tcBorders>
            <w:vAlign w:val="center"/>
          </w:tcPr>
          <w:p w14:paraId="5F4A9B06">
            <w:pPr>
              <w:pStyle w:val="44"/>
              <w:bidi w:val="0"/>
              <w:rPr>
                <w:rFonts w:hint="default" w:ascii="Times New Roman" w:hAnsi="Times New Roman" w:cs="Times New Roman"/>
                <w:color w:val="auto"/>
              </w:rPr>
            </w:pPr>
          </w:p>
        </w:tc>
        <w:tc>
          <w:tcPr>
            <w:tcW w:w="504" w:type="dxa"/>
            <w:vMerge w:val="continue"/>
            <w:tcBorders>
              <w:tl2br w:val="nil"/>
              <w:tr2bl w:val="nil"/>
            </w:tcBorders>
            <w:vAlign w:val="center"/>
          </w:tcPr>
          <w:p w14:paraId="22EBF33D">
            <w:pPr>
              <w:pStyle w:val="44"/>
              <w:bidi w:val="0"/>
              <w:rPr>
                <w:rFonts w:hint="default" w:ascii="Times New Roman" w:hAnsi="Times New Roman" w:cs="Times New Roman"/>
                <w:color w:val="auto"/>
              </w:rPr>
            </w:pPr>
          </w:p>
        </w:tc>
        <w:tc>
          <w:tcPr>
            <w:tcW w:w="600" w:type="dxa"/>
            <w:vMerge w:val="continue"/>
            <w:tcBorders>
              <w:tl2br w:val="nil"/>
              <w:tr2bl w:val="nil"/>
            </w:tcBorders>
            <w:vAlign w:val="center"/>
          </w:tcPr>
          <w:p w14:paraId="7647821B">
            <w:pPr>
              <w:pStyle w:val="44"/>
              <w:bidi w:val="0"/>
              <w:rPr>
                <w:rFonts w:hint="default" w:ascii="Times New Roman" w:hAnsi="Times New Roman" w:cs="Times New Roman"/>
                <w:color w:val="auto"/>
              </w:rPr>
            </w:pPr>
          </w:p>
        </w:tc>
        <w:tc>
          <w:tcPr>
            <w:tcW w:w="1528" w:type="dxa"/>
            <w:gridSpan w:val="2"/>
            <w:vMerge w:val="continue"/>
            <w:tcBorders>
              <w:tl2br w:val="nil"/>
              <w:tr2bl w:val="nil"/>
            </w:tcBorders>
            <w:vAlign w:val="center"/>
          </w:tcPr>
          <w:p w14:paraId="3211CAA5">
            <w:pPr>
              <w:pStyle w:val="44"/>
              <w:bidi w:val="0"/>
              <w:rPr>
                <w:rFonts w:hint="default" w:ascii="Times New Roman" w:hAnsi="Times New Roman" w:cs="Times New Roman"/>
                <w:color w:val="auto"/>
              </w:rPr>
            </w:pPr>
          </w:p>
        </w:tc>
        <w:tc>
          <w:tcPr>
            <w:tcW w:w="3709" w:type="dxa"/>
            <w:gridSpan w:val="2"/>
            <w:vMerge w:val="continue"/>
            <w:tcBorders>
              <w:tl2br w:val="nil"/>
              <w:tr2bl w:val="nil"/>
            </w:tcBorders>
            <w:vAlign w:val="center"/>
          </w:tcPr>
          <w:p w14:paraId="2039B253">
            <w:pPr>
              <w:pStyle w:val="44"/>
              <w:bidi w:val="0"/>
              <w:rPr>
                <w:rFonts w:hint="default" w:ascii="Times New Roman" w:hAnsi="Times New Roman" w:cs="Times New Roman"/>
                <w:color w:val="auto"/>
              </w:rPr>
            </w:pPr>
          </w:p>
        </w:tc>
      </w:tr>
      <w:tr w14:paraId="091A7E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gridAfter w:val="1"/>
          <w:wAfter w:w="14" w:type="dxa"/>
          <w:cantSplit/>
          <w:trHeight w:val="657" w:hRule="atLeast"/>
          <w:jc w:val="center"/>
        </w:trPr>
        <w:tc>
          <w:tcPr>
            <w:tcW w:w="397" w:type="dxa"/>
            <w:vMerge w:val="continue"/>
            <w:tcBorders>
              <w:tl2br w:val="nil"/>
              <w:tr2bl w:val="nil"/>
            </w:tcBorders>
            <w:vAlign w:val="center"/>
          </w:tcPr>
          <w:p w14:paraId="7E51394A">
            <w:pPr>
              <w:pStyle w:val="44"/>
              <w:bidi w:val="0"/>
              <w:rPr>
                <w:rFonts w:hint="default" w:ascii="Times New Roman" w:hAnsi="Times New Roman" w:cs="Times New Roman"/>
                <w:color w:val="auto"/>
              </w:rPr>
            </w:pPr>
          </w:p>
        </w:tc>
        <w:tc>
          <w:tcPr>
            <w:tcW w:w="397" w:type="dxa"/>
            <w:vMerge w:val="continue"/>
            <w:tcBorders>
              <w:tl2br w:val="nil"/>
              <w:tr2bl w:val="nil"/>
            </w:tcBorders>
            <w:vAlign w:val="center"/>
          </w:tcPr>
          <w:p w14:paraId="030E6AB4">
            <w:pPr>
              <w:pStyle w:val="44"/>
              <w:bidi w:val="0"/>
              <w:rPr>
                <w:rFonts w:hint="default" w:ascii="Times New Roman" w:hAnsi="Times New Roman" w:cs="Times New Roman"/>
                <w:color w:val="auto"/>
              </w:rPr>
            </w:pPr>
          </w:p>
        </w:tc>
        <w:tc>
          <w:tcPr>
            <w:tcW w:w="466" w:type="dxa"/>
            <w:vMerge w:val="continue"/>
            <w:tcBorders>
              <w:tl2br w:val="nil"/>
              <w:tr2bl w:val="nil"/>
            </w:tcBorders>
            <w:vAlign w:val="center"/>
          </w:tcPr>
          <w:p w14:paraId="76D733E1">
            <w:pPr>
              <w:pStyle w:val="44"/>
              <w:bidi w:val="0"/>
              <w:rPr>
                <w:rFonts w:hint="default" w:ascii="Times New Roman" w:hAnsi="Times New Roman" w:cs="Times New Roman"/>
                <w:color w:val="auto"/>
              </w:rPr>
            </w:pPr>
          </w:p>
        </w:tc>
        <w:tc>
          <w:tcPr>
            <w:tcW w:w="924" w:type="dxa"/>
            <w:gridSpan w:val="2"/>
            <w:tcBorders>
              <w:tl2br w:val="nil"/>
              <w:tr2bl w:val="nil"/>
            </w:tcBorders>
            <w:vAlign w:val="center"/>
          </w:tcPr>
          <w:p w14:paraId="6B0F0F78">
            <w:pPr>
              <w:pStyle w:val="44"/>
              <w:bidi w:val="0"/>
              <w:rPr>
                <w:rFonts w:hint="default" w:ascii="Times New Roman" w:hAnsi="Times New Roman" w:cs="Times New Roman"/>
                <w:color w:val="auto"/>
              </w:rPr>
            </w:pPr>
            <w:r>
              <w:rPr>
                <w:rFonts w:hint="default" w:ascii="Times New Roman" w:hAnsi="Times New Roman" w:cs="Times New Roman"/>
                <w:color w:val="auto"/>
              </w:rPr>
              <w:t>城山组</w:t>
            </w:r>
          </w:p>
        </w:tc>
        <w:tc>
          <w:tcPr>
            <w:tcW w:w="504" w:type="dxa"/>
            <w:tcBorders>
              <w:tl2br w:val="nil"/>
              <w:tr2bl w:val="nil"/>
            </w:tcBorders>
            <w:vAlign w:val="center"/>
          </w:tcPr>
          <w:p w14:paraId="2B149350">
            <w:pPr>
              <w:pStyle w:val="44"/>
              <w:bidi w:val="0"/>
              <w:rPr>
                <w:rFonts w:hint="default" w:ascii="Times New Roman" w:hAnsi="Times New Roman" w:cs="Times New Roman"/>
                <w:color w:val="auto"/>
              </w:rPr>
            </w:pPr>
            <w:r>
              <w:rPr>
                <w:rFonts w:hint="default" w:ascii="Times New Roman" w:hAnsi="Times New Roman" w:cs="Times New Roman"/>
                <w:color w:val="auto"/>
              </w:rPr>
              <w:t>P3C</w:t>
            </w:r>
          </w:p>
        </w:tc>
        <w:tc>
          <w:tcPr>
            <w:tcW w:w="600" w:type="dxa"/>
            <w:tcBorders>
              <w:tl2br w:val="nil"/>
              <w:tr2bl w:val="nil"/>
            </w:tcBorders>
            <w:vAlign w:val="center"/>
          </w:tcPr>
          <w:p w14:paraId="21DA2F71">
            <w:pPr>
              <w:pStyle w:val="44"/>
              <w:bidi w:val="0"/>
              <w:rPr>
                <w:rFonts w:hint="default" w:ascii="Times New Roman" w:hAnsi="Times New Roman" w:cs="Times New Roman"/>
                <w:color w:val="auto"/>
              </w:rPr>
            </w:pPr>
            <w:r>
              <w:rPr>
                <w:rFonts w:hint="default" w:ascii="Times New Roman" w:hAnsi="Times New Roman" w:cs="Times New Roman"/>
                <w:color w:val="auto"/>
              </w:rPr>
              <w:t>&gt;414</w:t>
            </w:r>
          </w:p>
        </w:tc>
        <w:tc>
          <w:tcPr>
            <w:tcW w:w="1528" w:type="dxa"/>
            <w:gridSpan w:val="2"/>
            <w:tcBorders>
              <w:tl2br w:val="nil"/>
              <w:tr2bl w:val="nil"/>
            </w:tcBorders>
            <w:vAlign w:val="center"/>
          </w:tcPr>
          <w:p w14:paraId="2308BDBC">
            <w:pPr>
              <w:pStyle w:val="44"/>
              <w:bidi w:val="0"/>
              <w:rPr>
                <w:rFonts w:hint="default" w:ascii="Times New Roman" w:hAnsi="Times New Roman" w:cs="Times New Roman"/>
                <w:color w:val="auto"/>
              </w:rPr>
            </w:pPr>
            <w:r>
              <w:rPr>
                <w:rFonts w:hint="default" w:ascii="Times New Roman" w:hAnsi="Times New Roman" w:cs="Times New Roman"/>
                <w:color w:val="auto"/>
              </w:rPr>
              <w:t>平阳镇～下亮子一带出露</w:t>
            </w:r>
          </w:p>
        </w:tc>
        <w:tc>
          <w:tcPr>
            <w:tcW w:w="3709" w:type="dxa"/>
            <w:gridSpan w:val="2"/>
            <w:tcBorders>
              <w:tl2br w:val="nil"/>
              <w:tr2bl w:val="nil"/>
            </w:tcBorders>
            <w:vAlign w:val="center"/>
          </w:tcPr>
          <w:p w14:paraId="50E5E85E">
            <w:pPr>
              <w:pStyle w:val="44"/>
              <w:bidi w:val="0"/>
              <w:rPr>
                <w:rFonts w:hint="default" w:ascii="Times New Roman" w:hAnsi="Times New Roman" w:cs="Times New Roman"/>
                <w:color w:val="auto"/>
              </w:rPr>
            </w:pPr>
            <w:r>
              <w:rPr>
                <w:rFonts w:hint="default" w:ascii="Times New Roman" w:hAnsi="Times New Roman" w:cs="Times New Roman"/>
                <w:color w:val="auto"/>
              </w:rPr>
              <w:t>砾岩与凝灰质砂岩，黑色粉砂岩之韵律层。</w:t>
            </w:r>
          </w:p>
        </w:tc>
      </w:tr>
      <w:tr w14:paraId="0855AA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gridAfter w:val="1"/>
          <w:wAfter w:w="14" w:type="dxa"/>
          <w:cantSplit/>
          <w:trHeight w:val="440" w:hRule="atLeast"/>
          <w:jc w:val="center"/>
        </w:trPr>
        <w:tc>
          <w:tcPr>
            <w:tcW w:w="397" w:type="dxa"/>
            <w:vMerge w:val="continue"/>
            <w:tcBorders>
              <w:tl2br w:val="nil"/>
              <w:tr2bl w:val="nil"/>
            </w:tcBorders>
            <w:vAlign w:val="center"/>
          </w:tcPr>
          <w:p w14:paraId="55244026">
            <w:pPr>
              <w:pStyle w:val="44"/>
              <w:bidi w:val="0"/>
              <w:rPr>
                <w:rFonts w:hint="default" w:ascii="Times New Roman" w:hAnsi="Times New Roman" w:cs="Times New Roman"/>
                <w:color w:val="auto"/>
              </w:rPr>
            </w:pPr>
          </w:p>
        </w:tc>
        <w:tc>
          <w:tcPr>
            <w:tcW w:w="397" w:type="dxa"/>
            <w:vMerge w:val="continue"/>
            <w:tcBorders>
              <w:tl2br w:val="nil"/>
              <w:tr2bl w:val="nil"/>
            </w:tcBorders>
            <w:vAlign w:val="center"/>
          </w:tcPr>
          <w:p w14:paraId="107A37BC">
            <w:pPr>
              <w:pStyle w:val="44"/>
              <w:bidi w:val="0"/>
              <w:rPr>
                <w:rFonts w:hint="default" w:ascii="Times New Roman" w:hAnsi="Times New Roman" w:cs="Times New Roman"/>
                <w:color w:val="auto"/>
              </w:rPr>
            </w:pPr>
          </w:p>
        </w:tc>
        <w:tc>
          <w:tcPr>
            <w:tcW w:w="466" w:type="dxa"/>
            <w:vMerge w:val="restart"/>
            <w:tcBorders>
              <w:tl2br w:val="nil"/>
              <w:tr2bl w:val="nil"/>
            </w:tcBorders>
            <w:vAlign w:val="center"/>
          </w:tcPr>
          <w:p w14:paraId="2C45AB4C">
            <w:pPr>
              <w:pStyle w:val="44"/>
              <w:bidi w:val="0"/>
              <w:rPr>
                <w:rFonts w:hint="default" w:ascii="Times New Roman" w:hAnsi="Times New Roman" w:cs="Times New Roman"/>
                <w:color w:val="auto"/>
              </w:rPr>
            </w:pPr>
            <w:r>
              <w:rPr>
                <w:rFonts w:hint="default" w:ascii="Times New Roman" w:hAnsi="Times New Roman" w:cs="Times New Roman"/>
                <w:color w:val="auto"/>
              </w:rPr>
              <w:t>下</w:t>
            </w:r>
          </w:p>
          <w:p w14:paraId="56C4FBD8">
            <w:pPr>
              <w:pStyle w:val="44"/>
              <w:bidi w:val="0"/>
              <w:rPr>
                <w:rFonts w:hint="default" w:ascii="Times New Roman" w:hAnsi="Times New Roman" w:cs="Times New Roman"/>
                <w:color w:val="auto"/>
              </w:rPr>
            </w:pPr>
          </w:p>
          <w:p w14:paraId="330C19C3">
            <w:pPr>
              <w:pStyle w:val="44"/>
              <w:bidi w:val="0"/>
              <w:rPr>
                <w:rFonts w:hint="default" w:ascii="Times New Roman" w:hAnsi="Times New Roman" w:cs="Times New Roman"/>
                <w:color w:val="auto"/>
              </w:rPr>
            </w:pPr>
          </w:p>
          <w:p w14:paraId="394B8750">
            <w:pPr>
              <w:pStyle w:val="44"/>
              <w:bidi w:val="0"/>
              <w:rPr>
                <w:rFonts w:hint="default" w:ascii="Times New Roman" w:hAnsi="Times New Roman" w:cs="Times New Roman"/>
                <w:color w:val="auto"/>
              </w:rPr>
            </w:pPr>
            <w:r>
              <w:rPr>
                <w:rFonts w:hint="default" w:ascii="Times New Roman" w:hAnsi="Times New Roman" w:cs="Times New Roman"/>
                <w:color w:val="auto"/>
              </w:rPr>
              <w:t>统</w:t>
            </w:r>
          </w:p>
        </w:tc>
        <w:tc>
          <w:tcPr>
            <w:tcW w:w="924" w:type="dxa"/>
            <w:gridSpan w:val="2"/>
            <w:tcBorders>
              <w:tl2br w:val="nil"/>
              <w:tr2bl w:val="nil"/>
            </w:tcBorders>
            <w:vAlign w:val="center"/>
          </w:tcPr>
          <w:p w14:paraId="54BCA4B8">
            <w:pPr>
              <w:pStyle w:val="44"/>
              <w:bidi w:val="0"/>
              <w:rPr>
                <w:rFonts w:hint="default" w:ascii="Times New Roman" w:hAnsi="Times New Roman" w:cs="Times New Roman"/>
                <w:color w:val="auto"/>
              </w:rPr>
            </w:pPr>
            <w:r>
              <w:rPr>
                <w:rFonts w:hint="default" w:ascii="Times New Roman" w:hAnsi="Times New Roman" w:cs="Times New Roman"/>
                <w:color w:val="auto"/>
              </w:rPr>
              <w:t>平阳</w:t>
            </w:r>
          </w:p>
          <w:p w14:paraId="40F03BF9">
            <w:pPr>
              <w:pStyle w:val="44"/>
              <w:bidi w:val="0"/>
              <w:rPr>
                <w:rFonts w:hint="default" w:ascii="Times New Roman" w:hAnsi="Times New Roman" w:cs="Times New Roman"/>
                <w:color w:val="auto"/>
              </w:rPr>
            </w:pPr>
            <w:r>
              <w:rPr>
                <w:rFonts w:hint="default" w:ascii="Times New Roman" w:hAnsi="Times New Roman" w:cs="Times New Roman"/>
                <w:color w:val="auto"/>
              </w:rPr>
              <w:t>镇组</w:t>
            </w:r>
          </w:p>
        </w:tc>
        <w:tc>
          <w:tcPr>
            <w:tcW w:w="504" w:type="dxa"/>
            <w:tcBorders>
              <w:tl2br w:val="nil"/>
              <w:tr2bl w:val="nil"/>
            </w:tcBorders>
            <w:vAlign w:val="center"/>
          </w:tcPr>
          <w:p w14:paraId="0B5D0E07">
            <w:pPr>
              <w:pStyle w:val="44"/>
              <w:bidi w:val="0"/>
              <w:rPr>
                <w:rFonts w:hint="default" w:ascii="Times New Roman" w:hAnsi="Times New Roman" w:cs="Times New Roman"/>
                <w:color w:val="auto"/>
              </w:rPr>
            </w:pPr>
            <w:r>
              <w:rPr>
                <w:rFonts w:hint="default" w:ascii="Times New Roman" w:hAnsi="Times New Roman" w:cs="Times New Roman"/>
                <w:color w:val="auto"/>
              </w:rPr>
              <w:t>P1-2P</w:t>
            </w:r>
          </w:p>
        </w:tc>
        <w:tc>
          <w:tcPr>
            <w:tcW w:w="600" w:type="dxa"/>
            <w:tcBorders>
              <w:tl2br w:val="nil"/>
              <w:tr2bl w:val="nil"/>
            </w:tcBorders>
            <w:vAlign w:val="center"/>
          </w:tcPr>
          <w:p w14:paraId="14AB541B">
            <w:pPr>
              <w:pStyle w:val="44"/>
              <w:bidi w:val="0"/>
              <w:rPr>
                <w:rFonts w:hint="default" w:ascii="Times New Roman" w:hAnsi="Times New Roman" w:cs="Times New Roman"/>
                <w:color w:val="auto"/>
              </w:rPr>
            </w:pPr>
            <w:r>
              <w:rPr>
                <w:rFonts w:hint="default" w:ascii="Times New Roman" w:hAnsi="Times New Roman" w:cs="Times New Roman"/>
                <w:color w:val="auto"/>
              </w:rPr>
              <w:t>&gt;691</w:t>
            </w:r>
          </w:p>
        </w:tc>
        <w:tc>
          <w:tcPr>
            <w:tcW w:w="1528" w:type="dxa"/>
            <w:gridSpan w:val="2"/>
            <w:tcBorders>
              <w:tl2br w:val="nil"/>
              <w:tr2bl w:val="nil"/>
            </w:tcBorders>
            <w:vAlign w:val="center"/>
          </w:tcPr>
          <w:p w14:paraId="285A593C">
            <w:pPr>
              <w:pStyle w:val="44"/>
              <w:bidi w:val="0"/>
              <w:rPr>
                <w:rFonts w:hint="default" w:ascii="Times New Roman" w:hAnsi="Times New Roman" w:cs="Times New Roman"/>
                <w:color w:val="auto"/>
              </w:rPr>
            </w:pPr>
            <w:r>
              <w:rPr>
                <w:rFonts w:hint="default" w:ascii="Times New Roman" w:hAnsi="Times New Roman" w:cs="Times New Roman"/>
                <w:color w:val="auto"/>
              </w:rPr>
              <w:t>平阳镇～下亮子、前卫～凤凰山林场出露</w:t>
            </w:r>
          </w:p>
        </w:tc>
        <w:tc>
          <w:tcPr>
            <w:tcW w:w="3709" w:type="dxa"/>
            <w:gridSpan w:val="2"/>
            <w:tcBorders>
              <w:tl2br w:val="nil"/>
              <w:tr2bl w:val="nil"/>
            </w:tcBorders>
            <w:vAlign w:val="center"/>
          </w:tcPr>
          <w:p w14:paraId="3C89AE1C">
            <w:pPr>
              <w:pStyle w:val="44"/>
              <w:bidi w:val="0"/>
              <w:rPr>
                <w:rFonts w:hint="default" w:ascii="Times New Roman" w:hAnsi="Times New Roman" w:cs="Times New Roman"/>
                <w:color w:val="auto"/>
              </w:rPr>
            </w:pPr>
            <w:r>
              <w:rPr>
                <w:rFonts w:hint="default" w:ascii="Times New Roman" w:hAnsi="Times New Roman" w:cs="Times New Roman"/>
                <w:color w:val="auto"/>
              </w:rPr>
              <w:t>绢云千枚岩碳质板岩。</w:t>
            </w:r>
          </w:p>
        </w:tc>
      </w:tr>
      <w:tr w14:paraId="2A4C1E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gridAfter w:val="1"/>
          <w:wAfter w:w="14" w:type="dxa"/>
          <w:cantSplit/>
          <w:trHeight w:val="641" w:hRule="atLeast"/>
          <w:jc w:val="center"/>
        </w:trPr>
        <w:tc>
          <w:tcPr>
            <w:tcW w:w="397" w:type="dxa"/>
            <w:vMerge w:val="continue"/>
            <w:tcBorders>
              <w:tl2br w:val="nil"/>
              <w:tr2bl w:val="nil"/>
            </w:tcBorders>
            <w:vAlign w:val="center"/>
          </w:tcPr>
          <w:p w14:paraId="64EC8259">
            <w:pPr>
              <w:pStyle w:val="44"/>
              <w:bidi w:val="0"/>
              <w:rPr>
                <w:rFonts w:hint="default" w:ascii="Times New Roman" w:hAnsi="Times New Roman" w:cs="Times New Roman"/>
                <w:color w:val="auto"/>
              </w:rPr>
            </w:pPr>
          </w:p>
        </w:tc>
        <w:tc>
          <w:tcPr>
            <w:tcW w:w="397" w:type="dxa"/>
            <w:vMerge w:val="continue"/>
            <w:tcBorders>
              <w:tl2br w:val="nil"/>
              <w:tr2bl w:val="nil"/>
            </w:tcBorders>
            <w:vAlign w:val="center"/>
          </w:tcPr>
          <w:p w14:paraId="5ADF0AA7">
            <w:pPr>
              <w:pStyle w:val="44"/>
              <w:bidi w:val="0"/>
              <w:rPr>
                <w:rFonts w:hint="default" w:ascii="Times New Roman" w:hAnsi="Times New Roman" w:cs="Times New Roman"/>
                <w:color w:val="auto"/>
              </w:rPr>
            </w:pPr>
          </w:p>
        </w:tc>
        <w:tc>
          <w:tcPr>
            <w:tcW w:w="466" w:type="dxa"/>
            <w:vMerge w:val="continue"/>
            <w:tcBorders>
              <w:tl2br w:val="nil"/>
              <w:tr2bl w:val="nil"/>
            </w:tcBorders>
            <w:vAlign w:val="center"/>
          </w:tcPr>
          <w:p w14:paraId="0FE70014">
            <w:pPr>
              <w:pStyle w:val="44"/>
              <w:bidi w:val="0"/>
              <w:rPr>
                <w:rFonts w:hint="default" w:ascii="Times New Roman" w:hAnsi="Times New Roman" w:cs="Times New Roman"/>
                <w:color w:val="auto"/>
              </w:rPr>
            </w:pPr>
          </w:p>
        </w:tc>
        <w:tc>
          <w:tcPr>
            <w:tcW w:w="924" w:type="dxa"/>
            <w:gridSpan w:val="2"/>
            <w:tcBorders>
              <w:tl2br w:val="nil"/>
              <w:tr2bl w:val="nil"/>
            </w:tcBorders>
            <w:vAlign w:val="center"/>
          </w:tcPr>
          <w:p w14:paraId="23EC8FBD">
            <w:pPr>
              <w:pStyle w:val="44"/>
              <w:bidi w:val="0"/>
              <w:rPr>
                <w:rFonts w:hint="default" w:ascii="Times New Roman" w:hAnsi="Times New Roman" w:cs="Times New Roman"/>
                <w:color w:val="auto"/>
              </w:rPr>
            </w:pPr>
            <w:r>
              <w:rPr>
                <w:rFonts w:hint="default" w:ascii="Times New Roman" w:hAnsi="Times New Roman" w:cs="Times New Roman"/>
                <w:color w:val="auto"/>
              </w:rPr>
              <w:t>二龙</w:t>
            </w:r>
          </w:p>
          <w:p w14:paraId="4D3877B7">
            <w:pPr>
              <w:pStyle w:val="44"/>
              <w:bidi w:val="0"/>
              <w:rPr>
                <w:rFonts w:hint="default" w:ascii="Times New Roman" w:hAnsi="Times New Roman" w:cs="Times New Roman"/>
                <w:color w:val="auto"/>
              </w:rPr>
            </w:pPr>
            <w:r>
              <w:rPr>
                <w:rFonts w:hint="default" w:ascii="Times New Roman" w:hAnsi="Times New Roman" w:cs="Times New Roman"/>
                <w:color w:val="auto"/>
              </w:rPr>
              <w:t>山组</w:t>
            </w:r>
          </w:p>
        </w:tc>
        <w:tc>
          <w:tcPr>
            <w:tcW w:w="504" w:type="dxa"/>
            <w:tcBorders>
              <w:tl2br w:val="nil"/>
              <w:tr2bl w:val="nil"/>
            </w:tcBorders>
            <w:vAlign w:val="center"/>
          </w:tcPr>
          <w:p w14:paraId="1FFB241B">
            <w:pPr>
              <w:pStyle w:val="44"/>
              <w:bidi w:val="0"/>
              <w:rPr>
                <w:rFonts w:hint="default" w:ascii="Times New Roman" w:hAnsi="Times New Roman" w:cs="Times New Roman"/>
                <w:color w:val="auto"/>
              </w:rPr>
            </w:pPr>
            <w:r>
              <w:rPr>
                <w:rFonts w:hint="default" w:ascii="Times New Roman" w:hAnsi="Times New Roman" w:cs="Times New Roman"/>
                <w:color w:val="auto"/>
              </w:rPr>
              <w:t>P1e</w:t>
            </w:r>
          </w:p>
        </w:tc>
        <w:tc>
          <w:tcPr>
            <w:tcW w:w="600" w:type="dxa"/>
            <w:tcBorders>
              <w:tl2br w:val="nil"/>
              <w:tr2bl w:val="nil"/>
            </w:tcBorders>
            <w:vAlign w:val="center"/>
          </w:tcPr>
          <w:p w14:paraId="47DA552C">
            <w:pPr>
              <w:pStyle w:val="44"/>
              <w:bidi w:val="0"/>
              <w:rPr>
                <w:rFonts w:hint="default" w:ascii="Times New Roman" w:hAnsi="Times New Roman" w:cs="Times New Roman"/>
                <w:color w:val="auto"/>
              </w:rPr>
            </w:pPr>
            <w:r>
              <w:rPr>
                <w:rFonts w:hint="default" w:ascii="Times New Roman" w:hAnsi="Times New Roman" w:cs="Times New Roman"/>
                <w:color w:val="auto"/>
              </w:rPr>
              <w:t>&gt;400</w:t>
            </w:r>
          </w:p>
        </w:tc>
        <w:tc>
          <w:tcPr>
            <w:tcW w:w="1528" w:type="dxa"/>
            <w:gridSpan w:val="2"/>
            <w:tcBorders>
              <w:tl2br w:val="nil"/>
              <w:tr2bl w:val="nil"/>
            </w:tcBorders>
            <w:vAlign w:val="center"/>
          </w:tcPr>
          <w:p w14:paraId="7CEEA06F">
            <w:pPr>
              <w:pStyle w:val="44"/>
              <w:bidi w:val="0"/>
              <w:rPr>
                <w:rFonts w:hint="default" w:ascii="Times New Roman" w:hAnsi="Times New Roman" w:cs="Times New Roman"/>
                <w:color w:val="auto"/>
              </w:rPr>
            </w:pPr>
            <w:r>
              <w:rPr>
                <w:rFonts w:hint="default" w:ascii="Times New Roman" w:hAnsi="Times New Roman" w:cs="Times New Roman"/>
                <w:color w:val="auto"/>
              </w:rPr>
              <w:t>八五一O农场三分场永丰等地出露</w:t>
            </w:r>
          </w:p>
        </w:tc>
        <w:tc>
          <w:tcPr>
            <w:tcW w:w="3709" w:type="dxa"/>
            <w:gridSpan w:val="2"/>
            <w:tcBorders>
              <w:tl2br w:val="nil"/>
              <w:tr2bl w:val="nil"/>
            </w:tcBorders>
            <w:vAlign w:val="center"/>
          </w:tcPr>
          <w:p w14:paraId="412B489E">
            <w:pPr>
              <w:pStyle w:val="44"/>
              <w:bidi w:val="0"/>
              <w:rPr>
                <w:rFonts w:hint="default" w:ascii="Times New Roman" w:hAnsi="Times New Roman" w:cs="Times New Roman"/>
                <w:color w:val="auto"/>
              </w:rPr>
            </w:pPr>
            <w:r>
              <w:rPr>
                <w:rFonts w:hint="default" w:ascii="Times New Roman" w:hAnsi="Times New Roman" w:cs="Times New Roman"/>
                <w:color w:val="auto"/>
              </w:rPr>
              <w:t>黄绿色、紫褐色安山岩。安山玄武岩、夹含砾凝灰岩、粉砂岩。</w:t>
            </w:r>
          </w:p>
        </w:tc>
      </w:tr>
      <w:tr w14:paraId="604315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gridAfter w:val="1"/>
          <w:wAfter w:w="14" w:type="dxa"/>
          <w:cantSplit/>
          <w:trHeight w:val="440" w:hRule="atLeast"/>
          <w:jc w:val="center"/>
        </w:trPr>
        <w:tc>
          <w:tcPr>
            <w:tcW w:w="397" w:type="dxa"/>
            <w:vMerge w:val="continue"/>
            <w:tcBorders>
              <w:tl2br w:val="nil"/>
              <w:tr2bl w:val="nil"/>
            </w:tcBorders>
            <w:vAlign w:val="center"/>
          </w:tcPr>
          <w:p w14:paraId="59420496">
            <w:pPr>
              <w:pStyle w:val="44"/>
              <w:bidi w:val="0"/>
              <w:rPr>
                <w:rFonts w:hint="default" w:ascii="Times New Roman" w:hAnsi="Times New Roman" w:cs="Times New Roman"/>
                <w:color w:val="auto"/>
              </w:rPr>
            </w:pPr>
          </w:p>
        </w:tc>
        <w:tc>
          <w:tcPr>
            <w:tcW w:w="397" w:type="dxa"/>
            <w:tcBorders>
              <w:tl2br w:val="nil"/>
              <w:tr2bl w:val="nil"/>
            </w:tcBorders>
            <w:vAlign w:val="center"/>
          </w:tcPr>
          <w:p w14:paraId="3BD48E6C">
            <w:pPr>
              <w:pStyle w:val="44"/>
              <w:bidi w:val="0"/>
              <w:rPr>
                <w:rFonts w:hint="default" w:ascii="Times New Roman" w:hAnsi="Times New Roman" w:cs="Times New Roman"/>
                <w:color w:val="auto"/>
              </w:rPr>
            </w:pPr>
            <w:r>
              <w:rPr>
                <w:rFonts w:hint="default" w:ascii="Times New Roman" w:hAnsi="Times New Roman" w:cs="Times New Roman"/>
                <w:color w:val="auto"/>
              </w:rPr>
              <w:t>石碳系</w:t>
            </w:r>
          </w:p>
        </w:tc>
        <w:tc>
          <w:tcPr>
            <w:tcW w:w="466" w:type="dxa"/>
            <w:tcBorders>
              <w:tl2br w:val="nil"/>
              <w:tr2bl w:val="nil"/>
            </w:tcBorders>
            <w:vAlign w:val="center"/>
          </w:tcPr>
          <w:p w14:paraId="00748883">
            <w:pPr>
              <w:pStyle w:val="44"/>
              <w:bidi w:val="0"/>
              <w:rPr>
                <w:rFonts w:hint="default" w:ascii="Times New Roman" w:hAnsi="Times New Roman" w:cs="Times New Roman"/>
                <w:color w:val="auto"/>
              </w:rPr>
            </w:pPr>
            <w:r>
              <w:rPr>
                <w:rFonts w:hint="default" w:ascii="Times New Roman" w:hAnsi="Times New Roman" w:cs="Times New Roman"/>
                <w:color w:val="auto"/>
              </w:rPr>
              <w:t>上</w:t>
            </w:r>
          </w:p>
          <w:p w14:paraId="45AD9BD5">
            <w:pPr>
              <w:pStyle w:val="44"/>
              <w:bidi w:val="0"/>
              <w:rPr>
                <w:rFonts w:hint="default" w:ascii="Times New Roman" w:hAnsi="Times New Roman" w:cs="Times New Roman"/>
                <w:color w:val="auto"/>
              </w:rPr>
            </w:pPr>
          </w:p>
          <w:p w14:paraId="2B12E4E5">
            <w:pPr>
              <w:pStyle w:val="44"/>
              <w:bidi w:val="0"/>
              <w:rPr>
                <w:rFonts w:hint="default" w:ascii="Times New Roman" w:hAnsi="Times New Roman" w:cs="Times New Roman"/>
                <w:color w:val="auto"/>
              </w:rPr>
            </w:pPr>
            <w:r>
              <w:rPr>
                <w:rFonts w:hint="default" w:ascii="Times New Roman" w:hAnsi="Times New Roman" w:cs="Times New Roman"/>
                <w:color w:val="auto"/>
              </w:rPr>
              <w:t>统</w:t>
            </w:r>
          </w:p>
        </w:tc>
        <w:tc>
          <w:tcPr>
            <w:tcW w:w="924" w:type="dxa"/>
            <w:gridSpan w:val="2"/>
            <w:tcBorders>
              <w:tl2br w:val="nil"/>
              <w:tr2bl w:val="nil"/>
            </w:tcBorders>
            <w:vAlign w:val="center"/>
          </w:tcPr>
          <w:p w14:paraId="798257C7">
            <w:pPr>
              <w:pStyle w:val="44"/>
              <w:bidi w:val="0"/>
              <w:rPr>
                <w:rFonts w:hint="default" w:ascii="Times New Roman" w:hAnsi="Times New Roman" w:cs="Times New Roman"/>
                <w:color w:val="auto"/>
              </w:rPr>
            </w:pPr>
            <w:r>
              <w:rPr>
                <w:rFonts w:hint="default" w:ascii="Times New Roman" w:hAnsi="Times New Roman" w:cs="Times New Roman"/>
                <w:color w:val="auto"/>
              </w:rPr>
              <w:t>塔头</w:t>
            </w:r>
          </w:p>
          <w:p w14:paraId="14E3C186">
            <w:pPr>
              <w:pStyle w:val="44"/>
              <w:bidi w:val="0"/>
              <w:rPr>
                <w:rFonts w:hint="default" w:ascii="Times New Roman" w:hAnsi="Times New Roman" w:cs="Times New Roman"/>
                <w:color w:val="auto"/>
              </w:rPr>
            </w:pPr>
            <w:r>
              <w:rPr>
                <w:rFonts w:hint="default" w:ascii="Times New Roman" w:hAnsi="Times New Roman" w:cs="Times New Roman"/>
                <w:color w:val="auto"/>
              </w:rPr>
              <w:t>河组</w:t>
            </w:r>
          </w:p>
        </w:tc>
        <w:tc>
          <w:tcPr>
            <w:tcW w:w="504" w:type="dxa"/>
            <w:tcBorders>
              <w:tl2br w:val="nil"/>
              <w:tr2bl w:val="nil"/>
            </w:tcBorders>
            <w:vAlign w:val="center"/>
          </w:tcPr>
          <w:p w14:paraId="5EAC6327">
            <w:pPr>
              <w:pStyle w:val="44"/>
              <w:bidi w:val="0"/>
              <w:rPr>
                <w:rFonts w:hint="default" w:ascii="Times New Roman" w:hAnsi="Times New Roman" w:cs="Times New Roman"/>
                <w:color w:val="auto"/>
              </w:rPr>
            </w:pPr>
            <w:r>
              <w:rPr>
                <w:rFonts w:hint="default" w:ascii="Times New Roman" w:hAnsi="Times New Roman" w:cs="Times New Roman"/>
                <w:color w:val="auto"/>
              </w:rPr>
              <w:t>C3tt</w:t>
            </w:r>
          </w:p>
        </w:tc>
        <w:tc>
          <w:tcPr>
            <w:tcW w:w="600" w:type="dxa"/>
            <w:tcBorders>
              <w:tl2br w:val="nil"/>
              <w:tr2bl w:val="nil"/>
            </w:tcBorders>
            <w:vAlign w:val="center"/>
          </w:tcPr>
          <w:p w14:paraId="7DACB8B0">
            <w:pPr>
              <w:pStyle w:val="44"/>
              <w:bidi w:val="0"/>
              <w:rPr>
                <w:rFonts w:hint="default" w:ascii="Times New Roman" w:hAnsi="Times New Roman" w:cs="Times New Roman"/>
                <w:color w:val="auto"/>
              </w:rPr>
            </w:pPr>
            <w:r>
              <w:rPr>
                <w:rFonts w:hint="default" w:ascii="Times New Roman" w:hAnsi="Times New Roman" w:cs="Times New Roman"/>
                <w:color w:val="auto"/>
              </w:rPr>
              <w:t>&gt;97</w:t>
            </w:r>
          </w:p>
        </w:tc>
        <w:tc>
          <w:tcPr>
            <w:tcW w:w="1528" w:type="dxa"/>
            <w:gridSpan w:val="2"/>
            <w:tcBorders>
              <w:tl2br w:val="nil"/>
              <w:tr2bl w:val="nil"/>
            </w:tcBorders>
            <w:vAlign w:val="center"/>
          </w:tcPr>
          <w:p w14:paraId="044721D5">
            <w:pPr>
              <w:pStyle w:val="44"/>
              <w:bidi w:val="0"/>
              <w:rPr>
                <w:rFonts w:hint="default" w:ascii="Times New Roman" w:hAnsi="Times New Roman" w:cs="Times New Roman"/>
                <w:color w:val="auto"/>
              </w:rPr>
            </w:pPr>
            <w:r>
              <w:rPr>
                <w:rFonts w:hint="default" w:ascii="Times New Roman" w:hAnsi="Times New Roman" w:cs="Times New Roman"/>
                <w:color w:val="auto"/>
              </w:rPr>
              <w:t>西大翁、久泰等地零星出露</w:t>
            </w:r>
          </w:p>
        </w:tc>
        <w:tc>
          <w:tcPr>
            <w:tcW w:w="3709" w:type="dxa"/>
            <w:gridSpan w:val="2"/>
            <w:tcBorders>
              <w:tl2br w:val="nil"/>
              <w:tr2bl w:val="nil"/>
            </w:tcBorders>
            <w:vAlign w:val="center"/>
          </w:tcPr>
          <w:p w14:paraId="3EC00726">
            <w:pPr>
              <w:pStyle w:val="44"/>
              <w:bidi w:val="0"/>
              <w:rPr>
                <w:rFonts w:hint="default" w:ascii="Times New Roman" w:hAnsi="Times New Roman" w:cs="Times New Roman"/>
                <w:color w:val="auto"/>
              </w:rPr>
            </w:pPr>
            <w:r>
              <w:rPr>
                <w:rFonts w:hint="default" w:ascii="Times New Roman" w:hAnsi="Times New Roman" w:cs="Times New Roman"/>
                <w:color w:val="auto"/>
              </w:rPr>
              <w:t>黄绿色、紫褐色粉砂岩、粉砂质板岩、岩屑砂岩、砾岩。</w:t>
            </w:r>
          </w:p>
        </w:tc>
      </w:tr>
      <w:tr w14:paraId="553E5F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1000" w:hRule="atLeast"/>
          <w:jc w:val="center"/>
        </w:trPr>
        <w:tc>
          <w:tcPr>
            <w:tcW w:w="397" w:type="dxa"/>
            <w:vMerge w:val="restart"/>
            <w:tcBorders>
              <w:tl2br w:val="nil"/>
              <w:tr2bl w:val="nil"/>
            </w:tcBorders>
            <w:vAlign w:val="center"/>
          </w:tcPr>
          <w:p w14:paraId="408BCA4F">
            <w:pPr>
              <w:pStyle w:val="44"/>
              <w:bidi w:val="0"/>
              <w:rPr>
                <w:rFonts w:hint="default" w:ascii="Times New Roman" w:hAnsi="Times New Roman" w:cs="Times New Roman"/>
                <w:color w:val="auto"/>
              </w:rPr>
            </w:pPr>
            <w:r>
              <w:rPr>
                <w:rFonts w:hint="default" w:ascii="Times New Roman" w:hAnsi="Times New Roman" w:cs="Times New Roman"/>
                <w:color w:val="auto"/>
              </w:rPr>
              <w:t>元</w:t>
            </w:r>
          </w:p>
          <w:p w14:paraId="3962A38B">
            <w:pPr>
              <w:pStyle w:val="44"/>
              <w:bidi w:val="0"/>
              <w:rPr>
                <w:rFonts w:hint="default" w:ascii="Times New Roman" w:hAnsi="Times New Roman" w:cs="Times New Roman"/>
                <w:color w:val="auto"/>
              </w:rPr>
            </w:pPr>
          </w:p>
          <w:p w14:paraId="4F4D4500">
            <w:pPr>
              <w:pStyle w:val="44"/>
              <w:bidi w:val="0"/>
              <w:rPr>
                <w:rFonts w:hint="default" w:ascii="Times New Roman" w:hAnsi="Times New Roman" w:cs="Times New Roman"/>
                <w:color w:val="auto"/>
              </w:rPr>
            </w:pPr>
          </w:p>
          <w:p w14:paraId="4AB227D3">
            <w:pPr>
              <w:pStyle w:val="44"/>
              <w:bidi w:val="0"/>
              <w:rPr>
                <w:rFonts w:hint="default" w:ascii="Times New Roman" w:hAnsi="Times New Roman" w:cs="Times New Roman"/>
                <w:color w:val="auto"/>
              </w:rPr>
            </w:pPr>
          </w:p>
          <w:p w14:paraId="43A62A23">
            <w:pPr>
              <w:pStyle w:val="44"/>
              <w:bidi w:val="0"/>
              <w:rPr>
                <w:rFonts w:hint="default" w:ascii="Times New Roman" w:hAnsi="Times New Roman" w:cs="Times New Roman"/>
                <w:color w:val="auto"/>
              </w:rPr>
            </w:pPr>
          </w:p>
          <w:p w14:paraId="3DE2595D">
            <w:pPr>
              <w:pStyle w:val="44"/>
              <w:bidi w:val="0"/>
              <w:rPr>
                <w:rFonts w:hint="default" w:ascii="Times New Roman" w:hAnsi="Times New Roman" w:cs="Times New Roman"/>
                <w:color w:val="auto"/>
              </w:rPr>
            </w:pPr>
            <w:r>
              <w:rPr>
                <w:rFonts w:hint="default" w:ascii="Times New Roman" w:hAnsi="Times New Roman" w:cs="Times New Roman"/>
                <w:color w:val="auto"/>
              </w:rPr>
              <w:t>古</w:t>
            </w:r>
          </w:p>
          <w:p w14:paraId="4F91B543">
            <w:pPr>
              <w:pStyle w:val="44"/>
              <w:bidi w:val="0"/>
              <w:rPr>
                <w:rFonts w:hint="default" w:ascii="Times New Roman" w:hAnsi="Times New Roman" w:cs="Times New Roman"/>
                <w:color w:val="auto"/>
              </w:rPr>
            </w:pPr>
          </w:p>
          <w:p w14:paraId="0B1C5777">
            <w:pPr>
              <w:pStyle w:val="44"/>
              <w:bidi w:val="0"/>
              <w:rPr>
                <w:rFonts w:hint="default" w:ascii="Times New Roman" w:hAnsi="Times New Roman" w:cs="Times New Roman"/>
                <w:color w:val="auto"/>
              </w:rPr>
            </w:pPr>
          </w:p>
          <w:p w14:paraId="49182CBD">
            <w:pPr>
              <w:pStyle w:val="44"/>
              <w:bidi w:val="0"/>
              <w:rPr>
                <w:rFonts w:hint="default" w:ascii="Times New Roman" w:hAnsi="Times New Roman" w:cs="Times New Roman"/>
                <w:color w:val="auto"/>
              </w:rPr>
            </w:pPr>
          </w:p>
          <w:p w14:paraId="6BF26F6D">
            <w:pPr>
              <w:pStyle w:val="44"/>
              <w:bidi w:val="0"/>
              <w:rPr>
                <w:rFonts w:hint="default" w:ascii="Times New Roman" w:hAnsi="Times New Roman" w:cs="Times New Roman"/>
                <w:color w:val="auto"/>
              </w:rPr>
            </w:pPr>
          </w:p>
          <w:p w14:paraId="47E17714">
            <w:pPr>
              <w:pStyle w:val="44"/>
              <w:bidi w:val="0"/>
              <w:rPr>
                <w:rFonts w:hint="default" w:ascii="Times New Roman" w:hAnsi="Times New Roman" w:cs="Times New Roman"/>
                <w:color w:val="auto"/>
              </w:rPr>
            </w:pPr>
            <w:r>
              <w:rPr>
                <w:rFonts w:hint="default" w:ascii="Times New Roman" w:hAnsi="Times New Roman" w:cs="Times New Roman"/>
                <w:color w:val="auto"/>
              </w:rPr>
              <w:t>界</w:t>
            </w:r>
          </w:p>
        </w:tc>
        <w:tc>
          <w:tcPr>
            <w:tcW w:w="397" w:type="dxa"/>
            <w:vMerge w:val="restart"/>
            <w:tcBorders>
              <w:tl2br w:val="nil"/>
              <w:tr2bl w:val="nil"/>
            </w:tcBorders>
            <w:vAlign w:val="center"/>
          </w:tcPr>
          <w:p w14:paraId="61FC1DC6">
            <w:pPr>
              <w:pStyle w:val="44"/>
              <w:bidi w:val="0"/>
              <w:rPr>
                <w:rFonts w:hint="default" w:ascii="Times New Roman" w:hAnsi="Times New Roman" w:cs="Times New Roman"/>
                <w:color w:val="auto"/>
              </w:rPr>
            </w:pPr>
            <w:r>
              <w:rPr>
                <w:rFonts w:hint="default" w:ascii="Times New Roman" w:hAnsi="Times New Roman" w:cs="Times New Roman"/>
                <w:color w:val="auto"/>
              </w:rPr>
              <w:t>上元古界</w:t>
            </w:r>
          </w:p>
        </w:tc>
        <w:tc>
          <w:tcPr>
            <w:tcW w:w="466" w:type="dxa"/>
            <w:vMerge w:val="restart"/>
            <w:tcBorders>
              <w:tl2br w:val="nil"/>
              <w:tr2bl w:val="nil"/>
            </w:tcBorders>
            <w:vAlign w:val="center"/>
          </w:tcPr>
          <w:p w14:paraId="20332B28">
            <w:pPr>
              <w:pStyle w:val="44"/>
              <w:bidi w:val="0"/>
              <w:rPr>
                <w:rFonts w:hint="default" w:ascii="Times New Roman" w:hAnsi="Times New Roman" w:cs="Times New Roman"/>
                <w:color w:val="auto"/>
              </w:rPr>
            </w:pPr>
          </w:p>
        </w:tc>
        <w:tc>
          <w:tcPr>
            <w:tcW w:w="397" w:type="dxa"/>
            <w:vMerge w:val="restart"/>
            <w:tcBorders>
              <w:tl2br w:val="nil"/>
              <w:tr2bl w:val="nil"/>
            </w:tcBorders>
            <w:vAlign w:val="center"/>
          </w:tcPr>
          <w:p w14:paraId="08B0BFFD">
            <w:pPr>
              <w:pStyle w:val="44"/>
              <w:bidi w:val="0"/>
              <w:rPr>
                <w:rFonts w:hint="default" w:ascii="Times New Roman" w:hAnsi="Times New Roman" w:cs="Times New Roman"/>
                <w:color w:val="auto"/>
              </w:rPr>
            </w:pPr>
            <w:r>
              <w:rPr>
                <w:rFonts w:hint="default" w:ascii="Times New Roman" w:hAnsi="Times New Roman" w:cs="Times New Roman"/>
                <w:color w:val="auto"/>
              </w:rPr>
              <w:t>黄松群</w:t>
            </w:r>
          </w:p>
        </w:tc>
        <w:tc>
          <w:tcPr>
            <w:tcW w:w="527" w:type="dxa"/>
            <w:tcBorders>
              <w:tl2br w:val="nil"/>
              <w:tr2bl w:val="nil"/>
            </w:tcBorders>
            <w:vAlign w:val="center"/>
          </w:tcPr>
          <w:p w14:paraId="312076B6">
            <w:pPr>
              <w:pStyle w:val="44"/>
              <w:bidi w:val="0"/>
              <w:rPr>
                <w:rFonts w:hint="default" w:ascii="Times New Roman" w:hAnsi="Times New Roman" w:cs="Times New Roman"/>
                <w:color w:val="auto"/>
              </w:rPr>
            </w:pPr>
            <w:r>
              <w:rPr>
                <w:rFonts w:hint="default" w:ascii="Times New Roman" w:hAnsi="Times New Roman" w:cs="Times New Roman"/>
                <w:color w:val="auto"/>
              </w:rPr>
              <w:t>阎王</w:t>
            </w:r>
          </w:p>
          <w:p w14:paraId="3143A469">
            <w:pPr>
              <w:pStyle w:val="44"/>
              <w:bidi w:val="0"/>
              <w:rPr>
                <w:rFonts w:hint="default" w:ascii="Times New Roman" w:hAnsi="Times New Roman" w:cs="Times New Roman"/>
                <w:color w:val="auto"/>
              </w:rPr>
            </w:pPr>
            <w:r>
              <w:rPr>
                <w:rFonts w:hint="default" w:ascii="Times New Roman" w:hAnsi="Times New Roman" w:cs="Times New Roman"/>
                <w:color w:val="auto"/>
              </w:rPr>
              <w:t>殿组</w:t>
            </w:r>
          </w:p>
        </w:tc>
        <w:tc>
          <w:tcPr>
            <w:tcW w:w="504" w:type="dxa"/>
            <w:tcBorders>
              <w:tl2br w:val="nil"/>
              <w:tr2bl w:val="nil"/>
            </w:tcBorders>
            <w:vAlign w:val="center"/>
          </w:tcPr>
          <w:p w14:paraId="20AA08B8">
            <w:pPr>
              <w:pStyle w:val="44"/>
              <w:bidi w:val="0"/>
              <w:rPr>
                <w:rFonts w:hint="default" w:ascii="Times New Roman" w:hAnsi="Times New Roman" w:cs="Times New Roman"/>
                <w:color w:val="auto"/>
              </w:rPr>
            </w:pPr>
            <w:r>
              <w:rPr>
                <w:rFonts w:hint="default" w:ascii="Times New Roman" w:hAnsi="Times New Roman" w:cs="Times New Roman"/>
                <w:color w:val="auto"/>
              </w:rPr>
              <w:t>Pt23yn</w:t>
            </w:r>
          </w:p>
        </w:tc>
        <w:tc>
          <w:tcPr>
            <w:tcW w:w="616" w:type="dxa"/>
            <w:gridSpan w:val="2"/>
            <w:tcBorders>
              <w:tl2br w:val="nil"/>
              <w:tr2bl w:val="nil"/>
            </w:tcBorders>
            <w:vAlign w:val="center"/>
          </w:tcPr>
          <w:p w14:paraId="2124B109">
            <w:pPr>
              <w:pStyle w:val="44"/>
              <w:bidi w:val="0"/>
              <w:rPr>
                <w:rFonts w:hint="default" w:ascii="Times New Roman" w:hAnsi="Times New Roman" w:cs="Times New Roman"/>
                <w:color w:val="auto"/>
              </w:rPr>
            </w:pPr>
            <w:r>
              <w:rPr>
                <w:rFonts w:hint="default" w:ascii="Times New Roman" w:hAnsi="Times New Roman" w:cs="Times New Roman"/>
                <w:color w:val="auto"/>
              </w:rPr>
              <w:t>&gt;2031</w:t>
            </w:r>
          </w:p>
        </w:tc>
        <w:tc>
          <w:tcPr>
            <w:tcW w:w="1526" w:type="dxa"/>
            <w:gridSpan w:val="2"/>
            <w:tcBorders>
              <w:tl2br w:val="nil"/>
              <w:tr2bl w:val="nil"/>
            </w:tcBorders>
            <w:vAlign w:val="center"/>
          </w:tcPr>
          <w:p w14:paraId="1161B23E">
            <w:pPr>
              <w:pStyle w:val="44"/>
              <w:bidi w:val="0"/>
              <w:rPr>
                <w:rFonts w:hint="default" w:ascii="Times New Roman" w:hAnsi="Times New Roman" w:cs="Times New Roman"/>
                <w:color w:val="auto"/>
              </w:rPr>
            </w:pPr>
            <w:r>
              <w:rPr>
                <w:rFonts w:hint="default" w:ascii="Times New Roman" w:hAnsi="Times New Roman" w:cs="Times New Roman"/>
                <w:color w:val="auto"/>
              </w:rPr>
              <w:t>西南岔林场、四山林场北部</w:t>
            </w:r>
          </w:p>
        </w:tc>
        <w:tc>
          <w:tcPr>
            <w:tcW w:w="3709" w:type="dxa"/>
            <w:gridSpan w:val="2"/>
            <w:tcBorders>
              <w:tl2br w:val="nil"/>
              <w:tr2bl w:val="nil"/>
            </w:tcBorders>
            <w:vAlign w:val="center"/>
          </w:tcPr>
          <w:p w14:paraId="571A7A56">
            <w:pPr>
              <w:pStyle w:val="44"/>
              <w:bidi w:val="0"/>
              <w:rPr>
                <w:rFonts w:hint="default" w:ascii="Times New Roman" w:hAnsi="Times New Roman" w:cs="Times New Roman"/>
                <w:color w:val="auto"/>
              </w:rPr>
            </w:pPr>
            <w:r>
              <w:rPr>
                <w:rFonts w:hint="default" w:ascii="Times New Roman" w:hAnsi="Times New Roman" w:cs="Times New Roman"/>
                <w:color w:val="auto"/>
              </w:rPr>
              <w:t>千枚状含石榴碳质绢云片岩。</w:t>
            </w:r>
          </w:p>
        </w:tc>
      </w:tr>
      <w:tr w14:paraId="1F0A33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1000" w:hRule="atLeast"/>
          <w:jc w:val="center"/>
        </w:trPr>
        <w:tc>
          <w:tcPr>
            <w:tcW w:w="397" w:type="dxa"/>
            <w:vMerge w:val="continue"/>
            <w:tcBorders>
              <w:tl2br w:val="nil"/>
              <w:tr2bl w:val="nil"/>
            </w:tcBorders>
            <w:vAlign w:val="center"/>
          </w:tcPr>
          <w:p w14:paraId="6FC8AE37">
            <w:pPr>
              <w:pStyle w:val="44"/>
              <w:bidi w:val="0"/>
              <w:rPr>
                <w:rFonts w:hint="default" w:ascii="Times New Roman" w:hAnsi="Times New Roman" w:cs="Times New Roman"/>
                <w:color w:val="auto"/>
              </w:rPr>
            </w:pPr>
          </w:p>
        </w:tc>
        <w:tc>
          <w:tcPr>
            <w:tcW w:w="397" w:type="dxa"/>
            <w:vMerge w:val="continue"/>
            <w:tcBorders>
              <w:tl2br w:val="nil"/>
              <w:tr2bl w:val="nil"/>
            </w:tcBorders>
            <w:vAlign w:val="center"/>
          </w:tcPr>
          <w:p w14:paraId="7D49EF42">
            <w:pPr>
              <w:pStyle w:val="44"/>
              <w:bidi w:val="0"/>
              <w:rPr>
                <w:rFonts w:hint="default" w:ascii="Times New Roman" w:hAnsi="Times New Roman" w:cs="Times New Roman"/>
                <w:color w:val="auto"/>
              </w:rPr>
            </w:pPr>
          </w:p>
        </w:tc>
        <w:tc>
          <w:tcPr>
            <w:tcW w:w="466" w:type="dxa"/>
            <w:vMerge w:val="continue"/>
            <w:tcBorders>
              <w:tl2br w:val="nil"/>
              <w:tr2bl w:val="nil"/>
            </w:tcBorders>
            <w:vAlign w:val="center"/>
          </w:tcPr>
          <w:p w14:paraId="756AB060">
            <w:pPr>
              <w:pStyle w:val="44"/>
              <w:bidi w:val="0"/>
              <w:rPr>
                <w:rFonts w:hint="default" w:ascii="Times New Roman" w:hAnsi="Times New Roman" w:cs="Times New Roman"/>
                <w:color w:val="auto"/>
              </w:rPr>
            </w:pPr>
          </w:p>
        </w:tc>
        <w:tc>
          <w:tcPr>
            <w:tcW w:w="397" w:type="dxa"/>
            <w:vMerge w:val="continue"/>
            <w:tcBorders>
              <w:tl2br w:val="nil"/>
              <w:tr2bl w:val="nil"/>
            </w:tcBorders>
            <w:vAlign w:val="center"/>
          </w:tcPr>
          <w:p w14:paraId="35A12250">
            <w:pPr>
              <w:pStyle w:val="44"/>
              <w:bidi w:val="0"/>
              <w:rPr>
                <w:rFonts w:hint="default" w:ascii="Times New Roman" w:hAnsi="Times New Roman" w:cs="Times New Roman"/>
                <w:color w:val="auto"/>
              </w:rPr>
            </w:pPr>
          </w:p>
        </w:tc>
        <w:tc>
          <w:tcPr>
            <w:tcW w:w="527" w:type="dxa"/>
            <w:tcBorders>
              <w:tl2br w:val="nil"/>
              <w:tr2bl w:val="nil"/>
            </w:tcBorders>
            <w:vAlign w:val="center"/>
          </w:tcPr>
          <w:p w14:paraId="58E36DE0">
            <w:pPr>
              <w:pStyle w:val="44"/>
              <w:bidi w:val="0"/>
              <w:rPr>
                <w:rFonts w:hint="default" w:ascii="Times New Roman" w:hAnsi="Times New Roman" w:cs="Times New Roman"/>
                <w:color w:val="auto"/>
              </w:rPr>
            </w:pPr>
            <w:r>
              <w:rPr>
                <w:rFonts w:hint="default" w:ascii="Times New Roman" w:hAnsi="Times New Roman" w:cs="Times New Roman"/>
                <w:color w:val="auto"/>
              </w:rPr>
              <w:t>杨木组</w:t>
            </w:r>
          </w:p>
        </w:tc>
        <w:tc>
          <w:tcPr>
            <w:tcW w:w="504" w:type="dxa"/>
            <w:tcBorders>
              <w:tl2br w:val="nil"/>
              <w:tr2bl w:val="nil"/>
            </w:tcBorders>
            <w:vAlign w:val="center"/>
          </w:tcPr>
          <w:p w14:paraId="0B28A497">
            <w:pPr>
              <w:pStyle w:val="44"/>
              <w:bidi w:val="0"/>
              <w:rPr>
                <w:rFonts w:hint="default" w:ascii="Times New Roman" w:hAnsi="Times New Roman" w:cs="Times New Roman"/>
                <w:color w:val="auto"/>
              </w:rPr>
            </w:pPr>
            <w:r>
              <w:rPr>
                <w:rFonts w:hint="default" w:ascii="Times New Roman" w:hAnsi="Times New Roman" w:cs="Times New Roman"/>
                <w:color w:val="auto"/>
              </w:rPr>
              <w:t>Pt23ym</w:t>
            </w:r>
          </w:p>
        </w:tc>
        <w:tc>
          <w:tcPr>
            <w:tcW w:w="616" w:type="dxa"/>
            <w:gridSpan w:val="2"/>
            <w:tcBorders>
              <w:tl2br w:val="nil"/>
              <w:tr2bl w:val="nil"/>
            </w:tcBorders>
            <w:vAlign w:val="center"/>
          </w:tcPr>
          <w:p w14:paraId="48F73E74">
            <w:pPr>
              <w:pStyle w:val="44"/>
              <w:bidi w:val="0"/>
              <w:rPr>
                <w:rFonts w:hint="default" w:ascii="Times New Roman" w:hAnsi="Times New Roman" w:cs="Times New Roman"/>
                <w:color w:val="auto"/>
              </w:rPr>
            </w:pPr>
            <w:r>
              <w:rPr>
                <w:rFonts w:hint="default" w:ascii="Times New Roman" w:hAnsi="Times New Roman" w:cs="Times New Roman"/>
                <w:color w:val="auto"/>
              </w:rPr>
              <w:t>&gt;3828</w:t>
            </w:r>
          </w:p>
        </w:tc>
        <w:tc>
          <w:tcPr>
            <w:tcW w:w="1526" w:type="dxa"/>
            <w:gridSpan w:val="2"/>
            <w:tcBorders>
              <w:tl2br w:val="nil"/>
              <w:tr2bl w:val="nil"/>
            </w:tcBorders>
            <w:vAlign w:val="center"/>
          </w:tcPr>
          <w:p w14:paraId="19FAA9C8">
            <w:pPr>
              <w:pStyle w:val="44"/>
              <w:bidi w:val="0"/>
              <w:rPr>
                <w:rFonts w:hint="default" w:ascii="Times New Roman" w:hAnsi="Times New Roman" w:cs="Times New Roman"/>
                <w:color w:val="auto"/>
              </w:rPr>
            </w:pPr>
            <w:r>
              <w:rPr>
                <w:rFonts w:hint="default" w:ascii="Times New Roman" w:hAnsi="Times New Roman" w:cs="Times New Roman"/>
                <w:color w:val="auto"/>
              </w:rPr>
              <w:t>八五一O农场四分场半截河水库一带</w:t>
            </w:r>
          </w:p>
        </w:tc>
        <w:tc>
          <w:tcPr>
            <w:tcW w:w="3709" w:type="dxa"/>
            <w:gridSpan w:val="2"/>
            <w:tcBorders>
              <w:tl2br w:val="nil"/>
              <w:tr2bl w:val="nil"/>
            </w:tcBorders>
            <w:vAlign w:val="center"/>
          </w:tcPr>
          <w:p w14:paraId="1FDE00E0">
            <w:pPr>
              <w:pStyle w:val="44"/>
              <w:bidi w:val="0"/>
              <w:rPr>
                <w:rFonts w:hint="default" w:ascii="Times New Roman" w:hAnsi="Times New Roman" w:cs="Times New Roman"/>
                <w:color w:val="auto"/>
              </w:rPr>
            </w:pPr>
            <w:r>
              <w:rPr>
                <w:rFonts w:hint="default" w:ascii="Times New Roman" w:hAnsi="Times New Roman" w:cs="Times New Roman"/>
                <w:color w:val="auto"/>
              </w:rPr>
              <w:t>含石榴二云钠长片岩、黑云斜长片岩及石英片岩、变粒岩、角闪片岩和大理岩。</w:t>
            </w:r>
          </w:p>
        </w:tc>
      </w:tr>
      <w:tr w14:paraId="78AB7A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1000" w:hRule="atLeast"/>
          <w:jc w:val="center"/>
        </w:trPr>
        <w:tc>
          <w:tcPr>
            <w:tcW w:w="397" w:type="dxa"/>
            <w:vMerge w:val="continue"/>
            <w:tcBorders>
              <w:tl2br w:val="nil"/>
              <w:tr2bl w:val="nil"/>
            </w:tcBorders>
            <w:vAlign w:val="center"/>
          </w:tcPr>
          <w:p w14:paraId="11886A94">
            <w:pPr>
              <w:pStyle w:val="44"/>
              <w:bidi w:val="0"/>
              <w:rPr>
                <w:rFonts w:hint="default" w:ascii="Times New Roman" w:hAnsi="Times New Roman" w:cs="Times New Roman"/>
                <w:color w:val="auto"/>
              </w:rPr>
            </w:pPr>
          </w:p>
        </w:tc>
        <w:tc>
          <w:tcPr>
            <w:tcW w:w="397" w:type="dxa"/>
            <w:tcBorders>
              <w:tl2br w:val="nil"/>
              <w:tr2bl w:val="nil"/>
            </w:tcBorders>
            <w:vAlign w:val="center"/>
          </w:tcPr>
          <w:p w14:paraId="702252F4">
            <w:pPr>
              <w:pStyle w:val="44"/>
              <w:bidi w:val="0"/>
              <w:rPr>
                <w:rFonts w:hint="default" w:ascii="Times New Roman" w:hAnsi="Times New Roman" w:cs="Times New Roman"/>
                <w:color w:val="auto"/>
              </w:rPr>
            </w:pPr>
            <w:r>
              <w:rPr>
                <w:rFonts w:hint="default" w:ascii="Times New Roman" w:hAnsi="Times New Roman" w:cs="Times New Roman"/>
                <w:color w:val="auto"/>
              </w:rPr>
              <w:t>中元古界</w:t>
            </w:r>
          </w:p>
        </w:tc>
        <w:tc>
          <w:tcPr>
            <w:tcW w:w="466" w:type="dxa"/>
            <w:tcBorders>
              <w:tl2br w:val="nil"/>
              <w:tr2bl w:val="nil"/>
            </w:tcBorders>
            <w:vAlign w:val="center"/>
          </w:tcPr>
          <w:p w14:paraId="2F87EE71">
            <w:pPr>
              <w:pStyle w:val="44"/>
              <w:bidi w:val="0"/>
              <w:rPr>
                <w:rFonts w:hint="default" w:ascii="Times New Roman" w:hAnsi="Times New Roman" w:cs="Times New Roman"/>
                <w:color w:val="auto"/>
              </w:rPr>
            </w:pPr>
          </w:p>
        </w:tc>
        <w:tc>
          <w:tcPr>
            <w:tcW w:w="397" w:type="dxa"/>
            <w:tcBorders>
              <w:tl2br w:val="nil"/>
              <w:tr2bl w:val="nil"/>
            </w:tcBorders>
            <w:vAlign w:val="center"/>
          </w:tcPr>
          <w:p w14:paraId="7625FC31">
            <w:pPr>
              <w:pStyle w:val="44"/>
              <w:bidi w:val="0"/>
              <w:rPr>
                <w:rFonts w:hint="default" w:ascii="Times New Roman" w:hAnsi="Times New Roman" w:cs="Times New Roman"/>
                <w:color w:val="auto"/>
              </w:rPr>
            </w:pPr>
            <w:r>
              <w:rPr>
                <w:rFonts w:hint="default" w:ascii="Times New Roman" w:hAnsi="Times New Roman" w:cs="Times New Roman"/>
                <w:color w:val="auto"/>
              </w:rPr>
              <w:t>黑龙江群</w:t>
            </w:r>
          </w:p>
        </w:tc>
        <w:tc>
          <w:tcPr>
            <w:tcW w:w="527" w:type="dxa"/>
            <w:tcBorders>
              <w:tl2br w:val="nil"/>
              <w:tr2bl w:val="nil"/>
            </w:tcBorders>
            <w:vAlign w:val="center"/>
          </w:tcPr>
          <w:p w14:paraId="4150CCBE">
            <w:pPr>
              <w:pStyle w:val="44"/>
              <w:bidi w:val="0"/>
              <w:rPr>
                <w:rFonts w:hint="default" w:ascii="Times New Roman" w:hAnsi="Times New Roman" w:cs="Times New Roman"/>
                <w:color w:val="auto"/>
              </w:rPr>
            </w:pPr>
          </w:p>
        </w:tc>
        <w:tc>
          <w:tcPr>
            <w:tcW w:w="504" w:type="dxa"/>
            <w:tcBorders>
              <w:tl2br w:val="nil"/>
              <w:tr2bl w:val="nil"/>
            </w:tcBorders>
            <w:vAlign w:val="center"/>
          </w:tcPr>
          <w:p w14:paraId="03AC45B8">
            <w:pPr>
              <w:pStyle w:val="44"/>
              <w:bidi w:val="0"/>
              <w:rPr>
                <w:rFonts w:hint="default" w:ascii="Times New Roman" w:hAnsi="Times New Roman" w:cs="Times New Roman"/>
                <w:color w:val="auto"/>
              </w:rPr>
            </w:pPr>
            <w:r>
              <w:rPr>
                <w:rFonts w:hint="default" w:ascii="Times New Roman" w:hAnsi="Times New Roman" w:cs="Times New Roman"/>
                <w:color w:val="auto"/>
              </w:rPr>
              <w:t>Pt23hl</w:t>
            </w:r>
          </w:p>
        </w:tc>
        <w:tc>
          <w:tcPr>
            <w:tcW w:w="616" w:type="dxa"/>
            <w:gridSpan w:val="2"/>
            <w:tcBorders>
              <w:tl2br w:val="nil"/>
              <w:tr2bl w:val="nil"/>
            </w:tcBorders>
            <w:vAlign w:val="center"/>
          </w:tcPr>
          <w:p w14:paraId="65F80D9E">
            <w:pPr>
              <w:pStyle w:val="44"/>
              <w:bidi w:val="0"/>
              <w:rPr>
                <w:rFonts w:hint="default" w:ascii="Times New Roman" w:hAnsi="Times New Roman" w:cs="Times New Roman"/>
                <w:color w:val="auto"/>
              </w:rPr>
            </w:pPr>
          </w:p>
        </w:tc>
        <w:tc>
          <w:tcPr>
            <w:tcW w:w="1526" w:type="dxa"/>
            <w:gridSpan w:val="2"/>
            <w:tcBorders>
              <w:tl2br w:val="nil"/>
              <w:tr2bl w:val="nil"/>
            </w:tcBorders>
            <w:vAlign w:val="center"/>
          </w:tcPr>
          <w:p w14:paraId="53772869">
            <w:pPr>
              <w:pStyle w:val="44"/>
              <w:bidi w:val="0"/>
              <w:rPr>
                <w:rFonts w:hint="default" w:ascii="Times New Roman" w:hAnsi="Times New Roman" w:cs="Times New Roman"/>
                <w:color w:val="auto"/>
              </w:rPr>
            </w:pPr>
            <w:r>
              <w:rPr>
                <w:rFonts w:hint="default" w:ascii="Times New Roman" w:hAnsi="Times New Roman" w:cs="Times New Roman"/>
                <w:color w:val="auto"/>
              </w:rPr>
              <w:t>大通沟水库有零星出露</w:t>
            </w:r>
          </w:p>
        </w:tc>
        <w:tc>
          <w:tcPr>
            <w:tcW w:w="3709" w:type="dxa"/>
            <w:gridSpan w:val="2"/>
            <w:tcBorders>
              <w:tl2br w:val="nil"/>
              <w:tr2bl w:val="nil"/>
            </w:tcBorders>
            <w:vAlign w:val="center"/>
          </w:tcPr>
          <w:p w14:paraId="12970A54">
            <w:pPr>
              <w:pStyle w:val="44"/>
              <w:bidi w:val="0"/>
              <w:rPr>
                <w:rFonts w:hint="default" w:ascii="Times New Roman" w:hAnsi="Times New Roman" w:cs="Times New Roman"/>
                <w:color w:val="auto"/>
              </w:rPr>
            </w:pPr>
            <w:r>
              <w:rPr>
                <w:rFonts w:hint="default" w:ascii="Times New Roman" w:hAnsi="Times New Roman" w:cs="Times New Roman"/>
                <w:color w:val="auto"/>
              </w:rPr>
              <w:t>钠长石英片岩、二云钠长片岩。</w:t>
            </w:r>
          </w:p>
        </w:tc>
      </w:tr>
      <w:tr w14:paraId="67F1BF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1000" w:hRule="atLeast"/>
          <w:jc w:val="center"/>
        </w:trPr>
        <w:tc>
          <w:tcPr>
            <w:tcW w:w="397" w:type="dxa"/>
            <w:vMerge w:val="continue"/>
            <w:tcBorders>
              <w:tl2br w:val="nil"/>
              <w:tr2bl w:val="nil"/>
            </w:tcBorders>
            <w:vAlign w:val="center"/>
          </w:tcPr>
          <w:p w14:paraId="6AD8C0E4">
            <w:pPr>
              <w:pStyle w:val="44"/>
              <w:bidi w:val="0"/>
              <w:rPr>
                <w:rFonts w:hint="default" w:ascii="Times New Roman" w:hAnsi="Times New Roman" w:cs="Times New Roman"/>
                <w:color w:val="auto"/>
              </w:rPr>
            </w:pPr>
          </w:p>
        </w:tc>
        <w:tc>
          <w:tcPr>
            <w:tcW w:w="397" w:type="dxa"/>
            <w:vMerge w:val="restart"/>
            <w:tcBorders>
              <w:tl2br w:val="nil"/>
              <w:tr2bl w:val="nil"/>
            </w:tcBorders>
            <w:vAlign w:val="center"/>
          </w:tcPr>
          <w:p w14:paraId="5671C22C">
            <w:pPr>
              <w:pStyle w:val="44"/>
              <w:bidi w:val="0"/>
              <w:rPr>
                <w:rFonts w:hint="default" w:ascii="Times New Roman" w:hAnsi="Times New Roman" w:cs="Times New Roman"/>
                <w:color w:val="auto"/>
              </w:rPr>
            </w:pPr>
            <w:r>
              <w:rPr>
                <w:rFonts w:hint="default" w:ascii="Times New Roman" w:hAnsi="Times New Roman" w:cs="Times New Roman"/>
                <w:color w:val="auto"/>
              </w:rPr>
              <w:t>下元古界</w:t>
            </w:r>
          </w:p>
        </w:tc>
        <w:tc>
          <w:tcPr>
            <w:tcW w:w="466" w:type="dxa"/>
            <w:vMerge w:val="restart"/>
            <w:tcBorders>
              <w:tl2br w:val="nil"/>
              <w:tr2bl w:val="nil"/>
            </w:tcBorders>
            <w:vAlign w:val="center"/>
          </w:tcPr>
          <w:p w14:paraId="3B1EE041">
            <w:pPr>
              <w:pStyle w:val="44"/>
              <w:bidi w:val="0"/>
              <w:rPr>
                <w:rFonts w:hint="default" w:ascii="Times New Roman" w:hAnsi="Times New Roman" w:cs="Times New Roman"/>
                <w:color w:val="auto"/>
              </w:rPr>
            </w:pPr>
          </w:p>
        </w:tc>
        <w:tc>
          <w:tcPr>
            <w:tcW w:w="397" w:type="dxa"/>
            <w:vMerge w:val="restart"/>
            <w:tcBorders>
              <w:tl2br w:val="nil"/>
              <w:tr2bl w:val="nil"/>
            </w:tcBorders>
            <w:vAlign w:val="center"/>
          </w:tcPr>
          <w:p w14:paraId="63C8FFF7">
            <w:pPr>
              <w:pStyle w:val="44"/>
              <w:bidi w:val="0"/>
              <w:rPr>
                <w:rFonts w:hint="default" w:ascii="Times New Roman" w:hAnsi="Times New Roman" w:cs="Times New Roman"/>
                <w:color w:val="auto"/>
              </w:rPr>
            </w:pPr>
            <w:r>
              <w:rPr>
                <w:rFonts w:hint="default" w:ascii="Times New Roman" w:hAnsi="Times New Roman" w:cs="Times New Roman"/>
                <w:color w:val="auto"/>
              </w:rPr>
              <w:t>兴</w:t>
            </w:r>
          </w:p>
          <w:p w14:paraId="33E0B7BF">
            <w:pPr>
              <w:pStyle w:val="44"/>
              <w:bidi w:val="0"/>
              <w:rPr>
                <w:rFonts w:hint="default" w:ascii="Times New Roman" w:hAnsi="Times New Roman" w:cs="Times New Roman"/>
                <w:color w:val="auto"/>
              </w:rPr>
            </w:pPr>
          </w:p>
          <w:p w14:paraId="12D7C7B1">
            <w:pPr>
              <w:pStyle w:val="44"/>
              <w:bidi w:val="0"/>
              <w:rPr>
                <w:rFonts w:hint="default" w:ascii="Times New Roman" w:hAnsi="Times New Roman" w:cs="Times New Roman"/>
                <w:color w:val="auto"/>
              </w:rPr>
            </w:pPr>
            <w:r>
              <w:rPr>
                <w:rFonts w:hint="default" w:ascii="Times New Roman" w:hAnsi="Times New Roman" w:cs="Times New Roman"/>
                <w:color w:val="auto"/>
              </w:rPr>
              <w:t>东</w:t>
            </w:r>
          </w:p>
          <w:p w14:paraId="7EB6C3C3">
            <w:pPr>
              <w:pStyle w:val="44"/>
              <w:bidi w:val="0"/>
              <w:rPr>
                <w:rFonts w:hint="default" w:ascii="Times New Roman" w:hAnsi="Times New Roman" w:cs="Times New Roman"/>
                <w:color w:val="auto"/>
              </w:rPr>
            </w:pPr>
          </w:p>
          <w:p w14:paraId="35996F84">
            <w:pPr>
              <w:pStyle w:val="44"/>
              <w:bidi w:val="0"/>
              <w:rPr>
                <w:rFonts w:hint="default" w:ascii="Times New Roman" w:hAnsi="Times New Roman" w:cs="Times New Roman"/>
                <w:color w:val="auto"/>
              </w:rPr>
            </w:pPr>
            <w:r>
              <w:rPr>
                <w:rFonts w:hint="default" w:ascii="Times New Roman" w:hAnsi="Times New Roman" w:cs="Times New Roman"/>
                <w:color w:val="auto"/>
              </w:rPr>
              <w:t>群</w:t>
            </w:r>
          </w:p>
        </w:tc>
        <w:tc>
          <w:tcPr>
            <w:tcW w:w="527" w:type="dxa"/>
            <w:tcBorders>
              <w:tl2br w:val="nil"/>
              <w:tr2bl w:val="nil"/>
            </w:tcBorders>
            <w:vAlign w:val="center"/>
          </w:tcPr>
          <w:p w14:paraId="2E5E15C4">
            <w:pPr>
              <w:pStyle w:val="44"/>
              <w:bidi w:val="0"/>
              <w:rPr>
                <w:rFonts w:hint="default" w:ascii="Times New Roman" w:hAnsi="Times New Roman" w:cs="Times New Roman"/>
                <w:color w:val="auto"/>
              </w:rPr>
            </w:pPr>
            <w:r>
              <w:rPr>
                <w:rFonts w:hint="default" w:ascii="Times New Roman" w:hAnsi="Times New Roman" w:cs="Times New Roman"/>
                <w:color w:val="auto"/>
              </w:rPr>
              <w:t>大盘</w:t>
            </w:r>
          </w:p>
          <w:p w14:paraId="1F259EE4">
            <w:pPr>
              <w:pStyle w:val="44"/>
              <w:bidi w:val="0"/>
              <w:rPr>
                <w:rFonts w:hint="default" w:ascii="Times New Roman" w:hAnsi="Times New Roman" w:cs="Times New Roman"/>
                <w:color w:val="auto"/>
              </w:rPr>
            </w:pPr>
            <w:r>
              <w:rPr>
                <w:rFonts w:hint="default" w:ascii="Times New Roman" w:hAnsi="Times New Roman" w:cs="Times New Roman"/>
                <w:color w:val="auto"/>
              </w:rPr>
              <w:t>道组</w:t>
            </w:r>
          </w:p>
        </w:tc>
        <w:tc>
          <w:tcPr>
            <w:tcW w:w="504" w:type="dxa"/>
            <w:tcBorders>
              <w:tl2br w:val="nil"/>
              <w:tr2bl w:val="nil"/>
            </w:tcBorders>
            <w:vAlign w:val="center"/>
          </w:tcPr>
          <w:p w14:paraId="161320D4">
            <w:pPr>
              <w:pStyle w:val="44"/>
              <w:bidi w:val="0"/>
              <w:rPr>
                <w:rFonts w:hint="default" w:ascii="Times New Roman" w:hAnsi="Times New Roman" w:cs="Times New Roman"/>
                <w:color w:val="auto"/>
              </w:rPr>
            </w:pPr>
            <w:r>
              <w:rPr>
                <w:rFonts w:hint="default" w:ascii="Times New Roman" w:hAnsi="Times New Roman" w:cs="Times New Roman"/>
                <w:color w:val="auto"/>
              </w:rPr>
              <w:t>Pl1dp</w:t>
            </w:r>
          </w:p>
        </w:tc>
        <w:tc>
          <w:tcPr>
            <w:tcW w:w="616" w:type="dxa"/>
            <w:gridSpan w:val="2"/>
            <w:tcBorders>
              <w:tl2br w:val="nil"/>
              <w:tr2bl w:val="nil"/>
            </w:tcBorders>
            <w:vAlign w:val="center"/>
          </w:tcPr>
          <w:p w14:paraId="61C76DC5">
            <w:pPr>
              <w:pStyle w:val="44"/>
              <w:bidi w:val="0"/>
              <w:rPr>
                <w:rFonts w:hint="default" w:ascii="Times New Roman" w:hAnsi="Times New Roman" w:cs="Times New Roman"/>
                <w:color w:val="auto"/>
              </w:rPr>
            </w:pPr>
            <w:r>
              <w:rPr>
                <w:rFonts w:hint="default" w:ascii="Times New Roman" w:hAnsi="Times New Roman" w:cs="Times New Roman"/>
                <w:color w:val="auto"/>
              </w:rPr>
              <w:t>1496</w:t>
            </w:r>
          </w:p>
        </w:tc>
        <w:tc>
          <w:tcPr>
            <w:tcW w:w="1526" w:type="dxa"/>
            <w:gridSpan w:val="2"/>
            <w:tcBorders>
              <w:tl2br w:val="nil"/>
              <w:tr2bl w:val="nil"/>
            </w:tcBorders>
            <w:vAlign w:val="center"/>
          </w:tcPr>
          <w:p w14:paraId="025214D3">
            <w:pPr>
              <w:pStyle w:val="44"/>
              <w:bidi w:val="0"/>
              <w:rPr>
                <w:rFonts w:hint="default" w:ascii="Times New Roman" w:hAnsi="Times New Roman" w:cs="Times New Roman"/>
                <w:color w:val="auto"/>
              </w:rPr>
            </w:pPr>
            <w:r>
              <w:rPr>
                <w:rFonts w:hint="default" w:ascii="Times New Roman" w:hAnsi="Times New Roman" w:cs="Times New Roman"/>
                <w:color w:val="auto"/>
              </w:rPr>
              <w:t>大同林场～红星沟一带</w:t>
            </w:r>
          </w:p>
        </w:tc>
        <w:tc>
          <w:tcPr>
            <w:tcW w:w="3709" w:type="dxa"/>
            <w:gridSpan w:val="2"/>
            <w:tcBorders>
              <w:tl2br w:val="nil"/>
              <w:tr2bl w:val="nil"/>
            </w:tcBorders>
            <w:vAlign w:val="center"/>
          </w:tcPr>
          <w:p w14:paraId="77700E02">
            <w:pPr>
              <w:pStyle w:val="44"/>
              <w:bidi w:val="0"/>
              <w:rPr>
                <w:rFonts w:hint="default" w:ascii="Times New Roman" w:hAnsi="Times New Roman" w:cs="Times New Roman"/>
                <w:color w:val="auto"/>
              </w:rPr>
            </w:pPr>
            <w:r>
              <w:rPr>
                <w:rFonts w:hint="default" w:ascii="Times New Roman" w:hAnsi="Times New Roman" w:cs="Times New Roman"/>
                <w:color w:val="auto"/>
              </w:rPr>
              <w:t>大理岩夹多层红柱二云片岩，绢云石英片岩或变粒岩，含多层含铁石英岩或磁铁矿。</w:t>
            </w:r>
          </w:p>
        </w:tc>
      </w:tr>
      <w:tr w14:paraId="3BF38D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1000" w:hRule="atLeast"/>
          <w:jc w:val="center"/>
        </w:trPr>
        <w:tc>
          <w:tcPr>
            <w:tcW w:w="397" w:type="dxa"/>
            <w:vMerge w:val="continue"/>
            <w:tcBorders>
              <w:tl2br w:val="nil"/>
              <w:tr2bl w:val="nil"/>
            </w:tcBorders>
            <w:vAlign w:val="center"/>
          </w:tcPr>
          <w:p w14:paraId="3F828ED0">
            <w:pPr>
              <w:pStyle w:val="44"/>
              <w:bidi w:val="0"/>
              <w:rPr>
                <w:rFonts w:hint="default" w:ascii="Times New Roman" w:hAnsi="Times New Roman" w:cs="Times New Roman"/>
                <w:color w:val="auto"/>
              </w:rPr>
            </w:pPr>
          </w:p>
        </w:tc>
        <w:tc>
          <w:tcPr>
            <w:tcW w:w="397" w:type="dxa"/>
            <w:vMerge w:val="continue"/>
            <w:tcBorders>
              <w:tl2br w:val="nil"/>
              <w:tr2bl w:val="nil"/>
            </w:tcBorders>
            <w:vAlign w:val="center"/>
          </w:tcPr>
          <w:p w14:paraId="655DB12C">
            <w:pPr>
              <w:pStyle w:val="44"/>
              <w:bidi w:val="0"/>
              <w:rPr>
                <w:rFonts w:hint="default" w:ascii="Times New Roman" w:hAnsi="Times New Roman" w:cs="Times New Roman"/>
                <w:color w:val="auto"/>
              </w:rPr>
            </w:pPr>
          </w:p>
        </w:tc>
        <w:tc>
          <w:tcPr>
            <w:tcW w:w="466" w:type="dxa"/>
            <w:vMerge w:val="continue"/>
            <w:tcBorders>
              <w:tl2br w:val="nil"/>
              <w:tr2bl w:val="nil"/>
            </w:tcBorders>
            <w:vAlign w:val="center"/>
          </w:tcPr>
          <w:p w14:paraId="120521B9">
            <w:pPr>
              <w:pStyle w:val="44"/>
              <w:bidi w:val="0"/>
              <w:rPr>
                <w:rFonts w:hint="default" w:ascii="Times New Roman" w:hAnsi="Times New Roman" w:cs="Times New Roman"/>
                <w:color w:val="auto"/>
              </w:rPr>
            </w:pPr>
          </w:p>
        </w:tc>
        <w:tc>
          <w:tcPr>
            <w:tcW w:w="397" w:type="dxa"/>
            <w:vMerge w:val="continue"/>
            <w:tcBorders>
              <w:tl2br w:val="nil"/>
              <w:tr2bl w:val="nil"/>
            </w:tcBorders>
            <w:vAlign w:val="center"/>
          </w:tcPr>
          <w:p w14:paraId="0ADA25A8">
            <w:pPr>
              <w:pStyle w:val="44"/>
              <w:bidi w:val="0"/>
              <w:rPr>
                <w:rFonts w:hint="default" w:ascii="Times New Roman" w:hAnsi="Times New Roman" w:cs="Times New Roman"/>
                <w:color w:val="auto"/>
              </w:rPr>
            </w:pPr>
          </w:p>
        </w:tc>
        <w:tc>
          <w:tcPr>
            <w:tcW w:w="527" w:type="dxa"/>
            <w:tcBorders>
              <w:tl2br w:val="nil"/>
              <w:tr2bl w:val="nil"/>
            </w:tcBorders>
            <w:vAlign w:val="center"/>
          </w:tcPr>
          <w:p w14:paraId="09EE6A1B">
            <w:pPr>
              <w:pStyle w:val="44"/>
              <w:bidi w:val="0"/>
              <w:rPr>
                <w:rFonts w:hint="default" w:ascii="Times New Roman" w:hAnsi="Times New Roman" w:cs="Times New Roman"/>
                <w:color w:val="auto"/>
              </w:rPr>
            </w:pPr>
            <w:r>
              <w:rPr>
                <w:rFonts w:hint="default" w:ascii="Times New Roman" w:hAnsi="Times New Roman" w:cs="Times New Roman"/>
                <w:color w:val="auto"/>
              </w:rPr>
              <w:t>大马</w:t>
            </w:r>
          </w:p>
          <w:p w14:paraId="7CFFFD3C">
            <w:pPr>
              <w:pStyle w:val="44"/>
              <w:bidi w:val="0"/>
              <w:rPr>
                <w:rFonts w:hint="default" w:ascii="Times New Roman" w:hAnsi="Times New Roman" w:cs="Times New Roman"/>
                <w:color w:val="auto"/>
              </w:rPr>
            </w:pPr>
            <w:r>
              <w:rPr>
                <w:rFonts w:hint="default" w:ascii="Times New Roman" w:hAnsi="Times New Roman" w:cs="Times New Roman"/>
                <w:color w:val="auto"/>
              </w:rPr>
              <w:t>河组</w:t>
            </w:r>
          </w:p>
        </w:tc>
        <w:tc>
          <w:tcPr>
            <w:tcW w:w="504" w:type="dxa"/>
            <w:tcBorders>
              <w:tl2br w:val="nil"/>
              <w:tr2bl w:val="nil"/>
            </w:tcBorders>
            <w:vAlign w:val="center"/>
          </w:tcPr>
          <w:p w14:paraId="04212281">
            <w:pPr>
              <w:pStyle w:val="44"/>
              <w:bidi w:val="0"/>
              <w:rPr>
                <w:rFonts w:hint="default" w:ascii="Times New Roman" w:hAnsi="Times New Roman" w:cs="Times New Roman"/>
                <w:color w:val="auto"/>
              </w:rPr>
            </w:pPr>
            <w:r>
              <w:rPr>
                <w:rFonts w:hint="default" w:ascii="Times New Roman" w:hAnsi="Times New Roman" w:cs="Times New Roman"/>
                <w:color w:val="auto"/>
              </w:rPr>
              <w:t>Pt1d</w:t>
            </w:r>
          </w:p>
        </w:tc>
        <w:tc>
          <w:tcPr>
            <w:tcW w:w="616" w:type="dxa"/>
            <w:gridSpan w:val="2"/>
            <w:tcBorders>
              <w:tl2br w:val="nil"/>
              <w:tr2bl w:val="nil"/>
            </w:tcBorders>
            <w:vAlign w:val="center"/>
          </w:tcPr>
          <w:p w14:paraId="4C9734E1">
            <w:pPr>
              <w:pStyle w:val="44"/>
              <w:bidi w:val="0"/>
              <w:rPr>
                <w:rFonts w:hint="default" w:ascii="Times New Roman" w:hAnsi="Times New Roman" w:cs="Times New Roman"/>
                <w:color w:val="auto"/>
              </w:rPr>
            </w:pPr>
          </w:p>
        </w:tc>
        <w:tc>
          <w:tcPr>
            <w:tcW w:w="1526" w:type="dxa"/>
            <w:gridSpan w:val="2"/>
            <w:tcBorders>
              <w:tl2br w:val="nil"/>
              <w:tr2bl w:val="nil"/>
            </w:tcBorders>
            <w:vAlign w:val="center"/>
          </w:tcPr>
          <w:p w14:paraId="6E063EDD">
            <w:pPr>
              <w:pStyle w:val="44"/>
              <w:bidi w:val="0"/>
              <w:rPr>
                <w:rFonts w:hint="default" w:ascii="Times New Roman" w:hAnsi="Times New Roman" w:cs="Times New Roman"/>
                <w:color w:val="auto"/>
              </w:rPr>
            </w:pPr>
            <w:r>
              <w:rPr>
                <w:rFonts w:hint="default" w:ascii="Times New Roman" w:hAnsi="Times New Roman" w:cs="Times New Roman"/>
                <w:color w:val="auto"/>
              </w:rPr>
              <w:t>鸡西市西部零星出露</w:t>
            </w:r>
          </w:p>
        </w:tc>
        <w:tc>
          <w:tcPr>
            <w:tcW w:w="3709" w:type="dxa"/>
            <w:gridSpan w:val="2"/>
            <w:tcBorders>
              <w:tl2br w:val="nil"/>
              <w:tr2bl w:val="nil"/>
            </w:tcBorders>
            <w:vAlign w:val="center"/>
          </w:tcPr>
          <w:p w14:paraId="1F77F0B0">
            <w:pPr>
              <w:pStyle w:val="44"/>
              <w:bidi w:val="0"/>
              <w:rPr>
                <w:rFonts w:hint="default" w:ascii="Times New Roman" w:hAnsi="Times New Roman" w:cs="Times New Roman"/>
                <w:color w:val="auto"/>
              </w:rPr>
            </w:pPr>
            <w:r>
              <w:rPr>
                <w:rFonts w:hint="default" w:ascii="Times New Roman" w:hAnsi="Times New Roman" w:cs="Times New Roman"/>
                <w:color w:val="auto"/>
              </w:rPr>
              <w:t>中下部以变粒岩为主夹大理岩或少量片岩，上部由变粒岩和混和岩组成。</w:t>
            </w:r>
          </w:p>
        </w:tc>
      </w:tr>
      <w:tr w14:paraId="4E3D08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1000" w:hRule="atLeast"/>
          <w:jc w:val="center"/>
        </w:trPr>
        <w:tc>
          <w:tcPr>
            <w:tcW w:w="397" w:type="dxa"/>
            <w:vMerge w:val="restart"/>
            <w:tcBorders>
              <w:tl2br w:val="nil"/>
              <w:tr2bl w:val="nil"/>
            </w:tcBorders>
            <w:vAlign w:val="center"/>
          </w:tcPr>
          <w:p w14:paraId="2DCE391C">
            <w:pPr>
              <w:pStyle w:val="44"/>
              <w:bidi w:val="0"/>
              <w:rPr>
                <w:rFonts w:hint="default" w:ascii="Times New Roman" w:hAnsi="Times New Roman" w:cs="Times New Roman"/>
                <w:color w:val="auto"/>
              </w:rPr>
            </w:pPr>
            <w:r>
              <w:rPr>
                <w:rFonts w:hint="default" w:ascii="Times New Roman" w:hAnsi="Times New Roman" w:cs="Times New Roman"/>
                <w:color w:val="auto"/>
              </w:rPr>
              <w:t>太古界</w:t>
            </w:r>
          </w:p>
        </w:tc>
        <w:tc>
          <w:tcPr>
            <w:tcW w:w="397" w:type="dxa"/>
            <w:vMerge w:val="restart"/>
            <w:tcBorders>
              <w:tl2br w:val="nil"/>
              <w:tr2bl w:val="nil"/>
            </w:tcBorders>
            <w:vAlign w:val="center"/>
          </w:tcPr>
          <w:p w14:paraId="3BB4430A">
            <w:pPr>
              <w:pStyle w:val="44"/>
              <w:bidi w:val="0"/>
              <w:rPr>
                <w:rFonts w:hint="default" w:ascii="Times New Roman" w:hAnsi="Times New Roman" w:cs="Times New Roman"/>
                <w:color w:val="auto"/>
              </w:rPr>
            </w:pPr>
            <w:r>
              <w:rPr>
                <w:rFonts w:hint="default" w:ascii="Times New Roman" w:hAnsi="Times New Roman" w:cs="Times New Roman"/>
                <w:color w:val="auto"/>
              </w:rPr>
              <w:t>上太古界</w:t>
            </w:r>
          </w:p>
        </w:tc>
        <w:tc>
          <w:tcPr>
            <w:tcW w:w="466" w:type="dxa"/>
            <w:vMerge w:val="restart"/>
            <w:tcBorders>
              <w:tl2br w:val="nil"/>
              <w:tr2bl w:val="nil"/>
            </w:tcBorders>
            <w:vAlign w:val="center"/>
          </w:tcPr>
          <w:p w14:paraId="6348F903">
            <w:pPr>
              <w:pStyle w:val="44"/>
              <w:bidi w:val="0"/>
              <w:rPr>
                <w:rFonts w:hint="default" w:ascii="Times New Roman" w:hAnsi="Times New Roman" w:cs="Times New Roman"/>
                <w:color w:val="auto"/>
              </w:rPr>
            </w:pPr>
          </w:p>
        </w:tc>
        <w:tc>
          <w:tcPr>
            <w:tcW w:w="397" w:type="dxa"/>
            <w:vMerge w:val="restart"/>
            <w:tcBorders>
              <w:tl2br w:val="nil"/>
              <w:tr2bl w:val="nil"/>
            </w:tcBorders>
            <w:vAlign w:val="center"/>
          </w:tcPr>
          <w:p w14:paraId="20ECBB2A">
            <w:pPr>
              <w:pStyle w:val="44"/>
              <w:bidi w:val="0"/>
              <w:rPr>
                <w:rFonts w:hint="default" w:ascii="Times New Roman" w:hAnsi="Times New Roman" w:cs="Times New Roman"/>
                <w:color w:val="auto"/>
              </w:rPr>
            </w:pPr>
            <w:r>
              <w:rPr>
                <w:rFonts w:hint="default" w:ascii="Times New Roman" w:hAnsi="Times New Roman" w:cs="Times New Roman"/>
                <w:color w:val="auto"/>
              </w:rPr>
              <w:t>麻</w:t>
            </w:r>
          </w:p>
          <w:p w14:paraId="7A3C5409">
            <w:pPr>
              <w:pStyle w:val="44"/>
              <w:bidi w:val="0"/>
              <w:rPr>
                <w:rFonts w:hint="default" w:ascii="Times New Roman" w:hAnsi="Times New Roman" w:cs="Times New Roman"/>
                <w:color w:val="auto"/>
              </w:rPr>
            </w:pPr>
          </w:p>
          <w:p w14:paraId="1C9ABFE6">
            <w:pPr>
              <w:pStyle w:val="44"/>
              <w:bidi w:val="0"/>
              <w:rPr>
                <w:rFonts w:hint="default" w:ascii="Times New Roman" w:hAnsi="Times New Roman" w:cs="Times New Roman"/>
                <w:color w:val="auto"/>
              </w:rPr>
            </w:pPr>
            <w:r>
              <w:rPr>
                <w:rFonts w:hint="default" w:ascii="Times New Roman" w:hAnsi="Times New Roman" w:cs="Times New Roman"/>
                <w:color w:val="auto"/>
              </w:rPr>
              <w:t>山</w:t>
            </w:r>
          </w:p>
          <w:p w14:paraId="57702372">
            <w:pPr>
              <w:pStyle w:val="44"/>
              <w:bidi w:val="0"/>
              <w:rPr>
                <w:rFonts w:hint="default" w:ascii="Times New Roman" w:hAnsi="Times New Roman" w:cs="Times New Roman"/>
                <w:color w:val="auto"/>
              </w:rPr>
            </w:pPr>
          </w:p>
          <w:p w14:paraId="06973DDF">
            <w:pPr>
              <w:pStyle w:val="44"/>
              <w:bidi w:val="0"/>
              <w:rPr>
                <w:rFonts w:hint="default" w:ascii="Times New Roman" w:hAnsi="Times New Roman" w:cs="Times New Roman"/>
                <w:color w:val="auto"/>
              </w:rPr>
            </w:pPr>
            <w:r>
              <w:rPr>
                <w:rFonts w:hint="default" w:ascii="Times New Roman" w:hAnsi="Times New Roman" w:cs="Times New Roman"/>
                <w:color w:val="auto"/>
              </w:rPr>
              <w:t>群</w:t>
            </w:r>
          </w:p>
        </w:tc>
        <w:tc>
          <w:tcPr>
            <w:tcW w:w="527" w:type="dxa"/>
            <w:tcBorders>
              <w:tl2br w:val="nil"/>
              <w:tr2bl w:val="nil"/>
            </w:tcBorders>
            <w:vAlign w:val="center"/>
          </w:tcPr>
          <w:p w14:paraId="222D21FF">
            <w:pPr>
              <w:pStyle w:val="44"/>
              <w:bidi w:val="0"/>
              <w:rPr>
                <w:rFonts w:hint="default" w:ascii="Times New Roman" w:hAnsi="Times New Roman" w:cs="Times New Roman"/>
                <w:color w:val="auto"/>
              </w:rPr>
            </w:pPr>
            <w:r>
              <w:rPr>
                <w:rFonts w:hint="default" w:ascii="Times New Roman" w:hAnsi="Times New Roman" w:cs="Times New Roman"/>
                <w:color w:val="auto"/>
              </w:rPr>
              <w:t>余庆组</w:t>
            </w:r>
          </w:p>
        </w:tc>
        <w:tc>
          <w:tcPr>
            <w:tcW w:w="504" w:type="dxa"/>
            <w:tcBorders>
              <w:tl2br w:val="nil"/>
              <w:tr2bl w:val="nil"/>
            </w:tcBorders>
            <w:vAlign w:val="center"/>
          </w:tcPr>
          <w:p w14:paraId="0E391C16">
            <w:pPr>
              <w:pStyle w:val="44"/>
              <w:bidi w:val="0"/>
              <w:rPr>
                <w:rFonts w:hint="default" w:ascii="Times New Roman" w:hAnsi="Times New Roman" w:cs="Times New Roman"/>
                <w:color w:val="auto"/>
              </w:rPr>
            </w:pPr>
            <w:r>
              <w:rPr>
                <w:rFonts w:hint="default" w:ascii="Times New Roman" w:hAnsi="Times New Roman" w:cs="Times New Roman"/>
                <w:color w:val="auto"/>
              </w:rPr>
              <w:t>Ar2y</w:t>
            </w:r>
          </w:p>
        </w:tc>
        <w:tc>
          <w:tcPr>
            <w:tcW w:w="616" w:type="dxa"/>
            <w:gridSpan w:val="2"/>
            <w:tcBorders>
              <w:tl2br w:val="nil"/>
              <w:tr2bl w:val="nil"/>
            </w:tcBorders>
            <w:vAlign w:val="center"/>
          </w:tcPr>
          <w:p w14:paraId="054EB12A">
            <w:pPr>
              <w:pStyle w:val="44"/>
              <w:bidi w:val="0"/>
              <w:rPr>
                <w:rFonts w:hint="default" w:ascii="Times New Roman" w:hAnsi="Times New Roman" w:cs="Times New Roman"/>
                <w:color w:val="auto"/>
              </w:rPr>
            </w:pPr>
            <w:r>
              <w:rPr>
                <w:rFonts w:hint="default" w:ascii="Times New Roman" w:hAnsi="Times New Roman" w:cs="Times New Roman"/>
                <w:color w:val="auto"/>
              </w:rPr>
              <w:t>&gt;2652</w:t>
            </w:r>
          </w:p>
        </w:tc>
        <w:tc>
          <w:tcPr>
            <w:tcW w:w="1526" w:type="dxa"/>
            <w:gridSpan w:val="2"/>
            <w:tcBorders>
              <w:tl2br w:val="nil"/>
              <w:tr2bl w:val="nil"/>
            </w:tcBorders>
            <w:vAlign w:val="center"/>
          </w:tcPr>
          <w:p w14:paraId="13657C2E">
            <w:pPr>
              <w:pStyle w:val="44"/>
              <w:bidi w:val="0"/>
              <w:rPr>
                <w:rFonts w:hint="default" w:ascii="Times New Roman" w:hAnsi="Times New Roman" w:cs="Times New Roman"/>
                <w:color w:val="auto"/>
              </w:rPr>
            </w:pPr>
            <w:r>
              <w:rPr>
                <w:rFonts w:hint="default" w:ascii="Times New Roman" w:hAnsi="Times New Roman" w:cs="Times New Roman"/>
                <w:color w:val="auto"/>
              </w:rPr>
              <w:t>大同林场、恒山矿西南长安、平安一带</w:t>
            </w:r>
          </w:p>
        </w:tc>
        <w:tc>
          <w:tcPr>
            <w:tcW w:w="3709" w:type="dxa"/>
            <w:gridSpan w:val="2"/>
            <w:tcBorders>
              <w:tl2br w:val="nil"/>
              <w:tr2bl w:val="nil"/>
            </w:tcBorders>
            <w:vAlign w:val="center"/>
          </w:tcPr>
          <w:p w14:paraId="561DD32D">
            <w:pPr>
              <w:pStyle w:val="44"/>
              <w:bidi w:val="0"/>
              <w:rPr>
                <w:rFonts w:hint="default" w:ascii="Times New Roman" w:hAnsi="Times New Roman" w:cs="Times New Roman"/>
                <w:color w:val="auto"/>
              </w:rPr>
            </w:pPr>
            <w:r>
              <w:rPr>
                <w:rFonts w:hint="default" w:ascii="Times New Roman" w:hAnsi="Times New Roman" w:cs="Times New Roman"/>
                <w:color w:val="auto"/>
              </w:rPr>
              <w:t>下部为包括混和花岗岩在内的各种混合岩，中部为石墨片岩、石墨片麻岩和黑云斜长片麻岩、上部大理岩、片麻岩、变粒岩、麻粒岩夹混和花岗岩。</w:t>
            </w:r>
          </w:p>
        </w:tc>
      </w:tr>
      <w:tr w14:paraId="44B644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1000" w:hRule="atLeast"/>
          <w:jc w:val="center"/>
        </w:trPr>
        <w:tc>
          <w:tcPr>
            <w:tcW w:w="397" w:type="dxa"/>
            <w:vMerge w:val="continue"/>
            <w:tcBorders>
              <w:tl2br w:val="nil"/>
              <w:tr2bl w:val="nil"/>
            </w:tcBorders>
            <w:vAlign w:val="center"/>
          </w:tcPr>
          <w:p w14:paraId="12DDD92A">
            <w:pPr>
              <w:pStyle w:val="44"/>
              <w:bidi w:val="0"/>
              <w:rPr>
                <w:rFonts w:hint="default" w:ascii="Times New Roman" w:hAnsi="Times New Roman" w:cs="Times New Roman"/>
                <w:color w:val="auto"/>
              </w:rPr>
            </w:pPr>
          </w:p>
        </w:tc>
        <w:tc>
          <w:tcPr>
            <w:tcW w:w="397" w:type="dxa"/>
            <w:vMerge w:val="continue"/>
            <w:tcBorders>
              <w:tl2br w:val="nil"/>
              <w:tr2bl w:val="nil"/>
            </w:tcBorders>
            <w:vAlign w:val="center"/>
          </w:tcPr>
          <w:p w14:paraId="6BFC46FF">
            <w:pPr>
              <w:pStyle w:val="44"/>
              <w:bidi w:val="0"/>
              <w:rPr>
                <w:rFonts w:hint="default" w:ascii="Times New Roman" w:hAnsi="Times New Roman" w:cs="Times New Roman"/>
                <w:color w:val="auto"/>
              </w:rPr>
            </w:pPr>
          </w:p>
        </w:tc>
        <w:tc>
          <w:tcPr>
            <w:tcW w:w="466" w:type="dxa"/>
            <w:vMerge w:val="continue"/>
            <w:tcBorders>
              <w:tl2br w:val="nil"/>
              <w:tr2bl w:val="nil"/>
            </w:tcBorders>
            <w:vAlign w:val="center"/>
          </w:tcPr>
          <w:p w14:paraId="1752BD0B">
            <w:pPr>
              <w:pStyle w:val="44"/>
              <w:bidi w:val="0"/>
              <w:rPr>
                <w:rFonts w:hint="default" w:ascii="Times New Roman" w:hAnsi="Times New Roman" w:cs="Times New Roman"/>
                <w:color w:val="auto"/>
              </w:rPr>
            </w:pPr>
          </w:p>
        </w:tc>
        <w:tc>
          <w:tcPr>
            <w:tcW w:w="397" w:type="dxa"/>
            <w:vMerge w:val="continue"/>
            <w:tcBorders>
              <w:tl2br w:val="nil"/>
              <w:tr2bl w:val="nil"/>
            </w:tcBorders>
            <w:vAlign w:val="center"/>
          </w:tcPr>
          <w:p w14:paraId="23F4CD11">
            <w:pPr>
              <w:pStyle w:val="44"/>
              <w:bidi w:val="0"/>
              <w:rPr>
                <w:rFonts w:hint="default" w:ascii="Times New Roman" w:hAnsi="Times New Roman" w:cs="Times New Roman"/>
                <w:color w:val="auto"/>
              </w:rPr>
            </w:pPr>
          </w:p>
        </w:tc>
        <w:tc>
          <w:tcPr>
            <w:tcW w:w="527" w:type="dxa"/>
            <w:tcBorders>
              <w:tl2br w:val="nil"/>
              <w:tr2bl w:val="nil"/>
            </w:tcBorders>
            <w:vAlign w:val="center"/>
          </w:tcPr>
          <w:p w14:paraId="52817C62">
            <w:pPr>
              <w:pStyle w:val="44"/>
              <w:bidi w:val="0"/>
              <w:rPr>
                <w:rFonts w:hint="default" w:ascii="Times New Roman" w:hAnsi="Times New Roman" w:cs="Times New Roman"/>
                <w:color w:val="auto"/>
              </w:rPr>
            </w:pPr>
            <w:r>
              <w:rPr>
                <w:rFonts w:hint="default" w:ascii="Times New Roman" w:hAnsi="Times New Roman" w:cs="Times New Roman"/>
                <w:color w:val="auto"/>
              </w:rPr>
              <w:t>西麻</w:t>
            </w:r>
          </w:p>
          <w:p w14:paraId="5B64BFF0">
            <w:pPr>
              <w:pStyle w:val="44"/>
              <w:bidi w:val="0"/>
              <w:rPr>
                <w:rFonts w:hint="default" w:ascii="Times New Roman" w:hAnsi="Times New Roman" w:cs="Times New Roman"/>
                <w:color w:val="auto"/>
              </w:rPr>
            </w:pPr>
            <w:r>
              <w:rPr>
                <w:rFonts w:hint="default" w:ascii="Times New Roman" w:hAnsi="Times New Roman" w:cs="Times New Roman"/>
                <w:color w:val="auto"/>
              </w:rPr>
              <w:t>山组</w:t>
            </w:r>
          </w:p>
        </w:tc>
        <w:tc>
          <w:tcPr>
            <w:tcW w:w="504" w:type="dxa"/>
            <w:tcBorders>
              <w:tl2br w:val="nil"/>
              <w:tr2bl w:val="nil"/>
            </w:tcBorders>
            <w:vAlign w:val="center"/>
          </w:tcPr>
          <w:p w14:paraId="3E9D13B3">
            <w:pPr>
              <w:pStyle w:val="44"/>
              <w:bidi w:val="0"/>
              <w:rPr>
                <w:rFonts w:hint="default" w:ascii="Times New Roman" w:hAnsi="Times New Roman" w:cs="Times New Roman"/>
                <w:color w:val="auto"/>
              </w:rPr>
            </w:pPr>
            <w:r>
              <w:rPr>
                <w:rFonts w:hint="default" w:ascii="Times New Roman" w:hAnsi="Times New Roman" w:cs="Times New Roman"/>
                <w:color w:val="auto"/>
              </w:rPr>
              <w:t>Ar2x</w:t>
            </w:r>
          </w:p>
        </w:tc>
        <w:tc>
          <w:tcPr>
            <w:tcW w:w="616" w:type="dxa"/>
            <w:gridSpan w:val="2"/>
            <w:tcBorders>
              <w:tl2br w:val="nil"/>
              <w:tr2bl w:val="nil"/>
            </w:tcBorders>
            <w:vAlign w:val="center"/>
          </w:tcPr>
          <w:p w14:paraId="44DFDFF1">
            <w:pPr>
              <w:pStyle w:val="44"/>
              <w:bidi w:val="0"/>
              <w:rPr>
                <w:rFonts w:hint="default" w:ascii="Times New Roman" w:hAnsi="Times New Roman" w:cs="Times New Roman"/>
                <w:color w:val="auto"/>
              </w:rPr>
            </w:pPr>
            <w:r>
              <w:rPr>
                <w:rFonts w:hint="default" w:ascii="Times New Roman" w:hAnsi="Times New Roman" w:cs="Times New Roman"/>
                <w:color w:val="auto"/>
              </w:rPr>
              <w:t>&gt;6436</w:t>
            </w:r>
          </w:p>
        </w:tc>
        <w:tc>
          <w:tcPr>
            <w:tcW w:w="1526" w:type="dxa"/>
            <w:gridSpan w:val="2"/>
            <w:tcBorders>
              <w:tl2br w:val="nil"/>
              <w:tr2bl w:val="nil"/>
            </w:tcBorders>
            <w:vAlign w:val="center"/>
          </w:tcPr>
          <w:p w14:paraId="5E1A3423">
            <w:pPr>
              <w:pStyle w:val="44"/>
              <w:bidi w:val="0"/>
              <w:rPr>
                <w:rFonts w:hint="default" w:ascii="Times New Roman" w:hAnsi="Times New Roman" w:cs="Times New Roman"/>
                <w:color w:val="auto"/>
              </w:rPr>
            </w:pPr>
            <w:r>
              <w:rPr>
                <w:rFonts w:hint="default" w:ascii="Times New Roman" w:hAnsi="Times New Roman" w:cs="Times New Roman"/>
                <w:color w:val="auto"/>
              </w:rPr>
              <w:t>龙山～麻山～东新大面积出露</w:t>
            </w:r>
          </w:p>
        </w:tc>
        <w:tc>
          <w:tcPr>
            <w:tcW w:w="3709" w:type="dxa"/>
            <w:gridSpan w:val="2"/>
            <w:tcBorders>
              <w:tl2br w:val="nil"/>
              <w:tr2bl w:val="nil"/>
            </w:tcBorders>
            <w:vAlign w:val="center"/>
          </w:tcPr>
          <w:p w14:paraId="7D303FB7">
            <w:pPr>
              <w:pStyle w:val="44"/>
              <w:bidi w:val="0"/>
              <w:rPr>
                <w:rFonts w:hint="default" w:ascii="Times New Roman" w:hAnsi="Times New Roman" w:cs="Times New Roman"/>
                <w:color w:val="auto"/>
              </w:rPr>
            </w:pPr>
            <w:r>
              <w:rPr>
                <w:rFonts w:hint="default" w:ascii="Times New Roman" w:hAnsi="Times New Roman" w:cs="Times New Roman"/>
                <w:color w:val="auto"/>
              </w:rPr>
              <w:t>主要为马紫苏麻粒岩共生的黑云变粒岩、黑云斜长变麻岩、混合岩、角闪透辉斜长变粒岩，透辉石榴岩。</w:t>
            </w:r>
          </w:p>
        </w:tc>
      </w:tr>
    </w:tbl>
    <w:p w14:paraId="74F26843">
      <w:pPr>
        <w:snapToGrid w:val="0"/>
        <w:ind w:firstLine="201"/>
        <w:jc w:val="center"/>
        <w:rPr>
          <w:rFonts w:hint="default" w:ascii="Times New Roman" w:hAnsi="Times New Roman" w:eastAsia="仿宋" w:cs="Times New Roman"/>
          <w:b/>
          <w:color w:val="auto"/>
          <w:sz w:val="10"/>
          <w:szCs w:val="10"/>
        </w:rPr>
      </w:pPr>
    </w:p>
    <w:p w14:paraId="2B0C561C">
      <w:pPr>
        <w:pStyle w:val="25"/>
        <w:bidi w:val="0"/>
        <w:rPr>
          <w:rFonts w:hint="default" w:ascii="Times New Roman" w:hAnsi="Times New Roman" w:cs="Times New Roman"/>
          <w:color w:val="auto"/>
        </w:rPr>
      </w:pPr>
      <w:r>
        <w:rPr>
          <w:rFonts w:hint="default" w:ascii="Times New Roman" w:hAnsi="Times New Roman" w:cs="Times New Roman"/>
          <w:color w:val="auto"/>
        </w:rPr>
        <w:t>黑第四纪地层主要分布在穆棱河谷、以及支流沟谷中，成因类型以冲积为主，其岩性、厚度及分布见</w:t>
      </w:r>
      <w:r>
        <w:rPr>
          <w:rFonts w:hint="default" w:ascii="Times New Roman" w:hAnsi="Times New Roman" w:cs="Times New Roman"/>
          <w:color w:val="auto"/>
          <w:lang w:val="en-US" w:eastAsia="zh-CN"/>
        </w:rPr>
        <w:t>下表</w:t>
      </w:r>
      <w:r>
        <w:rPr>
          <w:rFonts w:hint="default" w:ascii="Times New Roman" w:hAnsi="Times New Roman" w:cs="Times New Roman"/>
          <w:color w:val="auto"/>
        </w:rPr>
        <w:t>。</w:t>
      </w:r>
    </w:p>
    <w:p w14:paraId="614192A3">
      <w:pPr>
        <w:pStyle w:val="27"/>
        <w:bidi w:val="0"/>
        <w:rPr>
          <w:rFonts w:hint="default" w:ascii="Times New Roman" w:hAnsi="Times New Roman" w:cs="Times New Roman"/>
          <w:color w:val="auto"/>
        </w:rPr>
      </w:pPr>
      <w:r>
        <w:rPr>
          <w:rFonts w:hint="default" w:ascii="Times New Roman" w:hAnsi="Times New Roman" w:cs="Times New Roman"/>
          <w:color w:val="auto"/>
        </w:rPr>
        <w:t>表4-</w:t>
      </w:r>
      <w:r>
        <w:rPr>
          <w:rFonts w:hint="default" w:ascii="Times New Roman" w:hAnsi="Times New Roman" w:cs="Times New Roman"/>
          <w:color w:val="auto"/>
          <w:lang w:val="en-US" w:eastAsia="zh-CN"/>
        </w:rPr>
        <w:t>1-2</w:t>
      </w:r>
      <w:r>
        <w:rPr>
          <w:rFonts w:hint="default" w:ascii="Times New Roman" w:hAnsi="Times New Roman" w:cs="Times New Roman"/>
          <w:color w:val="auto"/>
        </w:rPr>
        <w:t xml:space="preserve">  第四纪地层表</w:t>
      </w:r>
    </w:p>
    <w:tbl>
      <w:tblPr>
        <w:tblStyle w:val="20"/>
        <w:tblW w:w="853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530"/>
        <w:gridCol w:w="1290"/>
        <w:gridCol w:w="718"/>
        <w:gridCol w:w="1886"/>
        <w:gridCol w:w="672"/>
        <w:gridCol w:w="3443"/>
      </w:tblGrid>
      <w:tr w14:paraId="3C6416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600" w:hRule="atLeast"/>
          <w:jc w:val="center"/>
        </w:trPr>
        <w:tc>
          <w:tcPr>
            <w:tcW w:w="530" w:type="dxa"/>
            <w:tcBorders>
              <w:tl2br w:val="nil"/>
              <w:tr2bl w:val="nil"/>
            </w:tcBorders>
            <w:vAlign w:val="center"/>
          </w:tcPr>
          <w:p w14:paraId="6846CD10">
            <w:pPr>
              <w:pStyle w:val="44"/>
              <w:bidi w:val="0"/>
              <w:rPr>
                <w:rFonts w:hint="default" w:ascii="Times New Roman" w:hAnsi="Times New Roman" w:cs="Times New Roman"/>
                <w:color w:val="auto"/>
              </w:rPr>
            </w:pPr>
            <w:r>
              <w:rPr>
                <w:rFonts w:hint="default" w:ascii="Times New Roman" w:hAnsi="Times New Roman" w:cs="Times New Roman"/>
                <w:color w:val="auto"/>
              </w:rPr>
              <w:t>时代</w:t>
            </w:r>
          </w:p>
        </w:tc>
        <w:tc>
          <w:tcPr>
            <w:tcW w:w="1290" w:type="dxa"/>
            <w:tcBorders>
              <w:tl2br w:val="nil"/>
              <w:tr2bl w:val="nil"/>
            </w:tcBorders>
            <w:vAlign w:val="center"/>
          </w:tcPr>
          <w:p w14:paraId="7113328C">
            <w:pPr>
              <w:pStyle w:val="44"/>
              <w:bidi w:val="0"/>
              <w:rPr>
                <w:rFonts w:hint="default" w:ascii="Times New Roman" w:hAnsi="Times New Roman" w:cs="Times New Roman"/>
                <w:color w:val="auto"/>
              </w:rPr>
            </w:pPr>
            <w:r>
              <w:rPr>
                <w:rFonts w:hint="default" w:ascii="Times New Roman" w:hAnsi="Times New Roman" w:cs="Times New Roman"/>
                <w:color w:val="auto"/>
              </w:rPr>
              <w:t>组</w:t>
            </w:r>
          </w:p>
        </w:tc>
        <w:tc>
          <w:tcPr>
            <w:tcW w:w="718" w:type="dxa"/>
            <w:tcBorders>
              <w:tl2br w:val="nil"/>
              <w:tr2bl w:val="nil"/>
            </w:tcBorders>
            <w:vAlign w:val="center"/>
          </w:tcPr>
          <w:p w14:paraId="424985C1">
            <w:pPr>
              <w:pStyle w:val="44"/>
              <w:bidi w:val="0"/>
              <w:rPr>
                <w:rFonts w:hint="default" w:ascii="Times New Roman" w:hAnsi="Times New Roman" w:cs="Times New Roman"/>
                <w:color w:val="auto"/>
              </w:rPr>
            </w:pPr>
            <w:r>
              <w:rPr>
                <w:rFonts w:hint="default" w:ascii="Times New Roman" w:hAnsi="Times New Roman" w:cs="Times New Roman"/>
                <w:color w:val="auto"/>
              </w:rPr>
              <w:t>代号</w:t>
            </w:r>
          </w:p>
        </w:tc>
        <w:tc>
          <w:tcPr>
            <w:tcW w:w="1886" w:type="dxa"/>
            <w:tcBorders>
              <w:tl2br w:val="nil"/>
              <w:tr2bl w:val="nil"/>
            </w:tcBorders>
            <w:vAlign w:val="center"/>
          </w:tcPr>
          <w:p w14:paraId="271E5968">
            <w:pPr>
              <w:pStyle w:val="44"/>
              <w:bidi w:val="0"/>
              <w:rPr>
                <w:rFonts w:hint="default" w:ascii="Times New Roman" w:hAnsi="Times New Roman" w:cs="Times New Roman"/>
                <w:color w:val="auto"/>
              </w:rPr>
            </w:pPr>
            <w:r>
              <w:rPr>
                <w:rFonts w:hint="default" w:ascii="Times New Roman" w:hAnsi="Times New Roman" w:cs="Times New Roman"/>
                <w:color w:val="auto"/>
              </w:rPr>
              <w:t>分布</w:t>
            </w:r>
          </w:p>
        </w:tc>
        <w:tc>
          <w:tcPr>
            <w:tcW w:w="672" w:type="dxa"/>
            <w:tcBorders>
              <w:tl2br w:val="nil"/>
              <w:tr2bl w:val="nil"/>
            </w:tcBorders>
            <w:vAlign w:val="center"/>
          </w:tcPr>
          <w:p w14:paraId="38DD2FC3">
            <w:pPr>
              <w:pStyle w:val="44"/>
              <w:bidi w:val="0"/>
              <w:rPr>
                <w:rFonts w:hint="default" w:ascii="Times New Roman" w:hAnsi="Times New Roman" w:cs="Times New Roman"/>
                <w:color w:val="auto"/>
              </w:rPr>
            </w:pPr>
            <w:r>
              <w:rPr>
                <w:rFonts w:hint="default" w:ascii="Times New Roman" w:hAnsi="Times New Roman" w:cs="Times New Roman"/>
                <w:color w:val="auto"/>
              </w:rPr>
              <w:t>厚度（m）</w:t>
            </w:r>
          </w:p>
        </w:tc>
        <w:tc>
          <w:tcPr>
            <w:tcW w:w="3443" w:type="dxa"/>
            <w:tcBorders>
              <w:tl2br w:val="nil"/>
              <w:tr2bl w:val="nil"/>
            </w:tcBorders>
            <w:vAlign w:val="center"/>
          </w:tcPr>
          <w:p w14:paraId="3794BEF1">
            <w:pPr>
              <w:pStyle w:val="44"/>
              <w:bidi w:val="0"/>
              <w:rPr>
                <w:rFonts w:hint="default" w:ascii="Times New Roman" w:hAnsi="Times New Roman" w:cs="Times New Roman"/>
                <w:color w:val="auto"/>
              </w:rPr>
            </w:pPr>
            <w:r>
              <w:rPr>
                <w:rFonts w:hint="default" w:ascii="Times New Roman" w:hAnsi="Times New Roman" w:cs="Times New Roman"/>
                <w:color w:val="auto"/>
              </w:rPr>
              <w:t>岩性简述</w:t>
            </w:r>
          </w:p>
        </w:tc>
      </w:tr>
      <w:tr w14:paraId="1626E9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600" w:hRule="atLeast"/>
          <w:jc w:val="center"/>
        </w:trPr>
        <w:tc>
          <w:tcPr>
            <w:tcW w:w="530" w:type="dxa"/>
            <w:vMerge w:val="restart"/>
            <w:tcBorders>
              <w:tl2br w:val="nil"/>
              <w:tr2bl w:val="nil"/>
            </w:tcBorders>
            <w:vAlign w:val="center"/>
          </w:tcPr>
          <w:p w14:paraId="47FF38FE">
            <w:pPr>
              <w:pStyle w:val="44"/>
              <w:bidi w:val="0"/>
              <w:rPr>
                <w:rFonts w:hint="default" w:ascii="Times New Roman" w:hAnsi="Times New Roman" w:cs="Times New Roman"/>
                <w:color w:val="auto"/>
              </w:rPr>
            </w:pPr>
            <w:r>
              <w:rPr>
                <w:rFonts w:hint="default" w:ascii="Times New Roman" w:hAnsi="Times New Roman" w:cs="Times New Roman"/>
                <w:color w:val="auto"/>
              </w:rPr>
              <w:t>全</w:t>
            </w:r>
          </w:p>
          <w:p w14:paraId="20A72A33">
            <w:pPr>
              <w:pStyle w:val="44"/>
              <w:bidi w:val="0"/>
              <w:rPr>
                <w:rFonts w:hint="default" w:ascii="Times New Roman" w:hAnsi="Times New Roman" w:cs="Times New Roman"/>
                <w:color w:val="auto"/>
              </w:rPr>
            </w:pPr>
            <w:r>
              <w:rPr>
                <w:rFonts w:hint="default" w:ascii="Times New Roman" w:hAnsi="Times New Roman" w:cs="Times New Roman"/>
                <w:color w:val="auto"/>
              </w:rPr>
              <w:t>新</w:t>
            </w:r>
          </w:p>
          <w:p w14:paraId="063F31F2">
            <w:pPr>
              <w:pStyle w:val="44"/>
              <w:bidi w:val="0"/>
              <w:rPr>
                <w:rFonts w:hint="default" w:ascii="Times New Roman" w:hAnsi="Times New Roman" w:cs="Times New Roman"/>
                <w:color w:val="auto"/>
              </w:rPr>
            </w:pPr>
            <w:r>
              <w:rPr>
                <w:rFonts w:hint="default" w:ascii="Times New Roman" w:hAnsi="Times New Roman" w:cs="Times New Roman"/>
                <w:color w:val="auto"/>
              </w:rPr>
              <w:t>统</w:t>
            </w:r>
          </w:p>
        </w:tc>
        <w:tc>
          <w:tcPr>
            <w:tcW w:w="1290" w:type="dxa"/>
            <w:tcBorders>
              <w:tl2br w:val="nil"/>
              <w:tr2bl w:val="nil"/>
            </w:tcBorders>
            <w:vAlign w:val="center"/>
          </w:tcPr>
          <w:p w14:paraId="4A989FEE">
            <w:pPr>
              <w:pStyle w:val="44"/>
              <w:bidi w:val="0"/>
              <w:rPr>
                <w:rFonts w:hint="default" w:ascii="Times New Roman" w:hAnsi="Times New Roman" w:cs="Times New Roman"/>
                <w:color w:val="auto"/>
              </w:rPr>
            </w:pPr>
            <w:r>
              <w:rPr>
                <w:rFonts w:hint="default" w:ascii="Times New Roman" w:hAnsi="Times New Roman" w:cs="Times New Roman"/>
                <w:color w:val="auto"/>
              </w:rPr>
              <w:t>低漫滩冲积层</w:t>
            </w:r>
          </w:p>
        </w:tc>
        <w:tc>
          <w:tcPr>
            <w:tcW w:w="718" w:type="dxa"/>
            <w:tcBorders>
              <w:tl2br w:val="nil"/>
              <w:tr2bl w:val="nil"/>
            </w:tcBorders>
            <w:vAlign w:val="center"/>
          </w:tcPr>
          <w:p w14:paraId="3074DA2D">
            <w:pPr>
              <w:pStyle w:val="44"/>
              <w:bidi w:val="0"/>
              <w:rPr>
                <w:rFonts w:hint="default" w:ascii="Times New Roman" w:hAnsi="Times New Roman" w:cs="Times New Roman"/>
                <w:color w:val="auto"/>
              </w:rPr>
            </w:pPr>
            <w:r>
              <w:rPr>
                <w:rFonts w:hint="default" w:ascii="Times New Roman" w:hAnsi="Times New Roman" w:cs="Times New Roman"/>
                <w:color w:val="auto"/>
              </w:rPr>
              <w:t>Q42al</w:t>
            </w:r>
          </w:p>
        </w:tc>
        <w:tc>
          <w:tcPr>
            <w:tcW w:w="1886" w:type="dxa"/>
            <w:tcBorders>
              <w:tl2br w:val="nil"/>
              <w:tr2bl w:val="nil"/>
            </w:tcBorders>
            <w:vAlign w:val="center"/>
          </w:tcPr>
          <w:p w14:paraId="6374D93E">
            <w:pPr>
              <w:pStyle w:val="44"/>
              <w:bidi w:val="0"/>
              <w:rPr>
                <w:rFonts w:hint="default" w:ascii="Times New Roman" w:hAnsi="Times New Roman" w:cs="Times New Roman"/>
                <w:color w:val="auto"/>
              </w:rPr>
            </w:pPr>
            <w:r>
              <w:rPr>
                <w:rFonts w:hint="default" w:ascii="Times New Roman" w:hAnsi="Times New Roman" w:cs="Times New Roman"/>
                <w:color w:val="auto"/>
              </w:rPr>
              <w:t>穆棱河各级河谷两侧及河床中</w:t>
            </w:r>
          </w:p>
        </w:tc>
        <w:tc>
          <w:tcPr>
            <w:tcW w:w="672" w:type="dxa"/>
            <w:tcBorders>
              <w:tl2br w:val="nil"/>
              <w:tr2bl w:val="nil"/>
            </w:tcBorders>
            <w:vAlign w:val="center"/>
          </w:tcPr>
          <w:p w14:paraId="7ED369D8">
            <w:pPr>
              <w:pStyle w:val="44"/>
              <w:bidi w:val="0"/>
              <w:rPr>
                <w:rFonts w:hint="default" w:ascii="Times New Roman" w:hAnsi="Times New Roman" w:cs="Times New Roman"/>
                <w:color w:val="auto"/>
              </w:rPr>
            </w:pPr>
            <w:r>
              <w:rPr>
                <w:rFonts w:hint="default" w:ascii="Times New Roman" w:hAnsi="Times New Roman" w:cs="Times New Roman"/>
                <w:color w:val="auto"/>
              </w:rPr>
              <w:t>2-6</w:t>
            </w:r>
          </w:p>
        </w:tc>
        <w:tc>
          <w:tcPr>
            <w:tcW w:w="3443" w:type="dxa"/>
            <w:tcBorders>
              <w:tl2br w:val="nil"/>
              <w:tr2bl w:val="nil"/>
            </w:tcBorders>
            <w:vAlign w:val="center"/>
          </w:tcPr>
          <w:p w14:paraId="083E6B4F">
            <w:pPr>
              <w:pStyle w:val="44"/>
              <w:bidi w:val="0"/>
              <w:rPr>
                <w:rFonts w:hint="default" w:ascii="Times New Roman" w:hAnsi="Times New Roman" w:cs="Times New Roman"/>
                <w:color w:val="auto"/>
              </w:rPr>
            </w:pPr>
            <w:r>
              <w:rPr>
                <w:rFonts w:hint="default" w:ascii="Times New Roman" w:hAnsi="Times New Roman" w:cs="Times New Roman"/>
                <w:color w:val="auto"/>
              </w:rPr>
              <w:t>主要为浅黄色、灰黄色含砾中粗砂、砂砾石，卵砾石。</w:t>
            </w:r>
          </w:p>
        </w:tc>
      </w:tr>
      <w:tr w14:paraId="50FBB1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600" w:hRule="atLeast"/>
          <w:jc w:val="center"/>
        </w:trPr>
        <w:tc>
          <w:tcPr>
            <w:tcW w:w="530" w:type="dxa"/>
            <w:vMerge w:val="continue"/>
            <w:tcBorders>
              <w:tl2br w:val="nil"/>
              <w:tr2bl w:val="nil"/>
            </w:tcBorders>
            <w:vAlign w:val="center"/>
          </w:tcPr>
          <w:p w14:paraId="272E3B6A">
            <w:pPr>
              <w:pStyle w:val="44"/>
              <w:bidi w:val="0"/>
              <w:rPr>
                <w:rFonts w:hint="default" w:ascii="Times New Roman" w:hAnsi="Times New Roman" w:cs="Times New Roman"/>
                <w:color w:val="auto"/>
              </w:rPr>
            </w:pPr>
          </w:p>
        </w:tc>
        <w:tc>
          <w:tcPr>
            <w:tcW w:w="1290" w:type="dxa"/>
            <w:tcBorders>
              <w:tl2br w:val="nil"/>
              <w:tr2bl w:val="nil"/>
            </w:tcBorders>
            <w:vAlign w:val="center"/>
          </w:tcPr>
          <w:p w14:paraId="234D8D50">
            <w:pPr>
              <w:pStyle w:val="44"/>
              <w:bidi w:val="0"/>
              <w:rPr>
                <w:rFonts w:hint="default" w:ascii="Times New Roman" w:hAnsi="Times New Roman" w:cs="Times New Roman"/>
                <w:color w:val="auto"/>
              </w:rPr>
            </w:pPr>
            <w:r>
              <w:rPr>
                <w:rFonts w:hint="default" w:ascii="Times New Roman" w:hAnsi="Times New Roman" w:cs="Times New Roman"/>
                <w:color w:val="auto"/>
              </w:rPr>
              <w:t>高漫滩冲积层</w:t>
            </w:r>
          </w:p>
        </w:tc>
        <w:tc>
          <w:tcPr>
            <w:tcW w:w="718" w:type="dxa"/>
            <w:tcBorders>
              <w:tl2br w:val="nil"/>
              <w:tr2bl w:val="nil"/>
            </w:tcBorders>
            <w:vAlign w:val="center"/>
          </w:tcPr>
          <w:p w14:paraId="5183F53D">
            <w:pPr>
              <w:pStyle w:val="44"/>
              <w:bidi w:val="0"/>
              <w:rPr>
                <w:rFonts w:hint="default" w:ascii="Times New Roman" w:hAnsi="Times New Roman" w:cs="Times New Roman"/>
                <w:color w:val="auto"/>
              </w:rPr>
            </w:pPr>
            <w:r>
              <w:rPr>
                <w:rFonts w:hint="default" w:ascii="Times New Roman" w:hAnsi="Times New Roman" w:cs="Times New Roman"/>
                <w:color w:val="auto"/>
              </w:rPr>
              <w:t>Q41al</w:t>
            </w:r>
          </w:p>
        </w:tc>
        <w:tc>
          <w:tcPr>
            <w:tcW w:w="1886" w:type="dxa"/>
            <w:tcBorders>
              <w:tl2br w:val="nil"/>
              <w:tr2bl w:val="nil"/>
            </w:tcBorders>
            <w:vAlign w:val="center"/>
          </w:tcPr>
          <w:p w14:paraId="7D24ACD9">
            <w:pPr>
              <w:pStyle w:val="44"/>
              <w:bidi w:val="0"/>
              <w:rPr>
                <w:rFonts w:hint="default" w:ascii="Times New Roman" w:hAnsi="Times New Roman" w:cs="Times New Roman"/>
                <w:color w:val="auto"/>
              </w:rPr>
            </w:pPr>
            <w:r>
              <w:rPr>
                <w:rFonts w:hint="default" w:ascii="Times New Roman" w:hAnsi="Times New Roman" w:cs="Times New Roman"/>
                <w:color w:val="auto"/>
              </w:rPr>
              <w:t>穆棱河谷两岸普遍分布</w:t>
            </w:r>
          </w:p>
        </w:tc>
        <w:tc>
          <w:tcPr>
            <w:tcW w:w="672" w:type="dxa"/>
            <w:tcBorders>
              <w:tl2br w:val="nil"/>
              <w:tr2bl w:val="nil"/>
            </w:tcBorders>
            <w:vAlign w:val="center"/>
          </w:tcPr>
          <w:p w14:paraId="35071A7B">
            <w:pPr>
              <w:pStyle w:val="44"/>
              <w:bidi w:val="0"/>
              <w:rPr>
                <w:rFonts w:hint="default" w:ascii="Times New Roman" w:hAnsi="Times New Roman" w:cs="Times New Roman"/>
                <w:color w:val="auto"/>
              </w:rPr>
            </w:pPr>
            <w:r>
              <w:rPr>
                <w:rFonts w:hint="default" w:ascii="Times New Roman" w:hAnsi="Times New Roman" w:cs="Times New Roman"/>
                <w:color w:val="auto"/>
              </w:rPr>
              <w:t>3-10</w:t>
            </w:r>
          </w:p>
        </w:tc>
        <w:tc>
          <w:tcPr>
            <w:tcW w:w="3443" w:type="dxa"/>
            <w:tcBorders>
              <w:tl2br w:val="nil"/>
              <w:tr2bl w:val="nil"/>
            </w:tcBorders>
            <w:vAlign w:val="center"/>
          </w:tcPr>
          <w:p w14:paraId="423E0437">
            <w:pPr>
              <w:pStyle w:val="44"/>
              <w:bidi w:val="0"/>
              <w:rPr>
                <w:rFonts w:hint="default" w:ascii="Times New Roman" w:hAnsi="Times New Roman" w:cs="Times New Roman"/>
                <w:color w:val="auto"/>
              </w:rPr>
            </w:pPr>
            <w:r>
              <w:rPr>
                <w:rFonts w:hint="default" w:ascii="Times New Roman" w:hAnsi="Times New Roman" w:cs="Times New Roman"/>
                <w:color w:val="auto"/>
              </w:rPr>
              <w:t>黄色、浅黄色亚砂土、砂、砂砾石等，局部夹淤泥质粉质粘土透镜体。</w:t>
            </w:r>
          </w:p>
        </w:tc>
      </w:tr>
      <w:tr w14:paraId="56E178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1000" w:hRule="atLeast"/>
          <w:jc w:val="center"/>
        </w:trPr>
        <w:tc>
          <w:tcPr>
            <w:tcW w:w="530" w:type="dxa"/>
            <w:vMerge w:val="restart"/>
            <w:tcBorders>
              <w:tl2br w:val="nil"/>
              <w:tr2bl w:val="nil"/>
            </w:tcBorders>
            <w:vAlign w:val="center"/>
          </w:tcPr>
          <w:p w14:paraId="3F4056BF">
            <w:pPr>
              <w:pStyle w:val="44"/>
              <w:bidi w:val="0"/>
              <w:rPr>
                <w:rFonts w:hint="default" w:ascii="Times New Roman" w:hAnsi="Times New Roman" w:cs="Times New Roman"/>
                <w:color w:val="auto"/>
              </w:rPr>
            </w:pPr>
            <w:r>
              <w:rPr>
                <w:rFonts w:hint="default" w:ascii="Times New Roman" w:hAnsi="Times New Roman" w:cs="Times New Roman"/>
                <w:color w:val="auto"/>
              </w:rPr>
              <w:t>上</w:t>
            </w:r>
          </w:p>
          <w:p w14:paraId="66F25361">
            <w:pPr>
              <w:pStyle w:val="44"/>
              <w:bidi w:val="0"/>
              <w:rPr>
                <w:rFonts w:hint="default" w:ascii="Times New Roman" w:hAnsi="Times New Roman" w:cs="Times New Roman"/>
                <w:color w:val="auto"/>
              </w:rPr>
            </w:pPr>
            <w:r>
              <w:rPr>
                <w:rFonts w:hint="default" w:ascii="Times New Roman" w:hAnsi="Times New Roman" w:cs="Times New Roman"/>
                <w:color w:val="auto"/>
              </w:rPr>
              <w:t>更</w:t>
            </w:r>
          </w:p>
          <w:p w14:paraId="2B000AF1">
            <w:pPr>
              <w:pStyle w:val="44"/>
              <w:bidi w:val="0"/>
              <w:rPr>
                <w:rFonts w:hint="default" w:ascii="Times New Roman" w:hAnsi="Times New Roman" w:cs="Times New Roman"/>
                <w:color w:val="auto"/>
              </w:rPr>
            </w:pPr>
            <w:r>
              <w:rPr>
                <w:rFonts w:hint="default" w:ascii="Times New Roman" w:hAnsi="Times New Roman" w:cs="Times New Roman"/>
                <w:color w:val="auto"/>
              </w:rPr>
              <w:t>新</w:t>
            </w:r>
          </w:p>
          <w:p w14:paraId="3A521888">
            <w:pPr>
              <w:pStyle w:val="44"/>
              <w:bidi w:val="0"/>
              <w:rPr>
                <w:rFonts w:hint="default" w:ascii="Times New Roman" w:hAnsi="Times New Roman" w:cs="Times New Roman"/>
                <w:color w:val="auto"/>
              </w:rPr>
            </w:pPr>
            <w:r>
              <w:rPr>
                <w:rFonts w:hint="default" w:ascii="Times New Roman" w:hAnsi="Times New Roman" w:cs="Times New Roman"/>
                <w:color w:val="auto"/>
              </w:rPr>
              <w:t>统</w:t>
            </w:r>
          </w:p>
        </w:tc>
        <w:tc>
          <w:tcPr>
            <w:tcW w:w="1290" w:type="dxa"/>
            <w:tcBorders>
              <w:tl2br w:val="nil"/>
              <w:tr2bl w:val="nil"/>
            </w:tcBorders>
            <w:vAlign w:val="center"/>
          </w:tcPr>
          <w:p w14:paraId="5EA68941">
            <w:pPr>
              <w:pStyle w:val="44"/>
              <w:bidi w:val="0"/>
              <w:rPr>
                <w:rFonts w:hint="default" w:ascii="Times New Roman" w:hAnsi="Times New Roman" w:cs="Times New Roman"/>
                <w:color w:val="auto"/>
              </w:rPr>
            </w:pPr>
            <w:r>
              <w:rPr>
                <w:rFonts w:hint="default" w:ascii="Times New Roman" w:hAnsi="Times New Roman" w:cs="Times New Roman"/>
                <w:color w:val="auto"/>
              </w:rPr>
              <w:t>顾乡屯组</w:t>
            </w:r>
          </w:p>
          <w:p w14:paraId="53073CDD">
            <w:pPr>
              <w:pStyle w:val="44"/>
              <w:bidi w:val="0"/>
              <w:rPr>
                <w:rFonts w:hint="default" w:ascii="Times New Roman" w:hAnsi="Times New Roman" w:cs="Times New Roman"/>
                <w:color w:val="auto"/>
              </w:rPr>
            </w:pPr>
            <w:r>
              <w:rPr>
                <w:rFonts w:hint="default" w:ascii="Times New Roman" w:hAnsi="Times New Roman" w:cs="Times New Roman"/>
                <w:color w:val="auto"/>
              </w:rPr>
              <w:t>冲积层</w:t>
            </w:r>
          </w:p>
        </w:tc>
        <w:tc>
          <w:tcPr>
            <w:tcW w:w="718" w:type="dxa"/>
            <w:tcBorders>
              <w:tl2br w:val="nil"/>
              <w:tr2bl w:val="nil"/>
            </w:tcBorders>
            <w:vAlign w:val="center"/>
          </w:tcPr>
          <w:p w14:paraId="63FC8F8D">
            <w:pPr>
              <w:pStyle w:val="44"/>
              <w:bidi w:val="0"/>
              <w:rPr>
                <w:rFonts w:hint="default" w:ascii="Times New Roman" w:hAnsi="Times New Roman" w:cs="Times New Roman"/>
                <w:color w:val="auto"/>
              </w:rPr>
            </w:pPr>
            <w:r>
              <w:rPr>
                <w:rFonts w:hint="default" w:ascii="Times New Roman" w:hAnsi="Times New Roman" w:cs="Times New Roman"/>
                <w:color w:val="auto"/>
              </w:rPr>
              <w:t>Q3g3al</w:t>
            </w:r>
          </w:p>
        </w:tc>
        <w:tc>
          <w:tcPr>
            <w:tcW w:w="1886" w:type="dxa"/>
            <w:tcBorders>
              <w:tl2br w:val="nil"/>
              <w:tr2bl w:val="nil"/>
            </w:tcBorders>
            <w:vAlign w:val="center"/>
          </w:tcPr>
          <w:p w14:paraId="1900D5C7">
            <w:pPr>
              <w:pStyle w:val="44"/>
              <w:bidi w:val="0"/>
              <w:rPr>
                <w:rFonts w:hint="default" w:ascii="Times New Roman" w:hAnsi="Times New Roman" w:cs="Times New Roman"/>
                <w:color w:val="auto"/>
              </w:rPr>
            </w:pPr>
            <w:r>
              <w:rPr>
                <w:rFonts w:hint="default" w:ascii="Times New Roman" w:hAnsi="Times New Roman" w:cs="Times New Roman"/>
                <w:color w:val="auto"/>
              </w:rPr>
              <w:t>穆棱河谷两岸断续分布，形成一级阶地</w:t>
            </w:r>
          </w:p>
        </w:tc>
        <w:tc>
          <w:tcPr>
            <w:tcW w:w="672" w:type="dxa"/>
            <w:tcBorders>
              <w:tl2br w:val="nil"/>
              <w:tr2bl w:val="nil"/>
            </w:tcBorders>
            <w:vAlign w:val="center"/>
          </w:tcPr>
          <w:p w14:paraId="005C8073">
            <w:pPr>
              <w:pStyle w:val="44"/>
              <w:bidi w:val="0"/>
              <w:rPr>
                <w:rFonts w:hint="default" w:ascii="Times New Roman" w:hAnsi="Times New Roman" w:cs="Times New Roman"/>
                <w:color w:val="auto"/>
              </w:rPr>
            </w:pPr>
            <w:r>
              <w:rPr>
                <w:rFonts w:hint="default" w:ascii="Times New Roman" w:hAnsi="Times New Roman" w:cs="Times New Roman"/>
                <w:color w:val="auto"/>
              </w:rPr>
              <w:t>5-15</w:t>
            </w:r>
          </w:p>
        </w:tc>
        <w:tc>
          <w:tcPr>
            <w:tcW w:w="3443" w:type="dxa"/>
            <w:tcBorders>
              <w:tl2br w:val="nil"/>
              <w:tr2bl w:val="nil"/>
            </w:tcBorders>
            <w:vAlign w:val="center"/>
          </w:tcPr>
          <w:p w14:paraId="5FD6E4F2">
            <w:pPr>
              <w:pStyle w:val="44"/>
              <w:bidi w:val="0"/>
              <w:rPr>
                <w:rFonts w:hint="default" w:ascii="Times New Roman" w:hAnsi="Times New Roman" w:cs="Times New Roman"/>
                <w:color w:val="auto"/>
              </w:rPr>
            </w:pPr>
            <w:r>
              <w:rPr>
                <w:rFonts w:hint="default" w:ascii="Times New Roman" w:hAnsi="Times New Roman" w:cs="Times New Roman"/>
                <w:color w:val="auto"/>
              </w:rPr>
              <w:t>上部黄褐色粉质粘土，下部为黄褐、灰黄、灰、灰黑色砂、砂砾石及卵砾石，组成二元结构。</w:t>
            </w:r>
          </w:p>
        </w:tc>
      </w:tr>
      <w:tr w14:paraId="0DE0D6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600" w:hRule="atLeast"/>
          <w:jc w:val="center"/>
        </w:trPr>
        <w:tc>
          <w:tcPr>
            <w:tcW w:w="530" w:type="dxa"/>
            <w:vMerge w:val="continue"/>
            <w:tcBorders>
              <w:tl2br w:val="nil"/>
              <w:tr2bl w:val="nil"/>
            </w:tcBorders>
            <w:vAlign w:val="center"/>
          </w:tcPr>
          <w:p w14:paraId="75505EB3">
            <w:pPr>
              <w:pStyle w:val="44"/>
              <w:bidi w:val="0"/>
              <w:rPr>
                <w:rFonts w:hint="default" w:ascii="Times New Roman" w:hAnsi="Times New Roman" w:cs="Times New Roman"/>
                <w:color w:val="auto"/>
              </w:rPr>
            </w:pPr>
          </w:p>
        </w:tc>
        <w:tc>
          <w:tcPr>
            <w:tcW w:w="1290" w:type="dxa"/>
            <w:tcBorders>
              <w:tl2br w:val="nil"/>
              <w:tr2bl w:val="nil"/>
            </w:tcBorders>
            <w:vAlign w:val="center"/>
          </w:tcPr>
          <w:p w14:paraId="4681BE32">
            <w:pPr>
              <w:pStyle w:val="44"/>
              <w:bidi w:val="0"/>
              <w:rPr>
                <w:rFonts w:hint="default" w:ascii="Times New Roman" w:hAnsi="Times New Roman" w:cs="Times New Roman"/>
                <w:color w:val="auto"/>
              </w:rPr>
            </w:pPr>
            <w:r>
              <w:rPr>
                <w:rFonts w:hint="default" w:ascii="Times New Roman" w:hAnsi="Times New Roman" w:cs="Times New Roman"/>
                <w:color w:val="auto"/>
              </w:rPr>
              <w:t>哈尔滨组</w:t>
            </w:r>
          </w:p>
          <w:p w14:paraId="4CF2EB25">
            <w:pPr>
              <w:pStyle w:val="44"/>
              <w:bidi w:val="0"/>
              <w:rPr>
                <w:rFonts w:hint="default" w:ascii="Times New Roman" w:hAnsi="Times New Roman" w:cs="Times New Roman"/>
                <w:color w:val="auto"/>
              </w:rPr>
            </w:pPr>
            <w:r>
              <w:rPr>
                <w:rFonts w:hint="default" w:ascii="Times New Roman" w:hAnsi="Times New Roman" w:cs="Times New Roman"/>
                <w:color w:val="auto"/>
              </w:rPr>
              <w:t>冲积层</w:t>
            </w:r>
          </w:p>
        </w:tc>
        <w:tc>
          <w:tcPr>
            <w:tcW w:w="718" w:type="dxa"/>
            <w:tcBorders>
              <w:tl2br w:val="nil"/>
              <w:tr2bl w:val="nil"/>
            </w:tcBorders>
            <w:vAlign w:val="center"/>
          </w:tcPr>
          <w:p w14:paraId="192F2478">
            <w:pPr>
              <w:pStyle w:val="44"/>
              <w:bidi w:val="0"/>
              <w:rPr>
                <w:rFonts w:hint="default" w:ascii="Times New Roman" w:hAnsi="Times New Roman" w:cs="Times New Roman"/>
                <w:color w:val="auto"/>
              </w:rPr>
            </w:pPr>
            <w:r>
              <w:rPr>
                <w:rFonts w:hint="default" w:ascii="Times New Roman" w:hAnsi="Times New Roman" w:cs="Times New Roman"/>
                <w:color w:val="auto"/>
              </w:rPr>
              <w:t>Q32al</w:t>
            </w:r>
          </w:p>
        </w:tc>
        <w:tc>
          <w:tcPr>
            <w:tcW w:w="1886" w:type="dxa"/>
            <w:tcBorders>
              <w:tl2br w:val="nil"/>
              <w:tr2bl w:val="nil"/>
            </w:tcBorders>
            <w:vAlign w:val="center"/>
          </w:tcPr>
          <w:p w14:paraId="4D851B0A">
            <w:pPr>
              <w:pStyle w:val="44"/>
              <w:bidi w:val="0"/>
              <w:rPr>
                <w:rFonts w:hint="default" w:ascii="Times New Roman" w:hAnsi="Times New Roman" w:cs="Times New Roman"/>
                <w:color w:val="auto"/>
              </w:rPr>
            </w:pPr>
            <w:r>
              <w:rPr>
                <w:rFonts w:hint="default" w:ascii="Times New Roman" w:hAnsi="Times New Roman" w:cs="Times New Roman"/>
                <w:color w:val="auto"/>
              </w:rPr>
              <w:t>穆棱河谷沿岸断续分布，形成山前台地</w:t>
            </w:r>
          </w:p>
        </w:tc>
        <w:tc>
          <w:tcPr>
            <w:tcW w:w="672" w:type="dxa"/>
            <w:tcBorders>
              <w:tl2br w:val="nil"/>
              <w:tr2bl w:val="nil"/>
            </w:tcBorders>
            <w:vAlign w:val="center"/>
          </w:tcPr>
          <w:p w14:paraId="24EBC5AC">
            <w:pPr>
              <w:pStyle w:val="44"/>
              <w:bidi w:val="0"/>
              <w:rPr>
                <w:rFonts w:hint="default" w:ascii="Times New Roman" w:hAnsi="Times New Roman" w:cs="Times New Roman"/>
                <w:color w:val="auto"/>
              </w:rPr>
            </w:pPr>
            <w:r>
              <w:rPr>
                <w:rFonts w:hint="default" w:ascii="Times New Roman" w:hAnsi="Times New Roman" w:cs="Times New Roman"/>
                <w:color w:val="auto"/>
              </w:rPr>
              <w:t>5-25</w:t>
            </w:r>
          </w:p>
        </w:tc>
        <w:tc>
          <w:tcPr>
            <w:tcW w:w="3443" w:type="dxa"/>
            <w:tcBorders>
              <w:tl2br w:val="nil"/>
              <w:tr2bl w:val="nil"/>
            </w:tcBorders>
            <w:vAlign w:val="center"/>
          </w:tcPr>
          <w:p w14:paraId="0C517720">
            <w:pPr>
              <w:pStyle w:val="44"/>
              <w:bidi w:val="0"/>
              <w:rPr>
                <w:rFonts w:hint="default" w:ascii="Times New Roman" w:hAnsi="Times New Roman" w:cs="Times New Roman"/>
                <w:color w:val="auto"/>
              </w:rPr>
            </w:pPr>
            <w:r>
              <w:rPr>
                <w:rFonts w:hint="default" w:ascii="Times New Roman" w:hAnsi="Times New Roman" w:cs="Times New Roman"/>
                <w:color w:val="auto"/>
              </w:rPr>
              <w:t>黄褐色粉质粘土及底部少量的砂、砂砾石组成。</w:t>
            </w:r>
          </w:p>
        </w:tc>
      </w:tr>
    </w:tbl>
    <w:p w14:paraId="257BFFBE">
      <w:pPr>
        <w:pStyle w:val="5"/>
        <w:bidi w:val="0"/>
        <w:rPr>
          <w:rFonts w:hint="default" w:ascii="Times New Roman" w:hAnsi="Times New Roman" w:cs="Times New Roman"/>
          <w:color w:val="auto"/>
        </w:rPr>
      </w:pPr>
      <w:bookmarkStart w:id="221" w:name="_Toc92379971"/>
      <w:bookmarkStart w:id="222" w:name="_Toc10538"/>
      <w:r>
        <w:rPr>
          <w:rFonts w:hint="default" w:ascii="Times New Roman" w:hAnsi="Times New Roman" w:cs="Times New Roman"/>
          <w:color w:val="auto"/>
        </w:rPr>
        <w:t>4.</w:t>
      </w:r>
      <w:r>
        <w:rPr>
          <w:rFonts w:hint="default" w:ascii="Times New Roman" w:hAnsi="Times New Roman" w:cs="Times New Roman"/>
          <w:color w:val="auto"/>
          <w:lang w:val="en-US" w:eastAsia="zh-CN"/>
        </w:rPr>
        <w:t>1.5.2</w:t>
      </w:r>
      <w:r>
        <w:rPr>
          <w:rFonts w:hint="default" w:ascii="Times New Roman" w:hAnsi="Times New Roman" w:cs="Times New Roman"/>
          <w:color w:val="auto"/>
        </w:rPr>
        <w:t>构造</w:t>
      </w:r>
      <w:bookmarkEnd w:id="221"/>
    </w:p>
    <w:p w14:paraId="01B56276">
      <w:pPr>
        <w:pStyle w:val="25"/>
        <w:bidi w:val="0"/>
        <w:rPr>
          <w:rFonts w:hint="default" w:ascii="Times New Roman" w:hAnsi="Times New Roman" w:cs="Times New Roman"/>
          <w:color w:val="auto"/>
        </w:rPr>
      </w:pPr>
      <w:r>
        <w:rPr>
          <w:rFonts w:hint="default" w:ascii="Times New Roman" w:hAnsi="Times New Roman" w:cs="Times New Roman"/>
          <w:color w:val="auto"/>
        </w:rPr>
        <w:t>本区地壳活动频繁，经历了各地质时期的构造运动，产生了褶皱、断裂等构造形迹，详见构造形迹一览表4-</w:t>
      </w:r>
      <w:r>
        <w:rPr>
          <w:rFonts w:hint="default" w:ascii="Times New Roman" w:hAnsi="Times New Roman" w:cs="Times New Roman"/>
          <w:color w:val="auto"/>
          <w:lang w:val="en-US" w:eastAsia="zh-CN"/>
        </w:rPr>
        <w:t>1-</w:t>
      </w:r>
      <w:r>
        <w:rPr>
          <w:rFonts w:hint="default" w:ascii="Times New Roman" w:hAnsi="Times New Roman" w:cs="Times New Roman"/>
          <w:color w:val="auto"/>
        </w:rPr>
        <w:t>3。</w:t>
      </w:r>
    </w:p>
    <w:p w14:paraId="5E736697">
      <w:pPr>
        <w:pStyle w:val="27"/>
        <w:bidi w:val="0"/>
        <w:rPr>
          <w:rFonts w:hint="default" w:ascii="Times New Roman" w:hAnsi="Times New Roman" w:eastAsia="仿宋" w:cs="Times New Roman"/>
          <w:b/>
          <w:color w:val="auto"/>
        </w:rPr>
      </w:pPr>
      <w:r>
        <w:rPr>
          <w:rFonts w:hint="default" w:ascii="Times New Roman" w:hAnsi="Times New Roman" w:cs="Times New Roman"/>
          <w:color w:val="auto"/>
        </w:rPr>
        <w:t>表4-</w:t>
      </w:r>
      <w:r>
        <w:rPr>
          <w:rFonts w:hint="default" w:ascii="Times New Roman" w:hAnsi="Times New Roman" w:cs="Times New Roman"/>
          <w:color w:val="auto"/>
          <w:lang w:val="en-US" w:eastAsia="zh-CN"/>
        </w:rPr>
        <w:t>1-</w:t>
      </w:r>
      <w:r>
        <w:rPr>
          <w:rFonts w:hint="default" w:ascii="Times New Roman" w:hAnsi="Times New Roman" w:cs="Times New Roman"/>
          <w:color w:val="auto"/>
        </w:rPr>
        <w:t>3  工作区主要构造形迹一览表</w:t>
      </w:r>
    </w:p>
    <w:tbl>
      <w:tblPr>
        <w:tblStyle w:val="20"/>
        <w:tblW w:w="923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916"/>
        <w:gridCol w:w="2065"/>
        <w:gridCol w:w="942"/>
        <w:gridCol w:w="654"/>
        <w:gridCol w:w="4659"/>
      </w:tblGrid>
      <w:tr w14:paraId="187B2D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80" w:hRule="atLeast"/>
        </w:trPr>
        <w:tc>
          <w:tcPr>
            <w:tcW w:w="2981" w:type="dxa"/>
            <w:gridSpan w:val="2"/>
            <w:tcBorders>
              <w:tl2br w:val="nil"/>
              <w:tr2bl w:val="nil"/>
            </w:tcBorders>
            <w:vAlign w:val="center"/>
          </w:tcPr>
          <w:p w14:paraId="737ED1B4">
            <w:pPr>
              <w:pStyle w:val="44"/>
              <w:bidi w:val="0"/>
              <w:rPr>
                <w:rFonts w:hint="default" w:ascii="Times New Roman" w:hAnsi="Times New Roman" w:cs="Times New Roman"/>
                <w:color w:val="auto"/>
              </w:rPr>
            </w:pPr>
            <w:r>
              <w:rPr>
                <w:rFonts w:hint="default" w:ascii="Times New Roman" w:hAnsi="Times New Roman" w:cs="Times New Roman"/>
                <w:color w:val="auto"/>
              </w:rPr>
              <w:t>构造形迹</w:t>
            </w:r>
          </w:p>
        </w:tc>
        <w:tc>
          <w:tcPr>
            <w:tcW w:w="942" w:type="dxa"/>
            <w:tcBorders>
              <w:tl2br w:val="nil"/>
              <w:tr2bl w:val="nil"/>
            </w:tcBorders>
            <w:vAlign w:val="center"/>
          </w:tcPr>
          <w:p w14:paraId="20D843D7">
            <w:pPr>
              <w:pStyle w:val="44"/>
              <w:bidi w:val="0"/>
              <w:rPr>
                <w:rFonts w:hint="default" w:ascii="Times New Roman" w:hAnsi="Times New Roman" w:cs="Times New Roman"/>
                <w:color w:val="auto"/>
              </w:rPr>
            </w:pPr>
            <w:r>
              <w:rPr>
                <w:rFonts w:hint="default" w:ascii="Times New Roman" w:hAnsi="Times New Roman" w:cs="Times New Roman"/>
                <w:color w:val="auto"/>
              </w:rPr>
              <w:t>走向</w:t>
            </w:r>
          </w:p>
        </w:tc>
        <w:tc>
          <w:tcPr>
            <w:tcW w:w="654" w:type="dxa"/>
            <w:tcBorders>
              <w:tl2br w:val="nil"/>
              <w:tr2bl w:val="nil"/>
            </w:tcBorders>
            <w:vAlign w:val="center"/>
          </w:tcPr>
          <w:p w14:paraId="5D9C31B2">
            <w:pPr>
              <w:pStyle w:val="44"/>
              <w:bidi w:val="0"/>
              <w:rPr>
                <w:rFonts w:hint="default" w:ascii="Times New Roman" w:hAnsi="Times New Roman" w:cs="Times New Roman"/>
                <w:color w:val="auto"/>
              </w:rPr>
            </w:pPr>
            <w:r>
              <w:rPr>
                <w:rFonts w:hint="default" w:ascii="Times New Roman" w:hAnsi="Times New Roman" w:cs="Times New Roman"/>
                <w:color w:val="auto"/>
              </w:rPr>
              <w:t>力学</w:t>
            </w:r>
          </w:p>
          <w:p w14:paraId="33861ED5">
            <w:pPr>
              <w:pStyle w:val="44"/>
              <w:bidi w:val="0"/>
              <w:rPr>
                <w:rFonts w:hint="default" w:ascii="Times New Roman" w:hAnsi="Times New Roman" w:cs="Times New Roman"/>
                <w:color w:val="auto"/>
              </w:rPr>
            </w:pPr>
            <w:r>
              <w:rPr>
                <w:rFonts w:hint="default" w:ascii="Times New Roman" w:hAnsi="Times New Roman" w:cs="Times New Roman"/>
                <w:color w:val="auto"/>
              </w:rPr>
              <w:t>性质</w:t>
            </w:r>
          </w:p>
        </w:tc>
        <w:tc>
          <w:tcPr>
            <w:tcW w:w="4659" w:type="dxa"/>
            <w:tcBorders>
              <w:tl2br w:val="nil"/>
              <w:tr2bl w:val="nil"/>
            </w:tcBorders>
            <w:vAlign w:val="center"/>
          </w:tcPr>
          <w:p w14:paraId="776DD40A">
            <w:pPr>
              <w:pStyle w:val="44"/>
              <w:bidi w:val="0"/>
              <w:rPr>
                <w:rFonts w:hint="default" w:ascii="Times New Roman" w:hAnsi="Times New Roman" w:cs="Times New Roman"/>
                <w:color w:val="auto"/>
              </w:rPr>
            </w:pPr>
            <w:r>
              <w:rPr>
                <w:rFonts w:hint="default" w:ascii="Times New Roman" w:hAnsi="Times New Roman" w:cs="Times New Roman"/>
                <w:color w:val="auto"/>
              </w:rPr>
              <w:t>展布特征</w:t>
            </w:r>
          </w:p>
        </w:tc>
      </w:tr>
      <w:tr w14:paraId="2372C1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80" w:hRule="atLeast"/>
        </w:trPr>
        <w:tc>
          <w:tcPr>
            <w:tcW w:w="916" w:type="dxa"/>
            <w:vMerge w:val="restart"/>
            <w:tcBorders>
              <w:tl2br w:val="nil"/>
              <w:tr2bl w:val="nil"/>
            </w:tcBorders>
            <w:vAlign w:val="center"/>
          </w:tcPr>
          <w:p w14:paraId="27FB4D74">
            <w:pPr>
              <w:pStyle w:val="44"/>
              <w:bidi w:val="0"/>
              <w:rPr>
                <w:rFonts w:hint="default" w:ascii="Times New Roman" w:hAnsi="Times New Roman" w:cs="Times New Roman"/>
                <w:color w:val="auto"/>
              </w:rPr>
            </w:pPr>
            <w:r>
              <w:rPr>
                <w:rFonts w:hint="default" w:ascii="Times New Roman" w:hAnsi="Times New Roman" w:cs="Times New Roman"/>
                <w:color w:val="auto"/>
              </w:rPr>
              <w:t>褶</w:t>
            </w:r>
          </w:p>
          <w:p w14:paraId="1168B8A6">
            <w:pPr>
              <w:pStyle w:val="44"/>
              <w:bidi w:val="0"/>
              <w:rPr>
                <w:rFonts w:hint="default" w:ascii="Times New Roman" w:hAnsi="Times New Roman" w:cs="Times New Roman"/>
                <w:color w:val="auto"/>
              </w:rPr>
            </w:pPr>
          </w:p>
          <w:p w14:paraId="2EABE0C1">
            <w:pPr>
              <w:pStyle w:val="44"/>
              <w:bidi w:val="0"/>
              <w:rPr>
                <w:rFonts w:hint="default" w:ascii="Times New Roman" w:hAnsi="Times New Roman" w:cs="Times New Roman"/>
                <w:color w:val="auto"/>
              </w:rPr>
            </w:pPr>
          </w:p>
          <w:p w14:paraId="36BA6E24">
            <w:pPr>
              <w:pStyle w:val="44"/>
              <w:bidi w:val="0"/>
              <w:rPr>
                <w:rFonts w:hint="default" w:ascii="Times New Roman" w:hAnsi="Times New Roman" w:cs="Times New Roman"/>
                <w:color w:val="auto"/>
              </w:rPr>
            </w:pPr>
          </w:p>
          <w:p w14:paraId="1BBE4F51">
            <w:pPr>
              <w:pStyle w:val="44"/>
              <w:bidi w:val="0"/>
              <w:rPr>
                <w:rFonts w:hint="default" w:ascii="Times New Roman" w:hAnsi="Times New Roman" w:cs="Times New Roman"/>
                <w:color w:val="auto"/>
              </w:rPr>
            </w:pPr>
          </w:p>
          <w:p w14:paraId="467C8B12">
            <w:pPr>
              <w:pStyle w:val="44"/>
              <w:bidi w:val="0"/>
              <w:rPr>
                <w:rFonts w:hint="default" w:ascii="Times New Roman" w:hAnsi="Times New Roman" w:cs="Times New Roman"/>
                <w:color w:val="auto"/>
              </w:rPr>
            </w:pPr>
          </w:p>
          <w:p w14:paraId="6E9FE71E">
            <w:pPr>
              <w:pStyle w:val="44"/>
              <w:bidi w:val="0"/>
              <w:rPr>
                <w:rFonts w:hint="default" w:ascii="Times New Roman" w:hAnsi="Times New Roman" w:cs="Times New Roman"/>
                <w:color w:val="auto"/>
              </w:rPr>
            </w:pPr>
          </w:p>
          <w:p w14:paraId="6407E5BB">
            <w:pPr>
              <w:pStyle w:val="44"/>
              <w:bidi w:val="0"/>
              <w:rPr>
                <w:rFonts w:hint="default" w:ascii="Times New Roman" w:hAnsi="Times New Roman" w:cs="Times New Roman"/>
                <w:color w:val="auto"/>
              </w:rPr>
            </w:pPr>
            <w:r>
              <w:rPr>
                <w:rFonts w:hint="default" w:ascii="Times New Roman" w:hAnsi="Times New Roman" w:cs="Times New Roman"/>
                <w:color w:val="auto"/>
              </w:rPr>
              <w:t>皱</w:t>
            </w:r>
          </w:p>
        </w:tc>
        <w:tc>
          <w:tcPr>
            <w:tcW w:w="2065" w:type="dxa"/>
            <w:tcBorders>
              <w:tl2br w:val="nil"/>
              <w:tr2bl w:val="nil"/>
            </w:tcBorders>
            <w:vAlign w:val="center"/>
          </w:tcPr>
          <w:p w14:paraId="0EB15041">
            <w:pPr>
              <w:pStyle w:val="44"/>
              <w:bidi w:val="0"/>
              <w:rPr>
                <w:rFonts w:hint="default" w:ascii="Times New Roman" w:hAnsi="Times New Roman" w:cs="Times New Roman"/>
                <w:color w:val="auto"/>
              </w:rPr>
            </w:pPr>
            <w:r>
              <w:rPr>
                <w:rFonts w:hint="default" w:ascii="Times New Roman" w:hAnsi="Times New Roman" w:cs="Times New Roman"/>
                <w:color w:val="auto"/>
              </w:rPr>
              <w:t>鸡西向斜</w:t>
            </w:r>
          </w:p>
        </w:tc>
        <w:tc>
          <w:tcPr>
            <w:tcW w:w="942" w:type="dxa"/>
            <w:tcBorders>
              <w:tl2br w:val="nil"/>
              <w:tr2bl w:val="nil"/>
            </w:tcBorders>
            <w:vAlign w:val="center"/>
          </w:tcPr>
          <w:p w14:paraId="5C79E08A">
            <w:pPr>
              <w:pStyle w:val="44"/>
              <w:bidi w:val="0"/>
              <w:rPr>
                <w:rFonts w:hint="default" w:ascii="Times New Roman" w:hAnsi="Times New Roman" w:cs="Times New Roman"/>
                <w:color w:val="auto"/>
              </w:rPr>
            </w:pPr>
            <w:r>
              <w:rPr>
                <w:rFonts w:hint="default" w:ascii="Times New Roman" w:hAnsi="Times New Roman" w:cs="Times New Roman"/>
                <w:color w:val="auto"/>
              </w:rPr>
              <w:t>NEE</w:t>
            </w:r>
          </w:p>
        </w:tc>
        <w:tc>
          <w:tcPr>
            <w:tcW w:w="654" w:type="dxa"/>
            <w:tcBorders>
              <w:tl2br w:val="nil"/>
              <w:tr2bl w:val="nil"/>
            </w:tcBorders>
            <w:vAlign w:val="center"/>
          </w:tcPr>
          <w:p w14:paraId="429E8D8B">
            <w:pPr>
              <w:pStyle w:val="44"/>
              <w:bidi w:val="0"/>
              <w:rPr>
                <w:rFonts w:hint="default" w:ascii="Times New Roman" w:hAnsi="Times New Roman" w:cs="Times New Roman"/>
                <w:color w:val="auto"/>
              </w:rPr>
            </w:pPr>
          </w:p>
        </w:tc>
        <w:tc>
          <w:tcPr>
            <w:tcW w:w="4659" w:type="dxa"/>
            <w:tcBorders>
              <w:tl2br w:val="nil"/>
              <w:tr2bl w:val="nil"/>
            </w:tcBorders>
            <w:vAlign w:val="center"/>
          </w:tcPr>
          <w:p w14:paraId="1627964F">
            <w:pPr>
              <w:pStyle w:val="44"/>
              <w:bidi w:val="0"/>
              <w:rPr>
                <w:rFonts w:hint="default" w:ascii="Times New Roman" w:hAnsi="Times New Roman" w:cs="Times New Roman"/>
                <w:color w:val="auto"/>
              </w:rPr>
            </w:pPr>
            <w:r>
              <w:rPr>
                <w:rFonts w:hint="default" w:ascii="Times New Roman" w:hAnsi="Times New Roman" w:cs="Times New Roman"/>
                <w:color w:val="auto"/>
              </w:rPr>
              <w:t>核部由猴石沟组构成，翼部为穆棱组城子河组</w:t>
            </w:r>
          </w:p>
        </w:tc>
      </w:tr>
      <w:tr w14:paraId="53FA07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80" w:hRule="atLeast"/>
        </w:trPr>
        <w:tc>
          <w:tcPr>
            <w:tcW w:w="916" w:type="dxa"/>
            <w:vMerge w:val="continue"/>
            <w:tcBorders>
              <w:tl2br w:val="nil"/>
              <w:tr2bl w:val="nil"/>
            </w:tcBorders>
            <w:vAlign w:val="center"/>
          </w:tcPr>
          <w:p w14:paraId="5A2794AB">
            <w:pPr>
              <w:pStyle w:val="44"/>
              <w:bidi w:val="0"/>
              <w:rPr>
                <w:rFonts w:hint="default" w:ascii="Times New Roman" w:hAnsi="Times New Roman" w:cs="Times New Roman"/>
                <w:color w:val="auto"/>
              </w:rPr>
            </w:pPr>
          </w:p>
        </w:tc>
        <w:tc>
          <w:tcPr>
            <w:tcW w:w="2065" w:type="dxa"/>
            <w:tcBorders>
              <w:tl2br w:val="nil"/>
              <w:tr2bl w:val="nil"/>
            </w:tcBorders>
            <w:vAlign w:val="center"/>
          </w:tcPr>
          <w:p w14:paraId="3AAAAA93">
            <w:pPr>
              <w:pStyle w:val="44"/>
              <w:bidi w:val="0"/>
              <w:rPr>
                <w:rFonts w:hint="default" w:ascii="Times New Roman" w:hAnsi="Times New Roman" w:cs="Times New Roman"/>
                <w:color w:val="auto"/>
              </w:rPr>
            </w:pPr>
            <w:r>
              <w:rPr>
                <w:rFonts w:hint="default" w:ascii="Times New Roman" w:hAnsi="Times New Roman" w:cs="Times New Roman"/>
                <w:color w:val="auto"/>
              </w:rPr>
              <w:t>白草山～莲花山向斜</w:t>
            </w:r>
          </w:p>
        </w:tc>
        <w:tc>
          <w:tcPr>
            <w:tcW w:w="942" w:type="dxa"/>
            <w:tcBorders>
              <w:tl2br w:val="nil"/>
              <w:tr2bl w:val="nil"/>
            </w:tcBorders>
            <w:vAlign w:val="center"/>
          </w:tcPr>
          <w:p w14:paraId="649B0DAB">
            <w:pPr>
              <w:pStyle w:val="44"/>
              <w:bidi w:val="0"/>
              <w:rPr>
                <w:rFonts w:hint="default" w:ascii="Times New Roman" w:hAnsi="Times New Roman" w:cs="Times New Roman"/>
                <w:color w:val="auto"/>
              </w:rPr>
            </w:pPr>
            <w:r>
              <w:rPr>
                <w:rFonts w:hint="default" w:ascii="Times New Roman" w:hAnsi="Times New Roman" w:cs="Times New Roman"/>
                <w:color w:val="auto"/>
              </w:rPr>
              <w:t>NE</w:t>
            </w:r>
          </w:p>
        </w:tc>
        <w:tc>
          <w:tcPr>
            <w:tcW w:w="654" w:type="dxa"/>
            <w:tcBorders>
              <w:tl2br w:val="nil"/>
              <w:tr2bl w:val="nil"/>
            </w:tcBorders>
            <w:vAlign w:val="center"/>
          </w:tcPr>
          <w:p w14:paraId="38851485">
            <w:pPr>
              <w:pStyle w:val="44"/>
              <w:bidi w:val="0"/>
              <w:rPr>
                <w:rFonts w:hint="default" w:ascii="Times New Roman" w:hAnsi="Times New Roman" w:cs="Times New Roman"/>
                <w:color w:val="auto"/>
              </w:rPr>
            </w:pPr>
          </w:p>
        </w:tc>
        <w:tc>
          <w:tcPr>
            <w:tcW w:w="4659" w:type="dxa"/>
            <w:tcBorders>
              <w:tl2br w:val="nil"/>
              <w:tr2bl w:val="nil"/>
            </w:tcBorders>
            <w:vAlign w:val="center"/>
          </w:tcPr>
          <w:p w14:paraId="76B15A10">
            <w:pPr>
              <w:pStyle w:val="44"/>
              <w:bidi w:val="0"/>
              <w:rPr>
                <w:rFonts w:hint="default" w:ascii="Times New Roman" w:hAnsi="Times New Roman" w:cs="Times New Roman"/>
                <w:color w:val="auto"/>
              </w:rPr>
            </w:pPr>
            <w:r>
              <w:rPr>
                <w:rFonts w:hint="default" w:ascii="Times New Roman" w:hAnsi="Times New Roman" w:cs="Times New Roman"/>
                <w:color w:val="auto"/>
              </w:rPr>
              <w:t>由中生代地层构成</w:t>
            </w:r>
          </w:p>
        </w:tc>
      </w:tr>
      <w:tr w14:paraId="172843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80" w:hRule="atLeast"/>
        </w:trPr>
        <w:tc>
          <w:tcPr>
            <w:tcW w:w="916" w:type="dxa"/>
            <w:vMerge w:val="continue"/>
            <w:tcBorders>
              <w:tl2br w:val="nil"/>
              <w:tr2bl w:val="nil"/>
            </w:tcBorders>
            <w:vAlign w:val="center"/>
          </w:tcPr>
          <w:p w14:paraId="45C874C3">
            <w:pPr>
              <w:pStyle w:val="44"/>
              <w:bidi w:val="0"/>
              <w:rPr>
                <w:rFonts w:hint="default" w:ascii="Times New Roman" w:hAnsi="Times New Roman" w:cs="Times New Roman"/>
                <w:color w:val="auto"/>
              </w:rPr>
            </w:pPr>
          </w:p>
        </w:tc>
        <w:tc>
          <w:tcPr>
            <w:tcW w:w="2065" w:type="dxa"/>
            <w:tcBorders>
              <w:tl2br w:val="nil"/>
              <w:tr2bl w:val="nil"/>
            </w:tcBorders>
            <w:vAlign w:val="center"/>
          </w:tcPr>
          <w:p w14:paraId="0316277D">
            <w:pPr>
              <w:pStyle w:val="44"/>
              <w:bidi w:val="0"/>
              <w:rPr>
                <w:rFonts w:hint="default" w:ascii="Times New Roman" w:hAnsi="Times New Roman" w:cs="Times New Roman"/>
                <w:color w:val="auto"/>
              </w:rPr>
            </w:pPr>
            <w:r>
              <w:rPr>
                <w:rFonts w:hint="default" w:ascii="Times New Roman" w:hAnsi="Times New Roman" w:cs="Times New Roman"/>
                <w:color w:val="auto"/>
              </w:rPr>
              <w:t>风山村向斜</w:t>
            </w:r>
          </w:p>
        </w:tc>
        <w:tc>
          <w:tcPr>
            <w:tcW w:w="942" w:type="dxa"/>
            <w:tcBorders>
              <w:tl2br w:val="nil"/>
              <w:tr2bl w:val="nil"/>
            </w:tcBorders>
            <w:vAlign w:val="center"/>
          </w:tcPr>
          <w:p w14:paraId="3BA1D654">
            <w:pPr>
              <w:pStyle w:val="44"/>
              <w:bidi w:val="0"/>
              <w:rPr>
                <w:rFonts w:hint="default" w:ascii="Times New Roman" w:hAnsi="Times New Roman" w:cs="Times New Roman"/>
                <w:color w:val="auto"/>
              </w:rPr>
            </w:pPr>
            <w:r>
              <w:rPr>
                <w:rFonts w:hint="default" w:ascii="Times New Roman" w:hAnsi="Times New Roman" w:cs="Times New Roman"/>
                <w:color w:val="auto"/>
              </w:rPr>
              <w:t>NE</w:t>
            </w:r>
          </w:p>
        </w:tc>
        <w:tc>
          <w:tcPr>
            <w:tcW w:w="654" w:type="dxa"/>
            <w:tcBorders>
              <w:tl2br w:val="nil"/>
              <w:tr2bl w:val="nil"/>
            </w:tcBorders>
            <w:vAlign w:val="center"/>
          </w:tcPr>
          <w:p w14:paraId="39D8CC8D">
            <w:pPr>
              <w:pStyle w:val="44"/>
              <w:bidi w:val="0"/>
              <w:rPr>
                <w:rFonts w:hint="default" w:ascii="Times New Roman" w:hAnsi="Times New Roman" w:cs="Times New Roman"/>
                <w:color w:val="auto"/>
              </w:rPr>
            </w:pPr>
          </w:p>
        </w:tc>
        <w:tc>
          <w:tcPr>
            <w:tcW w:w="4659" w:type="dxa"/>
            <w:tcBorders>
              <w:tl2br w:val="nil"/>
              <w:tr2bl w:val="nil"/>
            </w:tcBorders>
            <w:vAlign w:val="center"/>
          </w:tcPr>
          <w:p w14:paraId="750CC0E1">
            <w:pPr>
              <w:pStyle w:val="44"/>
              <w:bidi w:val="0"/>
              <w:rPr>
                <w:rFonts w:hint="default" w:ascii="Times New Roman" w:hAnsi="Times New Roman" w:cs="Times New Roman"/>
                <w:color w:val="auto"/>
              </w:rPr>
            </w:pPr>
            <w:r>
              <w:rPr>
                <w:rFonts w:hint="default" w:ascii="Times New Roman" w:hAnsi="Times New Roman" w:cs="Times New Roman"/>
                <w:color w:val="auto"/>
              </w:rPr>
              <w:t>由中生代地层构成</w:t>
            </w:r>
          </w:p>
        </w:tc>
      </w:tr>
      <w:tr w14:paraId="2C5484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80" w:hRule="atLeast"/>
        </w:trPr>
        <w:tc>
          <w:tcPr>
            <w:tcW w:w="916" w:type="dxa"/>
            <w:vMerge w:val="continue"/>
            <w:tcBorders>
              <w:tl2br w:val="nil"/>
              <w:tr2bl w:val="nil"/>
            </w:tcBorders>
            <w:vAlign w:val="center"/>
          </w:tcPr>
          <w:p w14:paraId="6E382C10">
            <w:pPr>
              <w:pStyle w:val="44"/>
              <w:bidi w:val="0"/>
              <w:rPr>
                <w:rFonts w:hint="default" w:ascii="Times New Roman" w:hAnsi="Times New Roman" w:cs="Times New Roman"/>
                <w:color w:val="auto"/>
              </w:rPr>
            </w:pPr>
          </w:p>
        </w:tc>
        <w:tc>
          <w:tcPr>
            <w:tcW w:w="2065" w:type="dxa"/>
            <w:tcBorders>
              <w:tl2br w:val="nil"/>
              <w:tr2bl w:val="nil"/>
            </w:tcBorders>
            <w:vAlign w:val="center"/>
          </w:tcPr>
          <w:p w14:paraId="749DFFCA">
            <w:pPr>
              <w:pStyle w:val="44"/>
              <w:bidi w:val="0"/>
              <w:rPr>
                <w:rFonts w:hint="default" w:ascii="Times New Roman" w:hAnsi="Times New Roman" w:cs="Times New Roman"/>
                <w:color w:val="auto"/>
              </w:rPr>
            </w:pPr>
            <w:r>
              <w:rPr>
                <w:rFonts w:hint="default" w:ascii="Times New Roman" w:hAnsi="Times New Roman" w:cs="Times New Roman"/>
                <w:color w:val="auto"/>
              </w:rPr>
              <w:t>那丹哈达岭向斜</w:t>
            </w:r>
          </w:p>
        </w:tc>
        <w:tc>
          <w:tcPr>
            <w:tcW w:w="942" w:type="dxa"/>
            <w:tcBorders>
              <w:tl2br w:val="nil"/>
              <w:tr2bl w:val="nil"/>
            </w:tcBorders>
            <w:vAlign w:val="center"/>
          </w:tcPr>
          <w:p w14:paraId="38FA3F66">
            <w:pPr>
              <w:pStyle w:val="44"/>
              <w:bidi w:val="0"/>
              <w:rPr>
                <w:rFonts w:hint="default" w:ascii="Times New Roman" w:hAnsi="Times New Roman" w:cs="Times New Roman"/>
                <w:color w:val="auto"/>
              </w:rPr>
            </w:pPr>
            <w:r>
              <w:rPr>
                <w:rFonts w:hint="default" w:ascii="Times New Roman" w:hAnsi="Times New Roman" w:cs="Times New Roman"/>
                <w:color w:val="auto"/>
              </w:rPr>
              <w:t>EW</w:t>
            </w:r>
          </w:p>
        </w:tc>
        <w:tc>
          <w:tcPr>
            <w:tcW w:w="654" w:type="dxa"/>
            <w:tcBorders>
              <w:tl2br w:val="nil"/>
              <w:tr2bl w:val="nil"/>
            </w:tcBorders>
            <w:vAlign w:val="center"/>
          </w:tcPr>
          <w:p w14:paraId="641B6D9E">
            <w:pPr>
              <w:pStyle w:val="44"/>
              <w:bidi w:val="0"/>
              <w:rPr>
                <w:rFonts w:hint="default" w:ascii="Times New Roman" w:hAnsi="Times New Roman" w:cs="Times New Roman"/>
                <w:color w:val="auto"/>
              </w:rPr>
            </w:pPr>
          </w:p>
        </w:tc>
        <w:tc>
          <w:tcPr>
            <w:tcW w:w="4659" w:type="dxa"/>
            <w:tcBorders>
              <w:tl2br w:val="nil"/>
              <w:tr2bl w:val="nil"/>
            </w:tcBorders>
            <w:vAlign w:val="center"/>
          </w:tcPr>
          <w:p w14:paraId="2F66836D">
            <w:pPr>
              <w:pStyle w:val="44"/>
              <w:bidi w:val="0"/>
              <w:rPr>
                <w:rFonts w:hint="default" w:ascii="Times New Roman" w:hAnsi="Times New Roman" w:cs="Times New Roman"/>
                <w:color w:val="auto"/>
              </w:rPr>
            </w:pPr>
          </w:p>
        </w:tc>
      </w:tr>
      <w:tr w14:paraId="5C91BB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80" w:hRule="atLeast"/>
        </w:trPr>
        <w:tc>
          <w:tcPr>
            <w:tcW w:w="916" w:type="dxa"/>
            <w:vMerge w:val="continue"/>
            <w:tcBorders>
              <w:tl2br w:val="nil"/>
              <w:tr2bl w:val="nil"/>
            </w:tcBorders>
            <w:vAlign w:val="center"/>
          </w:tcPr>
          <w:p w14:paraId="28288E72">
            <w:pPr>
              <w:pStyle w:val="44"/>
              <w:bidi w:val="0"/>
              <w:rPr>
                <w:rFonts w:hint="default" w:ascii="Times New Roman" w:hAnsi="Times New Roman" w:cs="Times New Roman"/>
                <w:color w:val="auto"/>
              </w:rPr>
            </w:pPr>
          </w:p>
        </w:tc>
        <w:tc>
          <w:tcPr>
            <w:tcW w:w="2065" w:type="dxa"/>
            <w:tcBorders>
              <w:tl2br w:val="nil"/>
              <w:tr2bl w:val="nil"/>
            </w:tcBorders>
            <w:vAlign w:val="center"/>
          </w:tcPr>
          <w:p w14:paraId="71E3C83F">
            <w:pPr>
              <w:pStyle w:val="44"/>
              <w:bidi w:val="0"/>
              <w:rPr>
                <w:rFonts w:hint="default" w:ascii="Times New Roman" w:hAnsi="Times New Roman" w:cs="Times New Roman"/>
                <w:color w:val="auto"/>
              </w:rPr>
            </w:pPr>
            <w:r>
              <w:rPr>
                <w:rFonts w:hint="default" w:ascii="Times New Roman" w:hAnsi="Times New Roman" w:cs="Times New Roman"/>
                <w:color w:val="auto"/>
              </w:rPr>
              <w:t>胜利林场南山背斜</w:t>
            </w:r>
          </w:p>
        </w:tc>
        <w:tc>
          <w:tcPr>
            <w:tcW w:w="942" w:type="dxa"/>
            <w:tcBorders>
              <w:tl2br w:val="nil"/>
              <w:tr2bl w:val="nil"/>
            </w:tcBorders>
            <w:vAlign w:val="center"/>
          </w:tcPr>
          <w:p w14:paraId="77121048">
            <w:pPr>
              <w:pStyle w:val="44"/>
              <w:bidi w:val="0"/>
              <w:rPr>
                <w:rFonts w:hint="default" w:ascii="Times New Roman" w:hAnsi="Times New Roman" w:cs="Times New Roman"/>
                <w:color w:val="auto"/>
              </w:rPr>
            </w:pPr>
            <w:r>
              <w:rPr>
                <w:rFonts w:hint="default" w:ascii="Times New Roman" w:hAnsi="Times New Roman" w:cs="Times New Roman"/>
                <w:color w:val="auto"/>
              </w:rPr>
              <w:t>NE</w:t>
            </w:r>
          </w:p>
        </w:tc>
        <w:tc>
          <w:tcPr>
            <w:tcW w:w="654" w:type="dxa"/>
            <w:tcBorders>
              <w:tl2br w:val="nil"/>
              <w:tr2bl w:val="nil"/>
            </w:tcBorders>
            <w:vAlign w:val="center"/>
          </w:tcPr>
          <w:p w14:paraId="550735D9">
            <w:pPr>
              <w:pStyle w:val="44"/>
              <w:bidi w:val="0"/>
              <w:rPr>
                <w:rFonts w:hint="default" w:ascii="Times New Roman" w:hAnsi="Times New Roman" w:cs="Times New Roman"/>
                <w:color w:val="auto"/>
              </w:rPr>
            </w:pPr>
          </w:p>
        </w:tc>
        <w:tc>
          <w:tcPr>
            <w:tcW w:w="4659" w:type="dxa"/>
            <w:tcBorders>
              <w:tl2br w:val="nil"/>
              <w:tr2bl w:val="nil"/>
            </w:tcBorders>
            <w:vAlign w:val="center"/>
          </w:tcPr>
          <w:p w14:paraId="6DA4B889">
            <w:pPr>
              <w:pStyle w:val="44"/>
              <w:bidi w:val="0"/>
              <w:rPr>
                <w:rFonts w:hint="default" w:ascii="Times New Roman" w:hAnsi="Times New Roman" w:cs="Times New Roman"/>
                <w:color w:val="auto"/>
              </w:rPr>
            </w:pPr>
            <w:r>
              <w:rPr>
                <w:rFonts w:hint="default" w:ascii="Times New Roman" w:hAnsi="Times New Roman" w:cs="Times New Roman"/>
                <w:color w:val="auto"/>
              </w:rPr>
              <w:t>由中生代地层构成</w:t>
            </w:r>
          </w:p>
        </w:tc>
      </w:tr>
      <w:tr w14:paraId="6199A0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80" w:hRule="atLeast"/>
        </w:trPr>
        <w:tc>
          <w:tcPr>
            <w:tcW w:w="916" w:type="dxa"/>
            <w:vMerge w:val="continue"/>
            <w:tcBorders>
              <w:tl2br w:val="nil"/>
              <w:tr2bl w:val="nil"/>
            </w:tcBorders>
            <w:vAlign w:val="center"/>
          </w:tcPr>
          <w:p w14:paraId="384D8D7F">
            <w:pPr>
              <w:pStyle w:val="44"/>
              <w:bidi w:val="0"/>
              <w:rPr>
                <w:rFonts w:hint="default" w:ascii="Times New Roman" w:hAnsi="Times New Roman" w:cs="Times New Roman"/>
                <w:color w:val="auto"/>
              </w:rPr>
            </w:pPr>
          </w:p>
        </w:tc>
        <w:tc>
          <w:tcPr>
            <w:tcW w:w="2065" w:type="dxa"/>
            <w:tcBorders>
              <w:tl2br w:val="nil"/>
              <w:tr2bl w:val="nil"/>
            </w:tcBorders>
            <w:vAlign w:val="center"/>
          </w:tcPr>
          <w:p w14:paraId="7BA711E9">
            <w:pPr>
              <w:pStyle w:val="44"/>
              <w:bidi w:val="0"/>
              <w:rPr>
                <w:rFonts w:hint="default" w:ascii="Times New Roman" w:hAnsi="Times New Roman" w:cs="Times New Roman"/>
                <w:color w:val="auto"/>
              </w:rPr>
            </w:pPr>
            <w:r>
              <w:rPr>
                <w:rFonts w:hint="default" w:ascii="Times New Roman" w:hAnsi="Times New Roman" w:cs="Times New Roman"/>
                <w:color w:val="auto"/>
              </w:rPr>
              <w:t>小金沟～营子沟背斜</w:t>
            </w:r>
          </w:p>
        </w:tc>
        <w:tc>
          <w:tcPr>
            <w:tcW w:w="942" w:type="dxa"/>
            <w:tcBorders>
              <w:tl2br w:val="nil"/>
              <w:tr2bl w:val="nil"/>
            </w:tcBorders>
            <w:vAlign w:val="center"/>
          </w:tcPr>
          <w:p w14:paraId="0E42A83E">
            <w:pPr>
              <w:pStyle w:val="44"/>
              <w:bidi w:val="0"/>
              <w:rPr>
                <w:rFonts w:hint="default" w:ascii="Times New Roman" w:hAnsi="Times New Roman" w:cs="Times New Roman"/>
                <w:color w:val="auto"/>
              </w:rPr>
            </w:pPr>
            <w:r>
              <w:rPr>
                <w:rFonts w:hint="default" w:ascii="Times New Roman" w:hAnsi="Times New Roman" w:cs="Times New Roman"/>
                <w:color w:val="auto"/>
              </w:rPr>
              <w:t>NE</w:t>
            </w:r>
          </w:p>
        </w:tc>
        <w:tc>
          <w:tcPr>
            <w:tcW w:w="654" w:type="dxa"/>
            <w:tcBorders>
              <w:tl2br w:val="nil"/>
              <w:tr2bl w:val="nil"/>
            </w:tcBorders>
            <w:vAlign w:val="center"/>
          </w:tcPr>
          <w:p w14:paraId="2FDA3C84">
            <w:pPr>
              <w:pStyle w:val="44"/>
              <w:bidi w:val="0"/>
              <w:rPr>
                <w:rFonts w:hint="default" w:ascii="Times New Roman" w:hAnsi="Times New Roman" w:cs="Times New Roman"/>
                <w:color w:val="auto"/>
              </w:rPr>
            </w:pPr>
          </w:p>
        </w:tc>
        <w:tc>
          <w:tcPr>
            <w:tcW w:w="4659" w:type="dxa"/>
            <w:tcBorders>
              <w:tl2br w:val="nil"/>
              <w:tr2bl w:val="nil"/>
            </w:tcBorders>
            <w:vAlign w:val="center"/>
          </w:tcPr>
          <w:p w14:paraId="38B4A823">
            <w:pPr>
              <w:pStyle w:val="44"/>
              <w:bidi w:val="0"/>
              <w:rPr>
                <w:rFonts w:hint="default" w:ascii="Times New Roman" w:hAnsi="Times New Roman" w:cs="Times New Roman"/>
                <w:color w:val="auto"/>
              </w:rPr>
            </w:pPr>
            <w:r>
              <w:rPr>
                <w:rFonts w:hint="default" w:ascii="Times New Roman" w:hAnsi="Times New Roman" w:cs="Times New Roman"/>
                <w:color w:val="auto"/>
              </w:rPr>
              <w:t>由中生代地层构成</w:t>
            </w:r>
          </w:p>
        </w:tc>
      </w:tr>
      <w:tr w14:paraId="5D7359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80" w:hRule="atLeast"/>
        </w:trPr>
        <w:tc>
          <w:tcPr>
            <w:tcW w:w="916" w:type="dxa"/>
            <w:vMerge w:val="continue"/>
            <w:tcBorders>
              <w:tl2br w:val="nil"/>
              <w:tr2bl w:val="nil"/>
            </w:tcBorders>
            <w:vAlign w:val="center"/>
          </w:tcPr>
          <w:p w14:paraId="5F22A7BE">
            <w:pPr>
              <w:pStyle w:val="44"/>
              <w:bidi w:val="0"/>
              <w:rPr>
                <w:rFonts w:hint="default" w:ascii="Times New Roman" w:hAnsi="Times New Roman" w:cs="Times New Roman"/>
                <w:color w:val="auto"/>
              </w:rPr>
            </w:pPr>
          </w:p>
        </w:tc>
        <w:tc>
          <w:tcPr>
            <w:tcW w:w="2065" w:type="dxa"/>
            <w:tcBorders>
              <w:tl2br w:val="nil"/>
              <w:tr2bl w:val="nil"/>
            </w:tcBorders>
            <w:vAlign w:val="center"/>
          </w:tcPr>
          <w:p w14:paraId="2C8ED61A">
            <w:pPr>
              <w:pStyle w:val="44"/>
              <w:bidi w:val="0"/>
              <w:rPr>
                <w:rFonts w:hint="default" w:ascii="Times New Roman" w:hAnsi="Times New Roman" w:cs="Times New Roman"/>
                <w:color w:val="auto"/>
              </w:rPr>
            </w:pPr>
          </w:p>
        </w:tc>
        <w:tc>
          <w:tcPr>
            <w:tcW w:w="942" w:type="dxa"/>
            <w:tcBorders>
              <w:tl2br w:val="nil"/>
              <w:tr2bl w:val="nil"/>
            </w:tcBorders>
            <w:vAlign w:val="center"/>
          </w:tcPr>
          <w:p w14:paraId="1A96D346">
            <w:pPr>
              <w:pStyle w:val="44"/>
              <w:bidi w:val="0"/>
              <w:rPr>
                <w:rFonts w:hint="default" w:ascii="Times New Roman" w:hAnsi="Times New Roman" w:cs="Times New Roman"/>
                <w:color w:val="auto"/>
              </w:rPr>
            </w:pPr>
            <w:r>
              <w:rPr>
                <w:rFonts w:hint="default" w:ascii="Times New Roman" w:hAnsi="Times New Roman" w:cs="Times New Roman"/>
                <w:color w:val="auto"/>
              </w:rPr>
              <w:t>EW</w:t>
            </w:r>
          </w:p>
        </w:tc>
        <w:tc>
          <w:tcPr>
            <w:tcW w:w="654" w:type="dxa"/>
            <w:tcBorders>
              <w:tl2br w:val="nil"/>
              <w:tr2bl w:val="nil"/>
            </w:tcBorders>
            <w:vAlign w:val="center"/>
          </w:tcPr>
          <w:p w14:paraId="6ED4C153">
            <w:pPr>
              <w:pStyle w:val="44"/>
              <w:bidi w:val="0"/>
              <w:rPr>
                <w:rFonts w:hint="default" w:ascii="Times New Roman" w:hAnsi="Times New Roman" w:cs="Times New Roman"/>
                <w:color w:val="auto"/>
              </w:rPr>
            </w:pPr>
          </w:p>
        </w:tc>
        <w:tc>
          <w:tcPr>
            <w:tcW w:w="4659" w:type="dxa"/>
            <w:tcBorders>
              <w:tl2br w:val="nil"/>
              <w:tr2bl w:val="nil"/>
            </w:tcBorders>
            <w:vAlign w:val="center"/>
          </w:tcPr>
          <w:p w14:paraId="734003AE">
            <w:pPr>
              <w:pStyle w:val="44"/>
              <w:bidi w:val="0"/>
              <w:rPr>
                <w:rFonts w:hint="default" w:ascii="Times New Roman" w:hAnsi="Times New Roman" w:cs="Times New Roman"/>
                <w:color w:val="auto"/>
              </w:rPr>
            </w:pPr>
            <w:r>
              <w:rPr>
                <w:rFonts w:hint="default" w:ascii="Times New Roman" w:hAnsi="Times New Roman" w:cs="Times New Roman"/>
                <w:color w:val="auto"/>
              </w:rPr>
              <w:t>由中生代地层构成</w:t>
            </w:r>
          </w:p>
        </w:tc>
      </w:tr>
      <w:tr w14:paraId="2B9018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80" w:hRule="atLeast"/>
        </w:trPr>
        <w:tc>
          <w:tcPr>
            <w:tcW w:w="916" w:type="dxa"/>
            <w:vMerge w:val="restart"/>
            <w:tcBorders>
              <w:tl2br w:val="nil"/>
              <w:tr2bl w:val="nil"/>
            </w:tcBorders>
            <w:vAlign w:val="center"/>
          </w:tcPr>
          <w:p w14:paraId="74B8232F">
            <w:pPr>
              <w:pStyle w:val="44"/>
              <w:bidi w:val="0"/>
              <w:rPr>
                <w:rFonts w:hint="default" w:ascii="Times New Roman" w:hAnsi="Times New Roman" w:cs="Times New Roman"/>
                <w:color w:val="auto"/>
              </w:rPr>
            </w:pPr>
            <w:r>
              <w:rPr>
                <w:rFonts w:hint="default" w:ascii="Times New Roman" w:hAnsi="Times New Roman" w:cs="Times New Roman"/>
                <w:color w:val="auto"/>
              </w:rPr>
              <w:t>断</w:t>
            </w:r>
          </w:p>
          <w:p w14:paraId="63749193">
            <w:pPr>
              <w:pStyle w:val="44"/>
              <w:bidi w:val="0"/>
              <w:rPr>
                <w:rFonts w:hint="default" w:ascii="Times New Roman" w:hAnsi="Times New Roman" w:cs="Times New Roman"/>
                <w:color w:val="auto"/>
              </w:rPr>
            </w:pPr>
          </w:p>
          <w:p w14:paraId="788E08AD">
            <w:pPr>
              <w:pStyle w:val="44"/>
              <w:bidi w:val="0"/>
              <w:rPr>
                <w:rFonts w:hint="default" w:ascii="Times New Roman" w:hAnsi="Times New Roman" w:cs="Times New Roman"/>
                <w:color w:val="auto"/>
              </w:rPr>
            </w:pPr>
          </w:p>
          <w:p w14:paraId="27AA3EBD">
            <w:pPr>
              <w:pStyle w:val="44"/>
              <w:bidi w:val="0"/>
              <w:rPr>
                <w:rFonts w:hint="default" w:ascii="Times New Roman" w:hAnsi="Times New Roman" w:cs="Times New Roman"/>
                <w:color w:val="auto"/>
              </w:rPr>
            </w:pPr>
          </w:p>
          <w:p w14:paraId="5680C605">
            <w:pPr>
              <w:pStyle w:val="44"/>
              <w:bidi w:val="0"/>
              <w:rPr>
                <w:rFonts w:hint="default" w:ascii="Times New Roman" w:hAnsi="Times New Roman" w:cs="Times New Roman"/>
                <w:color w:val="auto"/>
              </w:rPr>
            </w:pPr>
          </w:p>
          <w:p w14:paraId="508C9A33">
            <w:pPr>
              <w:pStyle w:val="44"/>
              <w:bidi w:val="0"/>
              <w:rPr>
                <w:rFonts w:hint="default" w:ascii="Times New Roman" w:hAnsi="Times New Roman" w:cs="Times New Roman"/>
                <w:color w:val="auto"/>
              </w:rPr>
            </w:pPr>
          </w:p>
          <w:p w14:paraId="4518AF6C">
            <w:pPr>
              <w:pStyle w:val="44"/>
              <w:bidi w:val="0"/>
              <w:rPr>
                <w:rFonts w:hint="default" w:ascii="Times New Roman" w:hAnsi="Times New Roman" w:cs="Times New Roman"/>
                <w:color w:val="auto"/>
              </w:rPr>
            </w:pPr>
          </w:p>
          <w:p w14:paraId="422C4CDB">
            <w:pPr>
              <w:pStyle w:val="44"/>
              <w:bidi w:val="0"/>
              <w:rPr>
                <w:rFonts w:hint="default" w:ascii="Times New Roman" w:hAnsi="Times New Roman" w:cs="Times New Roman"/>
                <w:color w:val="auto"/>
              </w:rPr>
            </w:pPr>
            <w:r>
              <w:rPr>
                <w:rFonts w:hint="default" w:ascii="Times New Roman" w:hAnsi="Times New Roman" w:cs="Times New Roman"/>
                <w:color w:val="auto"/>
              </w:rPr>
              <w:t>裂</w:t>
            </w:r>
          </w:p>
        </w:tc>
        <w:tc>
          <w:tcPr>
            <w:tcW w:w="2065" w:type="dxa"/>
            <w:tcBorders>
              <w:tl2br w:val="nil"/>
              <w:tr2bl w:val="nil"/>
            </w:tcBorders>
            <w:vAlign w:val="center"/>
          </w:tcPr>
          <w:p w14:paraId="3C0801E0">
            <w:pPr>
              <w:pStyle w:val="44"/>
              <w:bidi w:val="0"/>
              <w:rPr>
                <w:rFonts w:hint="default" w:ascii="Times New Roman" w:hAnsi="Times New Roman" w:cs="Times New Roman"/>
                <w:color w:val="auto"/>
              </w:rPr>
            </w:pPr>
            <w:r>
              <w:rPr>
                <w:rFonts w:hint="default" w:ascii="Times New Roman" w:hAnsi="Times New Roman" w:cs="Times New Roman"/>
                <w:color w:val="auto"/>
              </w:rPr>
              <w:t>鸡西～麻山断裂</w:t>
            </w:r>
          </w:p>
        </w:tc>
        <w:tc>
          <w:tcPr>
            <w:tcW w:w="942" w:type="dxa"/>
            <w:tcBorders>
              <w:tl2br w:val="nil"/>
              <w:tr2bl w:val="nil"/>
            </w:tcBorders>
            <w:vAlign w:val="center"/>
          </w:tcPr>
          <w:p w14:paraId="22D4C5A8">
            <w:pPr>
              <w:pStyle w:val="44"/>
              <w:bidi w:val="0"/>
              <w:rPr>
                <w:rFonts w:hint="default" w:ascii="Times New Roman" w:hAnsi="Times New Roman" w:cs="Times New Roman"/>
                <w:color w:val="auto"/>
              </w:rPr>
            </w:pPr>
            <w:r>
              <w:rPr>
                <w:rFonts w:hint="default" w:ascii="Times New Roman" w:hAnsi="Times New Roman" w:cs="Times New Roman"/>
                <w:color w:val="auto"/>
              </w:rPr>
              <w:t>EW</w:t>
            </w:r>
          </w:p>
        </w:tc>
        <w:tc>
          <w:tcPr>
            <w:tcW w:w="654" w:type="dxa"/>
            <w:tcBorders>
              <w:tl2br w:val="nil"/>
              <w:tr2bl w:val="nil"/>
            </w:tcBorders>
            <w:vAlign w:val="center"/>
          </w:tcPr>
          <w:p w14:paraId="026E8635">
            <w:pPr>
              <w:pStyle w:val="44"/>
              <w:bidi w:val="0"/>
              <w:rPr>
                <w:rFonts w:hint="default" w:ascii="Times New Roman" w:hAnsi="Times New Roman" w:cs="Times New Roman"/>
                <w:color w:val="auto"/>
              </w:rPr>
            </w:pPr>
            <w:r>
              <w:rPr>
                <w:rFonts w:hint="default" w:ascii="Times New Roman" w:hAnsi="Times New Roman" w:cs="Times New Roman"/>
                <w:color w:val="auto"/>
              </w:rPr>
              <w:t>压</w:t>
            </w:r>
          </w:p>
        </w:tc>
        <w:tc>
          <w:tcPr>
            <w:tcW w:w="4659" w:type="dxa"/>
            <w:tcBorders>
              <w:tl2br w:val="nil"/>
              <w:tr2bl w:val="nil"/>
            </w:tcBorders>
            <w:vAlign w:val="center"/>
          </w:tcPr>
          <w:p w14:paraId="59190819">
            <w:pPr>
              <w:pStyle w:val="44"/>
              <w:bidi w:val="0"/>
              <w:rPr>
                <w:rFonts w:hint="default" w:ascii="Times New Roman" w:hAnsi="Times New Roman" w:cs="Times New Roman"/>
                <w:color w:val="auto"/>
              </w:rPr>
            </w:pPr>
            <w:r>
              <w:rPr>
                <w:rFonts w:hint="default" w:ascii="Times New Roman" w:hAnsi="Times New Roman" w:cs="Times New Roman"/>
                <w:color w:val="auto"/>
              </w:rPr>
              <w:t>造成麻山群逆掩到城子河组之上，倾向南水平滑动千余米，落差300m。</w:t>
            </w:r>
          </w:p>
        </w:tc>
      </w:tr>
      <w:tr w14:paraId="352617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80" w:hRule="atLeast"/>
        </w:trPr>
        <w:tc>
          <w:tcPr>
            <w:tcW w:w="916" w:type="dxa"/>
            <w:vMerge w:val="continue"/>
            <w:tcBorders>
              <w:tl2br w:val="nil"/>
              <w:tr2bl w:val="nil"/>
            </w:tcBorders>
            <w:vAlign w:val="center"/>
          </w:tcPr>
          <w:p w14:paraId="28B140A7">
            <w:pPr>
              <w:pStyle w:val="44"/>
              <w:bidi w:val="0"/>
              <w:rPr>
                <w:rFonts w:hint="default" w:ascii="Times New Roman" w:hAnsi="Times New Roman" w:cs="Times New Roman"/>
                <w:color w:val="auto"/>
              </w:rPr>
            </w:pPr>
          </w:p>
        </w:tc>
        <w:tc>
          <w:tcPr>
            <w:tcW w:w="2065" w:type="dxa"/>
            <w:tcBorders>
              <w:tl2br w:val="nil"/>
              <w:tr2bl w:val="nil"/>
            </w:tcBorders>
            <w:vAlign w:val="center"/>
          </w:tcPr>
          <w:p w14:paraId="3DA96CF1">
            <w:pPr>
              <w:pStyle w:val="44"/>
              <w:bidi w:val="0"/>
              <w:rPr>
                <w:rFonts w:hint="default" w:ascii="Times New Roman" w:hAnsi="Times New Roman" w:cs="Times New Roman"/>
                <w:color w:val="auto"/>
              </w:rPr>
            </w:pPr>
            <w:r>
              <w:rPr>
                <w:rFonts w:hint="default" w:ascii="Times New Roman" w:hAnsi="Times New Roman" w:cs="Times New Roman"/>
                <w:color w:val="auto"/>
              </w:rPr>
              <w:t>石场～桓山断裂</w:t>
            </w:r>
          </w:p>
        </w:tc>
        <w:tc>
          <w:tcPr>
            <w:tcW w:w="942" w:type="dxa"/>
            <w:tcBorders>
              <w:tl2br w:val="nil"/>
              <w:tr2bl w:val="nil"/>
            </w:tcBorders>
            <w:vAlign w:val="center"/>
          </w:tcPr>
          <w:p w14:paraId="43D4EB65">
            <w:pPr>
              <w:pStyle w:val="44"/>
              <w:bidi w:val="0"/>
              <w:rPr>
                <w:rFonts w:hint="default" w:ascii="Times New Roman" w:hAnsi="Times New Roman" w:cs="Times New Roman"/>
                <w:color w:val="auto"/>
              </w:rPr>
            </w:pPr>
            <w:r>
              <w:rPr>
                <w:rFonts w:hint="default" w:ascii="Times New Roman" w:hAnsi="Times New Roman" w:cs="Times New Roman"/>
                <w:color w:val="auto"/>
              </w:rPr>
              <w:t>EW</w:t>
            </w:r>
          </w:p>
        </w:tc>
        <w:tc>
          <w:tcPr>
            <w:tcW w:w="654" w:type="dxa"/>
            <w:tcBorders>
              <w:tl2br w:val="nil"/>
              <w:tr2bl w:val="nil"/>
            </w:tcBorders>
            <w:vAlign w:val="center"/>
          </w:tcPr>
          <w:p w14:paraId="4A02B9B9">
            <w:pPr>
              <w:pStyle w:val="44"/>
              <w:bidi w:val="0"/>
              <w:rPr>
                <w:rFonts w:hint="default" w:ascii="Times New Roman" w:hAnsi="Times New Roman" w:cs="Times New Roman"/>
                <w:color w:val="auto"/>
              </w:rPr>
            </w:pPr>
            <w:r>
              <w:rPr>
                <w:rFonts w:hint="default" w:ascii="Times New Roman" w:hAnsi="Times New Roman" w:cs="Times New Roman"/>
                <w:color w:val="auto"/>
              </w:rPr>
              <w:t>压</w:t>
            </w:r>
          </w:p>
        </w:tc>
        <w:tc>
          <w:tcPr>
            <w:tcW w:w="4659" w:type="dxa"/>
            <w:tcBorders>
              <w:tl2br w:val="nil"/>
              <w:tr2bl w:val="nil"/>
            </w:tcBorders>
            <w:vAlign w:val="center"/>
          </w:tcPr>
          <w:p w14:paraId="65243116">
            <w:pPr>
              <w:pStyle w:val="44"/>
              <w:bidi w:val="0"/>
              <w:rPr>
                <w:rFonts w:hint="default" w:ascii="Times New Roman" w:hAnsi="Times New Roman" w:cs="Times New Roman"/>
                <w:color w:val="auto"/>
              </w:rPr>
            </w:pPr>
            <w:r>
              <w:rPr>
                <w:rFonts w:hint="default" w:ascii="Times New Roman" w:hAnsi="Times New Roman" w:cs="Times New Roman"/>
                <w:color w:val="auto"/>
              </w:rPr>
              <w:t>造成麻山群与r2花岗岩呈断层接触，并逆掩到城子河组之上。</w:t>
            </w:r>
          </w:p>
        </w:tc>
      </w:tr>
      <w:tr w14:paraId="17884A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80" w:hRule="atLeast"/>
        </w:trPr>
        <w:tc>
          <w:tcPr>
            <w:tcW w:w="916" w:type="dxa"/>
            <w:vMerge w:val="continue"/>
            <w:tcBorders>
              <w:tl2br w:val="nil"/>
              <w:tr2bl w:val="nil"/>
            </w:tcBorders>
            <w:vAlign w:val="center"/>
          </w:tcPr>
          <w:p w14:paraId="61C08A98">
            <w:pPr>
              <w:pStyle w:val="44"/>
              <w:bidi w:val="0"/>
              <w:rPr>
                <w:rFonts w:hint="default" w:ascii="Times New Roman" w:hAnsi="Times New Roman" w:cs="Times New Roman"/>
                <w:color w:val="auto"/>
              </w:rPr>
            </w:pPr>
          </w:p>
        </w:tc>
        <w:tc>
          <w:tcPr>
            <w:tcW w:w="2065" w:type="dxa"/>
            <w:tcBorders>
              <w:tl2br w:val="nil"/>
              <w:tr2bl w:val="nil"/>
            </w:tcBorders>
            <w:vAlign w:val="center"/>
          </w:tcPr>
          <w:p w14:paraId="32B2F898">
            <w:pPr>
              <w:pStyle w:val="44"/>
              <w:bidi w:val="0"/>
              <w:rPr>
                <w:rFonts w:hint="default" w:ascii="Times New Roman" w:hAnsi="Times New Roman" w:cs="Times New Roman"/>
                <w:color w:val="auto"/>
              </w:rPr>
            </w:pPr>
            <w:r>
              <w:rPr>
                <w:rFonts w:hint="default" w:ascii="Times New Roman" w:hAnsi="Times New Roman" w:cs="Times New Roman"/>
                <w:color w:val="auto"/>
              </w:rPr>
              <w:t>碱场～梨树断裂</w:t>
            </w:r>
          </w:p>
        </w:tc>
        <w:tc>
          <w:tcPr>
            <w:tcW w:w="942" w:type="dxa"/>
            <w:tcBorders>
              <w:tl2br w:val="nil"/>
              <w:tr2bl w:val="nil"/>
            </w:tcBorders>
            <w:vAlign w:val="center"/>
          </w:tcPr>
          <w:p w14:paraId="05DA7368">
            <w:pPr>
              <w:pStyle w:val="44"/>
              <w:bidi w:val="0"/>
              <w:rPr>
                <w:rFonts w:hint="default" w:ascii="Times New Roman" w:hAnsi="Times New Roman" w:cs="Times New Roman"/>
                <w:color w:val="auto"/>
              </w:rPr>
            </w:pPr>
            <w:r>
              <w:rPr>
                <w:rFonts w:hint="default" w:ascii="Times New Roman" w:hAnsi="Times New Roman" w:cs="Times New Roman"/>
                <w:color w:val="auto"/>
              </w:rPr>
              <w:t>EW</w:t>
            </w:r>
          </w:p>
        </w:tc>
        <w:tc>
          <w:tcPr>
            <w:tcW w:w="654" w:type="dxa"/>
            <w:tcBorders>
              <w:tl2br w:val="nil"/>
              <w:tr2bl w:val="nil"/>
            </w:tcBorders>
            <w:vAlign w:val="center"/>
          </w:tcPr>
          <w:p w14:paraId="2CF61BEC">
            <w:pPr>
              <w:pStyle w:val="44"/>
              <w:bidi w:val="0"/>
              <w:rPr>
                <w:rFonts w:hint="default" w:ascii="Times New Roman" w:hAnsi="Times New Roman" w:cs="Times New Roman"/>
                <w:color w:val="auto"/>
              </w:rPr>
            </w:pPr>
            <w:r>
              <w:rPr>
                <w:rFonts w:hint="default" w:ascii="Times New Roman" w:hAnsi="Times New Roman" w:cs="Times New Roman"/>
                <w:color w:val="auto"/>
              </w:rPr>
              <w:t>压</w:t>
            </w:r>
          </w:p>
        </w:tc>
        <w:tc>
          <w:tcPr>
            <w:tcW w:w="4659" w:type="dxa"/>
            <w:tcBorders>
              <w:tl2br w:val="nil"/>
              <w:tr2bl w:val="nil"/>
            </w:tcBorders>
            <w:vAlign w:val="center"/>
          </w:tcPr>
          <w:p w14:paraId="1BDC2369">
            <w:pPr>
              <w:pStyle w:val="44"/>
              <w:bidi w:val="0"/>
              <w:rPr>
                <w:rFonts w:hint="default" w:ascii="Times New Roman" w:hAnsi="Times New Roman" w:cs="Times New Roman"/>
                <w:color w:val="auto"/>
              </w:rPr>
            </w:pPr>
            <w:r>
              <w:rPr>
                <w:rFonts w:hint="default" w:ascii="Times New Roman" w:hAnsi="Times New Roman" w:cs="Times New Roman"/>
                <w:color w:val="auto"/>
              </w:rPr>
              <w:t>由两条断裂组成，造成麻山群或r2花岗岩逆掩到上侏罗系地层之上。</w:t>
            </w:r>
          </w:p>
        </w:tc>
      </w:tr>
      <w:tr w14:paraId="40AD8A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80" w:hRule="atLeast"/>
        </w:trPr>
        <w:tc>
          <w:tcPr>
            <w:tcW w:w="916" w:type="dxa"/>
            <w:vMerge w:val="continue"/>
            <w:tcBorders>
              <w:tl2br w:val="nil"/>
              <w:tr2bl w:val="nil"/>
            </w:tcBorders>
            <w:vAlign w:val="center"/>
          </w:tcPr>
          <w:p w14:paraId="580D7602">
            <w:pPr>
              <w:pStyle w:val="44"/>
              <w:bidi w:val="0"/>
              <w:rPr>
                <w:rFonts w:hint="default" w:ascii="Times New Roman" w:hAnsi="Times New Roman" w:cs="Times New Roman"/>
                <w:color w:val="auto"/>
              </w:rPr>
            </w:pPr>
          </w:p>
        </w:tc>
        <w:tc>
          <w:tcPr>
            <w:tcW w:w="2065" w:type="dxa"/>
            <w:tcBorders>
              <w:tl2br w:val="nil"/>
              <w:tr2bl w:val="nil"/>
            </w:tcBorders>
            <w:vAlign w:val="center"/>
          </w:tcPr>
          <w:p w14:paraId="02FD99AF">
            <w:pPr>
              <w:pStyle w:val="44"/>
              <w:bidi w:val="0"/>
              <w:rPr>
                <w:rFonts w:hint="default" w:ascii="Times New Roman" w:hAnsi="Times New Roman" w:cs="Times New Roman"/>
                <w:color w:val="auto"/>
              </w:rPr>
            </w:pPr>
            <w:r>
              <w:rPr>
                <w:rFonts w:hint="default" w:ascii="Times New Roman" w:hAnsi="Times New Roman" w:cs="Times New Roman"/>
                <w:color w:val="auto"/>
              </w:rPr>
              <w:t>安平河～三道岭断裂</w:t>
            </w:r>
          </w:p>
        </w:tc>
        <w:tc>
          <w:tcPr>
            <w:tcW w:w="942" w:type="dxa"/>
            <w:tcBorders>
              <w:tl2br w:val="nil"/>
              <w:tr2bl w:val="nil"/>
            </w:tcBorders>
            <w:vAlign w:val="center"/>
          </w:tcPr>
          <w:p w14:paraId="272E34F8">
            <w:pPr>
              <w:pStyle w:val="44"/>
              <w:bidi w:val="0"/>
              <w:rPr>
                <w:rFonts w:hint="default" w:ascii="Times New Roman" w:hAnsi="Times New Roman" w:cs="Times New Roman"/>
                <w:color w:val="auto"/>
              </w:rPr>
            </w:pPr>
            <w:r>
              <w:rPr>
                <w:rFonts w:hint="default" w:ascii="Times New Roman" w:hAnsi="Times New Roman" w:cs="Times New Roman"/>
                <w:color w:val="auto"/>
              </w:rPr>
              <w:t>EW</w:t>
            </w:r>
          </w:p>
        </w:tc>
        <w:tc>
          <w:tcPr>
            <w:tcW w:w="654" w:type="dxa"/>
            <w:tcBorders>
              <w:tl2br w:val="nil"/>
              <w:tr2bl w:val="nil"/>
            </w:tcBorders>
            <w:vAlign w:val="center"/>
          </w:tcPr>
          <w:p w14:paraId="5CA48C78">
            <w:pPr>
              <w:pStyle w:val="44"/>
              <w:bidi w:val="0"/>
              <w:rPr>
                <w:rFonts w:hint="default" w:ascii="Times New Roman" w:hAnsi="Times New Roman" w:cs="Times New Roman"/>
                <w:color w:val="auto"/>
              </w:rPr>
            </w:pPr>
            <w:r>
              <w:rPr>
                <w:rFonts w:hint="default" w:ascii="Times New Roman" w:hAnsi="Times New Roman" w:cs="Times New Roman"/>
                <w:color w:val="auto"/>
              </w:rPr>
              <w:t>压</w:t>
            </w:r>
          </w:p>
        </w:tc>
        <w:tc>
          <w:tcPr>
            <w:tcW w:w="4659" w:type="dxa"/>
            <w:tcBorders>
              <w:tl2br w:val="nil"/>
              <w:tr2bl w:val="nil"/>
            </w:tcBorders>
            <w:vAlign w:val="center"/>
          </w:tcPr>
          <w:p w14:paraId="6E13CC65">
            <w:pPr>
              <w:pStyle w:val="44"/>
              <w:bidi w:val="0"/>
              <w:rPr>
                <w:rFonts w:hint="default" w:ascii="Times New Roman" w:hAnsi="Times New Roman" w:cs="Times New Roman"/>
                <w:color w:val="auto"/>
              </w:rPr>
            </w:pPr>
          </w:p>
        </w:tc>
      </w:tr>
      <w:tr w14:paraId="403D60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80" w:hRule="atLeast"/>
        </w:trPr>
        <w:tc>
          <w:tcPr>
            <w:tcW w:w="916" w:type="dxa"/>
            <w:vMerge w:val="continue"/>
            <w:tcBorders>
              <w:tl2br w:val="nil"/>
              <w:tr2bl w:val="nil"/>
            </w:tcBorders>
            <w:vAlign w:val="center"/>
          </w:tcPr>
          <w:p w14:paraId="0DF84033">
            <w:pPr>
              <w:pStyle w:val="44"/>
              <w:bidi w:val="0"/>
              <w:rPr>
                <w:rFonts w:hint="default" w:ascii="Times New Roman" w:hAnsi="Times New Roman" w:cs="Times New Roman"/>
                <w:color w:val="auto"/>
              </w:rPr>
            </w:pPr>
          </w:p>
        </w:tc>
        <w:tc>
          <w:tcPr>
            <w:tcW w:w="2065" w:type="dxa"/>
            <w:tcBorders>
              <w:tl2br w:val="nil"/>
              <w:tr2bl w:val="nil"/>
            </w:tcBorders>
            <w:vAlign w:val="center"/>
          </w:tcPr>
          <w:p w14:paraId="25248611">
            <w:pPr>
              <w:pStyle w:val="44"/>
              <w:bidi w:val="0"/>
              <w:rPr>
                <w:rFonts w:hint="default" w:ascii="Times New Roman" w:hAnsi="Times New Roman" w:cs="Times New Roman"/>
                <w:color w:val="auto"/>
              </w:rPr>
            </w:pPr>
            <w:r>
              <w:rPr>
                <w:rFonts w:hint="default" w:ascii="Times New Roman" w:hAnsi="Times New Roman" w:cs="Times New Roman"/>
                <w:color w:val="auto"/>
              </w:rPr>
              <w:t>青山断裂</w:t>
            </w:r>
          </w:p>
        </w:tc>
        <w:tc>
          <w:tcPr>
            <w:tcW w:w="942" w:type="dxa"/>
            <w:tcBorders>
              <w:tl2br w:val="nil"/>
              <w:tr2bl w:val="nil"/>
            </w:tcBorders>
            <w:vAlign w:val="center"/>
          </w:tcPr>
          <w:p w14:paraId="19858978">
            <w:pPr>
              <w:pStyle w:val="44"/>
              <w:bidi w:val="0"/>
              <w:rPr>
                <w:rFonts w:hint="default" w:ascii="Times New Roman" w:hAnsi="Times New Roman" w:cs="Times New Roman"/>
                <w:color w:val="auto"/>
              </w:rPr>
            </w:pPr>
            <w:r>
              <w:rPr>
                <w:rFonts w:hint="default" w:ascii="Times New Roman" w:hAnsi="Times New Roman" w:cs="Times New Roman"/>
                <w:color w:val="auto"/>
              </w:rPr>
              <w:t>SW</w:t>
            </w:r>
          </w:p>
        </w:tc>
        <w:tc>
          <w:tcPr>
            <w:tcW w:w="654" w:type="dxa"/>
            <w:tcBorders>
              <w:tl2br w:val="nil"/>
              <w:tr2bl w:val="nil"/>
            </w:tcBorders>
            <w:vAlign w:val="center"/>
          </w:tcPr>
          <w:p w14:paraId="17D22B71">
            <w:pPr>
              <w:pStyle w:val="44"/>
              <w:bidi w:val="0"/>
              <w:rPr>
                <w:rFonts w:hint="default" w:ascii="Times New Roman" w:hAnsi="Times New Roman" w:cs="Times New Roman"/>
                <w:color w:val="auto"/>
              </w:rPr>
            </w:pPr>
            <w:r>
              <w:rPr>
                <w:rFonts w:hint="default" w:ascii="Times New Roman" w:hAnsi="Times New Roman" w:cs="Times New Roman"/>
                <w:color w:val="auto"/>
              </w:rPr>
              <w:t>压</w:t>
            </w:r>
          </w:p>
        </w:tc>
        <w:tc>
          <w:tcPr>
            <w:tcW w:w="4659" w:type="dxa"/>
            <w:tcBorders>
              <w:tl2br w:val="nil"/>
              <w:tr2bl w:val="nil"/>
            </w:tcBorders>
            <w:vAlign w:val="center"/>
          </w:tcPr>
          <w:p w14:paraId="049AD815">
            <w:pPr>
              <w:pStyle w:val="44"/>
              <w:bidi w:val="0"/>
              <w:rPr>
                <w:rFonts w:hint="default" w:ascii="Times New Roman" w:hAnsi="Times New Roman" w:cs="Times New Roman"/>
                <w:color w:val="auto"/>
              </w:rPr>
            </w:pPr>
            <w:r>
              <w:rPr>
                <w:rFonts w:hint="default" w:ascii="Times New Roman" w:hAnsi="Times New Roman" w:cs="Times New Roman"/>
                <w:color w:val="auto"/>
              </w:rPr>
              <w:t>控制中生代煤层展布</w:t>
            </w:r>
          </w:p>
        </w:tc>
      </w:tr>
      <w:tr w14:paraId="635AB8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80" w:hRule="atLeast"/>
        </w:trPr>
        <w:tc>
          <w:tcPr>
            <w:tcW w:w="916" w:type="dxa"/>
            <w:vMerge w:val="continue"/>
            <w:tcBorders>
              <w:tl2br w:val="nil"/>
              <w:tr2bl w:val="nil"/>
            </w:tcBorders>
            <w:vAlign w:val="center"/>
          </w:tcPr>
          <w:p w14:paraId="25AA5785">
            <w:pPr>
              <w:pStyle w:val="44"/>
              <w:bidi w:val="0"/>
              <w:rPr>
                <w:rFonts w:hint="default" w:ascii="Times New Roman" w:hAnsi="Times New Roman" w:cs="Times New Roman"/>
                <w:color w:val="auto"/>
              </w:rPr>
            </w:pPr>
          </w:p>
        </w:tc>
        <w:tc>
          <w:tcPr>
            <w:tcW w:w="2065" w:type="dxa"/>
            <w:tcBorders>
              <w:tl2br w:val="nil"/>
              <w:tr2bl w:val="nil"/>
            </w:tcBorders>
            <w:vAlign w:val="center"/>
          </w:tcPr>
          <w:p w14:paraId="16130975">
            <w:pPr>
              <w:pStyle w:val="44"/>
              <w:bidi w:val="0"/>
              <w:rPr>
                <w:rFonts w:hint="default" w:ascii="Times New Roman" w:hAnsi="Times New Roman" w:cs="Times New Roman"/>
                <w:color w:val="auto"/>
              </w:rPr>
            </w:pPr>
            <w:r>
              <w:rPr>
                <w:rFonts w:hint="default" w:ascii="Times New Roman" w:hAnsi="Times New Roman" w:cs="Times New Roman"/>
                <w:color w:val="auto"/>
              </w:rPr>
              <w:t>虎山～滴道断裂</w:t>
            </w:r>
          </w:p>
        </w:tc>
        <w:tc>
          <w:tcPr>
            <w:tcW w:w="942" w:type="dxa"/>
            <w:tcBorders>
              <w:tl2br w:val="nil"/>
              <w:tr2bl w:val="nil"/>
            </w:tcBorders>
            <w:vAlign w:val="center"/>
          </w:tcPr>
          <w:p w14:paraId="6C1704A1">
            <w:pPr>
              <w:pStyle w:val="44"/>
              <w:bidi w:val="0"/>
              <w:rPr>
                <w:rFonts w:hint="default" w:ascii="Times New Roman" w:hAnsi="Times New Roman" w:cs="Times New Roman"/>
                <w:color w:val="auto"/>
              </w:rPr>
            </w:pPr>
            <w:r>
              <w:rPr>
                <w:rFonts w:hint="default" w:ascii="Times New Roman" w:hAnsi="Times New Roman" w:cs="Times New Roman"/>
                <w:color w:val="auto"/>
              </w:rPr>
              <w:t>SW</w:t>
            </w:r>
          </w:p>
        </w:tc>
        <w:tc>
          <w:tcPr>
            <w:tcW w:w="654" w:type="dxa"/>
            <w:tcBorders>
              <w:tl2br w:val="nil"/>
              <w:tr2bl w:val="nil"/>
            </w:tcBorders>
            <w:vAlign w:val="center"/>
          </w:tcPr>
          <w:p w14:paraId="1D99413B">
            <w:pPr>
              <w:pStyle w:val="44"/>
              <w:bidi w:val="0"/>
              <w:rPr>
                <w:rFonts w:hint="default" w:ascii="Times New Roman" w:hAnsi="Times New Roman" w:cs="Times New Roman"/>
                <w:color w:val="auto"/>
              </w:rPr>
            </w:pPr>
            <w:r>
              <w:rPr>
                <w:rFonts w:hint="default" w:ascii="Times New Roman" w:hAnsi="Times New Roman" w:cs="Times New Roman"/>
                <w:color w:val="auto"/>
              </w:rPr>
              <w:t>压</w:t>
            </w:r>
          </w:p>
        </w:tc>
        <w:tc>
          <w:tcPr>
            <w:tcW w:w="4659" w:type="dxa"/>
            <w:tcBorders>
              <w:tl2br w:val="nil"/>
              <w:tr2bl w:val="nil"/>
            </w:tcBorders>
            <w:vAlign w:val="center"/>
          </w:tcPr>
          <w:p w14:paraId="23E502F9">
            <w:pPr>
              <w:pStyle w:val="44"/>
              <w:bidi w:val="0"/>
              <w:rPr>
                <w:rFonts w:hint="default" w:ascii="Times New Roman" w:hAnsi="Times New Roman" w:cs="Times New Roman"/>
                <w:color w:val="auto"/>
              </w:rPr>
            </w:pPr>
            <w:r>
              <w:rPr>
                <w:rFonts w:hint="default" w:ascii="Times New Roman" w:hAnsi="Times New Roman" w:cs="Times New Roman"/>
                <w:color w:val="auto"/>
              </w:rPr>
              <w:t>控制中生代煤层展布</w:t>
            </w:r>
          </w:p>
        </w:tc>
      </w:tr>
      <w:tr w14:paraId="02514E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80" w:hRule="atLeast"/>
        </w:trPr>
        <w:tc>
          <w:tcPr>
            <w:tcW w:w="916" w:type="dxa"/>
            <w:vMerge w:val="continue"/>
            <w:tcBorders>
              <w:tl2br w:val="nil"/>
              <w:tr2bl w:val="nil"/>
            </w:tcBorders>
            <w:vAlign w:val="center"/>
          </w:tcPr>
          <w:p w14:paraId="2EF296DD">
            <w:pPr>
              <w:pStyle w:val="44"/>
              <w:bidi w:val="0"/>
              <w:rPr>
                <w:rFonts w:hint="default" w:ascii="Times New Roman" w:hAnsi="Times New Roman" w:cs="Times New Roman"/>
                <w:color w:val="auto"/>
              </w:rPr>
            </w:pPr>
          </w:p>
        </w:tc>
        <w:tc>
          <w:tcPr>
            <w:tcW w:w="2065" w:type="dxa"/>
            <w:tcBorders>
              <w:tl2br w:val="nil"/>
              <w:tr2bl w:val="nil"/>
            </w:tcBorders>
            <w:vAlign w:val="center"/>
          </w:tcPr>
          <w:p w14:paraId="5C64B612">
            <w:pPr>
              <w:pStyle w:val="44"/>
              <w:bidi w:val="0"/>
              <w:rPr>
                <w:rFonts w:hint="default" w:ascii="Times New Roman" w:hAnsi="Times New Roman" w:cs="Times New Roman"/>
                <w:color w:val="auto"/>
              </w:rPr>
            </w:pPr>
            <w:r>
              <w:rPr>
                <w:rFonts w:hint="default" w:ascii="Times New Roman" w:hAnsi="Times New Roman" w:cs="Times New Roman"/>
                <w:color w:val="auto"/>
              </w:rPr>
              <w:t>张新断裂</w:t>
            </w:r>
          </w:p>
        </w:tc>
        <w:tc>
          <w:tcPr>
            <w:tcW w:w="942" w:type="dxa"/>
            <w:tcBorders>
              <w:tl2br w:val="nil"/>
              <w:tr2bl w:val="nil"/>
            </w:tcBorders>
            <w:vAlign w:val="center"/>
          </w:tcPr>
          <w:p w14:paraId="0D013DF7">
            <w:pPr>
              <w:pStyle w:val="44"/>
              <w:bidi w:val="0"/>
              <w:rPr>
                <w:rFonts w:hint="default" w:ascii="Times New Roman" w:hAnsi="Times New Roman" w:cs="Times New Roman"/>
                <w:color w:val="auto"/>
              </w:rPr>
            </w:pPr>
            <w:r>
              <w:rPr>
                <w:rFonts w:hint="default" w:ascii="Times New Roman" w:hAnsi="Times New Roman" w:cs="Times New Roman"/>
                <w:color w:val="auto"/>
              </w:rPr>
              <w:t>NE20°</w:t>
            </w:r>
          </w:p>
        </w:tc>
        <w:tc>
          <w:tcPr>
            <w:tcW w:w="654" w:type="dxa"/>
            <w:tcBorders>
              <w:tl2br w:val="nil"/>
              <w:tr2bl w:val="nil"/>
            </w:tcBorders>
            <w:vAlign w:val="center"/>
          </w:tcPr>
          <w:p w14:paraId="50DB35B3">
            <w:pPr>
              <w:pStyle w:val="44"/>
              <w:bidi w:val="0"/>
              <w:rPr>
                <w:rFonts w:hint="default" w:ascii="Times New Roman" w:hAnsi="Times New Roman" w:cs="Times New Roman"/>
                <w:color w:val="auto"/>
              </w:rPr>
            </w:pPr>
            <w:r>
              <w:rPr>
                <w:rFonts w:hint="default" w:ascii="Times New Roman" w:hAnsi="Times New Roman" w:cs="Times New Roman"/>
                <w:color w:val="auto"/>
              </w:rPr>
              <w:t>压</w:t>
            </w:r>
          </w:p>
        </w:tc>
        <w:tc>
          <w:tcPr>
            <w:tcW w:w="4659" w:type="dxa"/>
            <w:tcBorders>
              <w:tl2br w:val="nil"/>
              <w:tr2bl w:val="nil"/>
            </w:tcBorders>
            <w:vAlign w:val="center"/>
          </w:tcPr>
          <w:p w14:paraId="1F952B53">
            <w:pPr>
              <w:pStyle w:val="44"/>
              <w:bidi w:val="0"/>
              <w:rPr>
                <w:rFonts w:hint="default" w:ascii="Times New Roman" w:hAnsi="Times New Roman" w:cs="Times New Roman"/>
                <w:color w:val="auto"/>
              </w:rPr>
            </w:pPr>
            <w:r>
              <w:rPr>
                <w:rFonts w:hint="default" w:ascii="Times New Roman" w:hAnsi="Times New Roman" w:cs="Times New Roman"/>
                <w:color w:val="auto"/>
              </w:rPr>
              <w:t>断层倾向SE75°，落差700m。</w:t>
            </w:r>
          </w:p>
        </w:tc>
      </w:tr>
      <w:tr w14:paraId="286D87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80" w:hRule="atLeast"/>
        </w:trPr>
        <w:tc>
          <w:tcPr>
            <w:tcW w:w="916" w:type="dxa"/>
            <w:vMerge w:val="continue"/>
            <w:tcBorders>
              <w:tl2br w:val="nil"/>
              <w:tr2bl w:val="nil"/>
            </w:tcBorders>
            <w:vAlign w:val="center"/>
          </w:tcPr>
          <w:p w14:paraId="700C987C">
            <w:pPr>
              <w:pStyle w:val="44"/>
              <w:bidi w:val="0"/>
              <w:rPr>
                <w:rFonts w:hint="default" w:ascii="Times New Roman" w:hAnsi="Times New Roman" w:cs="Times New Roman"/>
                <w:color w:val="auto"/>
              </w:rPr>
            </w:pPr>
          </w:p>
        </w:tc>
        <w:tc>
          <w:tcPr>
            <w:tcW w:w="2065" w:type="dxa"/>
            <w:tcBorders>
              <w:tl2br w:val="nil"/>
              <w:tr2bl w:val="nil"/>
            </w:tcBorders>
            <w:vAlign w:val="center"/>
          </w:tcPr>
          <w:p w14:paraId="1D1C224D">
            <w:pPr>
              <w:pStyle w:val="44"/>
              <w:bidi w:val="0"/>
              <w:rPr>
                <w:rFonts w:hint="default" w:ascii="Times New Roman" w:hAnsi="Times New Roman" w:cs="Times New Roman"/>
                <w:color w:val="auto"/>
              </w:rPr>
            </w:pPr>
            <w:r>
              <w:rPr>
                <w:rFonts w:hint="default" w:ascii="Times New Roman" w:hAnsi="Times New Roman" w:cs="Times New Roman"/>
                <w:color w:val="auto"/>
              </w:rPr>
              <w:t>桓山帚状构造</w:t>
            </w:r>
          </w:p>
        </w:tc>
        <w:tc>
          <w:tcPr>
            <w:tcW w:w="942" w:type="dxa"/>
            <w:tcBorders>
              <w:tl2br w:val="nil"/>
              <w:tr2bl w:val="nil"/>
            </w:tcBorders>
            <w:vAlign w:val="center"/>
          </w:tcPr>
          <w:p w14:paraId="42BCA754">
            <w:pPr>
              <w:pStyle w:val="44"/>
              <w:bidi w:val="0"/>
              <w:rPr>
                <w:rFonts w:hint="default" w:ascii="Times New Roman" w:hAnsi="Times New Roman" w:cs="Times New Roman"/>
                <w:color w:val="auto"/>
              </w:rPr>
            </w:pPr>
            <w:r>
              <w:rPr>
                <w:rFonts w:hint="default" w:ascii="Times New Roman" w:hAnsi="Times New Roman" w:cs="Times New Roman"/>
                <w:color w:val="auto"/>
              </w:rPr>
              <w:t>NNW</w:t>
            </w:r>
          </w:p>
        </w:tc>
        <w:tc>
          <w:tcPr>
            <w:tcW w:w="654" w:type="dxa"/>
            <w:tcBorders>
              <w:tl2br w:val="nil"/>
              <w:tr2bl w:val="nil"/>
            </w:tcBorders>
            <w:vAlign w:val="center"/>
          </w:tcPr>
          <w:p w14:paraId="7F9FC9E7">
            <w:pPr>
              <w:pStyle w:val="44"/>
              <w:bidi w:val="0"/>
              <w:rPr>
                <w:rFonts w:hint="default" w:ascii="Times New Roman" w:hAnsi="Times New Roman" w:cs="Times New Roman"/>
                <w:color w:val="auto"/>
              </w:rPr>
            </w:pPr>
            <w:r>
              <w:rPr>
                <w:rFonts w:hint="default" w:ascii="Times New Roman" w:hAnsi="Times New Roman" w:cs="Times New Roman"/>
                <w:color w:val="auto"/>
              </w:rPr>
              <w:t>张扭</w:t>
            </w:r>
          </w:p>
        </w:tc>
        <w:tc>
          <w:tcPr>
            <w:tcW w:w="4659" w:type="dxa"/>
            <w:tcBorders>
              <w:tl2br w:val="nil"/>
              <w:tr2bl w:val="nil"/>
            </w:tcBorders>
            <w:vAlign w:val="center"/>
          </w:tcPr>
          <w:p w14:paraId="09344BF0">
            <w:pPr>
              <w:pStyle w:val="44"/>
              <w:bidi w:val="0"/>
              <w:rPr>
                <w:rFonts w:hint="default" w:ascii="Times New Roman" w:hAnsi="Times New Roman" w:cs="Times New Roman"/>
                <w:color w:val="auto"/>
              </w:rPr>
            </w:pPr>
            <w:r>
              <w:rPr>
                <w:rFonts w:hint="default" w:ascii="Times New Roman" w:hAnsi="Times New Roman" w:cs="Times New Roman"/>
                <w:color w:val="auto"/>
              </w:rPr>
              <w:t>发育在中生代地层中由一系列向北收敛，向南撒开的张扭性断裂组成。</w:t>
            </w:r>
          </w:p>
        </w:tc>
      </w:tr>
      <w:tr w14:paraId="2CE64D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80" w:hRule="atLeast"/>
        </w:trPr>
        <w:tc>
          <w:tcPr>
            <w:tcW w:w="916" w:type="dxa"/>
            <w:vMerge w:val="continue"/>
            <w:tcBorders>
              <w:tl2br w:val="nil"/>
              <w:tr2bl w:val="nil"/>
            </w:tcBorders>
            <w:vAlign w:val="center"/>
          </w:tcPr>
          <w:p w14:paraId="265C208B">
            <w:pPr>
              <w:pStyle w:val="44"/>
              <w:bidi w:val="0"/>
              <w:rPr>
                <w:rFonts w:hint="default" w:ascii="Times New Roman" w:hAnsi="Times New Roman" w:cs="Times New Roman"/>
                <w:color w:val="auto"/>
              </w:rPr>
            </w:pPr>
          </w:p>
        </w:tc>
        <w:tc>
          <w:tcPr>
            <w:tcW w:w="2065" w:type="dxa"/>
            <w:tcBorders>
              <w:tl2br w:val="nil"/>
              <w:tr2bl w:val="nil"/>
            </w:tcBorders>
            <w:vAlign w:val="center"/>
          </w:tcPr>
          <w:p w14:paraId="0CA91E87">
            <w:pPr>
              <w:pStyle w:val="44"/>
              <w:bidi w:val="0"/>
              <w:rPr>
                <w:rFonts w:hint="default" w:ascii="Times New Roman" w:hAnsi="Times New Roman" w:cs="Times New Roman"/>
                <w:color w:val="auto"/>
              </w:rPr>
            </w:pPr>
            <w:r>
              <w:rPr>
                <w:rFonts w:hint="default" w:ascii="Times New Roman" w:hAnsi="Times New Roman" w:cs="Times New Roman"/>
                <w:color w:val="auto"/>
              </w:rPr>
              <w:t>梨树帚状构造</w:t>
            </w:r>
          </w:p>
        </w:tc>
        <w:tc>
          <w:tcPr>
            <w:tcW w:w="942" w:type="dxa"/>
            <w:tcBorders>
              <w:tl2br w:val="nil"/>
              <w:tr2bl w:val="nil"/>
            </w:tcBorders>
            <w:vAlign w:val="center"/>
          </w:tcPr>
          <w:p w14:paraId="317E952D">
            <w:pPr>
              <w:pStyle w:val="44"/>
              <w:bidi w:val="0"/>
              <w:rPr>
                <w:rFonts w:hint="default" w:ascii="Times New Roman" w:hAnsi="Times New Roman" w:cs="Times New Roman"/>
                <w:color w:val="auto"/>
              </w:rPr>
            </w:pPr>
            <w:r>
              <w:rPr>
                <w:rFonts w:hint="default" w:ascii="Times New Roman" w:hAnsi="Times New Roman" w:cs="Times New Roman"/>
                <w:color w:val="auto"/>
              </w:rPr>
              <w:t>NNW</w:t>
            </w:r>
          </w:p>
        </w:tc>
        <w:tc>
          <w:tcPr>
            <w:tcW w:w="654" w:type="dxa"/>
            <w:tcBorders>
              <w:tl2br w:val="nil"/>
              <w:tr2bl w:val="nil"/>
            </w:tcBorders>
            <w:vAlign w:val="center"/>
          </w:tcPr>
          <w:p w14:paraId="030EF072">
            <w:pPr>
              <w:pStyle w:val="44"/>
              <w:bidi w:val="0"/>
              <w:rPr>
                <w:rFonts w:hint="default" w:ascii="Times New Roman" w:hAnsi="Times New Roman" w:cs="Times New Roman"/>
                <w:color w:val="auto"/>
              </w:rPr>
            </w:pPr>
            <w:r>
              <w:rPr>
                <w:rFonts w:hint="default" w:ascii="Times New Roman" w:hAnsi="Times New Roman" w:cs="Times New Roman"/>
                <w:color w:val="auto"/>
              </w:rPr>
              <w:t>张扭</w:t>
            </w:r>
          </w:p>
        </w:tc>
        <w:tc>
          <w:tcPr>
            <w:tcW w:w="4659" w:type="dxa"/>
            <w:tcBorders>
              <w:tl2br w:val="nil"/>
              <w:tr2bl w:val="nil"/>
            </w:tcBorders>
            <w:vAlign w:val="center"/>
          </w:tcPr>
          <w:p w14:paraId="4E835593">
            <w:pPr>
              <w:pStyle w:val="44"/>
              <w:bidi w:val="0"/>
              <w:rPr>
                <w:rFonts w:hint="default" w:ascii="Times New Roman" w:hAnsi="Times New Roman" w:cs="Times New Roman"/>
                <w:color w:val="auto"/>
              </w:rPr>
            </w:pPr>
            <w:r>
              <w:rPr>
                <w:rFonts w:hint="default" w:ascii="Times New Roman" w:hAnsi="Times New Roman" w:cs="Times New Roman"/>
                <w:color w:val="auto"/>
              </w:rPr>
              <w:t>发育在中生代地层中，由一系列向北收敛，向南撒开的张扭性断裂组成。</w:t>
            </w:r>
          </w:p>
        </w:tc>
      </w:tr>
      <w:tr w14:paraId="5B23DA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80" w:hRule="atLeast"/>
        </w:trPr>
        <w:tc>
          <w:tcPr>
            <w:tcW w:w="916" w:type="dxa"/>
            <w:vMerge w:val="continue"/>
            <w:tcBorders>
              <w:tl2br w:val="nil"/>
              <w:tr2bl w:val="nil"/>
            </w:tcBorders>
            <w:vAlign w:val="center"/>
          </w:tcPr>
          <w:p w14:paraId="65877C68">
            <w:pPr>
              <w:pStyle w:val="44"/>
              <w:bidi w:val="0"/>
              <w:rPr>
                <w:rFonts w:hint="default" w:ascii="Times New Roman" w:hAnsi="Times New Roman" w:cs="Times New Roman"/>
                <w:color w:val="auto"/>
              </w:rPr>
            </w:pPr>
          </w:p>
        </w:tc>
        <w:tc>
          <w:tcPr>
            <w:tcW w:w="2065" w:type="dxa"/>
            <w:tcBorders>
              <w:tl2br w:val="nil"/>
              <w:tr2bl w:val="nil"/>
            </w:tcBorders>
            <w:vAlign w:val="center"/>
          </w:tcPr>
          <w:p w14:paraId="7608FDE1">
            <w:pPr>
              <w:pStyle w:val="44"/>
              <w:bidi w:val="0"/>
              <w:rPr>
                <w:rFonts w:hint="default" w:ascii="Times New Roman" w:hAnsi="Times New Roman" w:cs="Times New Roman"/>
                <w:color w:val="auto"/>
              </w:rPr>
            </w:pPr>
            <w:r>
              <w:rPr>
                <w:rFonts w:hint="default" w:ascii="Times New Roman" w:hAnsi="Times New Roman" w:cs="Times New Roman"/>
                <w:color w:val="auto"/>
              </w:rPr>
              <w:t>碾子河断裂</w:t>
            </w:r>
          </w:p>
        </w:tc>
        <w:tc>
          <w:tcPr>
            <w:tcW w:w="942" w:type="dxa"/>
            <w:tcBorders>
              <w:tl2br w:val="nil"/>
              <w:tr2bl w:val="nil"/>
            </w:tcBorders>
            <w:vAlign w:val="center"/>
          </w:tcPr>
          <w:p w14:paraId="7F75D8C9">
            <w:pPr>
              <w:pStyle w:val="44"/>
              <w:bidi w:val="0"/>
              <w:rPr>
                <w:rFonts w:hint="default" w:ascii="Times New Roman" w:hAnsi="Times New Roman" w:cs="Times New Roman"/>
                <w:color w:val="auto"/>
              </w:rPr>
            </w:pPr>
            <w:r>
              <w:rPr>
                <w:rFonts w:hint="default" w:ascii="Times New Roman" w:hAnsi="Times New Roman" w:cs="Times New Roman"/>
                <w:color w:val="auto"/>
              </w:rPr>
              <w:t>NNW</w:t>
            </w:r>
          </w:p>
        </w:tc>
        <w:tc>
          <w:tcPr>
            <w:tcW w:w="654" w:type="dxa"/>
            <w:tcBorders>
              <w:tl2br w:val="nil"/>
              <w:tr2bl w:val="nil"/>
            </w:tcBorders>
            <w:vAlign w:val="center"/>
          </w:tcPr>
          <w:p w14:paraId="4533D980">
            <w:pPr>
              <w:pStyle w:val="44"/>
              <w:bidi w:val="0"/>
              <w:rPr>
                <w:rFonts w:hint="default" w:ascii="Times New Roman" w:hAnsi="Times New Roman" w:cs="Times New Roman"/>
                <w:color w:val="auto"/>
              </w:rPr>
            </w:pPr>
            <w:r>
              <w:rPr>
                <w:rFonts w:hint="default" w:ascii="Times New Roman" w:hAnsi="Times New Roman" w:cs="Times New Roman"/>
                <w:color w:val="auto"/>
              </w:rPr>
              <w:t>张</w:t>
            </w:r>
          </w:p>
        </w:tc>
        <w:tc>
          <w:tcPr>
            <w:tcW w:w="4659" w:type="dxa"/>
            <w:tcBorders>
              <w:tl2br w:val="nil"/>
              <w:tr2bl w:val="nil"/>
            </w:tcBorders>
            <w:vAlign w:val="center"/>
          </w:tcPr>
          <w:p w14:paraId="48451EC2">
            <w:pPr>
              <w:pStyle w:val="44"/>
              <w:bidi w:val="0"/>
              <w:rPr>
                <w:rFonts w:hint="default" w:ascii="Times New Roman" w:hAnsi="Times New Roman" w:cs="Times New Roman"/>
                <w:color w:val="auto"/>
              </w:rPr>
            </w:pPr>
          </w:p>
        </w:tc>
      </w:tr>
    </w:tbl>
    <w:p w14:paraId="1F9677C0">
      <w:pPr>
        <w:pStyle w:val="5"/>
        <w:bidi w:val="0"/>
        <w:rPr>
          <w:rFonts w:hint="default" w:ascii="Times New Roman" w:hAnsi="Times New Roman" w:cs="Times New Roman"/>
          <w:color w:val="auto"/>
        </w:rPr>
      </w:pPr>
      <w:bookmarkStart w:id="223" w:name="_Toc92379972"/>
      <w:r>
        <w:rPr>
          <w:rFonts w:hint="default" w:ascii="Times New Roman" w:hAnsi="Times New Roman" w:cs="Times New Roman"/>
          <w:color w:val="auto"/>
        </w:rPr>
        <w:t>4</w:t>
      </w:r>
      <w:r>
        <w:rPr>
          <w:rFonts w:hint="default" w:ascii="Times New Roman" w:hAnsi="Times New Roman" w:cs="Times New Roman"/>
          <w:color w:val="auto"/>
          <w:lang w:val="en-US" w:eastAsia="zh-CN"/>
        </w:rPr>
        <w:t>.1.5.3</w:t>
      </w:r>
      <w:r>
        <w:rPr>
          <w:rFonts w:hint="default" w:ascii="Times New Roman" w:hAnsi="Times New Roman" w:cs="Times New Roman"/>
          <w:color w:val="auto"/>
        </w:rPr>
        <w:t>新构造运动</w:t>
      </w:r>
      <w:bookmarkEnd w:id="223"/>
    </w:p>
    <w:p w14:paraId="6A65E3A4">
      <w:pPr>
        <w:pStyle w:val="25"/>
        <w:bidi w:val="0"/>
        <w:rPr>
          <w:rFonts w:hint="default" w:ascii="Times New Roman" w:hAnsi="Times New Roman" w:cs="Times New Roman"/>
          <w:color w:val="auto"/>
        </w:rPr>
      </w:pPr>
      <w:r>
        <w:rPr>
          <w:rFonts w:hint="default" w:ascii="Times New Roman" w:hAnsi="Times New Roman" w:cs="Times New Roman"/>
          <w:color w:val="auto"/>
        </w:rPr>
        <w:t>本区新构造运动的主要表现为：</w:t>
      </w:r>
    </w:p>
    <w:p w14:paraId="4ECBE176">
      <w:pPr>
        <w:pStyle w:val="25"/>
        <w:bidi w:val="0"/>
        <w:rPr>
          <w:rFonts w:hint="default" w:ascii="Times New Roman" w:hAnsi="Times New Roman" w:cs="Times New Roman"/>
          <w:color w:val="auto"/>
        </w:rPr>
      </w:pPr>
      <w:r>
        <w:rPr>
          <w:rFonts w:hint="default" w:ascii="Times New Roman" w:hAnsi="Times New Roman" w:cs="Times New Roman"/>
          <w:color w:val="auto"/>
        </w:rPr>
        <w:t>断裂活动：以敦化～密山深大断裂为代表，从第三纪以来继承性活动明显，沿断裂带有多期玄武岩喷出。它控制了坳断陷盆地的边界，断裂两侧中、小地震活动较频繁，表明该断裂仍在活动。</w:t>
      </w:r>
    </w:p>
    <w:p w14:paraId="5726A12E">
      <w:pPr>
        <w:pStyle w:val="25"/>
        <w:bidi w:val="0"/>
        <w:rPr>
          <w:rFonts w:hint="default" w:ascii="Times New Roman" w:hAnsi="Times New Roman" w:cs="Times New Roman"/>
          <w:color w:val="auto"/>
        </w:rPr>
      </w:pPr>
      <w:r>
        <w:rPr>
          <w:rFonts w:hint="default" w:ascii="Times New Roman" w:hAnsi="Times New Roman" w:cs="Times New Roman"/>
          <w:color w:val="auto"/>
        </w:rPr>
        <w:t>火山活动：敦密火山岩带有鸡东、宁安、鸡林玄武岩三期喷发，岩性以钠质大陆碱性玄武岩为主。</w:t>
      </w:r>
    </w:p>
    <w:p w14:paraId="39AA2EBB">
      <w:pPr>
        <w:pStyle w:val="25"/>
        <w:bidi w:val="0"/>
        <w:rPr>
          <w:rFonts w:hint="default" w:ascii="Times New Roman" w:hAnsi="Times New Roman" w:cs="Times New Roman"/>
          <w:color w:val="auto"/>
        </w:rPr>
      </w:pPr>
      <w:r>
        <w:rPr>
          <w:rFonts w:hint="default" w:ascii="Times New Roman" w:hAnsi="Times New Roman" w:cs="Times New Roman"/>
          <w:color w:val="auto"/>
        </w:rPr>
        <w:t>河流阶地：本区穆棱河谷发育一级阶地，高差3～5m。</w:t>
      </w:r>
    </w:p>
    <w:p w14:paraId="746CD1F4">
      <w:pPr>
        <w:pStyle w:val="25"/>
        <w:bidi w:val="0"/>
        <w:rPr>
          <w:rFonts w:hint="default" w:ascii="Times New Roman" w:hAnsi="Times New Roman" w:cs="Times New Roman"/>
          <w:color w:val="auto"/>
        </w:rPr>
      </w:pPr>
      <w:r>
        <w:rPr>
          <w:rFonts w:hint="default" w:ascii="Times New Roman" w:hAnsi="Times New Roman" w:cs="Times New Roman"/>
          <w:color w:val="auto"/>
        </w:rPr>
        <w:t>地震活动：本区内地震皆为构造地震，沿活动性断裂发生，地震活动较频繁，多为浅源地震。</w:t>
      </w:r>
    </w:p>
    <w:p w14:paraId="47F2D029">
      <w:pPr>
        <w:pStyle w:val="5"/>
        <w:bidi w:val="0"/>
        <w:rPr>
          <w:rFonts w:hint="default" w:ascii="Times New Roman" w:hAnsi="Times New Roman" w:cs="Times New Roman"/>
          <w:color w:val="auto"/>
        </w:rPr>
      </w:pPr>
      <w:bookmarkStart w:id="224" w:name="_Toc92379973"/>
      <w:r>
        <w:rPr>
          <w:rFonts w:hint="default" w:ascii="Times New Roman" w:hAnsi="Times New Roman" w:cs="Times New Roman"/>
          <w:color w:val="auto"/>
        </w:rPr>
        <w:t>4.</w:t>
      </w:r>
      <w:r>
        <w:rPr>
          <w:rFonts w:hint="default" w:ascii="Times New Roman" w:hAnsi="Times New Roman" w:cs="Times New Roman"/>
          <w:color w:val="auto"/>
          <w:lang w:val="en-US" w:eastAsia="zh-CN"/>
        </w:rPr>
        <w:t>1.5</w:t>
      </w:r>
      <w:r>
        <w:rPr>
          <w:rFonts w:hint="default" w:ascii="Times New Roman" w:hAnsi="Times New Roman" w:cs="Times New Roman"/>
          <w:color w:val="auto"/>
        </w:rPr>
        <w:t>.4岩浆岩</w:t>
      </w:r>
      <w:bookmarkEnd w:id="224"/>
    </w:p>
    <w:p w14:paraId="2F61BD50">
      <w:pPr>
        <w:pStyle w:val="25"/>
        <w:bidi w:val="0"/>
        <w:rPr>
          <w:rFonts w:hint="default" w:ascii="Times New Roman" w:hAnsi="Times New Roman" w:cs="Times New Roman"/>
          <w:color w:val="auto"/>
        </w:rPr>
      </w:pPr>
      <w:r>
        <w:rPr>
          <w:rFonts w:hint="default" w:ascii="Times New Roman" w:hAnsi="Times New Roman" w:cs="Times New Roman"/>
          <w:color w:val="auto"/>
        </w:rPr>
        <w:t>将黑龙江省中生代侵入岩划分为2个一级构造岩浆带即北方构造岩浆带、环太平洋构造岩浆带；6个二级构造岩浆岩带，即大兴安岭构造岩浆带、小兴安岭构造岩浆带、张广才岭构造岩浆带、佳木斯构造岩浆带、兴凯构造岩浆带、完达山构造岩浆带；12个三级岩浆弧带，即塔河岩浆弧带、多宝山岩浆弧带、塔溪岩浆弧带、伊春-延寿岩浆弧带、方正-沙兰站岩浆弧带、依兰-磨刀石岩浆弧带、桦南-宝清岩浆弧带、鸡西-密山岩浆弧带、虎林岩浆弧带、太平岭岩浆弧带、跃进山岩浆弧带、饶河岩浆弧带。本项目区位于前中生代岩浆岩佳木斯构造岩浆带（</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 4 \* ROMAN </w:instrText>
      </w:r>
      <w:r>
        <w:rPr>
          <w:rFonts w:hint="default" w:ascii="Times New Roman" w:hAnsi="Times New Roman" w:cs="Times New Roman"/>
          <w:color w:val="auto"/>
        </w:rPr>
        <w:fldChar w:fldCharType="separate"/>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 6 \* ROMAN </w:instrText>
      </w:r>
      <w:r>
        <w:rPr>
          <w:rFonts w:hint="default" w:ascii="Times New Roman" w:hAnsi="Times New Roman" w:cs="Times New Roman"/>
          <w:color w:val="auto"/>
        </w:rPr>
        <w:fldChar w:fldCharType="separate"/>
      </w:r>
      <w:r>
        <w:rPr>
          <w:rFonts w:hint="default" w:ascii="Times New Roman" w:hAnsi="Times New Roman" w:cs="Times New Roman"/>
          <w:color w:val="auto"/>
        </w:rPr>
        <w:t>VI</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r>
        <w:rPr>
          <w:rFonts w:hint="default" w:ascii="Times New Roman" w:hAnsi="Times New Roman" w:cs="Times New Roman"/>
          <w:color w:val="auto"/>
        </w:rPr>
        <w:t>11）鸡西-密山亚带（</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 4 \* ROMAN </w:instrText>
      </w:r>
      <w:r>
        <w:rPr>
          <w:rFonts w:hint="default" w:ascii="Times New Roman" w:hAnsi="Times New Roman" w:cs="Times New Roman"/>
          <w:color w:val="auto"/>
        </w:rPr>
        <w:fldChar w:fldCharType="separate"/>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 6 \* ROMAN </w:instrText>
      </w:r>
      <w:r>
        <w:rPr>
          <w:rFonts w:hint="default" w:ascii="Times New Roman" w:hAnsi="Times New Roman" w:cs="Times New Roman"/>
          <w:color w:val="auto"/>
        </w:rPr>
        <w:fldChar w:fldCharType="separate"/>
      </w:r>
      <w:r>
        <w:rPr>
          <w:rFonts w:hint="default" w:ascii="Times New Roman" w:hAnsi="Times New Roman" w:cs="Times New Roman"/>
          <w:color w:val="auto"/>
        </w:rPr>
        <w:t>VI</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r>
        <w:rPr>
          <w:rFonts w:hint="default" w:ascii="Times New Roman" w:hAnsi="Times New Roman" w:cs="Times New Roman"/>
          <w:color w:val="auto"/>
        </w:rPr>
        <w:t>11-3），中生代岩浆岩佳木斯构造岩浆带（</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 4 \* ROMAN </w:instrText>
      </w:r>
      <w:r>
        <w:rPr>
          <w:rFonts w:hint="default" w:ascii="Times New Roman" w:hAnsi="Times New Roman" w:cs="Times New Roman"/>
          <w:color w:val="auto"/>
        </w:rPr>
        <w:fldChar w:fldCharType="separate"/>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 6 \* ROMAN </w:instrText>
      </w:r>
      <w:r>
        <w:rPr>
          <w:rFonts w:hint="default" w:ascii="Times New Roman" w:hAnsi="Times New Roman" w:cs="Times New Roman"/>
          <w:color w:val="auto"/>
        </w:rPr>
        <w:fldChar w:fldCharType="separate"/>
      </w:r>
      <w:r>
        <w:rPr>
          <w:rFonts w:hint="default" w:ascii="Times New Roman" w:hAnsi="Times New Roman" w:cs="Times New Roman"/>
          <w:color w:val="auto"/>
        </w:rPr>
        <w:t>I</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r>
        <w:rPr>
          <w:rFonts w:hint="default" w:ascii="Times New Roman" w:hAnsi="Times New Roman" w:cs="Times New Roman"/>
          <w:color w:val="auto"/>
        </w:rPr>
        <w:t>33）鸡西-密山亚带（</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 4 \* ROMAN </w:instrText>
      </w:r>
      <w:r>
        <w:rPr>
          <w:rFonts w:hint="default" w:ascii="Times New Roman" w:hAnsi="Times New Roman" w:cs="Times New Roman"/>
          <w:color w:val="auto"/>
        </w:rPr>
        <w:fldChar w:fldCharType="separate"/>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 6 \* ROMAN </w:instrText>
      </w:r>
      <w:r>
        <w:rPr>
          <w:rFonts w:hint="default" w:ascii="Times New Roman" w:hAnsi="Times New Roman" w:cs="Times New Roman"/>
          <w:color w:val="auto"/>
        </w:rPr>
        <w:fldChar w:fldCharType="separate"/>
      </w:r>
      <w:r>
        <w:rPr>
          <w:rFonts w:hint="default" w:ascii="Times New Roman" w:hAnsi="Times New Roman" w:cs="Times New Roman"/>
          <w:color w:val="auto"/>
        </w:rPr>
        <w:t>I</w:t>
      </w:r>
      <w:r>
        <w:rPr>
          <w:rFonts w:hint="default" w:ascii="Times New Roman" w:hAnsi="Times New Roman" w:cs="Times New Roman"/>
          <w:color w:val="auto"/>
        </w:rPr>
        <w:fldChar w:fldCharType="end"/>
      </w:r>
      <w:r>
        <w:rPr>
          <w:rFonts w:hint="default" w:ascii="Times New Roman" w:hAnsi="Times New Roman" w:cs="Times New Roman"/>
          <w:color w:val="auto"/>
        </w:rPr>
        <w:fldChar w:fldCharType="end"/>
      </w:r>
      <w:r>
        <w:rPr>
          <w:rFonts w:hint="default" w:ascii="Times New Roman" w:hAnsi="Times New Roman" w:cs="Times New Roman"/>
          <w:color w:val="auto"/>
        </w:rPr>
        <w:t>33-2）。</w:t>
      </w:r>
    </w:p>
    <w:p w14:paraId="45A18DC3">
      <w:pPr>
        <w:pStyle w:val="25"/>
        <w:bidi w:val="0"/>
        <w:rPr>
          <w:rFonts w:hint="default" w:ascii="Times New Roman" w:hAnsi="Times New Roman" w:eastAsia="仿宋" w:cs="Times New Roman"/>
          <w:b/>
          <w:color w:val="auto"/>
        </w:rPr>
      </w:pPr>
      <w:r>
        <w:rPr>
          <w:rFonts w:hint="default" w:ascii="Times New Roman" w:hAnsi="Times New Roman" w:cs="Times New Roman"/>
          <w:color w:val="auto"/>
        </w:rPr>
        <w:t>项目区前中生代和中生代岩浆岩较为发育，岩石类型复杂。岩性分布见岩浆岩一览表4</w:t>
      </w:r>
      <w:r>
        <w:rPr>
          <w:rFonts w:hint="default" w:ascii="Times New Roman" w:hAnsi="Times New Roman" w:cs="Times New Roman"/>
          <w:color w:val="auto"/>
          <w:lang w:val="en-US" w:eastAsia="zh-CN"/>
        </w:rPr>
        <w:t>-1</w:t>
      </w:r>
      <w:r>
        <w:rPr>
          <w:rFonts w:hint="default" w:ascii="Times New Roman" w:hAnsi="Times New Roman" w:cs="Times New Roman"/>
          <w:color w:val="auto"/>
        </w:rPr>
        <w:t>-4。</w:t>
      </w:r>
    </w:p>
    <w:p w14:paraId="41572BE8">
      <w:pPr>
        <w:pStyle w:val="27"/>
        <w:bidi w:val="0"/>
        <w:rPr>
          <w:rFonts w:hint="default" w:ascii="Times New Roman" w:hAnsi="Times New Roman" w:cs="Times New Roman"/>
          <w:color w:val="auto"/>
        </w:rPr>
      </w:pPr>
      <w:r>
        <w:rPr>
          <w:rFonts w:hint="default" w:ascii="Times New Roman" w:hAnsi="Times New Roman" w:cs="Times New Roman"/>
          <w:color w:val="auto"/>
        </w:rPr>
        <w:t>表4-</w:t>
      </w:r>
      <w:r>
        <w:rPr>
          <w:rFonts w:hint="default" w:ascii="Times New Roman" w:hAnsi="Times New Roman" w:cs="Times New Roman"/>
          <w:color w:val="auto"/>
          <w:lang w:val="en-US" w:eastAsia="zh-CN"/>
        </w:rPr>
        <w:t>1-</w:t>
      </w:r>
      <w:r>
        <w:rPr>
          <w:rFonts w:hint="default" w:ascii="Times New Roman" w:hAnsi="Times New Roman" w:cs="Times New Roman"/>
          <w:color w:val="auto"/>
        </w:rPr>
        <w:t>4工作区岩浆岩一览表</w:t>
      </w:r>
    </w:p>
    <w:tbl>
      <w:tblPr>
        <w:tblStyle w:val="20"/>
        <w:tblW w:w="837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10"/>
        <w:gridCol w:w="760"/>
        <w:gridCol w:w="761"/>
        <w:gridCol w:w="683"/>
        <w:gridCol w:w="1078"/>
        <w:gridCol w:w="586"/>
        <w:gridCol w:w="2049"/>
        <w:gridCol w:w="1293"/>
        <w:gridCol w:w="650"/>
      </w:tblGrid>
      <w:tr w14:paraId="2EB159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2031" w:type="dxa"/>
            <w:gridSpan w:val="3"/>
            <w:tcBorders>
              <w:tl2br w:val="nil"/>
              <w:tr2bl w:val="nil"/>
            </w:tcBorders>
            <w:vAlign w:val="center"/>
          </w:tcPr>
          <w:p w14:paraId="7B63FF15">
            <w:pPr>
              <w:pStyle w:val="44"/>
              <w:bidi w:val="0"/>
              <w:rPr>
                <w:rFonts w:hint="default" w:ascii="Times New Roman" w:hAnsi="Times New Roman" w:cs="Times New Roman"/>
                <w:color w:val="auto"/>
              </w:rPr>
            </w:pPr>
            <w:r>
              <w:rPr>
                <w:rFonts w:hint="default" w:ascii="Times New Roman" w:hAnsi="Times New Roman" w:cs="Times New Roman"/>
                <w:color w:val="auto"/>
              </w:rPr>
              <w:t>地质时代</w:t>
            </w:r>
          </w:p>
        </w:tc>
        <w:tc>
          <w:tcPr>
            <w:tcW w:w="683" w:type="dxa"/>
            <w:tcBorders>
              <w:tl2br w:val="nil"/>
              <w:tr2bl w:val="nil"/>
            </w:tcBorders>
            <w:vAlign w:val="center"/>
          </w:tcPr>
          <w:p w14:paraId="2BC9FEA4">
            <w:pPr>
              <w:pStyle w:val="44"/>
              <w:bidi w:val="0"/>
              <w:rPr>
                <w:rFonts w:hint="default" w:ascii="Times New Roman" w:hAnsi="Times New Roman" w:cs="Times New Roman"/>
                <w:color w:val="auto"/>
              </w:rPr>
            </w:pPr>
            <w:r>
              <w:rPr>
                <w:rFonts w:hint="default" w:ascii="Times New Roman" w:hAnsi="Times New Roman" w:cs="Times New Roman"/>
                <w:color w:val="auto"/>
              </w:rPr>
              <w:t>代号</w:t>
            </w:r>
          </w:p>
        </w:tc>
        <w:tc>
          <w:tcPr>
            <w:tcW w:w="1078" w:type="dxa"/>
            <w:tcBorders>
              <w:tl2br w:val="nil"/>
              <w:tr2bl w:val="nil"/>
            </w:tcBorders>
            <w:vAlign w:val="center"/>
          </w:tcPr>
          <w:p w14:paraId="777CC429">
            <w:pPr>
              <w:pStyle w:val="44"/>
              <w:bidi w:val="0"/>
              <w:rPr>
                <w:rFonts w:hint="default" w:ascii="Times New Roman" w:hAnsi="Times New Roman" w:cs="Times New Roman"/>
                <w:color w:val="auto"/>
              </w:rPr>
            </w:pPr>
            <w:r>
              <w:rPr>
                <w:rFonts w:hint="default" w:ascii="Times New Roman" w:hAnsi="Times New Roman" w:cs="Times New Roman"/>
                <w:color w:val="auto"/>
              </w:rPr>
              <w:t>岩浆带</w:t>
            </w:r>
          </w:p>
        </w:tc>
        <w:tc>
          <w:tcPr>
            <w:tcW w:w="2635" w:type="dxa"/>
            <w:gridSpan w:val="2"/>
            <w:tcBorders>
              <w:tl2br w:val="nil"/>
              <w:tr2bl w:val="nil"/>
            </w:tcBorders>
            <w:vAlign w:val="center"/>
          </w:tcPr>
          <w:p w14:paraId="480CF771">
            <w:pPr>
              <w:pStyle w:val="44"/>
              <w:bidi w:val="0"/>
              <w:rPr>
                <w:rFonts w:hint="default" w:ascii="Times New Roman" w:hAnsi="Times New Roman" w:cs="Times New Roman"/>
                <w:color w:val="auto"/>
              </w:rPr>
            </w:pPr>
            <w:r>
              <w:rPr>
                <w:rFonts w:hint="default" w:ascii="Times New Roman" w:hAnsi="Times New Roman" w:cs="Times New Roman"/>
                <w:color w:val="auto"/>
              </w:rPr>
              <w:t>岩石组合</w:t>
            </w:r>
          </w:p>
        </w:tc>
        <w:tc>
          <w:tcPr>
            <w:tcW w:w="1293" w:type="dxa"/>
            <w:tcBorders>
              <w:tl2br w:val="nil"/>
              <w:tr2bl w:val="nil"/>
            </w:tcBorders>
            <w:vAlign w:val="center"/>
          </w:tcPr>
          <w:p w14:paraId="38E9E6E5">
            <w:pPr>
              <w:pStyle w:val="44"/>
              <w:bidi w:val="0"/>
              <w:rPr>
                <w:rFonts w:hint="default" w:ascii="Times New Roman" w:hAnsi="Times New Roman" w:cs="Times New Roman"/>
                <w:color w:val="auto"/>
              </w:rPr>
            </w:pPr>
            <w:r>
              <w:rPr>
                <w:rFonts w:hint="default" w:ascii="Times New Roman" w:hAnsi="Times New Roman" w:cs="Times New Roman"/>
                <w:color w:val="auto"/>
              </w:rPr>
              <w:t>岩石系列</w:t>
            </w:r>
          </w:p>
        </w:tc>
        <w:tc>
          <w:tcPr>
            <w:tcW w:w="650" w:type="dxa"/>
            <w:tcBorders>
              <w:tl2br w:val="nil"/>
              <w:tr2bl w:val="nil"/>
            </w:tcBorders>
            <w:vAlign w:val="center"/>
          </w:tcPr>
          <w:p w14:paraId="4D11F6B8">
            <w:pPr>
              <w:pStyle w:val="44"/>
              <w:bidi w:val="0"/>
              <w:rPr>
                <w:rFonts w:hint="default" w:ascii="Times New Roman" w:hAnsi="Times New Roman" w:cs="Times New Roman"/>
                <w:color w:val="auto"/>
              </w:rPr>
            </w:pPr>
            <w:r>
              <w:rPr>
                <w:rFonts w:hint="default" w:ascii="Times New Roman" w:hAnsi="Times New Roman" w:cs="Times New Roman"/>
                <w:color w:val="auto"/>
              </w:rPr>
              <w:t>成因类型</w:t>
            </w:r>
          </w:p>
        </w:tc>
      </w:tr>
      <w:tr w14:paraId="6F24A4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510" w:type="dxa"/>
            <w:vMerge w:val="restart"/>
            <w:tcBorders>
              <w:tl2br w:val="nil"/>
              <w:tr2bl w:val="nil"/>
            </w:tcBorders>
            <w:vAlign w:val="center"/>
          </w:tcPr>
          <w:p w14:paraId="2D72C43E">
            <w:pPr>
              <w:pStyle w:val="44"/>
              <w:bidi w:val="0"/>
              <w:rPr>
                <w:rFonts w:hint="default" w:ascii="Times New Roman" w:hAnsi="Times New Roman" w:cs="Times New Roman"/>
                <w:color w:val="auto"/>
              </w:rPr>
            </w:pPr>
            <w:r>
              <w:rPr>
                <w:rFonts w:hint="default" w:ascii="Times New Roman" w:hAnsi="Times New Roman" w:cs="Times New Roman"/>
                <w:color w:val="auto"/>
              </w:rPr>
              <w:t>显生宙</w:t>
            </w:r>
          </w:p>
        </w:tc>
        <w:tc>
          <w:tcPr>
            <w:tcW w:w="760" w:type="dxa"/>
            <w:tcBorders>
              <w:tl2br w:val="nil"/>
              <w:tr2bl w:val="nil"/>
            </w:tcBorders>
            <w:vAlign w:val="center"/>
          </w:tcPr>
          <w:p w14:paraId="6B659EC6">
            <w:pPr>
              <w:pStyle w:val="44"/>
              <w:bidi w:val="0"/>
              <w:rPr>
                <w:rFonts w:hint="default" w:ascii="Times New Roman" w:hAnsi="Times New Roman" w:cs="Times New Roman"/>
                <w:color w:val="auto"/>
              </w:rPr>
            </w:pPr>
            <w:r>
              <w:rPr>
                <w:rFonts w:hint="default" w:ascii="Times New Roman" w:hAnsi="Times New Roman" w:cs="Times New Roman"/>
                <w:color w:val="auto"/>
              </w:rPr>
              <w:t>新生代</w:t>
            </w:r>
          </w:p>
        </w:tc>
        <w:tc>
          <w:tcPr>
            <w:tcW w:w="761" w:type="dxa"/>
            <w:tcBorders>
              <w:tl2br w:val="nil"/>
              <w:tr2bl w:val="nil"/>
            </w:tcBorders>
            <w:vAlign w:val="center"/>
          </w:tcPr>
          <w:p w14:paraId="4DD84839">
            <w:pPr>
              <w:pStyle w:val="44"/>
              <w:bidi w:val="0"/>
              <w:rPr>
                <w:rFonts w:hint="default" w:ascii="Times New Roman" w:hAnsi="Times New Roman" w:cs="Times New Roman"/>
                <w:color w:val="auto"/>
              </w:rPr>
            </w:pPr>
            <w:r>
              <w:rPr>
                <w:rFonts w:hint="default" w:ascii="Times New Roman" w:hAnsi="Times New Roman" w:cs="Times New Roman"/>
                <w:color w:val="auto"/>
              </w:rPr>
              <w:t>古新世-始新世</w:t>
            </w:r>
          </w:p>
        </w:tc>
        <w:tc>
          <w:tcPr>
            <w:tcW w:w="683" w:type="dxa"/>
            <w:tcBorders>
              <w:tl2br w:val="nil"/>
              <w:tr2bl w:val="nil"/>
            </w:tcBorders>
            <w:vAlign w:val="center"/>
          </w:tcPr>
          <w:p w14:paraId="5E10F1FD">
            <w:pPr>
              <w:pStyle w:val="44"/>
              <w:bidi w:val="0"/>
              <w:rPr>
                <w:rFonts w:hint="default" w:ascii="Times New Roman" w:hAnsi="Times New Roman" w:cs="Times New Roman"/>
                <w:color w:val="auto"/>
              </w:rPr>
            </w:pPr>
            <w:r>
              <w:rPr>
                <w:rFonts w:hint="default" w:ascii="Times New Roman" w:hAnsi="Times New Roman" w:cs="Times New Roman"/>
                <w:color w:val="auto"/>
              </w:rPr>
              <w:t>E1-2</w:t>
            </w:r>
          </w:p>
        </w:tc>
        <w:tc>
          <w:tcPr>
            <w:tcW w:w="1078" w:type="dxa"/>
            <w:tcBorders>
              <w:tl2br w:val="nil"/>
              <w:tr2bl w:val="nil"/>
            </w:tcBorders>
            <w:vAlign w:val="center"/>
          </w:tcPr>
          <w:p w14:paraId="25581997">
            <w:pPr>
              <w:pStyle w:val="44"/>
              <w:bidi w:val="0"/>
              <w:rPr>
                <w:rFonts w:hint="default" w:ascii="Times New Roman" w:hAnsi="Times New Roman" w:cs="Times New Roman"/>
                <w:color w:val="auto"/>
              </w:rPr>
            </w:pPr>
            <w:r>
              <w:rPr>
                <w:rFonts w:hint="default" w:ascii="Times New Roman" w:hAnsi="Times New Roman" w:cs="Times New Roman"/>
                <w:color w:val="auto"/>
              </w:rPr>
              <w:t>佳木斯岩浆带</w:t>
            </w:r>
          </w:p>
        </w:tc>
        <w:tc>
          <w:tcPr>
            <w:tcW w:w="586" w:type="dxa"/>
            <w:tcBorders>
              <w:tl2br w:val="nil"/>
              <w:tr2bl w:val="nil"/>
            </w:tcBorders>
            <w:vAlign w:val="center"/>
          </w:tcPr>
          <w:p w14:paraId="55F31FFD">
            <w:pPr>
              <w:pStyle w:val="44"/>
              <w:bidi w:val="0"/>
              <w:rPr>
                <w:rFonts w:hint="default" w:ascii="Times New Roman" w:hAnsi="Times New Roman" w:cs="Times New Roman"/>
                <w:color w:val="auto"/>
              </w:rPr>
            </w:pPr>
            <w:r>
              <w:rPr>
                <w:rFonts w:hint="default" w:ascii="Times New Roman" w:hAnsi="Times New Roman" w:cs="Times New Roman"/>
                <w:color w:val="auto"/>
              </w:rPr>
              <w:t>酸性</w:t>
            </w:r>
          </w:p>
        </w:tc>
        <w:tc>
          <w:tcPr>
            <w:tcW w:w="2049" w:type="dxa"/>
            <w:tcBorders>
              <w:tl2br w:val="nil"/>
              <w:tr2bl w:val="nil"/>
            </w:tcBorders>
            <w:vAlign w:val="center"/>
          </w:tcPr>
          <w:p w14:paraId="1F6CC46D">
            <w:pPr>
              <w:pStyle w:val="44"/>
              <w:bidi w:val="0"/>
              <w:rPr>
                <w:rFonts w:hint="default" w:ascii="Times New Roman" w:hAnsi="Times New Roman" w:cs="Times New Roman"/>
                <w:color w:val="auto"/>
              </w:rPr>
            </w:pPr>
            <w:r>
              <w:rPr>
                <w:rFonts w:hint="default" w:ascii="Times New Roman" w:hAnsi="Times New Roman" w:cs="Times New Roman"/>
                <w:color w:val="auto"/>
              </w:rPr>
              <w:t>花岗闪长岩</w:t>
            </w:r>
          </w:p>
        </w:tc>
        <w:tc>
          <w:tcPr>
            <w:tcW w:w="1293" w:type="dxa"/>
            <w:tcBorders>
              <w:tl2br w:val="nil"/>
              <w:tr2bl w:val="nil"/>
            </w:tcBorders>
            <w:vAlign w:val="center"/>
          </w:tcPr>
          <w:p w14:paraId="28F6F68C">
            <w:pPr>
              <w:pStyle w:val="44"/>
              <w:bidi w:val="0"/>
              <w:rPr>
                <w:rFonts w:hint="default" w:ascii="Times New Roman" w:hAnsi="Times New Roman" w:cs="Times New Roman"/>
                <w:color w:val="auto"/>
              </w:rPr>
            </w:pPr>
            <w:r>
              <w:rPr>
                <w:rFonts w:hint="default" w:ascii="Times New Roman" w:hAnsi="Times New Roman" w:cs="Times New Roman"/>
                <w:color w:val="auto"/>
              </w:rPr>
              <w:t>高钾钙碱性</w:t>
            </w:r>
          </w:p>
          <w:p w14:paraId="39F4C507">
            <w:pPr>
              <w:pStyle w:val="44"/>
              <w:bidi w:val="0"/>
              <w:rPr>
                <w:rFonts w:hint="default" w:ascii="Times New Roman" w:hAnsi="Times New Roman" w:cs="Times New Roman"/>
                <w:color w:val="auto"/>
              </w:rPr>
            </w:pPr>
            <w:r>
              <w:rPr>
                <w:rFonts w:hint="default" w:ascii="Times New Roman" w:hAnsi="Times New Roman" w:cs="Times New Roman"/>
                <w:color w:val="auto"/>
              </w:rPr>
              <w:t>系列</w:t>
            </w:r>
          </w:p>
        </w:tc>
        <w:tc>
          <w:tcPr>
            <w:tcW w:w="650" w:type="dxa"/>
            <w:tcBorders>
              <w:tl2br w:val="nil"/>
              <w:tr2bl w:val="nil"/>
            </w:tcBorders>
            <w:vAlign w:val="center"/>
          </w:tcPr>
          <w:p w14:paraId="42A8998D">
            <w:pPr>
              <w:pStyle w:val="44"/>
              <w:bidi w:val="0"/>
              <w:rPr>
                <w:rFonts w:hint="default" w:ascii="Times New Roman" w:hAnsi="Times New Roman" w:cs="Times New Roman"/>
                <w:color w:val="auto"/>
              </w:rPr>
            </w:pPr>
            <w:r>
              <w:rPr>
                <w:rFonts w:hint="default" w:ascii="Times New Roman" w:hAnsi="Times New Roman" w:cs="Times New Roman"/>
                <w:color w:val="auto"/>
              </w:rPr>
              <w:t>I型</w:t>
            </w:r>
          </w:p>
        </w:tc>
      </w:tr>
      <w:tr w14:paraId="05174A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510" w:type="dxa"/>
            <w:vMerge w:val="continue"/>
            <w:tcBorders>
              <w:tl2br w:val="nil"/>
              <w:tr2bl w:val="nil"/>
            </w:tcBorders>
            <w:vAlign w:val="center"/>
          </w:tcPr>
          <w:p w14:paraId="5C25A223">
            <w:pPr>
              <w:pStyle w:val="44"/>
              <w:bidi w:val="0"/>
              <w:rPr>
                <w:rFonts w:hint="default" w:ascii="Times New Roman" w:hAnsi="Times New Roman" w:cs="Times New Roman"/>
                <w:color w:val="auto"/>
              </w:rPr>
            </w:pPr>
          </w:p>
        </w:tc>
        <w:tc>
          <w:tcPr>
            <w:tcW w:w="760" w:type="dxa"/>
            <w:vMerge w:val="restart"/>
            <w:tcBorders>
              <w:tl2br w:val="nil"/>
              <w:tr2bl w:val="nil"/>
            </w:tcBorders>
            <w:vAlign w:val="center"/>
          </w:tcPr>
          <w:p w14:paraId="6347BADD">
            <w:pPr>
              <w:pStyle w:val="44"/>
              <w:bidi w:val="0"/>
              <w:rPr>
                <w:rFonts w:hint="default" w:ascii="Times New Roman" w:hAnsi="Times New Roman" w:cs="Times New Roman"/>
                <w:color w:val="auto"/>
              </w:rPr>
            </w:pPr>
            <w:r>
              <w:rPr>
                <w:rFonts w:hint="default" w:ascii="Times New Roman" w:hAnsi="Times New Roman" w:cs="Times New Roman"/>
                <w:color w:val="auto"/>
              </w:rPr>
              <w:t>中生代</w:t>
            </w:r>
          </w:p>
        </w:tc>
        <w:tc>
          <w:tcPr>
            <w:tcW w:w="761" w:type="dxa"/>
            <w:tcBorders>
              <w:tl2br w:val="nil"/>
              <w:tr2bl w:val="nil"/>
            </w:tcBorders>
            <w:vAlign w:val="center"/>
          </w:tcPr>
          <w:p w14:paraId="449183C2">
            <w:pPr>
              <w:pStyle w:val="44"/>
              <w:bidi w:val="0"/>
              <w:rPr>
                <w:rFonts w:hint="default" w:ascii="Times New Roman" w:hAnsi="Times New Roman" w:cs="Times New Roman"/>
                <w:color w:val="auto"/>
              </w:rPr>
            </w:pPr>
            <w:r>
              <w:rPr>
                <w:rFonts w:hint="default" w:ascii="Times New Roman" w:hAnsi="Times New Roman" w:cs="Times New Roman"/>
                <w:color w:val="auto"/>
              </w:rPr>
              <w:t>早白垩世</w:t>
            </w:r>
          </w:p>
        </w:tc>
        <w:tc>
          <w:tcPr>
            <w:tcW w:w="683" w:type="dxa"/>
            <w:tcBorders>
              <w:tl2br w:val="nil"/>
              <w:tr2bl w:val="nil"/>
            </w:tcBorders>
            <w:vAlign w:val="center"/>
          </w:tcPr>
          <w:p w14:paraId="6B97BD00">
            <w:pPr>
              <w:pStyle w:val="44"/>
              <w:bidi w:val="0"/>
              <w:rPr>
                <w:rFonts w:hint="default" w:ascii="Times New Roman" w:hAnsi="Times New Roman" w:cs="Times New Roman"/>
                <w:color w:val="auto"/>
              </w:rPr>
            </w:pPr>
            <w:r>
              <w:rPr>
                <w:rFonts w:hint="default" w:ascii="Times New Roman" w:hAnsi="Times New Roman" w:cs="Times New Roman"/>
                <w:color w:val="auto"/>
              </w:rPr>
              <w:t>K1</w:t>
            </w:r>
          </w:p>
        </w:tc>
        <w:tc>
          <w:tcPr>
            <w:tcW w:w="1078" w:type="dxa"/>
            <w:tcBorders>
              <w:tl2br w:val="nil"/>
              <w:tr2bl w:val="nil"/>
            </w:tcBorders>
            <w:vAlign w:val="center"/>
          </w:tcPr>
          <w:p w14:paraId="1FE7C110">
            <w:pPr>
              <w:pStyle w:val="44"/>
              <w:bidi w:val="0"/>
              <w:rPr>
                <w:rFonts w:hint="default" w:ascii="Times New Roman" w:hAnsi="Times New Roman" w:cs="Times New Roman"/>
                <w:color w:val="auto"/>
              </w:rPr>
            </w:pPr>
            <w:r>
              <w:rPr>
                <w:rFonts w:hint="default" w:ascii="Times New Roman" w:hAnsi="Times New Roman" w:cs="Times New Roman"/>
                <w:color w:val="auto"/>
              </w:rPr>
              <w:t>佳木斯岩浆带</w:t>
            </w:r>
          </w:p>
        </w:tc>
        <w:tc>
          <w:tcPr>
            <w:tcW w:w="586" w:type="dxa"/>
            <w:tcBorders>
              <w:tl2br w:val="nil"/>
              <w:tr2bl w:val="nil"/>
            </w:tcBorders>
            <w:vAlign w:val="center"/>
          </w:tcPr>
          <w:p w14:paraId="66B9CC14">
            <w:pPr>
              <w:pStyle w:val="44"/>
              <w:bidi w:val="0"/>
              <w:rPr>
                <w:rFonts w:hint="default" w:ascii="Times New Roman" w:hAnsi="Times New Roman" w:cs="Times New Roman"/>
                <w:color w:val="auto"/>
              </w:rPr>
            </w:pPr>
            <w:r>
              <w:rPr>
                <w:rFonts w:hint="default" w:ascii="Times New Roman" w:hAnsi="Times New Roman" w:cs="Times New Roman"/>
                <w:color w:val="auto"/>
              </w:rPr>
              <w:t>酸性</w:t>
            </w:r>
          </w:p>
        </w:tc>
        <w:tc>
          <w:tcPr>
            <w:tcW w:w="2049" w:type="dxa"/>
            <w:tcBorders>
              <w:tl2br w:val="nil"/>
              <w:tr2bl w:val="nil"/>
            </w:tcBorders>
            <w:vAlign w:val="center"/>
          </w:tcPr>
          <w:p w14:paraId="7C287936">
            <w:pPr>
              <w:pStyle w:val="44"/>
              <w:bidi w:val="0"/>
              <w:rPr>
                <w:rFonts w:hint="default" w:ascii="Times New Roman" w:hAnsi="Times New Roman" w:cs="Times New Roman"/>
                <w:color w:val="auto"/>
              </w:rPr>
            </w:pPr>
            <w:r>
              <w:rPr>
                <w:rFonts w:hint="default" w:ascii="Times New Roman" w:hAnsi="Times New Roman" w:cs="Times New Roman"/>
                <w:color w:val="auto"/>
              </w:rPr>
              <w:t>二长花岗岩</w:t>
            </w:r>
          </w:p>
        </w:tc>
        <w:tc>
          <w:tcPr>
            <w:tcW w:w="1293" w:type="dxa"/>
            <w:tcBorders>
              <w:tl2br w:val="nil"/>
              <w:tr2bl w:val="nil"/>
            </w:tcBorders>
            <w:vAlign w:val="center"/>
          </w:tcPr>
          <w:p w14:paraId="5A752A28">
            <w:pPr>
              <w:pStyle w:val="44"/>
              <w:bidi w:val="0"/>
              <w:rPr>
                <w:rFonts w:hint="default" w:ascii="Times New Roman" w:hAnsi="Times New Roman" w:cs="Times New Roman"/>
                <w:color w:val="auto"/>
              </w:rPr>
            </w:pPr>
            <w:r>
              <w:rPr>
                <w:rFonts w:hint="default" w:ascii="Times New Roman" w:hAnsi="Times New Roman" w:cs="Times New Roman"/>
                <w:color w:val="auto"/>
              </w:rPr>
              <w:t>（高钾）钙碱性系列</w:t>
            </w:r>
          </w:p>
        </w:tc>
        <w:tc>
          <w:tcPr>
            <w:tcW w:w="650" w:type="dxa"/>
            <w:tcBorders>
              <w:tl2br w:val="nil"/>
              <w:tr2bl w:val="nil"/>
            </w:tcBorders>
            <w:vAlign w:val="center"/>
          </w:tcPr>
          <w:p w14:paraId="23F86882">
            <w:pPr>
              <w:pStyle w:val="44"/>
              <w:bidi w:val="0"/>
              <w:rPr>
                <w:rFonts w:hint="default" w:ascii="Times New Roman" w:hAnsi="Times New Roman" w:cs="Times New Roman"/>
                <w:color w:val="auto"/>
              </w:rPr>
            </w:pPr>
            <w:r>
              <w:rPr>
                <w:rFonts w:hint="default" w:ascii="Times New Roman" w:hAnsi="Times New Roman" w:cs="Times New Roman"/>
                <w:color w:val="auto"/>
              </w:rPr>
              <w:t>I型</w:t>
            </w:r>
          </w:p>
        </w:tc>
      </w:tr>
      <w:tr w14:paraId="114F07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510" w:type="dxa"/>
            <w:vMerge w:val="continue"/>
            <w:tcBorders>
              <w:tl2br w:val="nil"/>
              <w:tr2bl w:val="nil"/>
            </w:tcBorders>
            <w:vAlign w:val="center"/>
          </w:tcPr>
          <w:p w14:paraId="4A971462">
            <w:pPr>
              <w:pStyle w:val="44"/>
              <w:bidi w:val="0"/>
              <w:rPr>
                <w:rFonts w:hint="default" w:ascii="Times New Roman" w:hAnsi="Times New Roman" w:cs="Times New Roman"/>
                <w:color w:val="auto"/>
              </w:rPr>
            </w:pPr>
          </w:p>
        </w:tc>
        <w:tc>
          <w:tcPr>
            <w:tcW w:w="760" w:type="dxa"/>
            <w:vMerge w:val="continue"/>
            <w:tcBorders>
              <w:tl2br w:val="nil"/>
              <w:tr2bl w:val="nil"/>
            </w:tcBorders>
            <w:vAlign w:val="center"/>
          </w:tcPr>
          <w:p w14:paraId="515A140F">
            <w:pPr>
              <w:pStyle w:val="44"/>
              <w:bidi w:val="0"/>
              <w:rPr>
                <w:rFonts w:hint="default" w:ascii="Times New Roman" w:hAnsi="Times New Roman" w:cs="Times New Roman"/>
                <w:color w:val="auto"/>
              </w:rPr>
            </w:pPr>
          </w:p>
        </w:tc>
        <w:tc>
          <w:tcPr>
            <w:tcW w:w="761" w:type="dxa"/>
            <w:tcBorders>
              <w:tl2br w:val="nil"/>
              <w:tr2bl w:val="nil"/>
            </w:tcBorders>
            <w:vAlign w:val="center"/>
          </w:tcPr>
          <w:p w14:paraId="6D6DD035">
            <w:pPr>
              <w:pStyle w:val="44"/>
              <w:bidi w:val="0"/>
              <w:rPr>
                <w:rFonts w:hint="default" w:ascii="Times New Roman" w:hAnsi="Times New Roman" w:cs="Times New Roman"/>
                <w:color w:val="auto"/>
              </w:rPr>
            </w:pPr>
            <w:r>
              <w:rPr>
                <w:rFonts w:hint="default" w:ascii="Times New Roman" w:hAnsi="Times New Roman" w:cs="Times New Roman"/>
                <w:color w:val="auto"/>
              </w:rPr>
              <w:t>晚三叠-早侏罗世</w:t>
            </w:r>
          </w:p>
        </w:tc>
        <w:tc>
          <w:tcPr>
            <w:tcW w:w="683" w:type="dxa"/>
            <w:tcBorders>
              <w:tl2br w:val="nil"/>
              <w:tr2bl w:val="nil"/>
            </w:tcBorders>
            <w:vAlign w:val="center"/>
          </w:tcPr>
          <w:p w14:paraId="48767ECA">
            <w:pPr>
              <w:pStyle w:val="44"/>
              <w:bidi w:val="0"/>
              <w:rPr>
                <w:rFonts w:hint="default" w:ascii="Times New Roman" w:hAnsi="Times New Roman" w:cs="Times New Roman"/>
                <w:color w:val="auto"/>
              </w:rPr>
            </w:pPr>
            <w:r>
              <w:rPr>
                <w:rFonts w:hint="default" w:ascii="Times New Roman" w:hAnsi="Times New Roman" w:cs="Times New Roman"/>
                <w:color w:val="auto"/>
              </w:rPr>
              <w:t>T3J1</w:t>
            </w:r>
          </w:p>
        </w:tc>
        <w:tc>
          <w:tcPr>
            <w:tcW w:w="1078" w:type="dxa"/>
            <w:tcBorders>
              <w:tl2br w:val="nil"/>
              <w:tr2bl w:val="nil"/>
            </w:tcBorders>
            <w:vAlign w:val="center"/>
          </w:tcPr>
          <w:p w14:paraId="02A52D13">
            <w:pPr>
              <w:pStyle w:val="44"/>
              <w:bidi w:val="0"/>
              <w:rPr>
                <w:rFonts w:hint="default" w:ascii="Times New Roman" w:hAnsi="Times New Roman" w:cs="Times New Roman"/>
                <w:color w:val="auto"/>
              </w:rPr>
            </w:pPr>
            <w:r>
              <w:rPr>
                <w:rFonts w:hint="default" w:ascii="Times New Roman" w:hAnsi="Times New Roman" w:cs="Times New Roman"/>
                <w:color w:val="auto"/>
              </w:rPr>
              <w:t>佳木斯岩浆带</w:t>
            </w:r>
          </w:p>
        </w:tc>
        <w:tc>
          <w:tcPr>
            <w:tcW w:w="586" w:type="dxa"/>
            <w:tcBorders>
              <w:tl2br w:val="nil"/>
              <w:tr2bl w:val="nil"/>
            </w:tcBorders>
            <w:vAlign w:val="center"/>
          </w:tcPr>
          <w:p w14:paraId="6C55F0A9">
            <w:pPr>
              <w:pStyle w:val="44"/>
              <w:bidi w:val="0"/>
              <w:rPr>
                <w:rFonts w:hint="default" w:ascii="Times New Roman" w:hAnsi="Times New Roman" w:cs="Times New Roman"/>
                <w:color w:val="auto"/>
              </w:rPr>
            </w:pPr>
            <w:r>
              <w:rPr>
                <w:rFonts w:hint="default" w:ascii="Times New Roman" w:hAnsi="Times New Roman" w:cs="Times New Roman"/>
                <w:color w:val="auto"/>
              </w:rPr>
              <w:t>酸性</w:t>
            </w:r>
          </w:p>
        </w:tc>
        <w:tc>
          <w:tcPr>
            <w:tcW w:w="2049" w:type="dxa"/>
            <w:tcBorders>
              <w:tl2br w:val="nil"/>
              <w:tr2bl w:val="nil"/>
            </w:tcBorders>
            <w:vAlign w:val="center"/>
          </w:tcPr>
          <w:p w14:paraId="5E0118BB">
            <w:pPr>
              <w:pStyle w:val="44"/>
              <w:bidi w:val="0"/>
              <w:rPr>
                <w:rFonts w:hint="default" w:ascii="Times New Roman" w:hAnsi="Times New Roman" w:cs="Times New Roman"/>
                <w:color w:val="auto"/>
              </w:rPr>
            </w:pPr>
            <w:r>
              <w:rPr>
                <w:rFonts w:hint="default" w:ascii="Times New Roman" w:hAnsi="Times New Roman" w:cs="Times New Roman"/>
                <w:color w:val="auto"/>
              </w:rPr>
              <w:t>花岗闪长岩、二长花岗岩、碱长花岗岩</w:t>
            </w:r>
          </w:p>
        </w:tc>
        <w:tc>
          <w:tcPr>
            <w:tcW w:w="1293" w:type="dxa"/>
            <w:tcBorders>
              <w:tl2br w:val="nil"/>
              <w:tr2bl w:val="nil"/>
            </w:tcBorders>
            <w:vAlign w:val="center"/>
          </w:tcPr>
          <w:p w14:paraId="28732E84">
            <w:pPr>
              <w:pStyle w:val="44"/>
              <w:bidi w:val="0"/>
              <w:rPr>
                <w:rFonts w:hint="default" w:ascii="Times New Roman" w:hAnsi="Times New Roman" w:cs="Times New Roman"/>
                <w:color w:val="auto"/>
              </w:rPr>
            </w:pPr>
            <w:r>
              <w:rPr>
                <w:rFonts w:hint="default" w:ascii="Times New Roman" w:hAnsi="Times New Roman" w:cs="Times New Roman"/>
                <w:color w:val="auto"/>
              </w:rPr>
              <w:t>高钾钙碱性系列</w:t>
            </w:r>
          </w:p>
        </w:tc>
        <w:tc>
          <w:tcPr>
            <w:tcW w:w="650" w:type="dxa"/>
            <w:tcBorders>
              <w:tl2br w:val="nil"/>
              <w:tr2bl w:val="nil"/>
            </w:tcBorders>
            <w:vAlign w:val="center"/>
          </w:tcPr>
          <w:p w14:paraId="2C1925B1">
            <w:pPr>
              <w:pStyle w:val="44"/>
              <w:bidi w:val="0"/>
              <w:rPr>
                <w:rFonts w:hint="default" w:ascii="Times New Roman" w:hAnsi="Times New Roman" w:cs="Times New Roman"/>
                <w:color w:val="auto"/>
              </w:rPr>
            </w:pPr>
            <w:r>
              <w:rPr>
                <w:rFonts w:hint="default" w:ascii="Times New Roman" w:hAnsi="Times New Roman" w:cs="Times New Roman"/>
                <w:color w:val="auto"/>
              </w:rPr>
              <w:t>I型</w:t>
            </w:r>
          </w:p>
        </w:tc>
      </w:tr>
      <w:tr w14:paraId="4FE4C0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510" w:type="dxa"/>
            <w:vMerge w:val="continue"/>
            <w:tcBorders>
              <w:tl2br w:val="nil"/>
              <w:tr2bl w:val="nil"/>
            </w:tcBorders>
            <w:vAlign w:val="center"/>
          </w:tcPr>
          <w:p w14:paraId="564F4F33">
            <w:pPr>
              <w:pStyle w:val="44"/>
              <w:bidi w:val="0"/>
              <w:rPr>
                <w:rFonts w:hint="default" w:ascii="Times New Roman" w:hAnsi="Times New Roman" w:cs="Times New Roman"/>
                <w:color w:val="auto"/>
              </w:rPr>
            </w:pPr>
          </w:p>
        </w:tc>
        <w:tc>
          <w:tcPr>
            <w:tcW w:w="760" w:type="dxa"/>
            <w:vMerge w:val="continue"/>
            <w:tcBorders>
              <w:tl2br w:val="nil"/>
              <w:tr2bl w:val="nil"/>
            </w:tcBorders>
            <w:vAlign w:val="center"/>
          </w:tcPr>
          <w:p w14:paraId="3AECC1FA">
            <w:pPr>
              <w:pStyle w:val="44"/>
              <w:bidi w:val="0"/>
              <w:rPr>
                <w:rFonts w:hint="default" w:ascii="Times New Roman" w:hAnsi="Times New Roman" w:cs="Times New Roman"/>
                <w:color w:val="auto"/>
              </w:rPr>
            </w:pPr>
          </w:p>
        </w:tc>
        <w:tc>
          <w:tcPr>
            <w:tcW w:w="761" w:type="dxa"/>
            <w:vMerge w:val="restart"/>
            <w:tcBorders>
              <w:tl2br w:val="nil"/>
              <w:tr2bl w:val="nil"/>
            </w:tcBorders>
            <w:vAlign w:val="center"/>
          </w:tcPr>
          <w:p w14:paraId="03BC31A4">
            <w:pPr>
              <w:pStyle w:val="44"/>
              <w:bidi w:val="0"/>
              <w:rPr>
                <w:rFonts w:hint="default" w:ascii="Times New Roman" w:hAnsi="Times New Roman" w:cs="Times New Roman"/>
                <w:color w:val="auto"/>
              </w:rPr>
            </w:pPr>
            <w:r>
              <w:rPr>
                <w:rFonts w:hint="default" w:ascii="Times New Roman" w:hAnsi="Times New Roman" w:cs="Times New Roman"/>
                <w:color w:val="auto"/>
              </w:rPr>
              <w:t>中-晚二叠世</w:t>
            </w:r>
          </w:p>
        </w:tc>
        <w:tc>
          <w:tcPr>
            <w:tcW w:w="683" w:type="dxa"/>
            <w:vMerge w:val="restart"/>
            <w:tcBorders>
              <w:tl2br w:val="nil"/>
              <w:tr2bl w:val="nil"/>
            </w:tcBorders>
            <w:vAlign w:val="center"/>
          </w:tcPr>
          <w:p w14:paraId="5902EAD0">
            <w:pPr>
              <w:pStyle w:val="44"/>
              <w:bidi w:val="0"/>
              <w:rPr>
                <w:rFonts w:hint="default" w:ascii="Times New Roman" w:hAnsi="Times New Roman" w:cs="Times New Roman"/>
                <w:color w:val="auto"/>
              </w:rPr>
            </w:pPr>
            <w:r>
              <w:rPr>
                <w:rFonts w:hint="default" w:ascii="Times New Roman" w:hAnsi="Times New Roman" w:cs="Times New Roman"/>
                <w:color w:val="auto"/>
              </w:rPr>
              <w:t>P2-3</w:t>
            </w:r>
          </w:p>
        </w:tc>
        <w:tc>
          <w:tcPr>
            <w:tcW w:w="1078" w:type="dxa"/>
            <w:vMerge w:val="restart"/>
            <w:tcBorders>
              <w:tl2br w:val="nil"/>
              <w:tr2bl w:val="nil"/>
            </w:tcBorders>
            <w:vAlign w:val="center"/>
          </w:tcPr>
          <w:p w14:paraId="4788C4CC">
            <w:pPr>
              <w:pStyle w:val="44"/>
              <w:bidi w:val="0"/>
              <w:rPr>
                <w:rFonts w:hint="default" w:ascii="Times New Roman" w:hAnsi="Times New Roman" w:cs="Times New Roman"/>
                <w:color w:val="auto"/>
              </w:rPr>
            </w:pPr>
            <w:r>
              <w:rPr>
                <w:rFonts w:hint="default" w:ascii="Times New Roman" w:hAnsi="Times New Roman" w:cs="Times New Roman"/>
                <w:color w:val="auto"/>
              </w:rPr>
              <w:t>佳木斯岩浆带</w:t>
            </w:r>
          </w:p>
        </w:tc>
        <w:tc>
          <w:tcPr>
            <w:tcW w:w="586" w:type="dxa"/>
            <w:tcBorders>
              <w:tl2br w:val="nil"/>
              <w:tr2bl w:val="nil"/>
            </w:tcBorders>
            <w:vAlign w:val="center"/>
          </w:tcPr>
          <w:p w14:paraId="1A22AE4A">
            <w:pPr>
              <w:pStyle w:val="44"/>
              <w:bidi w:val="0"/>
              <w:rPr>
                <w:rFonts w:hint="default" w:ascii="Times New Roman" w:hAnsi="Times New Roman" w:cs="Times New Roman"/>
                <w:color w:val="auto"/>
              </w:rPr>
            </w:pPr>
            <w:r>
              <w:rPr>
                <w:rFonts w:hint="default" w:ascii="Times New Roman" w:hAnsi="Times New Roman" w:cs="Times New Roman"/>
                <w:color w:val="auto"/>
              </w:rPr>
              <w:t>酸性</w:t>
            </w:r>
          </w:p>
        </w:tc>
        <w:tc>
          <w:tcPr>
            <w:tcW w:w="2049" w:type="dxa"/>
            <w:tcBorders>
              <w:tl2br w:val="nil"/>
              <w:tr2bl w:val="nil"/>
            </w:tcBorders>
            <w:vAlign w:val="center"/>
          </w:tcPr>
          <w:p w14:paraId="039EC579">
            <w:pPr>
              <w:pStyle w:val="44"/>
              <w:bidi w:val="0"/>
              <w:rPr>
                <w:rFonts w:hint="default" w:ascii="Times New Roman" w:hAnsi="Times New Roman" w:cs="Times New Roman"/>
                <w:color w:val="auto"/>
              </w:rPr>
            </w:pPr>
            <w:r>
              <w:rPr>
                <w:rFonts w:hint="default" w:ascii="Times New Roman" w:hAnsi="Times New Roman" w:cs="Times New Roman"/>
                <w:color w:val="auto"/>
              </w:rPr>
              <w:t>花岗闪长岩、二长花岗岩、正长花岗岩、碱长花岗岩</w:t>
            </w:r>
          </w:p>
        </w:tc>
        <w:tc>
          <w:tcPr>
            <w:tcW w:w="1293" w:type="dxa"/>
            <w:tcBorders>
              <w:tl2br w:val="nil"/>
              <w:tr2bl w:val="nil"/>
            </w:tcBorders>
            <w:vAlign w:val="center"/>
          </w:tcPr>
          <w:p w14:paraId="479D38D1">
            <w:pPr>
              <w:pStyle w:val="44"/>
              <w:bidi w:val="0"/>
              <w:rPr>
                <w:rFonts w:hint="default" w:ascii="Times New Roman" w:hAnsi="Times New Roman" w:cs="Times New Roman"/>
                <w:color w:val="auto"/>
              </w:rPr>
            </w:pPr>
            <w:r>
              <w:rPr>
                <w:rFonts w:hint="default" w:ascii="Times New Roman" w:hAnsi="Times New Roman" w:cs="Times New Roman"/>
                <w:color w:val="auto"/>
              </w:rPr>
              <w:t>高钾钙碱性系列岩系</w:t>
            </w:r>
          </w:p>
        </w:tc>
        <w:tc>
          <w:tcPr>
            <w:tcW w:w="650" w:type="dxa"/>
            <w:tcBorders>
              <w:tl2br w:val="nil"/>
              <w:tr2bl w:val="nil"/>
            </w:tcBorders>
            <w:vAlign w:val="center"/>
          </w:tcPr>
          <w:p w14:paraId="67FCA17D">
            <w:pPr>
              <w:pStyle w:val="44"/>
              <w:bidi w:val="0"/>
              <w:rPr>
                <w:rFonts w:hint="default" w:ascii="Times New Roman" w:hAnsi="Times New Roman" w:cs="Times New Roman"/>
                <w:color w:val="auto"/>
              </w:rPr>
            </w:pPr>
            <w:r>
              <w:rPr>
                <w:rFonts w:hint="default" w:ascii="Times New Roman" w:hAnsi="Times New Roman" w:cs="Times New Roman"/>
                <w:color w:val="auto"/>
              </w:rPr>
              <w:t>I型</w:t>
            </w:r>
          </w:p>
        </w:tc>
      </w:tr>
      <w:tr w14:paraId="10379D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510" w:type="dxa"/>
            <w:vMerge w:val="continue"/>
            <w:tcBorders>
              <w:tl2br w:val="nil"/>
              <w:tr2bl w:val="nil"/>
            </w:tcBorders>
            <w:vAlign w:val="center"/>
          </w:tcPr>
          <w:p w14:paraId="3AD90AD2">
            <w:pPr>
              <w:pStyle w:val="44"/>
              <w:bidi w:val="0"/>
              <w:rPr>
                <w:rFonts w:hint="default" w:ascii="Times New Roman" w:hAnsi="Times New Roman" w:cs="Times New Roman"/>
                <w:color w:val="auto"/>
              </w:rPr>
            </w:pPr>
          </w:p>
        </w:tc>
        <w:tc>
          <w:tcPr>
            <w:tcW w:w="760" w:type="dxa"/>
            <w:vMerge w:val="continue"/>
            <w:tcBorders>
              <w:tl2br w:val="nil"/>
              <w:tr2bl w:val="nil"/>
            </w:tcBorders>
            <w:vAlign w:val="center"/>
          </w:tcPr>
          <w:p w14:paraId="18CFC8B4">
            <w:pPr>
              <w:pStyle w:val="44"/>
              <w:bidi w:val="0"/>
              <w:rPr>
                <w:rFonts w:hint="default" w:ascii="Times New Roman" w:hAnsi="Times New Roman" w:cs="Times New Roman"/>
                <w:color w:val="auto"/>
              </w:rPr>
            </w:pPr>
          </w:p>
        </w:tc>
        <w:tc>
          <w:tcPr>
            <w:tcW w:w="761" w:type="dxa"/>
            <w:vMerge w:val="continue"/>
            <w:tcBorders>
              <w:tl2br w:val="nil"/>
              <w:tr2bl w:val="nil"/>
            </w:tcBorders>
            <w:vAlign w:val="center"/>
          </w:tcPr>
          <w:p w14:paraId="595902EF">
            <w:pPr>
              <w:pStyle w:val="44"/>
              <w:bidi w:val="0"/>
              <w:rPr>
                <w:rFonts w:hint="default" w:ascii="Times New Roman" w:hAnsi="Times New Roman" w:cs="Times New Roman"/>
                <w:color w:val="auto"/>
              </w:rPr>
            </w:pPr>
          </w:p>
        </w:tc>
        <w:tc>
          <w:tcPr>
            <w:tcW w:w="683" w:type="dxa"/>
            <w:vMerge w:val="continue"/>
            <w:tcBorders>
              <w:tl2br w:val="nil"/>
              <w:tr2bl w:val="nil"/>
            </w:tcBorders>
            <w:vAlign w:val="center"/>
          </w:tcPr>
          <w:p w14:paraId="24F75E5C">
            <w:pPr>
              <w:pStyle w:val="44"/>
              <w:bidi w:val="0"/>
              <w:rPr>
                <w:rFonts w:hint="default" w:ascii="Times New Roman" w:hAnsi="Times New Roman" w:cs="Times New Roman"/>
                <w:color w:val="auto"/>
              </w:rPr>
            </w:pPr>
          </w:p>
        </w:tc>
        <w:tc>
          <w:tcPr>
            <w:tcW w:w="1078" w:type="dxa"/>
            <w:vMerge w:val="continue"/>
            <w:tcBorders>
              <w:tl2br w:val="nil"/>
              <w:tr2bl w:val="nil"/>
            </w:tcBorders>
            <w:vAlign w:val="center"/>
          </w:tcPr>
          <w:p w14:paraId="705D13BC">
            <w:pPr>
              <w:pStyle w:val="44"/>
              <w:bidi w:val="0"/>
              <w:rPr>
                <w:rFonts w:hint="default" w:ascii="Times New Roman" w:hAnsi="Times New Roman" w:cs="Times New Roman"/>
                <w:color w:val="auto"/>
              </w:rPr>
            </w:pPr>
          </w:p>
        </w:tc>
        <w:tc>
          <w:tcPr>
            <w:tcW w:w="586" w:type="dxa"/>
            <w:tcBorders>
              <w:tl2br w:val="nil"/>
              <w:tr2bl w:val="nil"/>
            </w:tcBorders>
            <w:vAlign w:val="center"/>
          </w:tcPr>
          <w:p w14:paraId="609AD00C">
            <w:pPr>
              <w:pStyle w:val="44"/>
              <w:bidi w:val="0"/>
              <w:rPr>
                <w:rFonts w:hint="default" w:ascii="Times New Roman" w:hAnsi="Times New Roman" w:cs="Times New Roman"/>
                <w:color w:val="auto"/>
              </w:rPr>
            </w:pPr>
            <w:r>
              <w:rPr>
                <w:rFonts w:hint="default" w:ascii="Times New Roman" w:hAnsi="Times New Roman" w:cs="Times New Roman"/>
                <w:color w:val="auto"/>
              </w:rPr>
              <w:t>中性</w:t>
            </w:r>
          </w:p>
        </w:tc>
        <w:tc>
          <w:tcPr>
            <w:tcW w:w="2049" w:type="dxa"/>
            <w:tcBorders>
              <w:tl2br w:val="nil"/>
              <w:tr2bl w:val="nil"/>
            </w:tcBorders>
            <w:vAlign w:val="center"/>
          </w:tcPr>
          <w:p w14:paraId="6BCD5918">
            <w:pPr>
              <w:pStyle w:val="44"/>
              <w:bidi w:val="0"/>
              <w:rPr>
                <w:rFonts w:hint="default" w:ascii="Times New Roman" w:hAnsi="Times New Roman" w:cs="Times New Roman"/>
                <w:color w:val="auto"/>
              </w:rPr>
            </w:pPr>
            <w:r>
              <w:rPr>
                <w:rFonts w:hint="default" w:ascii="Times New Roman" w:hAnsi="Times New Roman" w:cs="Times New Roman"/>
                <w:color w:val="auto"/>
              </w:rPr>
              <w:t>石英闪长岩、闪长岩</w:t>
            </w:r>
          </w:p>
        </w:tc>
        <w:tc>
          <w:tcPr>
            <w:tcW w:w="1293" w:type="dxa"/>
            <w:tcBorders>
              <w:tl2br w:val="nil"/>
              <w:tr2bl w:val="nil"/>
            </w:tcBorders>
            <w:vAlign w:val="center"/>
          </w:tcPr>
          <w:p w14:paraId="2D333B00">
            <w:pPr>
              <w:pStyle w:val="44"/>
              <w:bidi w:val="0"/>
              <w:rPr>
                <w:rFonts w:hint="default" w:ascii="Times New Roman" w:hAnsi="Times New Roman" w:cs="Times New Roman"/>
                <w:color w:val="auto"/>
              </w:rPr>
            </w:pPr>
            <w:r>
              <w:rPr>
                <w:rFonts w:hint="default" w:ascii="Times New Roman" w:hAnsi="Times New Roman" w:cs="Times New Roman"/>
                <w:color w:val="auto"/>
              </w:rPr>
              <w:t>高钾钙碱性系列岩系</w:t>
            </w:r>
          </w:p>
        </w:tc>
        <w:tc>
          <w:tcPr>
            <w:tcW w:w="650" w:type="dxa"/>
            <w:tcBorders>
              <w:tl2br w:val="nil"/>
              <w:tr2bl w:val="nil"/>
            </w:tcBorders>
            <w:vAlign w:val="center"/>
          </w:tcPr>
          <w:p w14:paraId="07B92E16">
            <w:pPr>
              <w:pStyle w:val="44"/>
              <w:bidi w:val="0"/>
              <w:rPr>
                <w:rFonts w:hint="default" w:ascii="Times New Roman" w:hAnsi="Times New Roman" w:cs="Times New Roman"/>
                <w:color w:val="auto"/>
              </w:rPr>
            </w:pPr>
            <w:r>
              <w:rPr>
                <w:rFonts w:hint="default" w:ascii="Times New Roman" w:hAnsi="Times New Roman" w:cs="Times New Roman"/>
                <w:color w:val="auto"/>
              </w:rPr>
              <w:t>I型</w:t>
            </w:r>
          </w:p>
        </w:tc>
      </w:tr>
      <w:tr w14:paraId="6BD1E6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510" w:type="dxa"/>
            <w:vMerge w:val="continue"/>
            <w:tcBorders>
              <w:tl2br w:val="nil"/>
              <w:tr2bl w:val="nil"/>
            </w:tcBorders>
            <w:vAlign w:val="center"/>
          </w:tcPr>
          <w:p w14:paraId="0967FC31">
            <w:pPr>
              <w:pStyle w:val="44"/>
              <w:bidi w:val="0"/>
              <w:rPr>
                <w:rFonts w:hint="default" w:ascii="Times New Roman" w:hAnsi="Times New Roman" w:cs="Times New Roman"/>
                <w:color w:val="auto"/>
              </w:rPr>
            </w:pPr>
          </w:p>
        </w:tc>
        <w:tc>
          <w:tcPr>
            <w:tcW w:w="760" w:type="dxa"/>
            <w:vMerge w:val="continue"/>
            <w:tcBorders>
              <w:tl2br w:val="nil"/>
              <w:tr2bl w:val="nil"/>
            </w:tcBorders>
            <w:vAlign w:val="center"/>
          </w:tcPr>
          <w:p w14:paraId="21706FB8">
            <w:pPr>
              <w:pStyle w:val="44"/>
              <w:bidi w:val="0"/>
              <w:rPr>
                <w:rFonts w:hint="default" w:ascii="Times New Roman" w:hAnsi="Times New Roman" w:cs="Times New Roman"/>
                <w:color w:val="auto"/>
              </w:rPr>
            </w:pPr>
          </w:p>
        </w:tc>
        <w:tc>
          <w:tcPr>
            <w:tcW w:w="761" w:type="dxa"/>
            <w:vMerge w:val="restart"/>
            <w:tcBorders>
              <w:tl2br w:val="nil"/>
              <w:tr2bl w:val="nil"/>
            </w:tcBorders>
            <w:vAlign w:val="center"/>
          </w:tcPr>
          <w:p w14:paraId="58F8D1ED">
            <w:pPr>
              <w:pStyle w:val="44"/>
              <w:bidi w:val="0"/>
              <w:rPr>
                <w:rFonts w:hint="default" w:ascii="Times New Roman" w:hAnsi="Times New Roman" w:cs="Times New Roman"/>
                <w:color w:val="auto"/>
              </w:rPr>
            </w:pPr>
            <w:r>
              <w:rPr>
                <w:rFonts w:hint="default" w:ascii="Times New Roman" w:hAnsi="Times New Roman" w:cs="Times New Roman"/>
                <w:color w:val="auto"/>
              </w:rPr>
              <w:t>晚石炭-早二叠世</w:t>
            </w:r>
          </w:p>
        </w:tc>
        <w:tc>
          <w:tcPr>
            <w:tcW w:w="683" w:type="dxa"/>
            <w:vMerge w:val="restart"/>
            <w:tcBorders>
              <w:tl2br w:val="nil"/>
              <w:tr2bl w:val="nil"/>
            </w:tcBorders>
            <w:vAlign w:val="center"/>
          </w:tcPr>
          <w:p w14:paraId="370565BF">
            <w:pPr>
              <w:pStyle w:val="44"/>
              <w:bidi w:val="0"/>
              <w:rPr>
                <w:rFonts w:hint="default" w:ascii="Times New Roman" w:hAnsi="Times New Roman" w:cs="Times New Roman"/>
                <w:color w:val="auto"/>
              </w:rPr>
            </w:pPr>
            <w:r>
              <w:rPr>
                <w:rFonts w:hint="default" w:ascii="Times New Roman" w:hAnsi="Times New Roman" w:cs="Times New Roman"/>
                <w:color w:val="auto"/>
              </w:rPr>
              <w:t>C2P1</w:t>
            </w:r>
          </w:p>
        </w:tc>
        <w:tc>
          <w:tcPr>
            <w:tcW w:w="1078" w:type="dxa"/>
            <w:vMerge w:val="restart"/>
            <w:tcBorders>
              <w:tl2br w:val="nil"/>
              <w:tr2bl w:val="nil"/>
            </w:tcBorders>
            <w:vAlign w:val="center"/>
          </w:tcPr>
          <w:p w14:paraId="44C2DB3F">
            <w:pPr>
              <w:pStyle w:val="44"/>
              <w:bidi w:val="0"/>
              <w:rPr>
                <w:rFonts w:hint="default" w:ascii="Times New Roman" w:hAnsi="Times New Roman" w:cs="Times New Roman"/>
                <w:color w:val="auto"/>
              </w:rPr>
            </w:pPr>
            <w:r>
              <w:rPr>
                <w:rFonts w:hint="default" w:ascii="Times New Roman" w:hAnsi="Times New Roman" w:cs="Times New Roman"/>
                <w:color w:val="auto"/>
              </w:rPr>
              <w:t>佳木斯岩浆带</w:t>
            </w:r>
          </w:p>
        </w:tc>
        <w:tc>
          <w:tcPr>
            <w:tcW w:w="586" w:type="dxa"/>
            <w:tcBorders>
              <w:tl2br w:val="nil"/>
              <w:tr2bl w:val="nil"/>
            </w:tcBorders>
            <w:vAlign w:val="center"/>
          </w:tcPr>
          <w:p w14:paraId="470D11F6">
            <w:pPr>
              <w:pStyle w:val="44"/>
              <w:bidi w:val="0"/>
              <w:rPr>
                <w:rFonts w:hint="default" w:ascii="Times New Roman" w:hAnsi="Times New Roman" w:cs="Times New Roman"/>
                <w:color w:val="auto"/>
              </w:rPr>
            </w:pPr>
            <w:r>
              <w:rPr>
                <w:rFonts w:hint="default" w:ascii="Times New Roman" w:hAnsi="Times New Roman" w:cs="Times New Roman"/>
                <w:color w:val="auto"/>
              </w:rPr>
              <w:t>酸性</w:t>
            </w:r>
          </w:p>
        </w:tc>
        <w:tc>
          <w:tcPr>
            <w:tcW w:w="2049" w:type="dxa"/>
            <w:tcBorders>
              <w:tl2br w:val="nil"/>
              <w:tr2bl w:val="nil"/>
            </w:tcBorders>
            <w:vAlign w:val="center"/>
          </w:tcPr>
          <w:p w14:paraId="1AAF79FF">
            <w:pPr>
              <w:pStyle w:val="44"/>
              <w:bidi w:val="0"/>
              <w:rPr>
                <w:rFonts w:hint="default" w:ascii="Times New Roman" w:hAnsi="Times New Roman" w:cs="Times New Roman"/>
                <w:color w:val="auto"/>
              </w:rPr>
            </w:pPr>
            <w:r>
              <w:rPr>
                <w:rFonts w:hint="default" w:ascii="Times New Roman" w:hAnsi="Times New Roman" w:cs="Times New Roman"/>
                <w:color w:val="auto"/>
              </w:rPr>
              <w:t>花岗闪长岩、二长花岗岩</w:t>
            </w:r>
          </w:p>
        </w:tc>
        <w:tc>
          <w:tcPr>
            <w:tcW w:w="1293" w:type="dxa"/>
            <w:tcBorders>
              <w:tl2br w:val="nil"/>
              <w:tr2bl w:val="nil"/>
            </w:tcBorders>
            <w:vAlign w:val="center"/>
          </w:tcPr>
          <w:p w14:paraId="209D1F33">
            <w:pPr>
              <w:pStyle w:val="44"/>
              <w:bidi w:val="0"/>
              <w:rPr>
                <w:rFonts w:hint="default" w:ascii="Times New Roman" w:hAnsi="Times New Roman" w:cs="Times New Roman"/>
                <w:color w:val="auto"/>
              </w:rPr>
            </w:pPr>
            <w:r>
              <w:rPr>
                <w:rFonts w:hint="default" w:ascii="Times New Roman" w:hAnsi="Times New Roman" w:cs="Times New Roman"/>
                <w:color w:val="auto"/>
              </w:rPr>
              <w:t>高钾钙碱性-钾玄质系列</w:t>
            </w:r>
          </w:p>
          <w:p w14:paraId="6082DAE1">
            <w:pPr>
              <w:pStyle w:val="44"/>
              <w:bidi w:val="0"/>
              <w:rPr>
                <w:rFonts w:hint="default" w:ascii="Times New Roman" w:hAnsi="Times New Roman" w:cs="Times New Roman"/>
                <w:color w:val="auto"/>
              </w:rPr>
            </w:pPr>
            <w:r>
              <w:rPr>
                <w:rFonts w:hint="default" w:ascii="Times New Roman" w:hAnsi="Times New Roman" w:cs="Times New Roman"/>
                <w:color w:val="auto"/>
              </w:rPr>
              <w:t>岩系</w:t>
            </w:r>
          </w:p>
        </w:tc>
        <w:tc>
          <w:tcPr>
            <w:tcW w:w="650" w:type="dxa"/>
            <w:tcBorders>
              <w:tl2br w:val="nil"/>
              <w:tr2bl w:val="nil"/>
            </w:tcBorders>
            <w:vAlign w:val="center"/>
          </w:tcPr>
          <w:p w14:paraId="2FD3D9E0">
            <w:pPr>
              <w:pStyle w:val="44"/>
              <w:bidi w:val="0"/>
              <w:rPr>
                <w:rFonts w:hint="default" w:ascii="Times New Roman" w:hAnsi="Times New Roman" w:cs="Times New Roman"/>
                <w:color w:val="auto"/>
              </w:rPr>
            </w:pPr>
            <w:r>
              <w:rPr>
                <w:rFonts w:hint="default" w:ascii="Times New Roman" w:hAnsi="Times New Roman" w:cs="Times New Roman"/>
                <w:color w:val="auto"/>
              </w:rPr>
              <w:t>I型</w:t>
            </w:r>
          </w:p>
        </w:tc>
      </w:tr>
      <w:tr w14:paraId="67BE3E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510" w:type="dxa"/>
            <w:vMerge w:val="continue"/>
            <w:tcBorders>
              <w:tl2br w:val="nil"/>
              <w:tr2bl w:val="nil"/>
            </w:tcBorders>
            <w:vAlign w:val="center"/>
          </w:tcPr>
          <w:p w14:paraId="5BC67882">
            <w:pPr>
              <w:pStyle w:val="44"/>
              <w:bidi w:val="0"/>
              <w:rPr>
                <w:rFonts w:hint="default" w:ascii="Times New Roman" w:hAnsi="Times New Roman" w:cs="Times New Roman"/>
                <w:color w:val="auto"/>
              </w:rPr>
            </w:pPr>
          </w:p>
        </w:tc>
        <w:tc>
          <w:tcPr>
            <w:tcW w:w="760" w:type="dxa"/>
            <w:vMerge w:val="continue"/>
            <w:tcBorders>
              <w:tl2br w:val="nil"/>
              <w:tr2bl w:val="nil"/>
            </w:tcBorders>
            <w:vAlign w:val="center"/>
          </w:tcPr>
          <w:p w14:paraId="786F3DCB">
            <w:pPr>
              <w:pStyle w:val="44"/>
              <w:bidi w:val="0"/>
              <w:rPr>
                <w:rFonts w:hint="default" w:ascii="Times New Roman" w:hAnsi="Times New Roman" w:cs="Times New Roman"/>
                <w:color w:val="auto"/>
              </w:rPr>
            </w:pPr>
          </w:p>
        </w:tc>
        <w:tc>
          <w:tcPr>
            <w:tcW w:w="761" w:type="dxa"/>
            <w:vMerge w:val="continue"/>
            <w:tcBorders>
              <w:tl2br w:val="nil"/>
              <w:tr2bl w:val="nil"/>
            </w:tcBorders>
            <w:vAlign w:val="center"/>
          </w:tcPr>
          <w:p w14:paraId="18344E73">
            <w:pPr>
              <w:pStyle w:val="44"/>
              <w:bidi w:val="0"/>
              <w:rPr>
                <w:rFonts w:hint="default" w:ascii="Times New Roman" w:hAnsi="Times New Roman" w:cs="Times New Roman"/>
                <w:color w:val="auto"/>
              </w:rPr>
            </w:pPr>
          </w:p>
        </w:tc>
        <w:tc>
          <w:tcPr>
            <w:tcW w:w="683" w:type="dxa"/>
            <w:vMerge w:val="continue"/>
            <w:tcBorders>
              <w:tl2br w:val="nil"/>
              <w:tr2bl w:val="nil"/>
            </w:tcBorders>
            <w:vAlign w:val="center"/>
          </w:tcPr>
          <w:p w14:paraId="66EC2E46">
            <w:pPr>
              <w:pStyle w:val="44"/>
              <w:bidi w:val="0"/>
              <w:rPr>
                <w:rFonts w:hint="default" w:ascii="Times New Roman" w:hAnsi="Times New Roman" w:cs="Times New Roman"/>
                <w:color w:val="auto"/>
              </w:rPr>
            </w:pPr>
          </w:p>
        </w:tc>
        <w:tc>
          <w:tcPr>
            <w:tcW w:w="1078" w:type="dxa"/>
            <w:vMerge w:val="continue"/>
            <w:tcBorders>
              <w:tl2br w:val="nil"/>
              <w:tr2bl w:val="nil"/>
            </w:tcBorders>
            <w:vAlign w:val="center"/>
          </w:tcPr>
          <w:p w14:paraId="35B172D8">
            <w:pPr>
              <w:pStyle w:val="44"/>
              <w:bidi w:val="0"/>
              <w:rPr>
                <w:rFonts w:hint="default" w:ascii="Times New Roman" w:hAnsi="Times New Roman" w:cs="Times New Roman"/>
                <w:color w:val="auto"/>
              </w:rPr>
            </w:pPr>
          </w:p>
        </w:tc>
        <w:tc>
          <w:tcPr>
            <w:tcW w:w="586" w:type="dxa"/>
            <w:tcBorders>
              <w:tl2br w:val="nil"/>
              <w:tr2bl w:val="nil"/>
            </w:tcBorders>
            <w:vAlign w:val="center"/>
          </w:tcPr>
          <w:p w14:paraId="6A7F5999">
            <w:pPr>
              <w:pStyle w:val="44"/>
              <w:bidi w:val="0"/>
              <w:rPr>
                <w:rFonts w:hint="default" w:ascii="Times New Roman" w:hAnsi="Times New Roman" w:cs="Times New Roman"/>
                <w:color w:val="auto"/>
              </w:rPr>
            </w:pPr>
            <w:r>
              <w:rPr>
                <w:rFonts w:hint="default" w:ascii="Times New Roman" w:hAnsi="Times New Roman" w:cs="Times New Roman"/>
                <w:color w:val="auto"/>
              </w:rPr>
              <w:t>中性</w:t>
            </w:r>
          </w:p>
        </w:tc>
        <w:tc>
          <w:tcPr>
            <w:tcW w:w="2049" w:type="dxa"/>
            <w:tcBorders>
              <w:tl2br w:val="nil"/>
              <w:tr2bl w:val="nil"/>
            </w:tcBorders>
            <w:vAlign w:val="center"/>
          </w:tcPr>
          <w:p w14:paraId="03EF3E52">
            <w:pPr>
              <w:pStyle w:val="44"/>
              <w:bidi w:val="0"/>
              <w:rPr>
                <w:rFonts w:hint="default" w:ascii="Times New Roman" w:hAnsi="Times New Roman" w:cs="Times New Roman"/>
                <w:color w:val="auto"/>
              </w:rPr>
            </w:pPr>
            <w:r>
              <w:rPr>
                <w:rFonts w:hint="default" w:ascii="Times New Roman" w:hAnsi="Times New Roman" w:cs="Times New Roman"/>
                <w:color w:val="auto"/>
              </w:rPr>
              <w:t>闪长岩</w:t>
            </w:r>
          </w:p>
        </w:tc>
        <w:tc>
          <w:tcPr>
            <w:tcW w:w="1293" w:type="dxa"/>
            <w:tcBorders>
              <w:tl2br w:val="nil"/>
              <w:tr2bl w:val="nil"/>
            </w:tcBorders>
            <w:vAlign w:val="center"/>
          </w:tcPr>
          <w:p w14:paraId="666A7E57">
            <w:pPr>
              <w:pStyle w:val="44"/>
              <w:bidi w:val="0"/>
              <w:rPr>
                <w:rFonts w:hint="default" w:ascii="Times New Roman" w:hAnsi="Times New Roman" w:cs="Times New Roman"/>
                <w:color w:val="auto"/>
              </w:rPr>
            </w:pPr>
            <w:r>
              <w:rPr>
                <w:rFonts w:hint="default" w:ascii="Times New Roman" w:hAnsi="Times New Roman" w:cs="Times New Roman"/>
                <w:color w:val="auto"/>
              </w:rPr>
              <w:t>高钾钙碱性系列岩系</w:t>
            </w:r>
          </w:p>
        </w:tc>
        <w:tc>
          <w:tcPr>
            <w:tcW w:w="650" w:type="dxa"/>
            <w:tcBorders>
              <w:tl2br w:val="nil"/>
              <w:tr2bl w:val="nil"/>
            </w:tcBorders>
            <w:vAlign w:val="center"/>
          </w:tcPr>
          <w:p w14:paraId="5F19C315">
            <w:pPr>
              <w:pStyle w:val="44"/>
              <w:bidi w:val="0"/>
              <w:rPr>
                <w:rFonts w:hint="default" w:ascii="Times New Roman" w:hAnsi="Times New Roman" w:cs="Times New Roman"/>
                <w:color w:val="auto"/>
              </w:rPr>
            </w:pPr>
            <w:r>
              <w:rPr>
                <w:rFonts w:hint="default" w:ascii="Times New Roman" w:hAnsi="Times New Roman" w:cs="Times New Roman"/>
                <w:color w:val="auto"/>
              </w:rPr>
              <w:t>I型</w:t>
            </w:r>
          </w:p>
        </w:tc>
      </w:tr>
      <w:tr w14:paraId="6521CE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510" w:type="dxa"/>
            <w:vMerge w:val="continue"/>
            <w:tcBorders>
              <w:tl2br w:val="nil"/>
              <w:tr2bl w:val="nil"/>
            </w:tcBorders>
            <w:vAlign w:val="center"/>
          </w:tcPr>
          <w:p w14:paraId="720E4075">
            <w:pPr>
              <w:pStyle w:val="44"/>
              <w:bidi w:val="0"/>
              <w:rPr>
                <w:rFonts w:hint="default" w:ascii="Times New Roman" w:hAnsi="Times New Roman" w:cs="Times New Roman"/>
                <w:color w:val="auto"/>
              </w:rPr>
            </w:pPr>
          </w:p>
        </w:tc>
        <w:tc>
          <w:tcPr>
            <w:tcW w:w="760" w:type="dxa"/>
            <w:vMerge w:val="continue"/>
            <w:tcBorders>
              <w:tl2br w:val="nil"/>
              <w:tr2bl w:val="nil"/>
            </w:tcBorders>
            <w:vAlign w:val="center"/>
          </w:tcPr>
          <w:p w14:paraId="2C815654">
            <w:pPr>
              <w:pStyle w:val="44"/>
              <w:bidi w:val="0"/>
              <w:rPr>
                <w:rFonts w:hint="default" w:ascii="Times New Roman" w:hAnsi="Times New Roman" w:cs="Times New Roman"/>
                <w:color w:val="auto"/>
              </w:rPr>
            </w:pPr>
          </w:p>
        </w:tc>
        <w:tc>
          <w:tcPr>
            <w:tcW w:w="761" w:type="dxa"/>
            <w:tcBorders>
              <w:tl2br w:val="nil"/>
              <w:tr2bl w:val="nil"/>
            </w:tcBorders>
            <w:vAlign w:val="center"/>
          </w:tcPr>
          <w:p w14:paraId="2D5D439F">
            <w:pPr>
              <w:pStyle w:val="44"/>
              <w:bidi w:val="0"/>
              <w:rPr>
                <w:rFonts w:hint="default" w:ascii="Times New Roman" w:hAnsi="Times New Roman" w:cs="Times New Roman"/>
                <w:color w:val="auto"/>
              </w:rPr>
            </w:pPr>
            <w:r>
              <w:rPr>
                <w:rFonts w:hint="default" w:ascii="Times New Roman" w:hAnsi="Times New Roman" w:cs="Times New Roman"/>
                <w:color w:val="auto"/>
              </w:rPr>
              <w:t>晚寒武-早奥陶世</w:t>
            </w:r>
          </w:p>
        </w:tc>
        <w:tc>
          <w:tcPr>
            <w:tcW w:w="683" w:type="dxa"/>
            <w:tcBorders>
              <w:tl2br w:val="nil"/>
              <w:tr2bl w:val="nil"/>
            </w:tcBorders>
            <w:vAlign w:val="center"/>
          </w:tcPr>
          <w:p w14:paraId="1D274776">
            <w:pPr>
              <w:pStyle w:val="44"/>
              <w:bidi w:val="0"/>
              <w:rPr>
                <w:rFonts w:hint="default" w:ascii="Times New Roman" w:hAnsi="Times New Roman" w:cs="Times New Roman"/>
                <w:color w:val="auto"/>
              </w:rPr>
            </w:pPr>
            <w:r>
              <w:rPr>
                <w:rFonts w:hint="default" w:ascii="Times New Roman" w:hAnsi="Times New Roman" w:cs="Times New Roman"/>
                <w:color w:val="auto"/>
              </w:rPr>
              <w:t>∈3-4</w:t>
            </w:r>
          </w:p>
        </w:tc>
        <w:tc>
          <w:tcPr>
            <w:tcW w:w="1078" w:type="dxa"/>
            <w:tcBorders>
              <w:tl2br w:val="nil"/>
              <w:tr2bl w:val="nil"/>
            </w:tcBorders>
            <w:vAlign w:val="center"/>
          </w:tcPr>
          <w:p w14:paraId="4080704F">
            <w:pPr>
              <w:pStyle w:val="44"/>
              <w:bidi w:val="0"/>
              <w:rPr>
                <w:rFonts w:hint="default" w:ascii="Times New Roman" w:hAnsi="Times New Roman" w:cs="Times New Roman"/>
                <w:color w:val="auto"/>
              </w:rPr>
            </w:pPr>
            <w:r>
              <w:rPr>
                <w:rFonts w:hint="default" w:ascii="Times New Roman" w:hAnsi="Times New Roman" w:cs="Times New Roman"/>
                <w:color w:val="auto"/>
              </w:rPr>
              <w:t>佳木斯岩浆带</w:t>
            </w:r>
          </w:p>
        </w:tc>
        <w:tc>
          <w:tcPr>
            <w:tcW w:w="586" w:type="dxa"/>
            <w:tcBorders>
              <w:tl2br w:val="nil"/>
              <w:tr2bl w:val="nil"/>
            </w:tcBorders>
            <w:vAlign w:val="center"/>
          </w:tcPr>
          <w:p w14:paraId="3E833A1B">
            <w:pPr>
              <w:pStyle w:val="44"/>
              <w:bidi w:val="0"/>
              <w:rPr>
                <w:rFonts w:hint="default" w:ascii="Times New Roman" w:hAnsi="Times New Roman" w:cs="Times New Roman"/>
                <w:color w:val="auto"/>
              </w:rPr>
            </w:pPr>
            <w:r>
              <w:rPr>
                <w:rFonts w:hint="default" w:ascii="Times New Roman" w:hAnsi="Times New Roman" w:cs="Times New Roman"/>
                <w:color w:val="auto"/>
              </w:rPr>
              <w:t>酸性</w:t>
            </w:r>
          </w:p>
        </w:tc>
        <w:tc>
          <w:tcPr>
            <w:tcW w:w="2049" w:type="dxa"/>
            <w:tcBorders>
              <w:tl2br w:val="nil"/>
              <w:tr2bl w:val="nil"/>
            </w:tcBorders>
            <w:vAlign w:val="center"/>
          </w:tcPr>
          <w:p w14:paraId="13D03190">
            <w:pPr>
              <w:pStyle w:val="44"/>
              <w:bidi w:val="0"/>
              <w:rPr>
                <w:rFonts w:hint="default" w:ascii="Times New Roman" w:hAnsi="Times New Roman" w:cs="Times New Roman"/>
                <w:color w:val="auto"/>
              </w:rPr>
            </w:pPr>
            <w:r>
              <w:rPr>
                <w:rFonts w:hint="default" w:ascii="Times New Roman" w:hAnsi="Times New Roman" w:cs="Times New Roman"/>
                <w:color w:val="auto"/>
              </w:rPr>
              <w:t>花岗闪长岩、二长花岗岩、正长花岗岩、碱长花岗岩、含矽线石黑云二长花岗质片麻岩、黑云斜长花岗质片麻岩</w:t>
            </w:r>
          </w:p>
        </w:tc>
        <w:tc>
          <w:tcPr>
            <w:tcW w:w="1293" w:type="dxa"/>
            <w:tcBorders>
              <w:tl2br w:val="nil"/>
              <w:tr2bl w:val="nil"/>
            </w:tcBorders>
            <w:vAlign w:val="center"/>
          </w:tcPr>
          <w:p w14:paraId="39A8BFAF">
            <w:pPr>
              <w:pStyle w:val="44"/>
              <w:bidi w:val="0"/>
              <w:rPr>
                <w:rFonts w:hint="default" w:ascii="Times New Roman" w:hAnsi="Times New Roman" w:cs="Times New Roman"/>
                <w:color w:val="auto"/>
              </w:rPr>
            </w:pPr>
            <w:r>
              <w:rPr>
                <w:rFonts w:hint="default" w:ascii="Times New Roman" w:hAnsi="Times New Roman" w:cs="Times New Roman"/>
                <w:color w:val="auto"/>
              </w:rPr>
              <w:t>（高钾）钙碱性-钾玄质</w:t>
            </w:r>
          </w:p>
        </w:tc>
        <w:tc>
          <w:tcPr>
            <w:tcW w:w="650" w:type="dxa"/>
            <w:tcBorders>
              <w:tl2br w:val="nil"/>
              <w:tr2bl w:val="nil"/>
            </w:tcBorders>
            <w:vAlign w:val="center"/>
          </w:tcPr>
          <w:p w14:paraId="45E8BBFD">
            <w:pPr>
              <w:pStyle w:val="44"/>
              <w:bidi w:val="0"/>
              <w:rPr>
                <w:rFonts w:hint="default" w:ascii="Times New Roman" w:hAnsi="Times New Roman" w:cs="Times New Roman"/>
                <w:color w:val="auto"/>
              </w:rPr>
            </w:pPr>
            <w:r>
              <w:rPr>
                <w:rFonts w:hint="default" w:ascii="Times New Roman" w:hAnsi="Times New Roman" w:cs="Times New Roman"/>
                <w:color w:val="auto"/>
              </w:rPr>
              <w:t>I型</w:t>
            </w:r>
          </w:p>
        </w:tc>
      </w:tr>
      <w:tr w14:paraId="19121E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510" w:type="dxa"/>
            <w:vMerge w:val="continue"/>
            <w:tcBorders>
              <w:tl2br w:val="nil"/>
              <w:tr2bl w:val="nil"/>
            </w:tcBorders>
            <w:vAlign w:val="center"/>
          </w:tcPr>
          <w:p w14:paraId="0F92AD66">
            <w:pPr>
              <w:pStyle w:val="44"/>
              <w:bidi w:val="0"/>
              <w:rPr>
                <w:rFonts w:hint="default" w:ascii="Times New Roman" w:hAnsi="Times New Roman" w:cs="Times New Roman"/>
                <w:color w:val="auto"/>
              </w:rPr>
            </w:pPr>
          </w:p>
        </w:tc>
        <w:tc>
          <w:tcPr>
            <w:tcW w:w="760" w:type="dxa"/>
            <w:vMerge w:val="continue"/>
            <w:tcBorders>
              <w:tl2br w:val="nil"/>
              <w:tr2bl w:val="nil"/>
            </w:tcBorders>
            <w:vAlign w:val="center"/>
          </w:tcPr>
          <w:p w14:paraId="4F9E6273">
            <w:pPr>
              <w:pStyle w:val="44"/>
              <w:bidi w:val="0"/>
              <w:rPr>
                <w:rFonts w:hint="default" w:ascii="Times New Roman" w:hAnsi="Times New Roman" w:cs="Times New Roman"/>
                <w:color w:val="auto"/>
              </w:rPr>
            </w:pPr>
          </w:p>
        </w:tc>
        <w:tc>
          <w:tcPr>
            <w:tcW w:w="761" w:type="dxa"/>
            <w:tcBorders>
              <w:tl2br w:val="nil"/>
              <w:tr2bl w:val="nil"/>
            </w:tcBorders>
            <w:vAlign w:val="center"/>
          </w:tcPr>
          <w:p w14:paraId="63BB9C9A">
            <w:pPr>
              <w:pStyle w:val="44"/>
              <w:bidi w:val="0"/>
              <w:rPr>
                <w:rFonts w:hint="default" w:ascii="Times New Roman" w:hAnsi="Times New Roman" w:cs="Times New Roman"/>
                <w:color w:val="auto"/>
              </w:rPr>
            </w:pPr>
            <w:r>
              <w:rPr>
                <w:rFonts w:hint="default" w:ascii="Times New Roman" w:hAnsi="Times New Roman" w:cs="Times New Roman"/>
                <w:color w:val="auto"/>
              </w:rPr>
              <w:t>早-中寒武世</w:t>
            </w:r>
          </w:p>
        </w:tc>
        <w:tc>
          <w:tcPr>
            <w:tcW w:w="683" w:type="dxa"/>
            <w:tcBorders>
              <w:tl2br w:val="nil"/>
              <w:tr2bl w:val="nil"/>
            </w:tcBorders>
            <w:vAlign w:val="center"/>
          </w:tcPr>
          <w:p w14:paraId="16444E52">
            <w:pPr>
              <w:pStyle w:val="44"/>
              <w:bidi w:val="0"/>
              <w:rPr>
                <w:rFonts w:hint="default" w:ascii="Times New Roman" w:hAnsi="Times New Roman" w:cs="Times New Roman"/>
                <w:color w:val="auto"/>
              </w:rPr>
            </w:pPr>
            <w:r>
              <w:rPr>
                <w:rFonts w:hint="default" w:ascii="Times New Roman" w:hAnsi="Times New Roman" w:cs="Times New Roman"/>
                <w:color w:val="auto"/>
              </w:rPr>
              <w:t>∈1-2</w:t>
            </w:r>
          </w:p>
        </w:tc>
        <w:tc>
          <w:tcPr>
            <w:tcW w:w="1078" w:type="dxa"/>
            <w:tcBorders>
              <w:tl2br w:val="nil"/>
              <w:tr2bl w:val="nil"/>
            </w:tcBorders>
            <w:vAlign w:val="center"/>
          </w:tcPr>
          <w:p w14:paraId="20EFE101">
            <w:pPr>
              <w:pStyle w:val="44"/>
              <w:bidi w:val="0"/>
              <w:rPr>
                <w:rFonts w:hint="default" w:ascii="Times New Roman" w:hAnsi="Times New Roman" w:cs="Times New Roman"/>
                <w:color w:val="auto"/>
              </w:rPr>
            </w:pPr>
            <w:r>
              <w:rPr>
                <w:rFonts w:hint="default" w:ascii="Times New Roman" w:hAnsi="Times New Roman" w:cs="Times New Roman"/>
                <w:color w:val="auto"/>
              </w:rPr>
              <w:t>佳木斯岩浆带</w:t>
            </w:r>
          </w:p>
        </w:tc>
        <w:tc>
          <w:tcPr>
            <w:tcW w:w="586" w:type="dxa"/>
            <w:tcBorders>
              <w:tl2br w:val="nil"/>
              <w:tr2bl w:val="nil"/>
            </w:tcBorders>
            <w:vAlign w:val="center"/>
          </w:tcPr>
          <w:p w14:paraId="74712E63">
            <w:pPr>
              <w:pStyle w:val="44"/>
              <w:bidi w:val="0"/>
              <w:rPr>
                <w:rFonts w:hint="default" w:ascii="Times New Roman" w:hAnsi="Times New Roman" w:cs="Times New Roman"/>
                <w:color w:val="auto"/>
              </w:rPr>
            </w:pPr>
            <w:r>
              <w:rPr>
                <w:rFonts w:hint="default" w:ascii="Times New Roman" w:hAnsi="Times New Roman" w:cs="Times New Roman"/>
                <w:color w:val="auto"/>
              </w:rPr>
              <w:t>酸性</w:t>
            </w:r>
          </w:p>
        </w:tc>
        <w:tc>
          <w:tcPr>
            <w:tcW w:w="2049" w:type="dxa"/>
            <w:tcBorders>
              <w:tl2br w:val="nil"/>
              <w:tr2bl w:val="nil"/>
            </w:tcBorders>
            <w:vAlign w:val="center"/>
          </w:tcPr>
          <w:p w14:paraId="361885CE">
            <w:pPr>
              <w:pStyle w:val="44"/>
              <w:bidi w:val="0"/>
              <w:rPr>
                <w:rFonts w:hint="default" w:ascii="Times New Roman" w:hAnsi="Times New Roman" w:cs="Times New Roman"/>
                <w:color w:val="auto"/>
              </w:rPr>
            </w:pPr>
            <w:r>
              <w:rPr>
                <w:rFonts w:hint="default" w:ascii="Times New Roman" w:hAnsi="Times New Roman" w:cs="Times New Roman"/>
                <w:color w:val="auto"/>
              </w:rPr>
              <w:t>花岗闪长岩、二长花岗岩、正长花岗岩、碱长花岗岩、花岗质片麻岩</w:t>
            </w:r>
          </w:p>
        </w:tc>
        <w:tc>
          <w:tcPr>
            <w:tcW w:w="1293" w:type="dxa"/>
            <w:tcBorders>
              <w:tl2br w:val="nil"/>
              <w:tr2bl w:val="nil"/>
            </w:tcBorders>
            <w:vAlign w:val="center"/>
          </w:tcPr>
          <w:p w14:paraId="2721A9B4">
            <w:pPr>
              <w:pStyle w:val="44"/>
              <w:bidi w:val="0"/>
              <w:rPr>
                <w:rFonts w:hint="default" w:ascii="Times New Roman" w:hAnsi="Times New Roman" w:cs="Times New Roman"/>
                <w:color w:val="auto"/>
              </w:rPr>
            </w:pPr>
            <w:r>
              <w:rPr>
                <w:rFonts w:hint="default" w:ascii="Times New Roman" w:hAnsi="Times New Roman" w:cs="Times New Roman"/>
                <w:color w:val="auto"/>
              </w:rPr>
              <w:t>钾玄质岩系</w:t>
            </w:r>
          </w:p>
        </w:tc>
        <w:tc>
          <w:tcPr>
            <w:tcW w:w="650" w:type="dxa"/>
            <w:tcBorders>
              <w:tl2br w:val="nil"/>
              <w:tr2bl w:val="nil"/>
            </w:tcBorders>
            <w:vAlign w:val="center"/>
          </w:tcPr>
          <w:p w14:paraId="60D06F40">
            <w:pPr>
              <w:pStyle w:val="44"/>
              <w:bidi w:val="0"/>
              <w:rPr>
                <w:rFonts w:hint="default" w:ascii="Times New Roman" w:hAnsi="Times New Roman" w:cs="Times New Roman"/>
                <w:color w:val="auto"/>
              </w:rPr>
            </w:pPr>
            <w:r>
              <w:rPr>
                <w:rFonts w:hint="default" w:ascii="Times New Roman" w:hAnsi="Times New Roman" w:cs="Times New Roman"/>
                <w:color w:val="auto"/>
              </w:rPr>
              <w:t>S型</w:t>
            </w:r>
          </w:p>
        </w:tc>
      </w:tr>
      <w:tr w14:paraId="70EAAA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80" w:hRule="atLeast"/>
          <w:jc w:val="center"/>
        </w:trPr>
        <w:tc>
          <w:tcPr>
            <w:tcW w:w="510" w:type="dxa"/>
            <w:tcBorders>
              <w:tl2br w:val="nil"/>
              <w:tr2bl w:val="nil"/>
            </w:tcBorders>
            <w:vAlign w:val="center"/>
          </w:tcPr>
          <w:p w14:paraId="43C96C73">
            <w:pPr>
              <w:pStyle w:val="44"/>
              <w:bidi w:val="0"/>
              <w:rPr>
                <w:rFonts w:hint="default" w:ascii="Times New Roman" w:hAnsi="Times New Roman" w:cs="Times New Roman"/>
                <w:color w:val="auto"/>
              </w:rPr>
            </w:pPr>
            <w:r>
              <w:rPr>
                <w:rFonts w:hint="default" w:ascii="Times New Roman" w:hAnsi="Times New Roman" w:cs="Times New Roman"/>
                <w:color w:val="auto"/>
              </w:rPr>
              <w:t>元古宙</w:t>
            </w:r>
          </w:p>
          <w:p w14:paraId="03856A59">
            <w:pPr>
              <w:pStyle w:val="44"/>
              <w:bidi w:val="0"/>
              <w:rPr>
                <w:rFonts w:hint="default" w:ascii="Times New Roman" w:hAnsi="Times New Roman" w:cs="Times New Roman"/>
                <w:color w:val="auto"/>
              </w:rPr>
            </w:pPr>
          </w:p>
        </w:tc>
        <w:tc>
          <w:tcPr>
            <w:tcW w:w="760" w:type="dxa"/>
            <w:tcBorders>
              <w:tl2br w:val="nil"/>
              <w:tr2bl w:val="nil"/>
            </w:tcBorders>
            <w:vAlign w:val="center"/>
          </w:tcPr>
          <w:p w14:paraId="38436F08">
            <w:pPr>
              <w:pStyle w:val="44"/>
              <w:bidi w:val="0"/>
              <w:rPr>
                <w:rFonts w:hint="default" w:ascii="Times New Roman" w:hAnsi="Times New Roman" w:cs="Times New Roman"/>
                <w:color w:val="auto"/>
              </w:rPr>
            </w:pPr>
            <w:r>
              <w:rPr>
                <w:rFonts w:hint="default" w:ascii="Times New Roman" w:hAnsi="Times New Roman" w:cs="Times New Roman"/>
                <w:color w:val="auto"/>
              </w:rPr>
              <w:t>新元古代</w:t>
            </w:r>
          </w:p>
        </w:tc>
        <w:tc>
          <w:tcPr>
            <w:tcW w:w="761" w:type="dxa"/>
            <w:tcBorders>
              <w:tl2br w:val="nil"/>
              <w:tr2bl w:val="nil"/>
            </w:tcBorders>
            <w:vAlign w:val="center"/>
          </w:tcPr>
          <w:p w14:paraId="4DF7937C">
            <w:pPr>
              <w:pStyle w:val="44"/>
              <w:bidi w:val="0"/>
              <w:rPr>
                <w:rFonts w:hint="default" w:ascii="Times New Roman" w:hAnsi="Times New Roman" w:cs="Times New Roman"/>
                <w:color w:val="auto"/>
              </w:rPr>
            </w:pPr>
            <w:r>
              <w:rPr>
                <w:rFonts w:hint="default" w:ascii="Times New Roman" w:hAnsi="Times New Roman" w:cs="Times New Roman"/>
                <w:color w:val="auto"/>
              </w:rPr>
              <w:t>Pt3</w:t>
            </w:r>
          </w:p>
        </w:tc>
        <w:tc>
          <w:tcPr>
            <w:tcW w:w="683" w:type="dxa"/>
            <w:tcBorders>
              <w:tl2br w:val="nil"/>
              <w:tr2bl w:val="nil"/>
            </w:tcBorders>
            <w:vAlign w:val="center"/>
          </w:tcPr>
          <w:p w14:paraId="4C62F78E">
            <w:pPr>
              <w:pStyle w:val="44"/>
              <w:bidi w:val="0"/>
              <w:rPr>
                <w:rFonts w:hint="default" w:ascii="Times New Roman" w:hAnsi="Times New Roman" w:cs="Times New Roman"/>
                <w:color w:val="auto"/>
              </w:rPr>
            </w:pPr>
            <w:r>
              <w:rPr>
                <w:rFonts w:hint="default" w:ascii="Times New Roman" w:hAnsi="Times New Roman" w:cs="Times New Roman"/>
                <w:color w:val="auto"/>
              </w:rPr>
              <w:t>新元古代</w:t>
            </w:r>
          </w:p>
        </w:tc>
        <w:tc>
          <w:tcPr>
            <w:tcW w:w="1078" w:type="dxa"/>
            <w:tcBorders>
              <w:tl2br w:val="nil"/>
              <w:tr2bl w:val="nil"/>
            </w:tcBorders>
            <w:vAlign w:val="center"/>
          </w:tcPr>
          <w:p w14:paraId="6351C1F3">
            <w:pPr>
              <w:pStyle w:val="44"/>
              <w:bidi w:val="0"/>
              <w:rPr>
                <w:rFonts w:hint="default" w:ascii="Times New Roman" w:hAnsi="Times New Roman" w:cs="Times New Roman"/>
                <w:color w:val="auto"/>
              </w:rPr>
            </w:pPr>
            <w:r>
              <w:rPr>
                <w:rFonts w:hint="default" w:ascii="Times New Roman" w:hAnsi="Times New Roman" w:cs="Times New Roman"/>
                <w:color w:val="auto"/>
              </w:rPr>
              <w:t>佳木斯岩浆带</w:t>
            </w:r>
          </w:p>
        </w:tc>
        <w:tc>
          <w:tcPr>
            <w:tcW w:w="586" w:type="dxa"/>
            <w:tcBorders>
              <w:tl2br w:val="nil"/>
              <w:tr2bl w:val="nil"/>
            </w:tcBorders>
            <w:vAlign w:val="center"/>
          </w:tcPr>
          <w:p w14:paraId="21173541">
            <w:pPr>
              <w:pStyle w:val="44"/>
              <w:bidi w:val="0"/>
              <w:rPr>
                <w:rFonts w:hint="default" w:ascii="Times New Roman" w:hAnsi="Times New Roman" w:cs="Times New Roman"/>
                <w:color w:val="auto"/>
              </w:rPr>
            </w:pPr>
            <w:r>
              <w:rPr>
                <w:rFonts w:hint="default" w:ascii="Times New Roman" w:hAnsi="Times New Roman" w:cs="Times New Roman"/>
                <w:color w:val="auto"/>
              </w:rPr>
              <w:t>酸性</w:t>
            </w:r>
          </w:p>
        </w:tc>
        <w:tc>
          <w:tcPr>
            <w:tcW w:w="2049" w:type="dxa"/>
            <w:tcBorders>
              <w:tl2br w:val="nil"/>
              <w:tr2bl w:val="nil"/>
            </w:tcBorders>
            <w:vAlign w:val="center"/>
          </w:tcPr>
          <w:p w14:paraId="24B6E24C">
            <w:pPr>
              <w:pStyle w:val="44"/>
              <w:bidi w:val="0"/>
              <w:rPr>
                <w:rFonts w:hint="default" w:ascii="Times New Roman" w:hAnsi="Times New Roman" w:cs="Times New Roman"/>
                <w:color w:val="auto"/>
              </w:rPr>
            </w:pPr>
            <w:r>
              <w:rPr>
                <w:rFonts w:hint="default" w:ascii="Times New Roman" w:hAnsi="Times New Roman" w:cs="Times New Roman"/>
                <w:color w:val="auto"/>
              </w:rPr>
              <w:t>二长花岗岩、正长花岗岩、碱长花岗岩、花岗质片麻岩</w:t>
            </w:r>
          </w:p>
        </w:tc>
        <w:tc>
          <w:tcPr>
            <w:tcW w:w="1293" w:type="dxa"/>
            <w:tcBorders>
              <w:tl2br w:val="nil"/>
              <w:tr2bl w:val="nil"/>
            </w:tcBorders>
            <w:vAlign w:val="center"/>
          </w:tcPr>
          <w:p w14:paraId="5D637290">
            <w:pPr>
              <w:pStyle w:val="44"/>
              <w:bidi w:val="0"/>
              <w:rPr>
                <w:rFonts w:hint="default" w:ascii="Times New Roman" w:hAnsi="Times New Roman" w:cs="Times New Roman"/>
                <w:color w:val="auto"/>
              </w:rPr>
            </w:pPr>
            <w:r>
              <w:rPr>
                <w:rFonts w:hint="default" w:ascii="Times New Roman" w:hAnsi="Times New Roman" w:cs="Times New Roman"/>
                <w:color w:val="auto"/>
              </w:rPr>
              <w:t>钾玄质岩系</w:t>
            </w:r>
          </w:p>
        </w:tc>
        <w:tc>
          <w:tcPr>
            <w:tcW w:w="650" w:type="dxa"/>
            <w:tcBorders>
              <w:tl2br w:val="nil"/>
              <w:tr2bl w:val="nil"/>
            </w:tcBorders>
            <w:vAlign w:val="center"/>
          </w:tcPr>
          <w:p w14:paraId="66A3D1D4">
            <w:pPr>
              <w:pStyle w:val="44"/>
              <w:bidi w:val="0"/>
              <w:rPr>
                <w:rFonts w:hint="default" w:ascii="Times New Roman" w:hAnsi="Times New Roman" w:cs="Times New Roman"/>
                <w:color w:val="auto"/>
              </w:rPr>
            </w:pPr>
            <w:r>
              <w:rPr>
                <w:rFonts w:hint="default" w:ascii="Times New Roman" w:hAnsi="Times New Roman" w:cs="Times New Roman"/>
                <w:color w:val="auto"/>
              </w:rPr>
              <w:t>I型</w:t>
            </w:r>
          </w:p>
        </w:tc>
      </w:tr>
    </w:tbl>
    <w:p w14:paraId="2B8D82C2">
      <w:pPr>
        <w:pStyle w:val="39"/>
        <w:bidi w:val="0"/>
        <w:rPr>
          <w:rFonts w:hint="default" w:ascii="Times New Roman" w:hAnsi="Times New Roman" w:cs="Times New Roman"/>
          <w:color w:val="auto"/>
        </w:rPr>
      </w:pPr>
      <w:r>
        <w:rPr>
          <w:rFonts w:hint="default" w:ascii="Times New Roman" w:hAnsi="Times New Roman" w:cs="Times New Roman"/>
          <w:color w:val="auto"/>
        </w:rPr>
        <w:t>4.1.6工程地质</w:t>
      </w:r>
      <w:bookmarkEnd w:id="222"/>
    </w:p>
    <w:p w14:paraId="2695E8C8">
      <w:pPr>
        <w:pStyle w:val="25"/>
        <w:bidi w:val="0"/>
        <w:rPr>
          <w:rFonts w:hint="default" w:ascii="Times New Roman" w:hAnsi="Times New Roman" w:cs="Times New Roman"/>
          <w:color w:val="auto"/>
        </w:rPr>
      </w:pPr>
      <w:r>
        <w:rPr>
          <w:rFonts w:hint="default" w:ascii="Times New Roman" w:hAnsi="Times New Roman" w:cs="Times New Roman"/>
          <w:color w:val="auto"/>
        </w:rPr>
        <w:t>鸡西市区岩体出露范围较广泛，主要分布于低山、丘陵地带，土体主要分布于河谷平原区，其次为山前台地及山间沟谷中。</w:t>
      </w:r>
    </w:p>
    <w:p w14:paraId="04E34536">
      <w:pPr>
        <w:pStyle w:val="5"/>
        <w:bidi w:val="0"/>
        <w:rPr>
          <w:rFonts w:hint="default" w:ascii="Times New Roman" w:hAnsi="Times New Roman" w:cs="Times New Roman"/>
          <w:color w:val="auto"/>
        </w:rPr>
      </w:pPr>
      <w:bookmarkStart w:id="225" w:name="_Toc92379978"/>
      <w:r>
        <w:rPr>
          <w:rFonts w:hint="default" w:ascii="Times New Roman" w:hAnsi="Times New Roman" w:cs="Times New Roman"/>
          <w:color w:val="auto"/>
        </w:rPr>
        <w:t>4.</w:t>
      </w:r>
      <w:r>
        <w:rPr>
          <w:rFonts w:hint="default" w:ascii="Times New Roman" w:hAnsi="Times New Roman" w:cs="Times New Roman"/>
          <w:color w:val="auto"/>
          <w:lang w:val="en-US" w:eastAsia="zh-CN"/>
        </w:rPr>
        <w:t>1.6.1</w:t>
      </w:r>
      <w:r>
        <w:rPr>
          <w:rFonts w:hint="default" w:ascii="Times New Roman" w:hAnsi="Times New Roman" w:cs="Times New Roman"/>
          <w:color w:val="auto"/>
        </w:rPr>
        <w:t>岩体类型及特征</w:t>
      </w:r>
      <w:bookmarkEnd w:id="225"/>
    </w:p>
    <w:p w14:paraId="6509A474">
      <w:pPr>
        <w:pStyle w:val="25"/>
        <w:bidi w:val="0"/>
        <w:rPr>
          <w:rFonts w:hint="default" w:ascii="Times New Roman" w:hAnsi="Times New Roman" w:cs="Times New Roman"/>
          <w:color w:val="auto"/>
        </w:rPr>
      </w:pPr>
      <w:r>
        <w:rPr>
          <w:rFonts w:hint="default" w:ascii="Times New Roman" w:hAnsi="Times New Roman" w:cs="Times New Roman"/>
          <w:color w:val="auto"/>
        </w:rPr>
        <w:t>本区岩体类型可分为四大岩体建造：岩浆岩建造、沉积岩建造、碎屑岩建造、变质岩建造。</w:t>
      </w:r>
    </w:p>
    <w:p w14:paraId="7F86C1EB">
      <w:pPr>
        <w:pStyle w:val="25"/>
        <w:bidi w:val="0"/>
        <w:rPr>
          <w:rFonts w:hint="default" w:ascii="Times New Roman" w:hAnsi="Times New Roman" w:cs="Times New Roman"/>
          <w:color w:val="auto"/>
        </w:rPr>
      </w:pPr>
      <w:r>
        <w:rPr>
          <w:rFonts w:hint="default" w:ascii="Times New Roman" w:hAnsi="Times New Roman" w:cs="Times New Roman"/>
          <w:color w:val="auto"/>
        </w:rPr>
        <w:t>（1）岩浆岩建造，包括各个地质时期的侵入岩和喷出岩。</w:t>
      </w:r>
    </w:p>
    <w:p w14:paraId="1D784249">
      <w:pPr>
        <w:pStyle w:val="25"/>
        <w:bidi w:val="0"/>
        <w:rPr>
          <w:rFonts w:hint="default" w:ascii="Times New Roman" w:hAnsi="Times New Roman" w:cs="Times New Roman"/>
          <w:color w:val="auto"/>
        </w:rPr>
      </w:pPr>
      <w:r>
        <w:rPr>
          <w:rFonts w:hint="default" w:ascii="Times New Roman" w:hAnsi="Times New Roman" w:cs="Times New Roman"/>
          <w:color w:val="auto"/>
        </w:rPr>
        <w:t>a、极硬、块状、花岗岩岩组：在本区广泛分布于平阳镇以南，滴道以北，四平山以西的低山区，岩性组合为花岗岩、花岗闪长岩、石英闪长岩等，多呈较大的岩基、岩盘、岩侏出露。新鲜岩石干抗压强度大于60MPa，软化系数0.8，岩石风化后强度降低，风化厚度2～30m不等（据钻孔揭露），岩石较破碎、裂隙发育。</w:t>
      </w:r>
    </w:p>
    <w:p w14:paraId="60326530">
      <w:pPr>
        <w:pStyle w:val="25"/>
        <w:bidi w:val="0"/>
        <w:rPr>
          <w:rFonts w:hint="default" w:ascii="Times New Roman" w:hAnsi="Times New Roman" w:cs="Times New Roman"/>
          <w:color w:val="auto"/>
        </w:rPr>
      </w:pPr>
      <w:r>
        <w:rPr>
          <w:rFonts w:hint="default" w:ascii="Times New Roman" w:hAnsi="Times New Roman" w:cs="Times New Roman"/>
          <w:color w:val="auto"/>
        </w:rPr>
        <w:t>b、极硬、块状玄武岩岩组：分布于恒山和平阳镇以南的广大低山区。岩性组合为隐晶质，致密块状的玄武岩及少部分气孔状玄武岩，为大片岩流呈片状（或被状）分布，新鲜岩石的抗压强度在160～200MPa之间，软化系数0.85～0.95。垂直节理发育，沿垂直节理面可能发生崩塌等地质现象。</w:t>
      </w:r>
    </w:p>
    <w:p w14:paraId="6C854225">
      <w:pPr>
        <w:pStyle w:val="25"/>
        <w:bidi w:val="0"/>
        <w:rPr>
          <w:rFonts w:hint="default" w:ascii="Times New Roman" w:hAnsi="Times New Roman" w:cs="Times New Roman"/>
          <w:color w:val="auto"/>
        </w:rPr>
      </w:pPr>
      <w:r>
        <w:rPr>
          <w:rFonts w:hint="default" w:ascii="Times New Roman" w:hAnsi="Times New Roman" w:cs="Times New Roman"/>
          <w:color w:val="auto"/>
        </w:rPr>
        <w:t>（2）沉积岩建造</w:t>
      </w:r>
    </w:p>
    <w:p w14:paraId="3BD02342">
      <w:pPr>
        <w:pStyle w:val="25"/>
        <w:bidi w:val="0"/>
        <w:rPr>
          <w:rFonts w:hint="default" w:ascii="Times New Roman" w:hAnsi="Times New Roman" w:cs="Times New Roman"/>
          <w:color w:val="auto"/>
        </w:rPr>
      </w:pPr>
      <w:r>
        <w:rPr>
          <w:rFonts w:hint="default" w:ascii="Times New Roman" w:hAnsi="Times New Roman" w:cs="Times New Roman"/>
          <w:color w:val="auto"/>
        </w:rPr>
        <w:t>a、次硬、层状灰岩岩性组合：在西大翁、四山林场以及测区西北等地出露，岩性组合以凝灰岩为主，夹少量的碎屑岩，岩石的抗压强度多在30～60MPa之间，软化系数0.6～0.8，抗风化能力较低，岩石强度变化大，尤其是凝灰岩夹层的潜水软化现象明显。</w:t>
      </w:r>
    </w:p>
    <w:p w14:paraId="123E2B1A">
      <w:pPr>
        <w:pStyle w:val="25"/>
        <w:bidi w:val="0"/>
        <w:rPr>
          <w:rFonts w:hint="default" w:ascii="Times New Roman" w:hAnsi="Times New Roman" w:cs="Times New Roman"/>
          <w:color w:val="auto"/>
        </w:rPr>
      </w:pPr>
      <w:r>
        <w:rPr>
          <w:rFonts w:hint="default" w:ascii="Times New Roman" w:hAnsi="Times New Roman" w:cs="Times New Roman"/>
          <w:color w:val="auto"/>
        </w:rPr>
        <w:t>b、次硬、碎裂～层状砂砾岩岩性组合：广泛分布于穆棱河谷地区（上覆第四系地层）以及区内碎屑岩低山丘陵地区，岩性以中粗砂岩、含砾中粗砂岩、砂砾岩为主、夹粉细砂岩、泥质岩、钙质胶结为主，少量硅质及泥质胶结。钙质胶结的岩石抗压强度35～80MPa，软化系数0.5～0.8，硅质胶结一般可达140MPa，泥质胶结强度较低，一般30～50MPa，抗风化能力较弱，岩体表面一般中～强风化。</w:t>
      </w:r>
    </w:p>
    <w:p w14:paraId="783AD300">
      <w:pPr>
        <w:pStyle w:val="25"/>
        <w:bidi w:val="0"/>
        <w:rPr>
          <w:rFonts w:hint="default" w:ascii="Times New Roman" w:hAnsi="Times New Roman" w:cs="Times New Roman"/>
          <w:color w:val="auto"/>
        </w:rPr>
      </w:pPr>
      <w:r>
        <w:rPr>
          <w:rFonts w:hint="default" w:ascii="Times New Roman" w:hAnsi="Times New Roman" w:cs="Times New Roman"/>
          <w:color w:val="auto"/>
        </w:rPr>
        <w:t>（3）碎屑岩建造</w:t>
      </w:r>
    </w:p>
    <w:p w14:paraId="02DFBF89">
      <w:pPr>
        <w:pStyle w:val="25"/>
        <w:bidi w:val="0"/>
        <w:rPr>
          <w:rFonts w:hint="default" w:ascii="Times New Roman" w:hAnsi="Times New Roman" w:cs="Times New Roman"/>
          <w:color w:val="auto"/>
        </w:rPr>
      </w:pPr>
      <w:r>
        <w:rPr>
          <w:rFonts w:hint="default" w:ascii="Times New Roman" w:hAnsi="Times New Roman" w:cs="Times New Roman"/>
          <w:color w:val="auto"/>
        </w:rPr>
        <w:t>a、次软散体～碎裂状粉细砂岩岩性组合</w:t>
      </w:r>
    </w:p>
    <w:p w14:paraId="4B880917">
      <w:pPr>
        <w:pStyle w:val="25"/>
        <w:bidi w:val="0"/>
        <w:rPr>
          <w:rFonts w:hint="default" w:ascii="Times New Roman" w:hAnsi="Times New Roman" w:cs="Times New Roman"/>
          <w:color w:val="auto"/>
        </w:rPr>
      </w:pPr>
      <w:r>
        <w:rPr>
          <w:rFonts w:hint="default" w:ascii="Times New Roman" w:hAnsi="Times New Roman" w:cs="Times New Roman"/>
          <w:color w:val="auto"/>
        </w:rPr>
        <w:t>鸡西市北部及西南部地区有分布，岩性以粉细砂、细砂岩为主，夹薄层泥质岩、泥质胶结，岩石强度较低，一般干抗压强度&lt;30MPa，软化系数一般小于0.6，抗风化能力较低，表面中～强风化。</w:t>
      </w:r>
    </w:p>
    <w:p w14:paraId="64AFE874">
      <w:pPr>
        <w:pStyle w:val="25"/>
        <w:bidi w:val="0"/>
        <w:rPr>
          <w:rFonts w:hint="default" w:ascii="Times New Roman" w:hAnsi="Times New Roman" w:cs="Times New Roman"/>
          <w:color w:val="auto"/>
        </w:rPr>
      </w:pPr>
      <w:r>
        <w:rPr>
          <w:rFonts w:hint="default" w:ascii="Times New Roman" w:hAnsi="Times New Roman" w:cs="Times New Roman"/>
          <w:color w:val="auto"/>
        </w:rPr>
        <w:t>（4）变质岩建造</w:t>
      </w:r>
    </w:p>
    <w:p w14:paraId="03F0AEDF">
      <w:pPr>
        <w:pStyle w:val="25"/>
        <w:bidi w:val="0"/>
        <w:rPr>
          <w:rFonts w:hint="default" w:ascii="Times New Roman" w:hAnsi="Times New Roman" w:cs="Times New Roman"/>
          <w:color w:val="auto"/>
        </w:rPr>
      </w:pPr>
      <w:r>
        <w:rPr>
          <w:rFonts w:hint="default" w:ascii="Times New Roman" w:hAnsi="Times New Roman" w:cs="Times New Roman"/>
          <w:color w:val="auto"/>
        </w:rPr>
        <w:t>a、次硬、碎裂～层状片岩片麻岩类岩性组合</w:t>
      </w:r>
    </w:p>
    <w:p w14:paraId="1EA54EC5">
      <w:pPr>
        <w:pStyle w:val="25"/>
        <w:bidi w:val="0"/>
        <w:rPr>
          <w:rFonts w:hint="default" w:ascii="Times New Roman" w:hAnsi="Times New Roman" w:cs="Times New Roman"/>
          <w:color w:val="auto"/>
        </w:rPr>
      </w:pPr>
      <w:r>
        <w:rPr>
          <w:rFonts w:hint="default" w:ascii="Times New Roman" w:hAnsi="Times New Roman" w:cs="Times New Roman"/>
          <w:color w:val="auto"/>
        </w:rPr>
        <w:t>主要分布在龙山、麻山、东新、大同林场等地。岩性组合：由片状的、片麻状的黑云斜长片麻岩、斜长片岩、片麻岩等岩石组成，岩石的抗压强度30～60MPa，软化系数0.6～0.8，表层为中～强风化。</w:t>
      </w:r>
    </w:p>
    <w:p w14:paraId="276F76A4">
      <w:pPr>
        <w:pStyle w:val="25"/>
        <w:bidi w:val="0"/>
        <w:rPr>
          <w:rFonts w:hint="default" w:ascii="Times New Roman" w:hAnsi="Times New Roman" w:cs="Times New Roman"/>
          <w:color w:val="auto"/>
        </w:rPr>
      </w:pPr>
      <w:r>
        <w:rPr>
          <w:rFonts w:hint="default" w:ascii="Times New Roman" w:hAnsi="Times New Roman" w:cs="Times New Roman"/>
          <w:color w:val="auto"/>
        </w:rPr>
        <w:t>b、次硬、碎裂～层状板岩岩性组合</w:t>
      </w:r>
    </w:p>
    <w:p w14:paraId="635E1CDD">
      <w:pPr>
        <w:pStyle w:val="25"/>
        <w:bidi w:val="0"/>
        <w:rPr>
          <w:rFonts w:hint="default" w:ascii="Times New Roman" w:hAnsi="Times New Roman" w:cs="Times New Roman"/>
          <w:color w:val="auto"/>
        </w:rPr>
      </w:pPr>
      <w:r>
        <w:rPr>
          <w:rFonts w:hint="default" w:ascii="Times New Roman" w:hAnsi="Times New Roman" w:cs="Times New Roman"/>
          <w:color w:val="auto"/>
        </w:rPr>
        <w:t>分布在平阳镇、下亮子、前卫一带，岩性以炭质板岩为主，抗压强度30～50MPa，软化系数0.6～0.75。</w:t>
      </w:r>
    </w:p>
    <w:p w14:paraId="77F5E55E">
      <w:pPr>
        <w:pStyle w:val="25"/>
        <w:bidi w:val="0"/>
        <w:rPr>
          <w:rFonts w:hint="default" w:ascii="Times New Roman" w:hAnsi="Times New Roman" w:cs="Times New Roman"/>
          <w:color w:val="auto"/>
        </w:rPr>
      </w:pPr>
      <w:r>
        <w:rPr>
          <w:rFonts w:hint="default" w:ascii="Times New Roman" w:hAnsi="Times New Roman" w:cs="Times New Roman"/>
          <w:color w:val="auto"/>
        </w:rPr>
        <w:t>c、极硬、块状大理岩岩性组合</w:t>
      </w:r>
    </w:p>
    <w:p w14:paraId="3E2E5BA2">
      <w:pPr>
        <w:pStyle w:val="25"/>
        <w:bidi w:val="0"/>
        <w:rPr>
          <w:rFonts w:hint="default" w:ascii="Times New Roman" w:hAnsi="Times New Roman" w:cs="Times New Roman"/>
          <w:color w:val="auto"/>
        </w:rPr>
      </w:pPr>
      <w:r>
        <w:rPr>
          <w:rFonts w:hint="default" w:ascii="Times New Roman" w:hAnsi="Times New Roman" w:cs="Times New Roman"/>
          <w:color w:val="auto"/>
        </w:rPr>
        <w:t>分布于测区西部及大同林场、恒山矿西南长安、平安一带。岩性为大理岩中夹少量片岩变粒岩、麻粒岩，岩石抗压强度大于60MPa，软化系数0.70～0.90，表面中等风化。</w:t>
      </w:r>
    </w:p>
    <w:p w14:paraId="1D6D89BC">
      <w:pPr>
        <w:pStyle w:val="5"/>
        <w:bidi w:val="0"/>
        <w:rPr>
          <w:rFonts w:hint="default" w:ascii="Times New Roman" w:hAnsi="Times New Roman" w:cs="Times New Roman"/>
          <w:color w:val="auto"/>
        </w:rPr>
      </w:pPr>
      <w:bookmarkStart w:id="226" w:name="_Toc92379979"/>
      <w:r>
        <w:rPr>
          <w:rFonts w:hint="default" w:ascii="Times New Roman" w:hAnsi="Times New Roman" w:cs="Times New Roman"/>
          <w:color w:val="auto"/>
        </w:rPr>
        <w:t>4.</w:t>
      </w:r>
      <w:r>
        <w:rPr>
          <w:rFonts w:hint="default" w:ascii="Times New Roman" w:hAnsi="Times New Roman" w:cs="Times New Roman"/>
          <w:color w:val="auto"/>
          <w:lang w:val="en-US" w:eastAsia="zh-CN"/>
        </w:rPr>
        <w:t>1.6</w:t>
      </w:r>
      <w:r>
        <w:rPr>
          <w:rFonts w:hint="default" w:ascii="Times New Roman" w:hAnsi="Times New Roman" w:cs="Times New Roman"/>
          <w:color w:val="auto"/>
        </w:rPr>
        <w:t>.2土地类型及特征</w:t>
      </w:r>
      <w:bookmarkEnd w:id="226"/>
    </w:p>
    <w:p w14:paraId="213FFE86">
      <w:pPr>
        <w:pStyle w:val="27"/>
        <w:bidi w:val="0"/>
        <w:rPr>
          <w:rFonts w:hint="default" w:ascii="Times New Roman" w:hAnsi="Times New Roman" w:cs="Times New Roman"/>
          <w:color w:val="auto"/>
        </w:rPr>
      </w:pPr>
      <w:r>
        <w:rPr>
          <w:rFonts w:hint="default" w:ascii="Times New Roman" w:hAnsi="Times New Roman" w:cs="Times New Roman"/>
          <w:color w:val="auto"/>
        </w:rPr>
        <w:t>表4-</w:t>
      </w:r>
      <w:r>
        <w:rPr>
          <w:rFonts w:hint="default" w:ascii="Times New Roman" w:hAnsi="Times New Roman" w:cs="Times New Roman"/>
          <w:color w:val="auto"/>
          <w:lang w:val="en-US" w:eastAsia="zh-CN"/>
        </w:rPr>
        <w:t>1-</w:t>
      </w:r>
      <w:r>
        <w:rPr>
          <w:rFonts w:hint="default" w:ascii="Times New Roman" w:hAnsi="Times New Roman" w:cs="Times New Roman"/>
          <w:color w:val="auto"/>
        </w:rPr>
        <w:t>5  土体类型及特征表</w:t>
      </w:r>
    </w:p>
    <w:tbl>
      <w:tblPr>
        <w:tblStyle w:val="2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482"/>
        <w:gridCol w:w="577"/>
        <w:gridCol w:w="1129"/>
        <w:gridCol w:w="6171"/>
      </w:tblGrid>
      <w:tr w14:paraId="649570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88" w:type="pct"/>
            <w:tcBorders>
              <w:tl2br w:val="nil"/>
              <w:tr2bl w:val="nil"/>
            </w:tcBorders>
            <w:vAlign w:val="center"/>
          </w:tcPr>
          <w:p w14:paraId="704D0495">
            <w:pPr>
              <w:pStyle w:val="44"/>
              <w:bidi w:val="0"/>
              <w:rPr>
                <w:rFonts w:hint="default" w:ascii="Times New Roman" w:hAnsi="Times New Roman" w:cs="Times New Roman"/>
                <w:color w:val="auto"/>
              </w:rPr>
            </w:pPr>
            <w:r>
              <w:rPr>
                <w:rFonts w:hint="default" w:ascii="Times New Roman" w:hAnsi="Times New Roman" w:cs="Times New Roman"/>
                <w:color w:val="auto"/>
              </w:rPr>
              <w:t>成因</w:t>
            </w:r>
          </w:p>
        </w:tc>
        <w:tc>
          <w:tcPr>
            <w:tcW w:w="345" w:type="pct"/>
            <w:tcBorders>
              <w:tl2br w:val="nil"/>
              <w:tr2bl w:val="nil"/>
            </w:tcBorders>
            <w:vAlign w:val="center"/>
          </w:tcPr>
          <w:p w14:paraId="0E0B8362">
            <w:pPr>
              <w:pStyle w:val="44"/>
              <w:bidi w:val="0"/>
              <w:rPr>
                <w:rFonts w:hint="default" w:ascii="Times New Roman" w:hAnsi="Times New Roman" w:cs="Times New Roman"/>
                <w:color w:val="auto"/>
              </w:rPr>
            </w:pPr>
            <w:r>
              <w:rPr>
                <w:rFonts w:hint="default" w:ascii="Times New Roman" w:hAnsi="Times New Roman" w:cs="Times New Roman"/>
                <w:color w:val="auto"/>
              </w:rPr>
              <w:t>结构</w:t>
            </w:r>
          </w:p>
        </w:tc>
        <w:tc>
          <w:tcPr>
            <w:tcW w:w="675" w:type="pct"/>
            <w:tcBorders>
              <w:tl2br w:val="nil"/>
              <w:tr2bl w:val="nil"/>
            </w:tcBorders>
            <w:vAlign w:val="center"/>
          </w:tcPr>
          <w:p w14:paraId="64301F79">
            <w:pPr>
              <w:pStyle w:val="44"/>
              <w:bidi w:val="0"/>
              <w:rPr>
                <w:rFonts w:hint="default" w:ascii="Times New Roman" w:hAnsi="Times New Roman" w:cs="Times New Roman"/>
                <w:color w:val="auto"/>
              </w:rPr>
            </w:pPr>
            <w:r>
              <w:rPr>
                <w:rFonts w:hint="default" w:ascii="Times New Roman" w:hAnsi="Times New Roman" w:cs="Times New Roman"/>
                <w:color w:val="auto"/>
              </w:rPr>
              <w:t>岩性综合体</w:t>
            </w:r>
          </w:p>
        </w:tc>
        <w:tc>
          <w:tcPr>
            <w:tcW w:w="3690" w:type="pct"/>
            <w:tcBorders>
              <w:tl2br w:val="nil"/>
              <w:tr2bl w:val="nil"/>
            </w:tcBorders>
            <w:vAlign w:val="center"/>
          </w:tcPr>
          <w:p w14:paraId="38273980">
            <w:pPr>
              <w:pStyle w:val="44"/>
              <w:bidi w:val="0"/>
              <w:rPr>
                <w:rFonts w:hint="default" w:ascii="Times New Roman" w:hAnsi="Times New Roman" w:cs="Times New Roman"/>
                <w:color w:val="auto"/>
              </w:rPr>
            </w:pPr>
            <w:r>
              <w:rPr>
                <w:rFonts w:hint="default" w:ascii="Times New Roman" w:hAnsi="Times New Roman" w:cs="Times New Roman"/>
                <w:color w:val="auto"/>
              </w:rPr>
              <w:t>岩性特征、物理力学指标</w:t>
            </w:r>
          </w:p>
        </w:tc>
      </w:tr>
      <w:tr w14:paraId="5757E4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778" w:hRule="atLeast"/>
          <w:jc w:val="center"/>
        </w:trPr>
        <w:tc>
          <w:tcPr>
            <w:tcW w:w="288" w:type="pct"/>
            <w:vMerge w:val="restart"/>
            <w:tcBorders>
              <w:tl2br w:val="nil"/>
              <w:tr2bl w:val="nil"/>
            </w:tcBorders>
            <w:vAlign w:val="center"/>
          </w:tcPr>
          <w:p w14:paraId="0300A1A3">
            <w:pPr>
              <w:pStyle w:val="44"/>
              <w:bidi w:val="0"/>
              <w:rPr>
                <w:rFonts w:hint="default" w:ascii="Times New Roman" w:hAnsi="Times New Roman" w:cs="Times New Roman"/>
                <w:color w:val="auto"/>
              </w:rPr>
            </w:pPr>
            <w:r>
              <w:rPr>
                <w:rFonts w:hint="default" w:ascii="Times New Roman" w:hAnsi="Times New Roman" w:cs="Times New Roman"/>
                <w:color w:val="auto"/>
              </w:rPr>
              <w:t>冲</w:t>
            </w:r>
          </w:p>
          <w:p w14:paraId="5BFF0045">
            <w:pPr>
              <w:pStyle w:val="44"/>
              <w:bidi w:val="0"/>
              <w:rPr>
                <w:rFonts w:hint="default" w:ascii="Times New Roman" w:hAnsi="Times New Roman" w:cs="Times New Roman"/>
                <w:color w:val="auto"/>
              </w:rPr>
            </w:pPr>
            <w:r>
              <w:rPr>
                <w:rFonts w:hint="default" w:ascii="Times New Roman" w:hAnsi="Times New Roman" w:cs="Times New Roman"/>
                <w:color w:val="auto"/>
              </w:rPr>
              <w:t>积</w:t>
            </w:r>
          </w:p>
        </w:tc>
        <w:tc>
          <w:tcPr>
            <w:tcW w:w="345" w:type="pct"/>
            <w:vMerge w:val="restart"/>
            <w:tcBorders>
              <w:tl2br w:val="nil"/>
              <w:tr2bl w:val="nil"/>
            </w:tcBorders>
            <w:vAlign w:val="center"/>
          </w:tcPr>
          <w:p w14:paraId="14CB4746">
            <w:pPr>
              <w:pStyle w:val="44"/>
              <w:bidi w:val="0"/>
              <w:rPr>
                <w:rFonts w:hint="default" w:ascii="Times New Roman" w:hAnsi="Times New Roman" w:cs="Times New Roman"/>
                <w:color w:val="auto"/>
              </w:rPr>
            </w:pPr>
            <w:r>
              <w:rPr>
                <w:rFonts w:hint="default" w:ascii="Times New Roman" w:hAnsi="Times New Roman" w:cs="Times New Roman"/>
                <w:color w:val="auto"/>
              </w:rPr>
              <w:t>单</w:t>
            </w:r>
          </w:p>
          <w:p w14:paraId="58D6310C">
            <w:pPr>
              <w:pStyle w:val="44"/>
              <w:bidi w:val="0"/>
              <w:rPr>
                <w:rFonts w:hint="default" w:ascii="Times New Roman" w:hAnsi="Times New Roman" w:cs="Times New Roman"/>
                <w:color w:val="auto"/>
              </w:rPr>
            </w:pPr>
            <w:r>
              <w:rPr>
                <w:rFonts w:hint="default" w:ascii="Times New Roman" w:hAnsi="Times New Roman" w:cs="Times New Roman"/>
                <w:color w:val="auto"/>
              </w:rPr>
              <w:t>层</w:t>
            </w:r>
          </w:p>
        </w:tc>
        <w:tc>
          <w:tcPr>
            <w:tcW w:w="675" w:type="pct"/>
            <w:tcBorders>
              <w:tl2br w:val="nil"/>
              <w:tr2bl w:val="nil"/>
            </w:tcBorders>
            <w:vAlign w:val="center"/>
          </w:tcPr>
          <w:p w14:paraId="1F4CD620">
            <w:pPr>
              <w:pStyle w:val="44"/>
              <w:bidi w:val="0"/>
              <w:rPr>
                <w:rFonts w:hint="default" w:ascii="Times New Roman" w:hAnsi="Times New Roman" w:cs="Times New Roman"/>
                <w:color w:val="auto"/>
              </w:rPr>
            </w:pPr>
            <w:r>
              <w:rPr>
                <w:rFonts w:hint="default" w:ascii="Times New Roman" w:hAnsi="Times New Roman" w:cs="Times New Roman"/>
                <w:color w:val="auto"/>
              </w:rPr>
              <w:t>粘性土</w:t>
            </w:r>
          </w:p>
        </w:tc>
        <w:tc>
          <w:tcPr>
            <w:tcW w:w="3690" w:type="pct"/>
            <w:tcBorders>
              <w:tl2br w:val="nil"/>
              <w:tr2bl w:val="nil"/>
            </w:tcBorders>
            <w:vAlign w:val="center"/>
          </w:tcPr>
          <w:p w14:paraId="41E5932A">
            <w:pPr>
              <w:pStyle w:val="44"/>
              <w:bidi w:val="0"/>
              <w:rPr>
                <w:rFonts w:hint="default" w:ascii="Times New Roman" w:hAnsi="Times New Roman" w:cs="Times New Roman"/>
                <w:color w:val="auto"/>
              </w:rPr>
            </w:pPr>
            <w:r>
              <w:rPr>
                <w:rFonts w:hint="default" w:ascii="Times New Roman" w:hAnsi="Times New Roman" w:cs="Times New Roman"/>
                <w:color w:val="auto"/>
              </w:rPr>
              <w:t>主要分布在山前台地地区，由哈尔滨组地层组成，黄～黄褐色，含铁锰结核，厚度约15～25m，W=15～30%，e=0.55～1.0，Wc=25～45，Wp=17～29，Ip=9.0～17。</w:t>
            </w:r>
          </w:p>
        </w:tc>
      </w:tr>
      <w:tr w14:paraId="3619A4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680" w:hRule="atLeast"/>
          <w:jc w:val="center"/>
        </w:trPr>
        <w:tc>
          <w:tcPr>
            <w:tcW w:w="288" w:type="pct"/>
            <w:vMerge w:val="continue"/>
            <w:tcBorders>
              <w:tl2br w:val="nil"/>
              <w:tr2bl w:val="nil"/>
            </w:tcBorders>
            <w:vAlign w:val="center"/>
          </w:tcPr>
          <w:p w14:paraId="67044892">
            <w:pPr>
              <w:pStyle w:val="44"/>
              <w:bidi w:val="0"/>
              <w:rPr>
                <w:rFonts w:hint="default" w:ascii="Times New Roman" w:hAnsi="Times New Roman" w:cs="Times New Roman"/>
                <w:color w:val="auto"/>
              </w:rPr>
            </w:pPr>
          </w:p>
        </w:tc>
        <w:tc>
          <w:tcPr>
            <w:tcW w:w="345" w:type="pct"/>
            <w:vMerge w:val="continue"/>
            <w:tcBorders>
              <w:tl2br w:val="nil"/>
              <w:tr2bl w:val="nil"/>
            </w:tcBorders>
            <w:vAlign w:val="center"/>
          </w:tcPr>
          <w:p w14:paraId="6EB6095B">
            <w:pPr>
              <w:pStyle w:val="44"/>
              <w:bidi w:val="0"/>
              <w:rPr>
                <w:rFonts w:hint="default" w:ascii="Times New Roman" w:hAnsi="Times New Roman" w:cs="Times New Roman"/>
                <w:color w:val="auto"/>
              </w:rPr>
            </w:pPr>
          </w:p>
        </w:tc>
        <w:tc>
          <w:tcPr>
            <w:tcW w:w="675" w:type="pct"/>
            <w:tcBorders>
              <w:tl2br w:val="nil"/>
              <w:tr2bl w:val="nil"/>
            </w:tcBorders>
            <w:vAlign w:val="center"/>
          </w:tcPr>
          <w:p w14:paraId="08B67302">
            <w:pPr>
              <w:pStyle w:val="44"/>
              <w:bidi w:val="0"/>
              <w:rPr>
                <w:rFonts w:hint="default" w:ascii="Times New Roman" w:hAnsi="Times New Roman" w:cs="Times New Roman"/>
                <w:color w:val="auto"/>
              </w:rPr>
            </w:pPr>
            <w:r>
              <w:rPr>
                <w:rFonts w:hint="default" w:ascii="Times New Roman" w:hAnsi="Times New Roman" w:cs="Times New Roman"/>
                <w:color w:val="auto"/>
              </w:rPr>
              <w:t>砾石土</w:t>
            </w:r>
          </w:p>
        </w:tc>
        <w:tc>
          <w:tcPr>
            <w:tcW w:w="3690" w:type="pct"/>
            <w:tcBorders>
              <w:tl2br w:val="nil"/>
              <w:tr2bl w:val="nil"/>
            </w:tcBorders>
            <w:vAlign w:val="center"/>
          </w:tcPr>
          <w:p w14:paraId="4CA7A827">
            <w:pPr>
              <w:pStyle w:val="44"/>
              <w:bidi w:val="0"/>
              <w:rPr>
                <w:rFonts w:hint="default" w:ascii="Times New Roman" w:hAnsi="Times New Roman" w:cs="Times New Roman"/>
                <w:color w:val="auto"/>
              </w:rPr>
            </w:pPr>
            <w:r>
              <w:rPr>
                <w:rFonts w:hint="default" w:ascii="Times New Roman" w:hAnsi="Times New Roman" w:cs="Times New Roman"/>
                <w:color w:val="auto"/>
              </w:rPr>
              <w:t>分布于山区河谷，为第四系的冲洪积物，岩性以砂砾石为主，磨园次棱角状～次园状，湿～饱和、中密。</w:t>
            </w:r>
          </w:p>
        </w:tc>
      </w:tr>
      <w:tr w14:paraId="746409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1161" w:hRule="atLeast"/>
          <w:jc w:val="center"/>
        </w:trPr>
        <w:tc>
          <w:tcPr>
            <w:tcW w:w="288" w:type="pct"/>
            <w:vMerge w:val="continue"/>
            <w:tcBorders>
              <w:tl2br w:val="nil"/>
              <w:tr2bl w:val="nil"/>
            </w:tcBorders>
            <w:vAlign w:val="center"/>
          </w:tcPr>
          <w:p w14:paraId="1496E080">
            <w:pPr>
              <w:pStyle w:val="44"/>
              <w:bidi w:val="0"/>
              <w:rPr>
                <w:rFonts w:hint="default" w:ascii="Times New Roman" w:hAnsi="Times New Roman" w:cs="Times New Roman"/>
                <w:color w:val="auto"/>
              </w:rPr>
            </w:pPr>
          </w:p>
        </w:tc>
        <w:tc>
          <w:tcPr>
            <w:tcW w:w="345" w:type="pct"/>
            <w:vMerge w:val="restart"/>
            <w:tcBorders>
              <w:tl2br w:val="nil"/>
              <w:tr2bl w:val="nil"/>
            </w:tcBorders>
            <w:vAlign w:val="center"/>
          </w:tcPr>
          <w:p w14:paraId="68029691">
            <w:pPr>
              <w:pStyle w:val="44"/>
              <w:bidi w:val="0"/>
              <w:rPr>
                <w:rFonts w:hint="default" w:ascii="Times New Roman" w:hAnsi="Times New Roman" w:cs="Times New Roman"/>
                <w:color w:val="auto"/>
              </w:rPr>
            </w:pPr>
            <w:r>
              <w:rPr>
                <w:rFonts w:hint="default" w:ascii="Times New Roman" w:hAnsi="Times New Roman" w:cs="Times New Roman"/>
                <w:color w:val="auto"/>
              </w:rPr>
              <w:t>双</w:t>
            </w:r>
          </w:p>
          <w:p w14:paraId="5DC62A1A">
            <w:pPr>
              <w:pStyle w:val="44"/>
              <w:bidi w:val="0"/>
              <w:rPr>
                <w:rFonts w:hint="default" w:ascii="Times New Roman" w:hAnsi="Times New Roman" w:cs="Times New Roman"/>
                <w:color w:val="auto"/>
              </w:rPr>
            </w:pPr>
            <w:r>
              <w:rPr>
                <w:rFonts w:hint="default" w:ascii="Times New Roman" w:hAnsi="Times New Roman" w:cs="Times New Roman"/>
                <w:color w:val="auto"/>
              </w:rPr>
              <w:t>层</w:t>
            </w:r>
          </w:p>
        </w:tc>
        <w:tc>
          <w:tcPr>
            <w:tcW w:w="675" w:type="pct"/>
            <w:tcBorders>
              <w:tl2br w:val="nil"/>
              <w:tr2bl w:val="nil"/>
            </w:tcBorders>
            <w:vAlign w:val="center"/>
          </w:tcPr>
          <w:p w14:paraId="42697328">
            <w:pPr>
              <w:pStyle w:val="44"/>
              <w:bidi w:val="0"/>
              <w:rPr>
                <w:rFonts w:hint="default" w:ascii="Times New Roman" w:hAnsi="Times New Roman" w:cs="Times New Roman"/>
                <w:color w:val="auto"/>
              </w:rPr>
            </w:pPr>
            <w:r>
              <w:rPr>
                <w:rFonts w:hint="default" w:ascii="Times New Roman" w:hAnsi="Times New Roman" w:cs="Times New Roman"/>
                <w:color w:val="auto"/>
              </w:rPr>
              <w:t>上部粘性土</w:t>
            </w:r>
          </w:p>
          <w:p w14:paraId="3B414C4C">
            <w:pPr>
              <w:pStyle w:val="44"/>
              <w:bidi w:val="0"/>
              <w:rPr>
                <w:rFonts w:hint="default" w:ascii="Times New Roman" w:hAnsi="Times New Roman" w:cs="Times New Roman"/>
                <w:color w:val="auto"/>
              </w:rPr>
            </w:pPr>
            <w:r>
              <w:rPr>
                <w:rFonts w:hint="default" w:ascii="Times New Roman" w:hAnsi="Times New Roman" w:cs="Times New Roman"/>
                <w:color w:val="auto"/>
              </w:rPr>
              <w:t>下部砂类土</w:t>
            </w:r>
          </w:p>
        </w:tc>
        <w:tc>
          <w:tcPr>
            <w:tcW w:w="3690" w:type="pct"/>
            <w:tcBorders>
              <w:tl2br w:val="nil"/>
              <w:tr2bl w:val="nil"/>
            </w:tcBorders>
            <w:vAlign w:val="center"/>
          </w:tcPr>
          <w:p w14:paraId="47B9A8EF">
            <w:pPr>
              <w:pStyle w:val="44"/>
              <w:bidi w:val="0"/>
              <w:rPr>
                <w:rFonts w:hint="default" w:ascii="Times New Roman" w:hAnsi="Times New Roman" w:cs="Times New Roman"/>
                <w:color w:val="auto"/>
              </w:rPr>
            </w:pPr>
            <w:r>
              <w:rPr>
                <w:rFonts w:hint="default" w:ascii="Times New Roman" w:hAnsi="Times New Roman" w:cs="Times New Roman"/>
                <w:color w:val="auto"/>
              </w:rPr>
              <w:t>分布于河谷平原区，构成一级阶地，上部粉质粘土、粉土，黄～黄褐色，厚约5～10m，含铁锰质结核，W=15～30%，e=0.507～1.36，Wc=25～41.4，Wp=13.9～26，Ip=10～16.5。</w:t>
            </w:r>
          </w:p>
          <w:p w14:paraId="1FCEE192">
            <w:pPr>
              <w:pStyle w:val="44"/>
              <w:bidi w:val="0"/>
              <w:rPr>
                <w:rFonts w:hint="default" w:ascii="Times New Roman" w:hAnsi="Times New Roman" w:cs="Times New Roman"/>
                <w:color w:val="auto"/>
              </w:rPr>
            </w:pPr>
            <w:r>
              <w:rPr>
                <w:rFonts w:hint="default" w:ascii="Times New Roman" w:hAnsi="Times New Roman" w:cs="Times New Roman"/>
                <w:color w:val="auto"/>
              </w:rPr>
              <w:t>下部中粗砂、黄～黄褐色，分选好，磨园中等，湿～饱和，中密，N=15～20。</w:t>
            </w:r>
          </w:p>
        </w:tc>
      </w:tr>
      <w:tr w14:paraId="71FC0D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1104" w:hRule="atLeast"/>
          <w:jc w:val="center"/>
        </w:trPr>
        <w:tc>
          <w:tcPr>
            <w:tcW w:w="288" w:type="pct"/>
            <w:vMerge w:val="continue"/>
            <w:tcBorders>
              <w:tl2br w:val="nil"/>
              <w:tr2bl w:val="nil"/>
            </w:tcBorders>
            <w:vAlign w:val="center"/>
          </w:tcPr>
          <w:p w14:paraId="43620136">
            <w:pPr>
              <w:pStyle w:val="44"/>
              <w:bidi w:val="0"/>
              <w:rPr>
                <w:rFonts w:hint="default" w:ascii="Times New Roman" w:hAnsi="Times New Roman" w:cs="Times New Roman"/>
                <w:color w:val="auto"/>
              </w:rPr>
            </w:pPr>
          </w:p>
        </w:tc>
        <w:tc>
          <w:tcPr>
            <w:tcW w:w="345" w:type="pct"/>
            <w:vMerge w:val="continue"/>
            <w:tcBorders>
              <w:tl2br w:val="nil"/>
              <w:tr2bl w:val="nil"/>
            </w:tcBorders>
            <w:vAlign w:val="center"/>
          </w:tcPr>
          <w:p w14:paraId="4C71C8C7">
            <w:pPr>
              <w:pStyle w:val="44"/>
              <w:bidi w:val="0"/>
              <w:rPr>
                <w:rFonts w:hint="default" w:ascii="Times New Roman" w:hAnsi="Times New Roman" w:cs="Times New Roman"/>
                <w:color w:val="auto"/>
              </w:rPr>
            </w:pPr>
          </w:p>
        </w:tc>
        <w:tc>
          <w:tcPr>
            <w:tcW w:w="675" w:type="pct"/>
            <w:tcBorders>
              <w:tl2br w:val="nil"/>
              <w:tr2bl w:val="nil"/>
            </w:tcBorders>
            <w:vAlign w:val="center"/>
          </w:tcPr>
          <w:p w14:paraId="3D32089B">
            <w:pPr>
              <w:pStyle w:val="44"/>
              <w:bidi w:val="0"/>
              <w:rPr>
                <w:rFonts w:hint="default" w:ascii="Times New Roman" w:hAnsi="Times New Roman" w:cs="Times New Roman"/>
                <w:color w:val="auto"/>
              </w:rPr>
            </w:pPr>
            <w:r>
              <w:rPr>
                <w:rFonts w:hint="default" w:ascii="Times New Roman" w:hAnsi="Times New Roman" w:cs="Times New Roman"/>
                <w:color w:val="auto"/>
              </w:rPr>
              <w:t>上部砂土</w:t>
            </w:r>
          </w:p>
          <w:p w14:paraId="0F46F7F5">
            <w:pPr>
              <w:pStyle w:val="44"/>
              <w:bidi w:val="0"/>
              <w:rPr>
                <w:rFonts w:hint="default" w:ascii="Times New Roman" w:hAnsi="Times New Roman" w:cs="Times New Roman"/>
                <w:color w:val="auto"/>
              </w:rPr>
            </w:pPr>
            <w:r>
              <w:rPr>
                <w:rFonts w:hint="default" w:ascii="Times New Roman" w:hAnsi="Times New Roman" w:cs="Times New Roman"/>
                <w:color w:val="auto"/>
              </w:rPr>
              <w:t>下部砾石土</w:t>
            </w:r>
          </w:p>
        </w:tc>
        <w:tc>
          <w:tcPr>
            <w:tcW w:w="3690" w:type="pct"/>
            <w:tcBorders>
              <w:tl2br w:val="nil"/>
              <w:tr2bl w:val="nil"/>
            </w:tcBorders>
            <w:vAlign w:val="center"/>
          </w:tcPr>
          <w:p w14:paraId="105AA7EF">
            <w:pPr>
              <w:pStyle w:val="44"/>
              <w:bidi w:val="0"/>
              <w:rPr>
                <w:rFonts w:hint="default" w:ascii="Times New Roman" w:hAnsi="Times New Roman" w:cs="Times New Roman"/>
                <w:color w:val="auto"/>
              </w:rPr>
            </w:pPr>
            <w:r>
              <w:rPr>
                <w:rFonts w:hint="default" w:ascii="Times New Roman" w:hAnsi="Times New Roman" w:cs="Times New Roman"/>
                <w:color w:val="auto"/>
              </w:rPr>
              <w:t>主要分布于河谷高漫滩区，上部以中粗砂为主，厚5～12m，黄灰～灰褐色，分选好，湿～饱和、中密，N=15～20。</w:t>
            </w:r>
          </w:p>
          <w:p w14:paraId="58D01A45">
            <w:pPr>
              <w:pStyle w:val="44"/>
              <w:bidi w:val="0"/>
              <w:rPr>
                <w:rFonts w:hint="default" w:ascii="Times New Roman" w:hAnsi="Times New Roman" w:cs="Times New Roman"/>
                <w:color w:val="auto"/>
              </w:rPr>
            </w:pPr>
            <w:r>
              <w:rPr>
                <w:rFonts w:hint="default" w:ascii="Times New Roman" w:hAnsi="Times New Roman" w:cs="Times New Roman"/>
                <w:color w:val="auto"/>
              </w:rPr>
              <w:t>下部砾石土，厚2.0～10.0m，灰黄色～黄色，颗粒2～50mm，砾石以中酸性火山岩为主，次棱角状，密实。</w:t>
            </w:r>
          </w:p>
        </w:tc>
      </w:tr>
      <w:tr w14:paraId="0E46DE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693" w:hRule="atLeast"/>
          <w:jc w:val="center"/>
        </w:trPr>
        <w:tc>
          <w:tcPr>
            <w:tcW w:w="288" w:type="pct"/>
            <w:vMerge w:val="continue"/>
            <w:tcBorders>
              <w:tl2br w:val="nil"/>
              <w:tr2bl w:val="nil"/>
            </w:tcBorders>
            <w:vAlign w:val="center"/>
          </w:tcPr>
          <w:p w14:paraId="5C44E604">
            <w:pPr>
              <w:pStyle w:val="44"/>
              <w:bidi w:val="0"/>
              <w:rPr>
                <w:rFonts w:hint="default" w:ascii="Times New Roman" w:hAnsi="Times New Roman" w:cs="Times New Roman"/>
                <w:color w:val="auto"/>
              </w:rPr>
            </w:pPr>
          </w:p>
        </w:tc>
        <w:tc>
          <w:tcPr>
            <w:tcW w:w="345" w:type="pct"/>
            <w:vMerge w:val="restart"/>
            <w:tcBorders>
              <w:tl2br w:val="nil"/>
              <w:tr2bl w:val="nil"/>
            </w:tcBorders>
            <w:vAlign w:val="center"/>
          </w:tcPr>
          <w:p w14:paraId="15AA1FB3">
            <w:pPr>
              <w:pStyle w:val="44"/>
              <w:bidi w:val="0"/>
              <w:rPr>
                <w:rFonts w:hint="default" w:ascii="Times New Roman" w:hAnsi="Times New Roman" w:cs="Times New Roman"/>
                <w:color w:val="auto"/>
              </w:rPr>
            </w:pPr>
            <w:r>
              <w:rPr>
                <w:rFonts w:hint="default" w:ascii="Times New Roman" w:hAnsi="Times New Roman" w:cs="Times New Roman"/>
                <w:color w:val="auto"/>
              </w:rPr>
              <w:t>特</w:t>
            </w:r>
          </w:p>
          <w:p w14:paraId="290EAD87">
            <w:pPr>
              <w:pStyle w:val="44"/>
              <w:bidi w:val="0"/>
              <w:rPr>
                <w:rFonts w:hint="default" w:ascii="Times New Roman" w:hAnsi="Times New Roman" w:cs="Times New Roman"/>
                <w:color w:val="auto"/>
              </w:rPr>
            </w:pPr>
            <w:r>
              <w:rPr>
                <w:rFonts w:hint="default" w:ascii="Times New Roman" w:hAnsi="Times New Roman" w:cs="Times New Roman"/>
                <w:color w:val="auto"/>
              </w:rPr>
              <w:t>殊</w:t>
            </w:r>
          </w:p>
          <w:p w14:paraId="326D90C8">
            <w:pPr>
              <w:pStyle w:val="44"/>
              <w:bidi w:val="0"/>
              <w:rPr>
                <w:rFonts w:hint="default" w:ascii="Times New Roman" w:hAnsi="Times New Roman" w:cs="Times New Roman"/>
                <w:color w:val="auto"/>
              </w:rPr>
            </w:pPr>
            <w:r>
              <w:rPr>
                <w:rFonts w:hint="default" w:ascii="Times New Roman" w:hAnsi="Times New Roman" w:cs="Times New Roman"/>
                <w:color w:val="auto"/>
              </w:rPr>
              <w:t>类</w:t>
            </w:r>
          </w:p>
          <w:p w14:paraId="11640F70">
            <w:pPr>
              <w:pStyle w:val="44"/>
              <w:bidi w:val="0"/>
              <w:rPr>
                <w:rFonts w:hint="default" w:ascii="Times New Roman" w:hAnsi="Times New Roman" w:cs="Times New Roman"/>
                <w:color w:val="auto"/>
              </w:rPr>
            </w:pPr>
            <w:r>
              <w:rPr>
                <w:rFonts w:hint="default" w:ascii="Times New Roman" w:hAnsi="Times New Roman" w:cs="Times New Roman"/>
                <w:color w:val="auto"/>
              </w:rPr>
              <w:t>土</w:t>
            </w:r>
          </w:p>
        </w:tc>
        <w:tc>
          <w:tcPr>
            <w:tcW w:w="675" w:type="pct"/>
            <w:tcBorders>
              <w:tl2br w:val="nil"/>
              <w:tr2bl w:val="nil"/>
            </w:tcBorders>
            <w:vAlign w:val="center"/>
          </w:tcPr>
          <w:p w14:paraId="5BAE0EF3">
            <w:pPr>
              <w:pStyle w:val="44"/>
              <w:bidi w:val="0"/>
              <w:rPr>
                <w:rFonts w:hint="default" w:ascii="Times New Roman" w:hAnsi="Times New Roman" w:cs="Times New Roman"/>
                <w:color w:val="auto"/>
              </w:rPr>
            </w:pPr>
            <w:r>
              <w:rPr>
                <w:rFonts w:hint="default" w:ascii="Times New Roman" w:hAnsi="Times New Roman" w:cs="Times New Roman"/>
                <w:color w:val="auto"/>
              </w:rPr>
              <w:t>淤泥类土</w:t>
            </w:r>
          </w:p>
        </w:tc>
        <w:tc>
          <w:tcPr>
            <w:tcW w:w="3690" w:type="pct"/>
            <w:tcBorders>
              <w:tl2br w:val="nil"/>
              <w:tr2bl w:val="nil"/>
            </w:tcBorders>
            <w:vAlign w:val="center"/>
          </w:tcPr>
          <w:p w14:paraId="260D3300">
            <w:pPr>
              <w:pStyle w:val="44"/>
              <w:bidi w:val="0"/>
              <w:rPr>
                <w:rFonts w:hint="default" w:ascii="Times New Roman" w:hAnsi="Times New Roman" w:cs="Times New Roman"/>
                <w:color w:val="auto"/>
              </w:rPr>
            </w:pPr>
            <w:r>
              <w:rPr>
                <w:rFonts w:hint="default" w:ascii="Times New Roman" w:hAnsi="Times New Roman" w:cs="Times New Roman"/>
                <w:color w:val="auto"/>
              </w:rPr>
              <w:t>主要分布于穆棱河中下游漫滩阶地区，沼泽相沉积，多为中～高压缩性土，W=21.4～45%，e=0.90～1.402，Wc=28～38.73，Wp=17～25.3，Ip=11～16.05。</w:t>
            </w:r>
          </w:p>
        </w:tc>
      </w:tr>
      <w:tr w14:paraId="6DEE21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623" w:hRule="atLeast"/>
          <w:jc w:val="center"/>
        </w:trPr>
        <w:tc>
          <w:tcPr>
            <w:tcW w:w="288" w:type="pct"/>
            <w:vMerge w:val="continue"/>
            <w:tcBorders>
              <w:tl2br w:val="nil"/>
              <w:tr2bl w:val="nil"/>
            </w:tcBorders>
            <w:vAlign w:val="center"/>
          </w:tcPr>
          <w:p w14:paraId="53DB471B">
            <w:pPr>
              <w:pStyle w:val="44"/>
              <w:bidi w:val="0"/>
              <w:rPr>
                <w:rFonts w:hint="default" w:ascii="Times New Roman" w:hAnsi="Times New Roman" w:cs="Times New Roman"/>
                <w:color w:val="auto"/>
              </w:rPr>
            </w:pPr>
          </w:p>
        </w:tc>
        <w:tc>
          <w:tcPr>
            <w:tcW w:w="345" w:type="pct"/>
            <w:vMerge w:val="continue"/>
            <w:tcBorders>
              <w:tl2br w:val="nil"/>
              <w:tr2bl w:val="nil"/>
            </w:tcBorders>
            <w:vAlign w:val="center"/>
          </w:tcPr>
          <w:p w14:paraId="3837384E">
            <w:pPr>
              <w:pStyle w:val="44"/>
              <w:bidi w:val="0"/>
              <w:rPr>
                <w:rFonts w:hint="default" w:ascii="Times New Roman" w:hAnsi="Times New Roman" w:cs="Times New Roman"/>
                <w:color w:val="auto"/>
              </w:rPr>
            </w:pPr>
          </w:p>
        </w:tc>
        <w:tc>
          <w:tcPr>
            <w:tcW w:w="675" w:type="pct"/>
            <w:tcBorders>
              <w:tl2br w:val="nil"/>
              <w:tr2bl w:val="nil"/>
            </w:tcBorders>
            <w:vAlign w:val="center"/>
          </w:tcPr>
          <w:p w14:paraId="1E78DC4A">
            <w:pPr>
              <w:pStyle w:val="44"/>
              <w:bidi w:val="0"/>
              <w:rPr>
                <w:rFonts w:hint="default" w:ascii="Times New Roman" w:hAnsi="Times New Roman" w:cs="Times New Roman"/>
                <w:color w:val="auto"/>
              </w:rPr>
            </w:pPr>
            <w:r>
              <w:rPr>
                <w:rFonts w:hint="default" w:ascii="Times New Roman" w:hAnsi="Times New Roman" w:cs="Times New Roman"/>
                <w:color w:val="auto"/>
              </w:rPr>
              <w:t>冻土</w:t>
            </w:r>
          </w:p>
        </w:tc>
        <w:tc>
          <w:tcPr>
            <w:tcW w:w="3690" w:type="pct"/>
            <w:tcBorders>
              <w:tl2br w:val="nil"/>
              <w:tr2bl w:val="nil"/>
            </w:tcBorders>
            <w:vAlign w:val="center"/>
          </w:tcPr>
          <w:p w14:paraId="460AD88E">
            <w:pPr>
              <w:pStyle w:val="44"/>
              <w:bidi w:val="0"/>
              <w:rPr>
                <w:rFonts w:hint="default" w:ascii="Times New Roman" w:hAnsi="Times New Roman" w:cs="Times New Roman"/>
                <w:color w:val="auto"/>
              </w:rPr>
            </w:pPr>
            <w:r>
              <w:rPr>
                <w:rFonts w:hint="default" w:ascii="Times New Roman" w:hAnsi="Times New Roman" w:cs="Times New Roman"/>
                <w:color w:val="auto"/>
              </w:rPr>
              <w:t>季节性冻土发育，冻期140～180天，冻深1.6～2.2m，冻土地带伴随冻胀、冻融现象发生。</w:t>
            </w:r>
          </w:p>
        </w:tc>
      </w:tr>
    </w:tbl>
    <w:p w14:paraId="1F70E956">
      <w:pPr>
        <w:pStyle w:val="39"/>
        <w:bidi w:val="0"/>
        <w:rPr>
          <w:rFonts w:hint="default" w:ascii="Times New Roman" w:hAnsi="Times New Roman" w:cs="Times New Roman"/>
          <w:color w:val="auto"/>
        </w:rPr>
      </w:pPr>
      <w:bookmarkStart w:id="227" w:name="_Toc22781"/>
      <w:r>
        <w:rPr>
          <w:rFonts w:hint="default" w:ascii="Times New Roman" w:hAnsi="Times New Roman" w:cs="Times New Roman"/>
          <w:color w:val="auto"/>
        </w:rPr>
        <w:t>4.1.7地震烈度</w:t>
      </w:r>
      <w:bookmarkEnd w:id="227"/>
    </w:p>
    <w:p w14:paraId="349E538F">
      <w:pPr>
        <w:pStyle w:val="25"/>
        <w:bidi w:val="0"/>
        <w:rPr>
          <w:rFonts w:hint="default" w:ascii="Times New Roman" w:hAnsi="Times New Roman" w:cs="Times New Roman"/>
          <w:color w:val="auto"/>
        </w:rPr>
      </w:pPr>
      <w:r>
        <w:rPr>
          <w:rFonts w:hint="default" w:ascii="Times New Roman" w:hAnsi="Times New Roman" w:cs="Times New Roman"/>
          <w:color w:val="auto"/>
        </w:rPr>
        <w:t>项目区属根据国家标准《建筑抗震设计规范》（GB50011-2001）及《中国地震动参数区划分》（GB18306-2001），工程场地抗震设防烈度为VI度，从场地土的性质判定，场地土属于中软土，场地类别为II类，地震动峰值加速度为0.05g，特征周期为0.35s。</w:t>
      </w:r>
    </w:p>
    <w:p w14:paraId="60E2C772">
      <w:pPr>
        <w:pStyle w:val="39"/>
        <w:bidi w:val="0"/>
        <w:rPr>
          <w:rFonts w:hint="default" w:ascii="Times New Roman" w:hAnsi="Times New Roman" w:cs="Times New Roman"/>
          <w:color w:val="auto"/>
        </w:rPr>
      </w:pPr>
      <w:bookmarkStart w:id="228" w:name="_Toc9615"/>
      <w:r>
        <w:rPr>
          <w:rFonts w:hint="default" w:ascii="Times New Roman" w:hAnsi="Times New Roman" w:cs="Times New Roman"/>
          <w:color w:val="auto"/>
        </w:rPr>
        <w:t>4.1.8水文地质条件</w:t>
      </w:r>
      <w:bookmarkEnd w:id="228"/>
      <w:bookmarkStart w:id="229" w:name="_Toc20702"/>
      <w:bookmarkStart w:id="230" w:name="_Toc26401"/>
    </w:p>
    <w:bookmarkEnd w:id="229"/>
    <w:bookmarkEnd w:id="230"/>
    <w:p w14:paraId="2A765145">
      <w:pPr>
        <w:pStyle w:val="5"/>
        <w:bidi w:val="0"/>
        <w:rPr>
          <w:rFonts w:hint="default" w:ascii="Times New Roman" w:hAnsi="Times New Roman" w:cs="Times New Roman"/>
          <w:color w:val="auto"/>
        </w:rPr>
      </w:pPr>
      <w:bookmarkStart w:id="231" w:name="_Toc92379975"/>
      <w:r>
        <w:rPr>
          <w:rFonts w:hint="default" w:ascii="Times New Roman" w:hAnsi="Times New Roman" w:cs="Times New Roman"/>
          <w:color w:val="auto"/>
        </w:rPr>
        <w:t>4.</w:t>
      </w:r>
      <w:r>
        <w:rPr>
          <w:rFonts w:hint="default" w:ascii="Times New Roman" w:hAnsi="Times New Roman" w:cs="Times New Roman"/>
          <w:color w:val="auto"/>
          <w:lang w:val="en-US" w:eastAsia="zh-CN"/>
        </w:rPr>
        <w:t>1.8.1</w:t>
      </w:r>
      <w:r>
        <w:rPr>
          <w:rFonts w:hint="default" w:ascii="Times New Roman" w:hAnsi="Times New Roman" w:cs="Times New Roman"/>
          <w:color w:val="auto"/>
        </w:rPr>
        <w:t>地下水类型</w:t>
      </w:r>
      <w:bookmarkEnd w:id="231"/>
    </w:p>
    <w:p w14:paraId="33F89CAF">
      <w:pPr>
        <w:pStyle w:val="25"/>
        <w:bidi w:val="0"/>
        <w:rPr>
          <w:rFonts w:hint="default" w:ascii="Times New Roman" w:hAnsi="Times New Roman" w:cs="Times New Roman"/>
          <w:color w:val="auto"/>
        </w:rPr>
      </w:pPr>
      <w:r>
        <w:rPr>
          <w:rFonts w:hint="default" w:ascii="Times New Roman" w:hAnsi="Times New Roman" w:cs="Times New Roman"/>
          <w:color w:val="auto"/>
        </w:rPr>
        <w:t>本区地下水可划分为第四系松散岩类孔隙水、碎屑岩裂隙孔隙水及基岩裂隙水三大类。</w:t>
      </w:r>
    </w:p>
    <w:p w14:paraId="74AE4F2C">
      <w:pPr>
        <w:pStyle w:val="25"/>
        <w:bidi w:val="0"/>
        <w:rPr>
          <w:rFonts w:hint="default" w:ascii="Times New Roman" w:hAnsi="Times New Roman" w:cs="Times New Roman"/>
          <w:color w:val="auto"/>
        </w:rPr>
      </w:pPr>
      <w:r>
        <w:rPr>
          <w:rFonts w:hint="default" w:ascii="Times New Roman" w:hAnsi="Times New Roman" w:cs="Times New Roman"/>
          <w:color w:val="auto"/>
        </w:rPr>
        <w:t>（1）松散岩类孔隙水</w:t>
      </w:r>
    </w:p>
    <w:p w14:paraId="741B6A26">
      <w:pPr>
        <w:pStyle w:val="25"/>
        <w:bidi w:val="0"/>
        <w:rPr>
          <w:rFonts w:hint="default" w:ascii="Times New Roman" w:hAnsi="Times New Roman" w:cs="Times New Roman"/>
          <w:color w:val="auto"/>
        </w:rPr>
      </w:pPr>
      <w:r>
        <w:rPr>
          <w:rFonts w:hint="default" w:ascii="Times New Roman" w:hAnsi="Times New Roman" w:cs="Times New Roman"/>
          <w:color w:val="auto"/>
        </w:rPr>
        <w:t>主要分布于穆棱河中下游河谷冲积平原、山前台地及穆棱河上游与各支流沟谷的河漫滩中，含水层由砂、砂砾石组成。上部一般无粘性土覆盖，仅在一级阶地和山前台地粉质粘土覆盖较厚，局部具有微承压性，多为潜水。水位埋深受地貌条件控制。漫滩区水位埋深1～3m，一级阶地区水位埋深3～6m，山前台地水位埋深6～10m。受大气降水补给，季节性变化明显，水位变幅0.3～3m。一般变幅为1～2m。单井涌水量的变化较大，为10～5000m</w:t>
      </w:r>
      <w:r>
        <w:rPr>
          <w:rFonts w:hint="default" w:ascii="Times New Roman" w:hAnsi="Times New Roman" w:cs="Times New Roman"/>
          <w:color w:val="auto"/>
          <w:vertAlign w:val="superscript"/>
        </w:rPr>
        <w:t>3</w:t>
      </w:r>
      <w:r>
        <w:rPr>
          <w:rFonts w:hint="default" w:ascii="Times New Roman" w:hAnsi="Times New Roman" w:cs="Times New Roman"/>
          <w:color w:val="auto"/>
        </w:rPr>
        <w:t>/d。由于含水层厚度从上游到下游渐变厚，单井涌水量也逐渐增多。</w:t>
      </w:r>
    </w:p>
    <w:p w14:paraId="4511B42A">
      <w:pPr>
        <w:pStyle w:val="25"/>
        <w:bidi w:val="0"/>
        <w:rPr>
          <w:rFonts w:hint="default" w:ascii="Times New Roman" w:hAnsi="Times New Roman" w:cs="Times New Roman"/>
          <w:color w:val="auto"/>
        </w:rPr>
      </w:pPr>
      <w:r>
        <w:rPr>
          <w:rFonts w:hint="default" w:ascii="Times New Roman" w:hAnsi="Times New Roman" w:cs="Times New Roman"/>
          <w:color w:val="auto"/>
        </w:rPr>
        <w:t>（2）碎屑岩类孔隙裂隙水</w:t>
      </w:r>
    </w:p>
    <w:p w14:paraId="6653789F">
      <w:pPr>
        <w:pStyle w:val="25"/>
        <w:bidi w:val="0"/>
        <w:rPr>
          <w:rFonts w:hint="default" w:ascii="Times New Roman" w:hAnsi="Times New Roman" w:cs="Times New Roman"/>
          <w:color w:val="auto"/>
        </w:rPr>
      </w:pPr>
      <w:r>
        <w:rPr>
          <w:rFonts w:hint="default" w:ascii="Times New Roman" w:hAnsi="Times New Roman" w:cs="Times New Roman"/>
          <w:color w:val="auto"/>
        </w:rPr>
        <w:t>分布于第三纪坳断陷（鸡东）盆地中，含水岩组由第三系砂岩、砂砾岩及泥岩组成。其顶部覆有稳定的泥岩隔水层，地下水具有承压性。由2～6个单一含水层组成含水岩组。含水层顶板埋深28～80m，水位埋深0.2～16.00m，单井涌水量，最大为1550m</w:t>
      </w:r>
      <w:r>
        <w:rPr>
          <w:rFonts w:hint="default" w:ascii="Times New Roman" w:hAnsi="Times New Roman" w:cs="Times New Roman"/>
          <w:color w:val="auto"/>
          <w:vertAlign w:val="superscript"/>
        </w:rPr>
        <w:t>3</w:t>
      </w:r>
      <w:r>
        <w:rPr>
          <w:rFonts w:hint="default" w:ascii="Times New Roman" w:hAnsi="Times New Roman" w:cs="Times New Roman"/>
          <w:color w:val="auto"/>
        </w:rPr>
        <w:t>/d，分布于金城河口。一般为100～300m</w:t>
      </w:r>
      <w:r>
        <w:rPr>
          <w:rFonts w:hint="default" w:ascii="Times New Roman" w:hAnsi="Times New Roman" w:cs="Times New Roman"/>
          <w:color w:val="auto"/>
          <w:vertAlign w:val="superscript"/>
        </w:rPr>
        <w:t>3</w:t>
      </w:r>
      <w:r>
        <w:rPr>
          <w:rFonts w:hint="default" w:ascii="Times New Roman" w:hAnsi="Times New Roman" w:cs="Times New Roman"/>
          <w:color w:val="auto"/>
        </w:rPr>
        <w:t>/d分布在永合～东新～明鲜一带。水量贫乏的，单井涌水量一般在20～50m</w:t>
      </w:r>
      <w:r>
        <w:rPr>
          <w:rFonts w:hint="default" w:ascii="Times New Roman" w:hAnsi="Times New Roman" w:cs="Times New Roman"/>
          <w:color w:val="auto"/>
          <w:vertAlign w:val="superscript"/>
        </w:rPr>
        <w:t>3</w:t>
      </w:r>
      <w:r>
        <w:rPr>
          <w:rFonts w:hint="default" w:ascii="Times New Roman" w:hAnsi="Times New Roman" w:cs="Times New Roman"/>
          <w:color w:val="auto"/>
        </w:rPr>
        <w:t>/d。</w:t>
      </w:r>
    </w:p>
    <w:p w14:paraId="4C181B2D">
      <w:pPr>
        <w:pStyle w:val="25"/>
        <w:bidi w:val="0"/>
        <w:rPr>
          <w:rFonts w:hint="default" w:ascii="Times New Roman" w:hAnsi="Times New Roman" w:cs="Times New Roman"/>
          <w:color w:val="auto"/>
        </w:rPr>
      </w:pPr>
      <w:r>
        <w:rPr>
          <w:rFonts w:hint="default" w:ascii="Times New Roman" w:hAnsi="Times New Roman" w:cs="Times New Roman"/>
          <w:color w:val="auto"/>
        </w:rPr>
        <w:t>（3）基岩裂隙水</w:t>
      </w:r>
    </w:p>
    <w:p w14:paraId="3B15192E">
      <w:pPr>
        <w:pStyle w:val="25"/>
        <w:bidi w:val="0"/>
        <w:rPr>
          <w:rFonts w:hint="default" w:ascii="Times New Roman" w:hAnsi="Times New Roman" w:cs="Times New Roman"/>
          <w:color w:val="auto"/>
        </w:rPr>
      </w:pPr>
      <w:r>
        <w:rPr>
          <w:rFonts w:hint="default" w:ascii="Times New Roman" w:hAnsi="Times New Roman" w:cs="Times New Roman"/>
          <w:color w:val="auto"/>
        </w:rPr>
        <w:t>风化裂隙水分布于低山丘陵区。基岩上部普遍发育风化带，中生代碎屑岩风化带较厚，13～17m，花岗岩、玄武岩风化带5～42m，变质岩最薄3～15m。大多为潜水。地下水径流模数分为三个富水级别：</w:t>
      </w:r>
    </w:p>
    <w:p w14:paraId="602919C3">
      <w:pPr>
        <w:pStyle w:val="25"/>
        <w:bidi w:val="0"/>
        <w:rPr>
          <w:rFonts w:hint="default" w:ascii="Times New Roman" w:hAnsi="Times New Roman" w:cs="Times New Roman"/>
          <w:color w:val="auto"/>
        </w:rPr>
      </w:pPr>
      <w:r>
        <w:rPr>
          <w:rFonts w:hint="default" w:ascii="Times New Roman" w:hAnsi="Times New Roman" w:cs="Times New Roman"/>
          <w:color w:val="auto"/>
        </w:rPr>
        <w:t>a、水量丰富的（径流模数3～6L/S·km</w:t>
      </w:r>
      <w:r>
        <w:rPr>
          <w:rFonts w:hint="default" w:ascii="Times New Roman" w:hAnsi="Times New Roman" w:cs="Times New Roman"/>
          <w:color w:val="auto"/>
          <w:vertAlign w:val="superscript"/>
        </w:rPr>
        <w:t>2</w:t>
      </w:r>
      <w:r>
        <w:rPr>
          <w:rFonts w:hint="default" w:ascii="Times New Roman" w:hAnsi="Times New Roman" w:cs="Times New Roman"/>
          <w:color w:val="auto"/>
        </w:rPr>
        <w:t>）分布于风山村、胜利村等地，径流模数一般为3～4L/S·km</w:t>
      </w:r>
      <w:r>
        <w:rPr>
          <w:rFonts w:hint="default" w:ascii="Times New Roman" w:hAnsi="Times New Roman" w:cs="Times New Roman"/>
          <w:color w:val="auto"/>
          <w:vertAlign w:val="superscript"/>
        </w:rPr>
        <w:t>2</w:t>
      </w:r>
      <w:r>
        <w:rPr>
          <w:rFonts w:hint="default" w:ascii="Times New Roman" w:hAnsi="Times New Roman" w:cs="Times New Roman"/>
          <w:color w:val="auto"/>
        </w:rPr>
        <w:t>。</w:t>
      </w:r>
    </w:p>
    <w:p w14:paraId="19D09CA2">
      <w:pPr>
        <w:pStyle w:val="25"/>
        <w:bidi w:val="0"/>
        <w:rPr>
          <w:rFonts w:hint="default" w:ascii="Times New Roman" w:hAnsi="Times New Roman" w:cs="Times New Roman"/>
          <w:color w:val="auto"/>
        </w:rPr>
      </w:pPr>
      <w:r>
        <w:rPr>
          <w:rFonts w:hint="default" w:ascii="Times New Roman" w:hAnsi="Times New Roman" w:cs="Times New Roman"/>
          <w:color w:val="auto"/>
        </w:rPr>
        <w:t>b、水量中等的（径流模数1～3L/S·km</w:t>
      </w:r>
      <w:r>
        <w:rPr>
          <w:rFonts w:hint="default" w:ascii="Times New Roman" w:hAnsi="Times New Roman" w:cs="Times New Roman"/>
          <w:color w:val="auto"/>
          <w:vertAlign w:val="superscript"/>
        </w:rPr>
        <w:t>2</w:t>
      </w:r>
      <w:r>
        <w:rPr>
          <w:rFonts w:hint="default" w:ascii="Times New Roman" w:hAnsi="Times New Roman" w:cs="Times New Roman"/>
          <w:color w:val="auto"/>
        </w:rPr>
        <w:t>）分布于西大翁、土顶子等基岩山区，地下水径流模数大多数为1.50～2.50L/S·km</w:t>
      </w:r>
      <w:r>
        <w:rPr>
          <w:rFonts w:hint="default" w:ascii="Times New Roman" w:hAnsi="Times New Roman" w:cs="Times New Roman"/>
          <w:color w:val="auto"/>
          <w:vertAlign w:val="superscript"/>
        </w:rPr>
        <w:t>2</w:t>
      </w:r>
      <w:r>
        <w:rPr>
          <w:rFonts w:hint="default" w:ascii="Times New Roman" w:hAnsi="Times New Roman" w:cs="Times New Roman"/>
          <w:color w:val="auto"/>
        </w:rPr>
        <w:t>。</w:t>
      </w:r>
    </w:p>
    <w:p w14:paraId="29E30B15">
      <w:pPr>
        <w:pStyle w:val="25"/>
        <w:bidi w:val="0"/>
        <w:rPr>
          <w:rFonts w:hint="default" w:ascii="Times New Roman" w:hAnsi="Times New Roman" w:cs="Times New Roman"/>
          <w:color w:val="auto"/>
        </w:rPr>
      </w:pPr>
      <w:r>
        <w:rPr>
          <w:rFonts w:hint="default" w:ascii="Times New Roman" w:hAnsi="Times New Roman" w:cs="Times New Roman"/>
          <w:color w:val="auto"/>
        </w:rPr>
        <w:t>c、水量贫乏的（径流模数&lt;1L/S·km</w:t>
      </w:r>
      <w:r>
        <w:rPr>
          <w:rFonts w:hint="default" w:ascii="Times New Roman" w:hAnsi="Times New Roman" w:cs="Times New Roman"/>
          <w:color w:val="auto"/>
          <w:vertAlign w:val="superscript"/>
        </w:rPr>
        <w:t>2</w:t>
      </w:r>
      <w:r>
        <w:rPr>
          <w:rFonts w:hint="default" w:ascii="Times New Roman" w:hAnsi="Times New Roman" w:cs="Times New Roman"/>
          <w:color w:val="auto"/>
        </w:rPr>
        <w:t>）分布于兰岭、滴道、大顶子山等地。地下水径流模数0.5～0.7&lt;1L/S·km</w:t>
      </w:r>
      <w:r>
        <w:rPr>
          <w:rFonts w:hint="default" w:ascii="Times New Roman" w:hAnsi="Times New Roman" w:cs="Times New Roman"/>
          <w:color w:val="auto"/>
          <w:vertAlign w:val="superscript"/>
        </w:rPr>
        <w:t>2</w:t>
      </w:r>
      <w:r>
        <w:rPr>
          <w:rFonts w:hint="default" w:ascii="Times New Roman" w:hAnsi="Times New Roman" w:cs="Times New Roman"/>
          <w:color w:val="auto"/>
        </w:rPr>
        <w:t>。</w:t>
      </w:r>
    </w:p>
    <w:p w14:paraId="0ACE3514">
      <w:pPr>
        <w:pStyle w:val="25"/>
        <w:bidi w:val="0"/>
        <w:rPr>
          <w:rFonts w:hint="default" w:ascii="Times New Roman" w:hAnsi="Times New Roman" w:cs="Times New Roman"/>
          <w:color w:val="auto"/>
        </w:rPr>
      </w:pPr>
      <w:r>
        <w:rPr>
          <w:rFonts w:hint="default" w:ascii="Times New Roman" w:hAnsi="Times New Roman" w:cs="Times New Roman"/>
          <w:color w:val="auto"/>
        </w:rPr>
        <w:t>玄武岩孔洞裂隙水分布于南部大面积玄武岩台地地带。含水层为第三纪玄武岩，具气孔构造和柱状节理。水位埋深1～16m，含水层厚2.4～24m，在坡脚或陡坎处，地下水自玄武岩中溢出成泉。据地下水径流模数分为三个富水级别：</w:t>
      </w:r>
    </w:p>
    <w:p w14:paraId="4ACE0E60">
      <w:pPr>
        <w:pStyle w:val="25"/>
        <w:bidi w:val="0"/>
        <w:rPr>
          <w:rFonts w:hint="default" w:ascii="Times New Roman" w:hAnsi="Times New Roman" w:cs="Times New Roman"/>
          <w:color w:val="auto"/>
        </w:rPr>
      </w:pPr>
      <w:r>
        <w:rPr>
          <w:rFonts w:hint="default" w:ascii="Times New Roman" w:hAnsi="Times New Roman" w:cs="Times New Roman"/>
          <w:color w:val="auto"/>
        </w:rPr>
        <w:t>a、水量丰富的（径流模数3～6L/S·km</w:t>
      </w:r>
      <w:r>
        <w:rPr>
          <w:rFonts w:hint="default" w:ascii="Times New Roman" w:hAnsi="Times New Roman" w:cs="Times New Roman"/>
          <w:color w:val="auto"/>
          <w:vertAlign w:val="superscript"/>
        </w:rPr>
        <w:t>2</w:t>
      </w:r>
      <w:r>
        <w:rPr>
          <w:rFonts w:hint="default" w:ascii="Times New Roman" w:hAnsi="Times New Roman" w:cs="Times New Roman"/>
          <w:color w:val="auto"/>
        </w:rPr>
        <w:t>）</w:t>
      </w:r>
    </w:p>
    <w:p w14:paraId="48D7F8E6">
      <w:pPr>
        <w:pStyle w:val="25"/>
        <w:bidi w:val="0"/>
        <w:rPr>
          <w:rFonts w:hint="default" w:ascii="Times New Roman" w:hAnsi="Times New Roman" w:cs="Times New Roman"/>
          <w:color w:val="auto"/>
        </w:rPr>
      </w:pPr>
      <w:r>
        <w:rPr>
          <w:rFonts w:hint="default" w:ascii="Times New Roman" w:hAnsi="Times New Roman" w:cs="Times New Roman"/>
          <w:color w:val="auto"/>
        </w:rPr>
        <w:t>分布于风山村东山～老防火站南山一线，第三纪玄武岩厚6～24m，气孔柱状节理发育，水量丰富，地下水径流模数3～6L/S·km</w:t>
      </w:r>
      <w:r>
        <w:rPr>
          <w:rFonts w:hint="default" w:ascii="Times New Roman" w:hAnsi="Times New Roman" w:cs="Times New Roman"/>
          <w:color w:val="auto"/>
          <w:vertAlign w:val="superscript"/>
        </w:rPr>
        <w:t>2</w:t>
      </w:r>
      <w:r>
        <w:rPr>
          <w:rFonts w:hint="default" w:ascii="Times New Roman" w:hAnsi="Times New Roman" w:cs="Times New Roman"/>
          <w:color w:val="auto"/>
        </w:rPr>
        <w:t>，泉流量多为0.2～0.6L/S。</w:t>
      </w:r>
    </w:p>
    <w:p w14:paraId="59864C14">
      <w:pPr>
        <w:pStyle w:val="25"/>
        <w:bidi w:val="0"/>
        <w:rPr>
          <w:rFonts w:hint="default" w:ascii="Times New Roman" w:hAnsi="Times New Roman" w:cs="Times New Roman"/>
          <w:color w:val="auto"/>
        </w:rPr>
      </w:pPr>
      <w:r>
        <w:rPr>
          <w:rFonts w:hint="default" w:ascii="Times New Roman" w:hAnsi="Times New Roman" w:cs="Times New Roman"/>
          <w:color w:val="auto"/>
        </w:rPr>
        <w:t>b、水量中等的（径流模数3～6L/S·km</w:t>
      </w:r>
      <w:r>
        <w:rPr>
          <w:rFonts w:hint="default" w:ascii="Times New Roman" w:hAnsi="Times New Roman" w:cs="Times New Roman"/>
          <w:color w:val="auto"/>
          <w:vertAlign w:val="superscript"/>
        </w:rPr>
        <w:t>2</w:t>
      </w:r>
      <w:r>
        <w:rPr>
          <w:rFonts w:hint="default" w:ascii="Times New Roman" w:hAnsi="Times New Roman" w:cs="Times New Roman"/>
          <w:color w:val="auto"/>
        </w:rPr>
        <w:t>）</w:t>
      </w:r>
    </w:p>
    <w:p w14:paraId="15EBFB6E">
      <w:pPr>
        <w:pStyle w:val="25"/>
        <w:bidi w:val="0"/>
        <w:rPr>
          <w:rFonts w:hint="default" w:ascii="Times New Roman" w:hAnsi="Times New Roman" w:cs="Times New Roman"/>
          <w:color w:val="auto"/>
        </w:rPr>
      </w:pPr>
      <w:r>
        <w:rPr>
          <w:rFonts w:hint="default" w:ascii="Times New Roman" w:hAnsi="Times New Roman" w:cs="Times New Roman"/>
          <w:color w:val="auto"/>
        </w:rPr>
        <w:t>分布于张家界南山、和平村西山一带，第三纪玄武岩厚4～13m，地下水径流模数1～3L/S·km</w:t>
      </w:r>
      <w:r>
        <w:rPr>
          <w:rFonts w:hint="default" w:ascii="Times New Roman" w:hAnsi="Times New Roman" w:cs="Times New Roman"/>
          <w:color w:val="auto"/>
          <w:vertAlign w:val="superscript"/>
        </w:rPr>
        <w:t>2</w:t>
      </w:r>
      <w:r>
        <w:rPr>
          <w:rFonts w:hint="default" w:ascii="Times New Roman" w:hAnsi="Times New Roman" w:cs="Times New Roman"/>
          <w:color w:val="auto"/>
        </w:rPr>
        <w:t>之间，泉流量0.1～0.4L/S。</w:t>
      </w:r>
    </w:p>
    <w:p w14:paraId="520926EF">
      <w:pPr>
        <w:pStyle w:val="25"/>
        <w:bidi w:val="0"/>
        <w:rPr>
          <w:rFonts w:hint="default" w:ascii="Times New Roman" w:hAnsi="Times New Roman" w:cs="Times New Roman"/>
          <w:color w:val="auto"/>
        </w:rPr>
      </w:pPr>
      <w:r>
        <w:rPr>
          <w:rFonts w:hint="default" w:ascii="Times New Roman" w:hAnsi="Times New Roman" w:cs="Times New Roman"/>
          <w:color w:val="auto"/>
        </w:rPr>
        <w:t>c、水量贫乏的（径流模数&lt;1L/S·km</w:t>
      </w:r>
      <w:r>
        <w:rPr>
          <w:rFonts w:hint="default" w:ascii="Times New Roman" w:hAnsi="Times New Roman" w:cs="Times New Roman"/>
          <w:color w:val="auto"/>
          <w:vertAlign w:val="superscript"/>
        </w:rPr>
        <w:t>2</w:t>
      </w:r>
      <w:r>
        <w:rPr>
          <w:rFonts w:hint="default" w:ascii="Times New Roman" w:hAnsi="Times New Roman" w:cs="Times New Roman"/>
          <w:color w:val="auto"/>
        </w:rPr>
        <w:t>）</w:t>
      </w:r>
    </w:p>
    <w:p w14:paraId="16AF68EB">
      <w:pPr>
        <w:pStyle w:val="25"/>
        <w:bidi w:val="0"/>
        <w:rPr>
          <w:rFonts w:hint="default" w:ascii="Times New Roman" w:hAnsi="Times New Roman" w:cs="Times New Roman"/>
          <w:color w:val="auto"/>
        </w:rPr>
      </w:pPr>
      <w:r>
        <w:rPr>
          <w:rFonts w:hint="default" w:ascii="Times New Roman" w:hAnsi="Times New Roman" w:cs="Times New Roman"/>
          <w:color w:val="auto"/>
        </w:rPr>
        <w:t>分布在玄武岩台地边缘，民主山～二道河北山附近，玄武岩厚2.4～7m，地下水径流模数&lt;1L/S·km</w:t>
      </w:r>
      <w:r>
        <w:rPr>
          <w:rFonts w:hint="default" w:ascii="Times New Roman" w:hAnsi="Times New Roman" w:cs="Times New Roman"/>
          <w:color w:val="auto"/>
          <w:vertAlign w:val="superscript"/>
        </w:rPr>
        <w:t>2</w:t>
      </w:r>
      <w:r>
        <w:rPr>
          <w:rFonts w:hint="default" w:ascii="Times New Roman" w:hAnsi="Times New Roman" w:cs="Times New Roman"/>
          <w:color w:val="auto"/>
        </w:rPr>
        <w:t>，泉流量一般在0.05～0.2L/S·km</w:t>
      </w:r>
      <w:r>
        <w:rPr>
          <w:rFonts w:hint="default" w:ascii="Times New Roman" w:hAnsi="Times New Roman" w:cs="Times New Roman"/>
          <w:color w:val="auto"/>
          <w:vertAlign w:val="superscript"/>
        </w:rPr>
        <w:t>2</w:t>
      </w:r>
      <w:r>
        <w:rPr>
          <w:rFonts w:hint="default" w:ascii="Times New Roman" w:hAnsi="Times New Roman" w:cs="Times New Roman"/>
          <w:color w:val="auto"/>
        </w:rPr>
        <w:t>。</w:t>
      </w:r>
    </w:p>
    <w:p w14:paraId="498FF250">
      <w:pPr>
        <w:pStyle w:val="25"/>
        <w:bidi w:val="0"/>
        <w:rPr>
          <w:rFonts w:hint="default" w:ascii="Times New Roman" w:hAnsi="Times New Roman" w:cs="Times New Roman"/>
          <w:color w:val="auto"/>
        </w:rPr>
      </w:pPr>
      <w:r>
        <w:rPr>
          <w:rFonts w:hint="default" w:ascii="Times New Roman" w:hAnsi="Times New Roman" w:cs="Times New Roman"/>
          <w:color w:val="auto"/>
        </w:rPr>
        <w:t>构造裂隙水主要分布于基岩山区。地下水赋存于构造断裂和侵入岩接触带中，呈脉状分布。大多具有承压性，局部自流。泉水量0.05～1L/S·km</w:t>
      </w:r>
      <w:r>
        <w:rPr>
          <w:rFonts w:hint="default" w:ascii="Times New Roman" w:hAnsi="Times New Roman" w:cs="Times New Roman"/>
          <w:color w:val="auto"/>
          <w:vertAlign w:val="superscript"/>
        </w:rPr>
        <w:t>2</w:t>
      </w:r>
      <w:r>
        <w:rPr>
          <w:rFonts w:hint="default" w:ascii="Times New Roman" w:hAnsi="Times New Roman" w:cs="Times New Roman"/>
          <w:color w:val="auto"/>
        </w:rPr>
        <w:t>。单井涌水量为170～1680m</w:t>
      </w:r>
      <w:r>
        <w:rPr>
          <w:rFonts w:hint="default" w:ascii="Times New Roman" w:hAnsi="Times New Roman" w:cs="Times New Roman"/>
          <w:color w:val="auto"/>
          <w:vertAlign w:val="superscript"/>
        </w:rPr>
        <w:t>3</w:t>
      </w:r>
      <w:r>
        <w:rPr>
          <w:rFonts w:hint="default" w:ascii="Times New Roman" w:hAnsi="Times New Roman" w:cs="Times New Roman"/>
          <w:color w:val="auto"/>
        </w:rPr>
        <w:t>/d。</w:t>
      </w:r>
    </w:p>
    <w:p w14:paraId="722C2558">
      <w:pPr>
        <w:pStyle w:val="5"/>
        <w:bidi w:val="0"/>
        <w:rPr>
          <w:rFonts w:hint="default" w:ascii="Times New Roman" w:hAnsi="Times New Roman" w:cs="Times New Roman"/>
          <w:color w:val="auto"/>
        </w:rPr>
      </w:pPr>
      <w:bookmarkStart w:id="232" w:name="_Toc92379976"/>
      <w:r>
        <w:rPr>
          <w:rFonts w:hint="default" w:ascii="Times New Roman" w:hAnsi="Times New Roman" w:cs="Times New Roman"/>
          <w:color w:val="auto"/>
        </w:rPr>
        <w:t>4.</w:t>
      </w:r>
      <w:r>
        <w:rPr>
          <w:rFonts w:hint="default" w:ascii="Times New Roman" w:hAnsi="Times New Roman" w:cs="Times New Roman"/>
          <w:color w:val="auto"/>
          <w:lang w:val="en-US" w:eastAsia="zh-CN"/>
        </w:rPr>
        <w:t>1.8.2</w:t>
      </w:r>
      <w:r>
        <w:rPr>
          <w:rFonts w:hint="default" w:ascii="Times New Roman" w:hAnsi="Times New Roman" w:cs="Times New Roman"/>
          <w:color w:val="auto"/>
        </w:rPr>
        <w:t>地下水补给、径流、排泄</w:t>
      </w:r>
      <w:bookmarkEnd w:id="232"/>
    </w:p>
    <w:p w14:paraId="4D399F29">
      <w:pPr>
        <w:pStyle w:val="25"/>
        <w:bidi w:val="0"/>
        <w:rPr>
          <w:rFonts w:hint="default" w:ascii="Times New Roman" w:hAnsi="Times New Roman" w:cs="Times New Roman"/>
          <w:color w:val="auto"/>
        </w:rPr>
      </w:pPr>
      <w:r>
        <w:rPr>
          <w:rFonts w:hint="default" w:ascii="Times New Roman" w:hAnsi="Times New Roman" w:cs="Times New Roman"/>
          <w:color w:val="auto"/>
        </w:rPr>
        <w:t>从区域来看，基岩山区和平原区地下水之间水力联系较差，由不透水或弱透水边界相接，可视为两个相对独立的地下水循环区。</w:t>
      </w:r>
    </w:p>
    <w:p w14:paraId="11575A77">
      <w:pPr>
        <w:pStyle w:val="25"/>
        <w:bidi w:val="0"/>
        <w:rPr>
          <w:rFonts w:hint="default" w:ascii="Times New Roman" w:hAnsi="Times New Roman" w:cs="Times New Roman"/>
          <w:color w:val="auto"/>
        </w:rPr>
      </w:pPr>
      <w:r>
        <w:rPr>
          <w:rFonts w:hint="default" w:ascii="Times New Roman" w:hAnsi="Times New Roman" w:cs="Times New Roman"/>
          <w:color w:val="auto"/>
        </w:rPr>
        <w:t>（1）基岩山区地下水补、径、排条件</w:t>
      </w:r>
    </w:p>
    <w:p w14:paraId="2DACDDF4">
      <w:pPr>
        <w:pStyle w:val="25"/>
        <w:bidi w:val="0"/>
        <w:rPr>
          <w:rFonts w:hint="default" w:ascii="Times New Roman" w:hAnsi="Times New Roman" w:cs="Times New Roman"/>
          <w:color w:val="auto"/>
        </w:rPr>
      </w:pPr>
      <w:r>
        <w:rPr>
          <w:rFonts w:hint="default" w:ascii="Times New Roman" w:hAnsi="Times New Roman" w:cs="Times New Roman"/>
          <w:color w:val="auto"/>
        </w:rPr>
        <w:t>基岩山区树枝状沟谷地形极其发育。大气降水是基岩裂隙水的补给来源，大气降水一部分蒸发，一部分形成地表径流，一部分入渗补给基岩裂隙水。当裂隙水受降水入渗透补给后，由于沟谷密并且坡度大，大多数经短途径流在坡脚附近溢出地表成泉水，或沿沟谷成小溪流汇入河流，或直接经地下渗流侧向补给地表水，极少量的在山间河谷出口处，以潜流形成补给平原区空隙水或在山区边缘出露成泉。</w:t>
      </w:r>
    </w:p>
    <w:p w14:paraId="3798531B">
      <w:pPr>
        <w:pStyle w:val="25"/>
        <w:bidi w:val="0"/>
        <w:rPr>
          <w:rFonts w:hint="default" w:ascii="Times New Roman" w:hAnsi="Times New Roman" w:cs="Times New Roman"/>
          <w:color w:val="auto"/>
        </w:rPr>
      </w:pPr>
      <w:r>
        <w:rPr>
          <w:rFonts w:hint="default" w:ascii="Times New Roman" w:hAnsi="Times New Roman" w:cs="Times New Roman"/>
          <w:color w:val="auto"/>
        </w:rPr>
        <w:t>基岩山区地下水的补、径、排受气候条件影响明显，在7～9月雨季降水量大，裂隙水得到大量入渗补给地下水水位升高，水动力条件好，地下水循环加速。在11月至次年五月，冬季地面冻结，隔断了上下运移，其中1～2月多数山区河流因冻结而断流，封闭了裂隙水的排泄通路。基岩裂隙水水位呈动态随降水量而波动，地下水水位变幅2.7～3.5m。</w:t>
      </w:r>
    </w:p>
    <w:p w14:paraId="2FD0A0DF">
      <w:pPr>
        <w:pStyle w:val="25"/>
        <w:bidi w:val="0"/>
        <w:rPr>
          <w:rFonts w:hint="default" w:ascii="Times New Roman" w:hAnsi="Times New Roman" w:cs="Times New Roman"/>
          <w:color w:val="auto"/>
        </w:rPr>
      </w:pPr>
      <w:r>
        <w:rPr>
          <w:rFonts w:hint="default" w:ascii="Times New Roman" w:hAnsi="Times New Roman" w:cs="Times New Roman"/>
          <w:color w:val="auto"/>
        </w:rPr>
        <w:t>（2）平原区地下水的补、径、排条件</w:t>
      </w:r>
    </w:p>
    <w:p w14:paraId="09FB3075">
      <w:pPr>
        <w:pStyle w:val="25"/>
        <w:bidi w:val="0"/>
        <w:rPr>
          <w:rFonts w:hint="default" w:ascii="Times New Roman" w:hAnsi="Times New Roman" w:cs="Times New Roman"/>
          <w:color w:val="auto"/>
        </w:rPr>
      </w:pPr>
      <w:r>
        <w:rPr>
          <w:rFonts w:hint="default" w:ascii="Times New Roman" w:hAnsi="Times New Roman" w:cs="Times New Roman"/>
          <w:color w:val="auto"/>
        </w:rPr>
        <w:t>平原区的松散岩类空隙水补给来源主要为大气降水，还有灌溉回渗水，以及渠道渗漏等多项补给。大气降水一部分蒸发，一部分入渗补给地下水。平原区地形平缓，地表径流迟滞，砂类土入渗量大，粘性土入渗量小。平原区中部地下水水力坡度小，为万分之四至万分之九，使地下水径流缓慢，而邻近江河岸边地下水水力坡度较大，为千分之二至千分之七，地下水径流较强。平原区地下水主要排泄到地表水体中，在地下水埋藏较浅的地带，地下水蒸发量占较大比例。另外，对平原区地下水影响较大的因素是季节性冻土的存在。平均季节性冻土存在的时间为197天，冻土厚1.6～2.0m，相当于在潜水面以上存在一个季节性隔水顶板，阻止了水分的上下运移。</w:t>
      </w:r>
    </w:p>
    <w:p w14:paraId="5C3E66BB">
      <w:pPr>
        <w:pStyle w:val="25"/>
        <w:bidi w:val="0"/>
        <w:rPr>
          <w:rFonts w:hint="eastAsia" w:ascii="Times New Roman" w:hAnsi="Times New Roman" w:eastAsia="宋体" w:cs="Times New Roman"/>
          <w:color w:val="auto"/>
          <w:lang w:val="en-US" w:eastAsia="zh-CN"/>
        </w:rPr>
      </w:pPr>
      <w:r>
        <w:rPr>
          <w:rFonts w:hint="default" w:ascii="Times New Roman" w:hAnsi="Times New Roman" w:cs="Times New Roman"/>
          <w:color w:val="auto"/>
        </w:rPr>
        <w:t>孔隙水的动态主要受大气降水控制。在7～9月雨季时，地下水水位上升，雨季过后，水位自然回落，11月至次年5月，降水量小，且多为降雪，基本上停止了对地下水的补给，地下水位持续下降。到4～5月冰雪消融，潜水位略有升高。年水位变幅一般为0.3～3m</w:t>
      </w:r>
      <w:r>
        <w:rPr>
          <w:rFonts w:hint="eastAsia" w:cs="Times New Roman"/>
          <w:color w:val="auto"/>
          <w:lang w:val="en-US" w:eastAsia="zh-CN"/>
        </w:rPr>
        <w:t>。</w:t>
      </w:r>
    </w:p>
    <w:p w14:paraId="0E69E947">
      <w:pPr>
        <w:pStyle w:val="5"/>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4.</w:t>
      </w:r>
      <w:r>
        <w:rPr>
          <w:rFonts w:hint="default" w:ascii="Times New Roman" w:hAnsi="Times New Roman" w:cs="Times New Roman"/>
          <w:color w:val="auto"/>
          <w:lang w:val="en-US" w:eastAsia="zh-CN"/>
        </w:rPr>
        <w:t>1.8.</w:t>
      </w:r>
      <w:r>
        <w:rPr>
          <w:rFonts w:hint="eastAsia" w:ascii="Times New Roman" w:hAnsi="Times New Roman" w:cs="Times New Roman"/>
          <w:color w:val="auto"/>
          <w:lang w:val="en-US" w:eastAsia="zh-CN"/>
        </w:rPr>
        <w:t>32#地块区域地质水文条件</w:t>
      </w:r>
    </w:p>
    <w:p w14:paraId="0FC9688A">
      <w:pPr>
        <w:pStyle w:val="25"/>
        <w:bidi w:val="0"/>
        <w:rPr>
          <w:rFonts w:hint="eastAsia" w:ascii="宋体" w:hAnsi="宋体" w:eastAsia="宋体" w:cs="宋体"/>
          <w:color w:val="auto"/>
          <w:sz w:val="24"/>
          <w:szCs w:val="24"/>
          <w:highlight w:val="none"/>
          <w:lang w:eastAsia="zh-CN"/>
        </w:rPr>
      </w:pPr>
      <w:r>
        <w:rPr>
          <w:rFonts w:hint="eastAsia" w:cs="Times New Roman"/>
          <w:color w:val="auto"/>
          <w:lang w:val="en-US" w:eastAsia="zh-CN"/>
        </w:rPr>
        <w:t>根据项目地块2#地块地勘报告，</w:t>
      </w:r>
      <w:r>
        <w:rPr>
          <w:rFonts w:hint="eastAsia" w:ascii="宋体" w:hAnsi="宋体" w:eastAsia="宋体" w:cs="宋体"/>
          <w:color w:val="auto"/>
          <w:kern w:val="0"/>
          <w:sz w:val="24"/>
          <w:szCs w:val="24"/>
          <w:highlight w:val="none"/>
          <w:lang w:val="en-US" w:eastAsia="zh-CN"/>
        </w:rPr>
        <w:t>勘察区所属地貌单元为丘陵区，区内地下水类型仅为基岩风化裂隙水</w:t>
      </w:r>
      <w:r>
        <w:rPr>
          <w:rStyle w:val="56"/>
          <w:rFonts w:hint="eastAsia" w:ascii="宋体" w:hAnsi="宋体" w:cs="宋体"/>
          <w:color w:val="auto"/>
          <w:sz w:val="24"/>
          <w:szCs w:val="24"/>
          <w:highlight w:val="none"/>
          <w:lang w:eastAsia="zh-CN"/>
        </w:rPr>
        <w:t>，</w:t>
      </w:r>
      <w:r>
        <w:rPr>
          <w:rStyle w:val="56"/>
          <w:rFonts w:hint="eastAsia" w:ascii="宋体" w:hAnsi="宋体" w:eastAsia="宋体" w:cs="宋体"/>
          <w:color w:val="auto"/>
          <w:sz w:val="24"/>
          <w:szCs w:val="24"/>
          <w:highlight w:val="none"/>
          <w:lang w:eastAsia="zh-CN"/>
        </w:rPr>
        <w:t>赋存于混合花岗岩风化带</w:t>
      </w:r>
      <w:r>
        <w:rPr>
          <w:rFonts w:hint="eastAsia" w:ascii="宋体" w:hAnsi="宋体" w:eastAsia="宋体" w:cs="宋体"/>
          <w:color w:val="auto"/>
          <w:kern w:val="0"/>
          <w:sz w:val="24"/>
          <w:szCs w:val="24"/>
          <w:highlight w:val="none"/>
          <w:lang w:val="en-US" w:eastAsia="zh-CN"/>
        </w:rPr>
        <w:t>中，在整个</w:t>
      </w:r>
      <w:r>
        <w:rPr>
          <w:rFonts w:hint="eastAsia" w:ascii="宋体" w:hAnsi="宋体" w:cs="宋体"/>
          <w:color w:val="auto"/>
          <w:kern w:val="0"/>
          <w:sz w:val="24"/>
          <w:szCs w:val="24"/>
          <w:highlight w:val="none"/>
          <w:lang w:val="en-US" w:eastAsia="zh-CN"/>
        </w:rPr>
        <w:t>勘察</w:t>
      </w:r>
      <w:r>
        <w:rPr>
          <w:rFonts w:hint="eastAsia" w:ascii="宋体" w:hAnsi="宋体" w:eastAsia="宋体" w:cs="宋体"/>
          <w:color w:val="auto"/>
          <w:kern w:val="0"/>
          <w:sz w:val="24"/>
          <w:szCs w:val="24"/>
          <w:highlight w:val="none"/>
          <w:lang w:val="en-US" w:eastAsia="zh-CN"/>
        </w:rPr>
        <w:t>区除采坑范围外分布，上覆第四系残坡积层，下伏完整混合花岗岩隔水层，含水层厚度为3.88-6.53m，渗透系数0.105-0.138m/d，单井涌水量0.78-1.36m</w:t>
      </w:r>
      <w:r>
        <w:rPr>
          <w:rFonts w:hint="eastAsia" w:ascii="宋体" w:hAnsi="宋体" w:eastAsia="宋体" w:cs="宋体"/>
          <w:color w:val="auto"/>
          <w:kern w:val="0"/>
          <w:sz w:val="24"/>
          <w:szCs w:val="24"/>
          <w:highlight w:val="none"/>
          <w:vertAlign w:val="superscript"/>
          <w:lang w:val="en-US" w:eastAsia="zh-CN"/>
        </w:rPr>
        <w:t>3</w:t>
      </w:r>
      <w:r>
        <w:rPr>
          <w:rFonts w:hint="eastAsia" w:ascii="宋体" w:hAnsi="宋体" w:eastAsia="宋体" w:cs="宋体"/>
          <w:color w:val="auto"/>
          <w:kern w:val="0"/>
          <w:sz w:val="24"/>
          <w:szCs w:val="24"/>
          <w:highlight w:val="none"/>
          <w:lang w:val="en-US" w:eastAsia="zh-CN"/>
        </w:rPr>
        <w:t>/d，单位涌水量0.20-0.28m</w:t>
      </w:r>
      <w:r>
        <w:rPr>
          <w:rFonts w:hint="eastAsia" w:ascii="宋体" w:hAnsi="宋体" w:eastAsia="宋体" w:cs="宋体"/>
          <w:color w:val="auto"/>
          <w:kern w:val="0"/>
          <w:sz w:val="24"/>
          <w:szCs w:val="24"/>
          <w:highlight w:val="none"/>
          <w:vertAlign w:val="superscript"/>
          <w:lang w:val="en-US" w:eastAsia="zh-CN"/>
        </w:rPr>
        <w:t>3</w:t>
      </w:r>
      <w:r>
        <w:rPr>
          <w:rFonts w:hint="eastAsia" w:ascii="宋体" w:hAnsi="宋体" w:eastAsia="宋体" w:cs="宋体"/>
          <w:color w:val="auto"/>
          <w:kern w:val="0"/>
          <w:sz w:val="24"/>
          <w:szCs w:val="24"/>
          <w:highlight w:val="none"/>
          <w:lang w:val="en-US" w:eastAsia="zh-CN"/>
        </w:rPr>
        <w:t>/（d</w:t>
      </w:r>
      <w:r>
        <w:rPr>
          <w:rFonts w:hint="eastAsia" w:ascii="宋体" w:hAnsi="宋体" w:eastAsia="宋体" w:cs="宋体"/>
          <w:color w:val="auto"/>
          <w:kern w:val="0"/>
          <w:sz w:val="13"/>
          <w:szCs w:val="13"/>
          <w:highlight w:val="none"/>
          <w:lang w:val="en-US" w:eastAsia="zh-CN"/>
        </w:rPr>
        <w:t>·</w:t>
      </w:r>
      <w:r>
        <w:rPr>
          <w:rFonts w:hint="eastAsia" w:ascii="宋体" w:hAnsi="宋体" w:eastAsia="宋体" w:cs="宋体"/>
          <w:color w:val="auto"/>
          <w:kern w:val="0"/>
          <w:sz w:val="24"/>
          <w:szCs w:val="24"/>
          <w:highlight w:val="none"/>
          <w:lang w:val="en-US" w:eastAsia="zh-CN"/>
        </w:rPr>
        <w:t>m），水量极贫乏。地下水的主要补给来源</w:t>
      </w:r>
      <w:r>
        <w:rPr>
          <w:rFonts w:hint="eastAsia" w:ascii="宋体" w:hAnsi="宋体" w:cs="宋体"/>
          <w:color w:val="auto"/>
          <w:kern w:val="0"/>
          <w:sz w:val="24"/>
          <w:szCs w:val="24"/>
          <w:highlight w:val="none"/>
          <w:lang w:val="en-US" w:eastAsia="zh-CN"/>
        </w:rPr>
        <w:t>是</w:t>
      </w:r>
      <w:r>
        <w:rPr>
          <w:rFonts w:hint="eastAsia" w:ascii="宋体" w:hAnsi="宋体" w:eastAsia="宋体" w:cs="宋体"/>
          <w:color w:val="auto"/>
          <w:kern w:val="0"/>
          <w:sz w:val="24"/>
          <w:szCs w:val="24"/>
          <w:highlight w:val="none"/>
          <w:lang w:val="en-US" w:eastAsia="zh-CN"/>
        </w:rPr>
        <w:t>大气降水的入渗和上游含水层的侧向径流补给，</w:t>
      </w:r>
      <w:r>
        <w:rPr>
          <w:rFonts w:hint="eastAsia" w:ascii="宋体" w:hAnsi="宋体" w:cs="宋体"/>
          <w:color w:val="auto"/>
          <w:sz w:val="24"/>
          <w:szCs w:val="24"/>
          <w:highlight w:val="none"/>
          <w:lang w:eastAsia="zh-CN"/>
        </w:rPr>
        <w:t>在地表切割含水层的地形低洼处流出汇集形成水坑或</w:t>
      </w:r>
      <w:r>
        <w:rPr>
          <w:rFonts w:hint="eastAsia" w:ascii="宋体" w:hAnsi="宋体" w:eastAsia="宋体" w:cs="宋体"/>
          <w:color w:val="auto"/>
          <w:sz w:val="24"/>
          <w:szCs w:val="24"/>
          <w:highlight w:val="none"/>
          <w:lang w:eastAsia="zh-CN"/>
        </w:rPr>
        <w:t>以侧向径流的形式向区外下游含水层进行排泄，</w:t>
      </w:r>
      <w:r>
        <w:rPr>
          <w:rFonts w:hint="eastAsia" w:ascii="宋体" w:hAnsi="宋体" w:eastAsia="宋体" w:cs="宋体"/>
          <w:color w:val="auto"/>
          <w:sz w:val="24"/>
          <w:szCs w:val="24"/>
          <w:highlight w:val="none"/>
          <w:lang w:val="en-US" w:eastAsia="zh-CN"/>
        </w:rPr>
        <w:t>项目区域地下水流向为西北至东南流向</w:t>
      </w:r>
      <w:r>
        <w:rPr>
          <w:rFonts w:hint="eastAsia" w:ascii="宋体" w:hAnsi="宋体" w:eastAsia="宋体" w:cs="宋体"/>
          <w:color w:val="auto"/>
          <w:sz w:val="24"/>
          <w:szCs w:val="24"/>
          <w:highlight w:val="none"/>
          <w:lang w:eastAsia="zh-CN"/>
        </w:rPr>
        <w:t>。</w:t>
      </w:r>
    </w:p>
    <w:p w14:paraId="10D8DF83">
      <w:pPr>
        <w:pStyle w:val="25"/>
        <w:bidi w:val="0"/>
        <w:rPr>
          <w:rFonts w:hint="default" w:ascii="Times New Roman" w:hAnsi="Times New Roman" w:cs="Times New Roman"/>
          <w:color w:val="auto"/>
        </w:rPr>
      </w:pPr>
      <w:r>
        <w:rPr>
          <w:rFonts w:hint="eastAsia" w:cs="Times New Roman"/>
          <w:color w:val="auto"/>
          <w:lang w:val="en-US" w:eastAsia="zh-CN"/>
        </w:rPr>
        <w:t>采坑区围岩岩土体分布情况及水文地质特性由上至下依次为：第一层是以砂土及碎石为主的第四系残坡积层或碎石、砂，分布于采坑岩壁的顶部，二者透水性中等，属透水层；第二层是混合花岗岩风化带，</w:t>
      </w:r>
      <w:r>
        <w:rPr>
          <w:rFonts w:hint="eastAsia" w:ascii="宋体" w:hAnsi="宋体" w:eastAsia="宋体" w:cs="宋体"/>
          <w:color w:val="auto"/>
          <w:sz w:val="24"/>
          <w:szCs w:val="24"/>
          <w:highlight w:val="none"/>
          <w:lang w:eastAsia="zh-CN"/>
        </w:rPr>
        <w:t>岩性为灰黑色混合花岗岩，斑状结构，块状构造，矿物成分由石英、长石及云母构成，厚度可达数百米，，该地层</w:t>
      </w:r>
      <w:r>
        <w:rPr>
          <w:rFonts w:hint="eastAsia" w:ascii="宋体" w:hAnsi="宋体" w:cs="宋体"/>
          <w:color w:val="auto"/>
          <w:sz w:val="24"/>
          <w:szCs w:val="24"/>
          <w:highlight w:val="none"/>
          <w:lang w:eastAsia="zh-CN"/>
        </w:rPr>
        <w:t>近地表</w:t>
      </w:r>
      <w:r>
        <w:rPr>
          <w:rFonts w:hint="eastAsia" w:ascii="宋体" w:hAnsi="宋体" w:eastAsia="宋体" w:cs="宋体"/>
          <w:color w:val="auto"/>
          <w:sz w:val="24"/>
          <w:szCs w:val="24"/>
          <w:highlight w:val="none"/>
          <w:lang w:eastAsia="zh-CN"/>
        </w:rPr>
        <w:t>风化作用强烈</w:t>
      </w:r>
      <w:r>
        <w:rPr>
          <w:rFonts w:hint="eastAsia" w:ascii="宋体" w:hAnsi="宋体" w:eastAsia="宋体" w:cs="宋体"/>
          <w:color w:val="auto"/>
          <w:sz w:val="24"/>
          <w:szCs w:val="24"/>
          <w:highlight w:val="none"/>
          <w:lang w:val="en-US" w:eastAsia="zh-CN"/>
        </w:rPr>
        <w:t>，风化带厚度5-15m，</w:t>
      </w:r>
      <w:r>
        <w:rPr>
          <w:rFonts w:hint="eastAsia" w:ascii="宋体" w:hAnsi="宋体" w:eastAsia="宋体" w:cs="宋体"/>
          <w:color w:val="auto"/>
          <w:sz w:val="24"/>
          <w:szCs w:val="24"/>
          <w:highlight w:val="none"/>
          <w:lang w:eastAsia="zh-CN"/>
        </w:rPr>
        <w:t>下部为完整基岩地层</w:t>
      </w:r>
      <w:r>
        <w:rPr>
          <w:rFonts w:hint="eastAsia" w:cs="Times New Roman"/>
          <w:color w:val="auto"/>
          <w:lang w:val="en-US" w:eastAsia="zh-CN"/>
        </w:rPr>
        <w:t>，厚度5-15m，渗透系数1.2-1.6×10</w:t>
      </w:r>
      <w:r>
        <w:rPr>
          <w:rFonts w:hint="eastAsia" w:cs="Times New Roman"/>
          <w:color w:val="auto"/>
          <w:vertAlign w:val="superscript"/>
          <w:lang w:val="en-US" w:eastAsia="zh-CN"/>
        </w:rPr>
        <w:t>-4</w:t>
      </w:r>
      <w:r>
        <w:rPr>
          <w:rFonts w:hint="eastAsia" w:cs="Times New Roman"/>
          <w:color w:val="auto"/>
          <w:lang w:val="en-US" w:eastAsia="zh-CN"/>
        </w:rPr>
        <w:t>cm/d，透水性弱，赋存地下水，属含水层；第三层是完整的混合花岗岩岩层，稳定的分布于采坑岩壁的下部及采坑底部，厚度&gt;5m，渗透系数3.2-4.2×10</w:t>
      </w:r>
      <w:r>
        <w:rPr>
          <w:rFonts w:hint="eastAsia" w:cs="Times New Roman"/>
          <w:color w:val="auto"/>
          <w:vertAlign w:val="superscript"/>
          <w:lang w:val="en-US" w:eastAsia="zh-CN"/>
        </w:rPr>
        <w:t>-6</w:t>
      </w:r>
      <w:r>
        <w:rPr>
          <w:rFonts w:hint="eastAsia" w:cs="Times New Roman"/>
          <w:color w:val="auto"/>
          <w:lang w:val="en-US" w:eastAsia="zh-CN"/>
        </w:rPr>
        <w:t>cm/d，透水性微，属于隔水层。</w:t>
      </w:r>
    </w:p>
    <w:p w14:paraId="7E066897">
      <w:pPr>
        <w:pStyle w:val="27"/>
        <w:bidi w:val="0"/>
        <w:rPr>
          <w:rFonts w:hint="eastAsia" w:ascii="Times New Roman" w:hAnsi="Times New Roman" w:eastAsia="宋体" w:cs="Times New Roman"/>
          <w:color w:val="auto"/>
          <w:lang w:eastAsia="zh-CN"/>
        </w:rPr>
      </w:pPr>
      <w:bookmarkStart w:id="233" w:name="_Toc6702"/>
      <w:r>
        <w:rPr>
          <w:rFonts w:hint="eastAsia" w:ascii="Times New Roman" w:hAnsi="Times New Roman" w:eastAsia="宋体" w:cs="Times New Roman"/>
          <w:color w:val="auto"/>
          <w:lang w:eastAsia="zh-CN"/>
        </w:rPr>
        <w:t>表</w:t>
      </w:r>
      <w:r>
        <w:rPr>
          <w:rFonts w:hint="eastAsia" w:ascii="Times New Roman" w:hAnsi="Times New Roman" w:eastAsia="宋体" w:cs="Times New Roman"/>
          <w:color w:val="auto"/>
          <w:lang w:val="en-US" w:eastAsia="zh-CN"/>
        </w:rPr>
        <w:t>4-1-6  区域</w:t>
      </w:r>
      <w:r>
        <w:rPr>
          <w:rFonts w:hint="eastAsia" w:ascii="Times New Roman" w:hAnsi="Times New Roman" w:eastAsia="宋体" w:cs="Times New Roman"/>
          <w:color w:val="auto"/>
          <w:lang w:eastAsia="zh-CN"/>
        </w:rPr>
        <w:t>基岩风化裂隙水水文地质参数统计表</w:t>
      </w:r>
    </w:p>
    <w:tbl>
      <w:tblPr>
        <w:tblStyle w:val="21"/>
        <w:tblpPr w:leftFromText="180" w:rightFromText="180" w:vertAnchor="text" w:horzAnchor="page" w:tblpX="1787" w:tblpY="77"/>
        <w:tblOverlap w:val="never"/>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66"/>
        <w:gridCol w:w="1275"/>
        <w:gridCol w:w="1744"/>
        <w:gridCol w:w="1510"/>
        <w:gridCol w:w="1510"/>
        <w:gridCol w:w="1512"/>
      </w:tblGrid>
      <w:tr w14:paraId="20B353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567" w:type="pct"/>
            <w:tcBorders>
              <w:tl2br w:val="nil"/>
              <w:tr2bl w:val="nil"/>
            </w:tcBorders>
            <w:noWrap w:val="0"/>
            <w:vAlign w:val="center"/>
          </w:tcPr>
          <w:p w14:paraId="455F1C67">
            <w:pPr>
              <w:pStyle w:val="57"/>
              <w:widowControl w:val="0"/>
              <w:bidi w:val="0"/>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孔号</w:t>
            </w:r>
          </w:p>
        </w:tc>
        <w:tc>
          <w:tcPr>
            <w:tcW w:w="748" w:type="pct"/>
            <w:tcBorders>
              <w:tl2br w:val="nil"/>
              <w:tr2bl w:val="nil"/>
            </w:tcBorders>
            <w:noWrap w:val="0"/>
            <w:vAlign w:val="center"/>
          </w:tcPr>
          <w:p w14:paraId="74F7344B">
            <w:pPr>
              <w:pStyle w:val="57"/>
              <w:widowControl w:val="0"/>
              <w:bidi w:val="0"/>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孔深</w:t>
            </w:r>
          </w:p>
          <w:p w14:paraId="2BBA3E64">
            <w:pPr>
              <w:pStyle w:val="57"/>
              <w:widowControl w:val="0"/>
              <w:bidi w:val="0"/>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m</w:t>
            </w:r>
            <w:r>
              <w:rPr>
                <w:rFonts w:hint="eastAsia" w:ascii="宋体" w:hAnsi="宋体" w:eastAsia="宋体" w:cs="宋体"/>
                <w:color w:val="auto"/>
                <w:highlight w:val="none"/>
                <w:lang w:eastAsia="zh-CN"/>
              </w:rPr>
              <w:t>）</w:t>
            </w:r>
          </w:p>
        </w:tc>
        <w:tc>
          <w:tcPr>
            <w:tcW w:w="1023" w:type="pct"/>
            <w:tcBorders>
              <w:tl2br w:val="nil"/>
              <w:tr2bl w:val="nil"/>
            </w:tcBorders>
            <w:noWrap w:val="0"/>
            <w:vAlign w:val="center"/>
          </w:tcPr>
          <w:p w14:paraId="2F11BC1A">
            <w:pPr>
              <w:pStyle w:val="57"/>
              <w:widowControl w:val="0"/>
              <w:bidi w:val="0"/>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含水层厚度（</w:t>
            </w:r>
            <w:r>
              <w:rPr>
                <w:rFonts w:hint="eastAsia" w:ascii="宋体" w:hAnsi="宋体" w:eastAsia="宋体" w:cs="宋体"/>
                <w:color w:val="auto"/>
                <w:highlight w:val="none"/>
                <w:lang w:val="en-US" w:eastAsia="zh-CN"/>
              </w:rPr>
              <w:t>m</w:t>
            </w:r>
            <w:r>
              <w:rPr>
                <w:rFonts w:hint="eastAsia" w:ascii="宋体" w:hAnsi="宋体" w:eastAsia="宋体" w:cs="宋体"/>
                <w:color w:val="auto"/>
                <w:highlight w:val="none"/>
                <w:lang w:eastAsia="zh-CN"/>
              </w:rPr>
              <w:t>）</w:t>
            </w:r>
          </w:p>
        </w:tc>
        <w:tc>
          <w:tcPr>
            <w:tcW w:w="886" w:type="pct"/>
            <w:tcBorders>
              <w:tl2br w:val="nil"/>
              <w:tr2bl w:val="nil"/>
            </w:tcBorders>
            <w:noWrap w:val="0"/>
            <w:vAlign w:val="center"/>
          </w:tcPr>
          <w:p w14:paraId="013F9985">
            <w:pPr>
              <w:pStyle w:val="57"/>
              <w:widowControl w:val="0"/>
              <w:bidi w:val="0"/>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eastAsia="zh-CN"/>
              </w:rPr>
              <w:t>涌水量（</w:t>
            </w:r>
            <w:r>
              <w:rPr>
                <w:rFonts w:hint="eastAsia" w:ascii="宋体" w:hAnsi="宋体" w:eastAsia="宋体" w:cs="宋体"/>
                <w:color w:val="auto"/>
                <w:highlight w:val="none"/>
                <w:lang w:val="en-US" w:eastAsia="zh-CN"/>
              </w:rPr>
              <w:t>m</w:t>
            </w:r>
            <w:r>
              <w:rPr>
                <w:rFonts w:hint="eastAsia" w:ascii="宋体" w:hAnsi="宋体" w:eastAsia="宋体" w:cs="宋体"/>
                <w:color w:val="auto"/>
                <w:highlight w:val="none"/>
                <w:vertAlign w:val="superscript"/>
                <w:lang w:val="en-US" w:eastAsia="zh-CN"/>
              </w:rPr>
              <w:t>3</w:t>
            </w:r>
            <w:r>
              <w:rPr>
                <w:rFonts w:hint="eastAsia" w:ascii="宋体" w:hAnsi="宋体" w:eastAsia="宋体" w:cs="宋体"/>
                <w:color w:val="auto"/>
                <w:highlight w:val="none"/>
                <w:lang w:val="en-US" w:eastAsia="zh-CN"/>
              </w:rPr>
              <w:t>/d</w:t>
            </w:r>
            <w:r>
              <w:rPr>
                <w:rFonts w:hint="eastAsia" w:ascii="宋体" w:hAnsi="宋体" w:eastAsia="宋体" w:cs="宋体"/>
                <w:color w:val="auto"/>
                <w:highlight w:val="none"/>
                <w:lang w:eastAsia="zh-CN"/>
              </w:rPr>
              <w:t>）</w:t>
            </w:r>
          </w:p>
        </w:tc>
        <w:tc>
          <w:tcPr>
            <w:tcW w:w="886" w:type="pct"/>
            <w:tcBorders>
              <w:tl2br w:val="nil"/>
              <w:tr2bl w:val="nil"/>
            </w:tcBorders>
            <w:noWrap w:val="0"/>
            <w:vAlign w:val="center"/>
          </w:tcPr>
          <w:p w14:paraId="05C6B9F1">
            <w:pPr>
              <w:pStyle w:val="57"/>
              <w:widowControl w:val="0"/>
              <w:bidi w:val="0"/>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水位降深</w:t>
            </w:r>
          </w:p>
          <w:p w14:paraId="33E0CB20">
            <w:pPr>
              <w:pStyle w:val="57"/>
              <w:widowControl w:val="0"/>
              <w:bidi w:val="0"/>
              <w:rPr>
                <w:rFonts w:hint="eastAsia" w:ascii="宋体" w:hAnsi="宋体" w:eastAsia="宋体" w:cs="宋体"/>
                <w:color w:val="auto"/>
                <w:highlight w:val="none"/>
                <w:lang w:eastAsia="zh-CN"/>
              </w:rPr>
            </w:pPr>
            <w:r>
              <w:rPr>
                <w:rFonts w:hint="eastAsia" w:ascii="宋体" w:hAnsi="宋体" w:eastAsia="宋体" w:cs="宋体"/>
                <w:color w:val="auto"/>
                <w:highlight w:val="none"/>
                <w:lang w:val="en-US" w:eastAsia="zh-CN"/>
              </w:rPr>
              <w:t>（m）</w:t>
            </w:r>
          </w:p>
        </w:tc>
        <w:tc>
          <w:tcPr>
            <w:tcW w:w="887" w:type="pct"/>
            <w:tcBorders>
              <w:tl2br w:val="nil"/>
              <w:tr2bl w:val="nil"/>
            </w:tcBorders>
            <w:noWrap w:val="0"/>
            <w:vAlign w:val="center"/>
          </w:tcPr>
          <w:p w14:paraId="5962DB54">
            <w:pPr>
              <w:pStyle w:val="57"/>
              <w:widowControl w:val="0"/>
              <w:bidi w:val="0"/>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渗透系数</w:t>
            </w:r>
            <w:r>
              <w:rPr>
                <w:rFonts w:hint="eastAsia" w:ascii="宋体" w:hAnsi="宋体" w:eastAsia="宋体" w:cs="宋体"/>
                <w:color w:val="auto"/>
                <w:highlight w:val="none"/>
                <w:lang w:val="en-US" w:eastAsia="zh-CN"/>
              </w:rPr>
              <w:t>（m/d）</w:t>
            </w:r>
          </w:p>
        </w:tc>
      </w:tr>
      <w:tr w14:paraId="522331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7" w:type="pct"/>
            <w:tcBorders>
              <w:tl2br w:val="nil"/>
              <w:tr2bl w:val="nil"/>
            </w:tcBorders>
            <w:noWrap w:val="0"/>
            <w:vAlign w:val="center"/>
          </w:tcPr>
          <w:p w14:paraId="3DAC274A">
            <w:pPr>
              <w:pStyle w:val="57"/>
              <w:widowControl w:val="0"/>
              <w:bidi w:val="0"/>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SK01</w:t>
            </w:r>
          </w:p>
        </w:tc>
        <w:tc>
          <w:tcPr>
            <w:tcW w:w="748" w:type="pct"/>
            <w:tcBorders>
              <w:tl2br w:val="nil"/>
              <w:tr2bl w:val="nil"/>
            </w:tcBorders>
            <w:noWrap w:val="0"/>
            <w:vAlign w:val="center"/>
          </w:tcPr>
          <w:p w14:paraId="3CEBD43F">
            <w:pPr>
              <w:pStyle w:val="57"/>
              <w:widowControl w:val="0"/>
              <w:bidi w:val="0"/>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18</w:t>
            </w:r>
          </w:p>
        </w:tc>
        <w:tc>
          <w:tcPr>
            <w:tcW w:w="1023" w:type="pct"/>
            <w:tcBorders>
              <w:tl2br w:val="nil"/>
              <w:tr2bl w:val="nil"/>
            </w:tcBorders>
            <w:noWrap w:val="0"/>
            <w:vAlign w:val="center"/>
          </w:tcPr>
          <w:p w14:paraId="011941E6">
            <w:pPr>
              <w:pStyle w:val="57"/>
              <w:widowControl w:val="0"/>
              <w:bidi w:val="0"/>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4.85</w:t>
            </w:r>
          </w:p>
        </w:tc>
        <w:tc>
          <w:tcPr>
            <w:tcW w:w="886" w:type="pct"/>
            <w:tcBorders>
              <w:tl2br w:val="nil"/>
              <w:tr2bl w:val="nil"/>
            </w:tcBorders>
            <w:noWrap w:val="0"/>
            <w:vAlign w:val="center"/>
          </w:tcPr>
          <w:p w14:paraId="2BF2E9A9">
            <w:pPr>
              <w:pStyle w:val="57"/>
              <w:widowControl w:val="0"/>
              <w:bidi w:val="0"/>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1.36</w:t>
            </w:r>
          </w:p>
        </w:tc>
        <w:tc>
          <w:tcPr>
            <w:tcW w:w="886" w:type="pct"/>
            <w:tcBorders>
              <w:tl2br w:val="nil"/>
              <w:tr2bl w:val="nil"/>
            </w:tcBorders>
            <w:noWrap w:val="0"/>
            <w:vAlign w:val="center"/>
          </w:tcPr>
          <w:p w14:paraId="53C112B2">
            <w:pPr>
              <w:pStyle w:val="57"/>
              <w:widowControl w:val="0"/>
              <w:bidi w:val="0"/>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1.25</w:t>
            </w:r>
          </w:p>
        </w:tc>
        <w:tc>
          <w:tcPr>
            <w:tcW w:w="887" w:type="pct"/>
            <w:tcBorders>
              <w:tl2br w:val="nil"/>
              <w:tr2bl w:val="nil"/>
            </w:tcBorders>
            <w:noWrap w:val="0"/>
            <w:vAlign w:val="center"/>
          </w:tcPr>
          <w:p w14:paraId="0D53459B">
            <w:pPr>
              <w:pStyle w:val="57"/>
              <w:widowControl w:val="0"/>
              <w:bidi w:val="0"/>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0.138</w:t>
            </w:r>
          </w:p>
        </w:tc>
      </w:tr>
      <w:tr w14:paraId="5BD8EF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7" w:type="pct"/>
            <w:tcBorders>
              <w:tl2br w:val="nil"/>
              <w:tr2bl w:val="nil"/>
            </w:tcBorders>
            <w:noWrap w:val="0"/>
            <w:vAlign w:val="center"/>
          </w:tcPr>
          <w:p w14:paraId="405FA4B3">
            <w:pPr>
              <w:pStyle w:val="57"/>
              <w:widowControl w:val="0"/>
              <w:bidi w:val="0"/>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SK02</w:t>
            </w:r>
          </w:p>
        </w:tc>
        <w:tc>
          <w:tcPr>
            <w:tcW w:w="748" w:type="pct"/>
            <w:tcBorders>
              <w:tl2br w:val="nil"/>
              <w:tr2bl w:val="nil"/>
            </w:tcBorders>
            <w:noWrap w:val="0"/>
            <w:vAlign w:val="center"/>
          </w:tcPr>
          <w:p w14:paraId="456D39E3">
            <w:pPr>
              <w:pStyle w:val="57"/>
              <w:widowControl w:val="0"/>
              <w:bidi w:val="0"/>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14</w:t>
            </w:r>
          </w:p>
        </w:tc>
        <w:tc>
          <w:tcPr>
            <w:tcW w:w="1023" w:type="pct"/>
            <w:tcBorders>
              <w:tl2br w:val="nil"/>
              <w:tr2bl w:val="nil"/>
            </w:tcBorders>
            <w:noWrap w:val="0"/>
            <w:vAlign w:val="center"/>
          </w:tcPr>
          <w:p w14:paraId="5DF59BF9">
            <w:pPr>
              <w:pStyle w:val="57"/>
              <w:widowControl w:val="0"/>
              <w:bidi w:val="0"/>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3.88</w:t>
            </w:r>
          </w:p>
        </w:tc>
        <w:tc>
          <w:tcPr>
            <w:tcW w:w="886" w:type="pct"/>
            <w:tcBorders>
              <w:tl2br w:val="nil"/>
              <w:tr2bl w:val="nil"/>
            </w:tcBorders>
            <w:noWrap w:val="0"/>
            <w:vAlign w:val="center"/>
          </w:tcPr>
          <w:p w14:paraId="46263349">
            <w:pPr>
              <w:pStyle w:val="57"/>
              <w:widowControl w:val="0"/>
              <w:bidi w:val="0"/>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0.78</w:t>
            </w:r>
          </w:p>
        </w:tc>
        <w:tc>
          <w:tcPr>
            <w:tcW w:w="886" w:type="pct"/>
            <w:tcBorders>
              <w:tl2br w:val="nil"/>
              <w:tr2bl w:val="nil"/>
            </w:tcBorders>
            <w:noWrap w:val="0"/>
            <w:vAlign w:val="center"/>
          </w:tcPr>
          <w:p w14:paraId="077CB6CA">
            <w:pPr>
              <w:pStyle w:val="57"/>
              <w:widowControl w:val="0"/>
              <w:bidi w:val="0"/>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1.04</w:t>
            </w:r>
          </w:p>
        </w:tc>
        <w:tc>
          <w:tcPr>
            <w:tcW w:w="887" w:type="pct"/>
            <w:tcBorders>
              <w:tl2br w:val="nil"/>
              <w:tr2bl w:val="nil"/>
            </w:tcBorders>
            <w:noWrap w:val="0"/>
            <w:vAlign w:val="center"/>
          </w:tcPr>
          <w:p w14:paraId="603DF0EE">
            <w:pPr>
              <w:pStyle w:val="57"/>
              <w:widowControl w:val="0"/>
              <w:bidi w:val="0"/>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0.105</w:t>
            </w:r>
          </w:p>
        </w:tc>
      </w:tr>
    </w:tbl>
    <w:p w14:paraId="5C71521B">
      <w:pPr>
        <w:pStyle w:val="27"/>
        <w:bidi w:val="0"/>
        <w:ind w:left="0" w:leftChars="0" w:firstLine="0" w:firstLineChars="0"/>
        <w:jc w:val="both"/>
        <w:rPr>
          <w:color w:val="auto"/>
        </w:rPr>
      </w:pPr>
      <w:r>
        <w:rPr>
          <w:color w:val="auto"/>
        </w:rPr>
        <w:drawing>
          <wp:inline distT="0" distB="0" distL="114300" distR="114300">
            <wp:extent cx="5272405" cy="3810635"/>
            <wp:effectExtent l="0" t="0" r="4445" b="18415"/>
            <wp:docPr id="4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6"/>
                    <pic:cNvPicPr>
                      <a:picLocks noChangeAspect="1"/>
                    </pic:cNvPicPr>
                  </pic:nvPicPr>
                  <pic:blipFill>
                    <a:blip r:embed="rId65"/>
                    <a:stretch>
                      <a:fillRect/>
                    </a:stretch>
                  </pic:blipFill>
                  <pic:spPr>
                    <a:xfrm>
                      <a:off x="0" y="0"/>
                      <a:ext cx="5272405" cy="3810635"/>
                    </a:xfrm>
                    <a:prstGeom prst="rect">
                      <a:avLst/>
                    </a:prstGeom>
                    <a:noFill/>
                    <a:ln>
                      <a:noFill/>
                    </a:ln>
                  </pic:spPr>
                </pic:pic>
              </a:graphicData>
            </a:graphic>
          </wp:inline>
        </w:drawing>
      </w:r>
    </w:p>
    <w:p w14:paraId="3BAEE1D9">
      <w:pPr>
        <w:pStyle w:val="27"/>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图4-1-</w:t>
      </w:r>
      <w:r>
        <w:rPr>
          <w:rFonts w:hint="eastAsia" w:ascii="Times New Roman" w:hAnsi="Times New Roman" w:eastAsia="宋体" w:cs="Times New Roman"/>
          <w:color w:val="auto"/>
          <w:lang w:val="en-US" w:eastAsia="zh-CN"/>
        </w:rPr>
        <w:t>3</w:t>
      </w:r>
      <w:r>
        <w:rPr>
          <w:rFonts w:hint="eastAsia" w:cs="Times New Roman"/>
          <w:color w:val="auto"/>
          <w:lang w:val="en-US" w:eastAsia="zh-CN"/>
        </w:rPr>
        <w:t xml:space="preserve"> 2#地块区域水文地质图</w:t>
      </w:r>
    </w:p>
    <w:p w14:paraId="67449005">
      <w:pPr>
        <w:rPr>
          <w:rFonts w:hint="eastAsia"/>
          <w:color w:val="auto"/>
          <w:lang w:eastAsia="zh-CN"/>
        </w:rPr>
      </w:pPr>
    </w:p>
    <w:p w14:paraId="13D2077F">
      <w:pPr>
        <w:ind w:left="0" w:leftChars="0" w:firstLine="0" w:firstLineChars="0"/>
        <w:rPr>
          <w:rFonts w:hint="eastAsia" w:ascii="宋体" w:hAnsi="宋体" w:eastAsia="宋体" w:cs="宋体"/>
          <w:color w:val="auto"/>
          <w:vertAlign w:val="baseline"/>
          <w:lang w:val="en-US" w:eastAsia="zh-CN"/>
        </w:rPr>
      </w:pPr>
      <w:r>
        <w:rPr>
          <w:rFonts w:hint="eastAsia" w:ascii="宋体" w:hAnsi="宋体" w:eastAsia="宋体" w:cs="宋体"/>
          <w:color w:val="auto"/>
          <w:vertAlign w:val="baseline"/>
          <w:lang w:val="en-US" w:eastAsia="zh-CN"/>
        </w:rPr>
        <w:drawing>
          <wp:inline distT="0" distB="0" distL="114300" distR="114300">
            <wp:extent cx="5315585" cy="6302375"/>
            <wp:effectExtent l="0" t="0" r="0" b="0"/>
            <wp:docPr id="41" name="图片 5" descr="ZK6柱状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5" descr="ZK6柱状图"/>
                    <pic:cNvPicPr>
                      <a:picLocks noChangeAspect="1"/>
                    </pic:cNvPicPr>
                  </pic:nvPicPr>
                  <pic:blipFill>
                    <a:blip r:embed="rId66"/>
                    <a:srcRect l="15073" t="4808" r="15218" b="-1599"/>
                    <a:stretch>
                      <a:fillRect/>
                    </a:stretch>
                  </pic:blipFill>
                  <pic:spPr>
                    <a:xfrm>
                      <a:off x="0" y="0"/>
                      <a:ext cx="5315585" cy="6302375"/>
                    </a:xfrm>
                    <a:prstGeom prst="rect">
                      <a:avLst/>
                    </a:prstGeom>
                    <a:noFill/>
                    <a:ln>
                      <a:noFill/>
                    </a:ln>
                  </pic:spPr>
                </pic:pic>
              </a:graphicData>
            </a:graphic>
          </wp:inline>
        </w:drawing>
      </w:r>
    </w:p>
    <w:p w14:paraId="3F589652">
      <w:pPr>
        <w:pStyle w:val="27"/>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图4-1-</w:t>
      </w:r>
      <w:r>
        <w:rPr>
          <w:rFonts w:hint="eastAsia" w:cs="Times New Roman"/>
          <w:color w:val="auto"/>
          <w:lang w:val="en-US" w:eastAsia="zh-CN"/>
        </w:rPr>
        <w:t>4</w:t>
      </w:r>
      <w:r>
        <w:rPr>
          <w:rFonts w:hint="eastAsia" w:ascii="Times New Roman" w:hAnsi="Times New Roman" w:eastAsia="宋体" w:cs="Times New Roman"/>
          <w:color w:val="auto"/>
          <w:lang w:val="en-US" w:eastAsia="zh-CN"/>
        </w:rPr>
        <w:t xml:space="preserve"> SK01钻孔水文地址柱状图</w:t>
      </w:r>
    </w:p>
    <w:p w14:paraId="473AA4BE">
      <w:pPr>
        <w:pStyle w:val="39"/>
        <w:keepNext w:val="0"/>
        <w:keepLines/>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outlineLvl w:val="9"/>
        <w:rPr>
          <w:rFonts w:hint="default" w:ascii="Times New Roman" w:hAnsi="Times New Roman" w:cs="Times New Roman"/>
          <w:color w:val="auto"/>
        </w:rPr>
      </w:pPr>
      <w:r>
        <w:rPr>
          <w:rFonts w:hint="eastAsia" w:ascii="宋体" w:hAnsi="宋体" w:eastAsia="宋体" w:cs="宋体"/>
          <w:color w:val="auto"/>
          <w:vertAlign w:val="baseline"/>
          <w:lang w:val="en-US" w:eastAsia="zh-CN"/>
        </w:rPr>
        <w:drawing>
          <wp:inline distT="0" distB="0" distL="114300" distR="114300">
            <wp:extent cx="4956810" cy="6830695"/>
            <wp:effectExtent l="0" t="0" r="0" b="0"/>
            <wp:docPr id="42" name="图片 6" descr="ZK7柱状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6" descr="ZK7柱状图"/>
                    <pic:cNvPicPr>
                      <a:picLocks noChangeAspect="1"/>
                    </pic:cNvPicPr>
                  </pic:nvPicPr>
                  <pic:blipFill>
                    <a:blip r:embed="rId67"/>
                    <a:srcRect l="15869" t="5133" r="15277"/>
                    <a:stretch>
                      <a:fillRect/>
                    </a:stretch>
                  </pic:blipFill>
                  <pic:spPr>
                    <a:xfrm>
                      <a:off x="0" y="0"/>
                      <a:ext cx="4956810" cy="6830695"/>
                    </a:xfrm>
                    <a:prstGeom prst="rect">
                      <a:avLst/>
                    </a:prstGeom>
                    <a:noFill/>
                    <a:ln>
                      <a:noFill/>
                    </a:ln>
                  </pic:spPr>
                </pic:pic>
              </a:graphicData>
            </a:graphic>
          </wp:inline>
        </w:drawing>
      </w:r>
    </w:p>
    <w:p w14:paraId="23CB5FF9">
      <w:pPr>
        <w:pStyle w:val="27"/>
        <w:bidi w:val="0"/>
        <w:rPr>
          <w:rFonts w:hint="default" w:ascii="Times New Roman" w:hAnsi="Times New Roman" w:cs="Times New Roman"/>
          <w:color w:val="auto"/>
        </w:rPr>
      </w:pPr>
      <w:r>
        <w:rPr>
          <w:rFonts w:hint="default" w:ascii="Times New Roman" w:hAnsi="Times New Roman" w:eastAsia="宋体" w:cs="Times New Roman"/>
          <w:color w:val="auto"/>
          <w:lang w:val="en-US" w:eastAsia="zh-CN"/>
        </w:rPr>
        <w:t>图4-1-</w:t>
      </w:r>
      <w:r>
        <w:rPr>
          <w:rFonts w:hint="eastAsia" w:cs="Times New Roman"/>
          <w:color w:val="auto"/>
          <w:lang w:val="en-US" w:eastAsia="zh-CN"/>
        </w:rPr>
        <w:t>5</w:t>
      </w:r>
      <w:r>
        <w:rPr>
          <w:rFonts w:hint="eastAsia" w:ascii="Times New Roman" w:hAnsi="Times New Roman" w:eastAsia="宋体" w:cs="Times New Roman"/>
          <w:color w:val="auto"/>
          <w:lang w:val="en-US" w:eastAsia="zh-CN"/>
        </w:rPr>
        <w:t xml:space="preserve"> SK02钻孔水文地址柱状图</w:t>
      </w:r>
    </w:p>
    <w:p w14:paraId="3BE2AC7C">
      <w:pPr>
        <w:pStyle w:val="39"/>
        <w:bidi w:val="0"/>
        <w:rPr>
          <w:rFonts w:hint="default" w:ascii="Times New Roman" w:hAnsi="Times New Roman" w:cs="Times New Roman"/>
          <w:color w:val="auto"/>
        </w:rPr>
      </w:pPr>
      <w:r>
        <w:rPr>
          <w:rFonts w:hint="default" w:ascii="Times New Roman" w:hAnsi="Times New Roman" w:cs="Times New Roman"/>
          <w:color w:val="auto"/>
        </w:rPr>
        <w:t>4.1.9土壤</w:t>
      </w:r>
      <w:bookmarkEnd w:id="233"/>
    </w:p>
    <w:p w14:paraId="0802EE94">
      <w:pPr>
        <w:pStyle w:val="25"/>
        <w:ind w:firstLine="480"/>
        <w:rPr>
          <w:rFonts w:hint="default" w:ascii="Times New Roman" w:hAnsi="Times New Roman" w:cs="Times New Roman"/>
          <w:color w:val="auto"/>
        </w:rPr>
      </w:pPr>
      <w:bookmarkStart w:id="234" w:name="OLE_LINK29"/>
      <w:r>
        <w:rPr>
          <w:rFonts w:hint="default" w:ascii="Times New Roman" w:hAnsi="Times New Roman" w:cs="Times New Roman"/>
          <w:color w:val="auto"/>
        </w:rPr>
        <w:t>鸡西市全市土壤面积21.19×10</w:t>
      </w:r>
      <w:r>
        <w:rPr>
          <w:rFonts w:hint="default" w:ascii="Times New Roman" w:hAnsi="Times New Roman" w:cs="Times New Roman"/>
          <w:color w:val="auto"/>
          <w:vertAlign w:val="superscript"/>
        </w:rPr>
        <w:t>4</w:t>
      </w:r>
      <w:r>
        <w:rPr>
          <w:rFonts w:hint="default" w:ascii="Times New Roman" w:hAnsi="Times New Roman" w:cs="Times New Roman"/>
          <w:color w:val="auto"/>
        </w:rPr>
        <w:t>hm</w:t>
      </w:r>
      <w:r>
        <w:rPr>
          <w:rFonts w:hint="default" w:ascii="Times New Roman" w:hAnsi="Times New Roman" w:cs="Times New Roman"/>
          <w:color w:val="auto"/>
          <w:vertAlign w:val="superscript"/>
        </w:rPr>
        <w:t>2</w:t>
      </w:r>
      <w:r>
        <w:rPr>
          <w:rFonts w:hint="default" w:ascii="Times New Roman" w:hAnsi="Times New Roman" w:cs="Times New Roman"/>
          <w:color w:val="auto"/>
        </w:rPr>
        <w:t>，占总面积94.87%，分七个土壤类型，18个土种。暗棕壤是境内面积最大、分布最广的土壤，占土壤总面积的70.5%，主要分布在梨树、麻山、滴道、城子河区和恒山区民主乡等地形坡度最大的地区；石质土占总面积2.42%，主要分布在梨树、恒山、柳毛等区、乡的山地；白浆土占总面积7.18%，主要分布在穆棱河两岸的漫岗阶地和山前缓丘台地地区；草甸土占总面积9.27%，主要分布在穆棱河两岸的漫岗阶地和支流两岸的漫岗阶地；沼泽土占总面积0.51%，主要分布在暖泉河、长青、麻山乡的季节性或长期积水的山间沟洼谷地及河流两岸的低洼地带；河淤土占总面积的3.13%，全市境内大小河流沿岸均有分布；水稻土占总面积1.85%，主要分布在穆棱河、黄泥河子、暖泉河和凤山河两岸地势平坦、水源充足的地方。</w:t>
      </w:r>
    </w:p>
    <w:bookmarkEnd w:id="220"/>
    <w:bookmarkEnd w:id="234"/>
    <w:p w14:paraId="664EDE10">
      <w:pPr>
        <w:pStyle w:val="41"/>
        <w:rPr>
          <w:rFonts w:hint="default" w:ascii="Times New Roman" w:hAnsi="Times New Roman" w:cs="Times New Roman"/>
          <w:color w:val="auto"/>
        </w:rPr>
      </w:pPr>
      <w:bookmarkStart w:id="235" w:name="_Toc21931"/>
      <w:bookmarkStart w:id="236" w:name="_Toc152926820"/>
      <w:bookmarkStart w:id="237" w:name="_Toc119316802"/>
      <w:bookmarkStart w:id="238" w:name="_Toc8703"/>
      <w:r>
        <w:rPr>
          <w:rFonts w:hint="default" w:ascii="Times New Roman" w:hAnsi="Times New Roman" w:cs="Times New Roman"/>
          <w:color w:val="auto"/>
        </w:rPr>
        <w:t>4.2环境质量现状调查</w:t>
      </w:r>
      <w:bookmarkEnd w:id="235"/>
      <w:bookmarkEnd w:id="236"/>
      <w:bookmarkEnd w:id="237"/>
      <w:bookmarkEnd w:id="238"/>
    </w:p>
    <w:p w14:paraId="0AA62FC5">
      <w:pPr>
        <w:pStyle w:val="39"/>
        <w:rPr>
          <w:rFonts w:hint="default" w:ascii="Times New Roman" w:hAnsi="Times New Roman" w:cs="Times New Roman"/>
          <w:color w:val="auto"/>
        </w:rPr>
      </w:pPr>
      <w:bookmarkStart w:id="239" w:name="_Toc15215"/>
      <w:r>
        <w:rPr>
          <w:rFonts w:hint="default" w:ascii="Times New Roman" w:hAnsi="Times New Roman" w:cs="Times New Roman"/>
          <w:color w:val="auto"/>
        </w:rPr>
        <w:t>4.2.1环境空气质量现状评价</w:t>
      </w:r>
      <w:bookmarkEnd w:id="239"/>
    </w:p>
    <w:p w14:paraId="023E511E">
      <w:pPr>
        <w:rPr>
          <w:rFonts w:hint="default" w:ascii="Times New Roman" w:hAnsi="Times New Roman" w:cs="Times New Roman"/>
          <w:color w:val="auto"/>
        </w:rPr>
      </w:pPr>
      <w:r>
        <w:rPr>
          <w:rFonts w:hint="default" w:ascii="Times New Roman" w:hAnsi="Times New Roman" w:cs="Times New Roman"/>
          <w:color w:val="auto"/>
        </w:rPr>
        <w:t>4.2.1.1区域基本污染物环境质量达标情况</w:t>
      </w:r>
    </w:p>
    <w:p w14:paraId="596BA644">
      <w:pPr>
        <w:pStyle w:val="25"/>
        <w:ind w:firstLine="480"/>
        <w:rPr>
          <w:rFonts w:hint="default" w:ascii="Times New Roman" w:hAnsi="Times New Roman" w:cs="Times New Roman"/>
          <w:color w:val="auto"/>
        </w:rPr>
      </w:pPr>
      <w:r>
        <w:rPr>
          <w:rFonts w:hint="default" w:ascii="Times New Roman" w:hAnsi="Times New Roman" w:cs="Times New Roman"/>
          <w:color w:val="auto"/>
          <w:lang w:bidi="ar"/>
        </w:rPr>
        <w:t>根据《</w:t>
      </w:r>
      <w:r>
        <w:rPr>
          <w:rFonts w:hint="eastAsia" w:cs="Times New Roman"/>
          <w:color w:val="auto"/>
          <w:lang w:eastAsia="zh-CN" w:bidi="ar"/>
        </w:rPr>
        <w:t>2024年黑龙江省生态环境质量状况</w:t>
      </w:r>
      <w:r>
        <w:rPr>
          <w:rFonts w:hint="default" w:ascii="Times New Roman" w:hAnsi="Times New Roman" w:cs="Times New Roman"/>
          <w:color w:val="auto"/>
          <w:lang w:bidi="ar"/>
        </w:rPr>
        <w:t>》，鸡西市202</w:t>
      </w:r>
      <w:r>
        <w:rPr>
          <w:rFonts w:hint="eastAsia" w:cs="Times New Roman"/>
          <w:color w:val="auto"/>
          <w:lang w:val="en-US" w:eastAsia="zh-CN" w:bidi="ar"/>
        </w:rPr>
        <w:t>4</w:t>
      </w:r>
      <w:r>
        <w:rPr>
          <w:rFonts w:hint="default" w:ascii="Times New Roman" w:hAnsi="Times New Roman" w:cs="Times New Roman"/>
          <w:color w:val="auto"/>
          <w:lang w:bidi="ar"/>
        </w:rPr>
        <w:t>年PM</w:t>
      </w:r>
      <w:r>
        <w:rPr>
          <w:rFonts w:hint="default" w:ascii="Times New Roman" w:hAnsi="Times New Roman" w:cs="Times New Roman"/>
          <w:color w:val="auto"/>
          <w:vertAlign w:val="subscript"/>
          <w:lang w:bidi="ar"/>
        </w:rPr>
        <w:t>2.5</w:t>
      </w:r>
      <w:r>
        <w:rPr>
          <w:rFonts w:hint="default" w:ascii="Times New Roman" w:hAnsi="Times New Roman" w:cs="Times New Roman"/>
          <w:color w:val="auto"/>
          <w:lang w:bidi="ar"/>
        </w:rPr>
        <w:t>、PM</w:t>
      </w:r>
      <w:r>
        <w:rPr>
          <w:rFonts w:hint="default" w:ascii="Times New Roman" w:hAnsi="Times New Roman" w:cs="Times New Roman"/>
          <w:color w:val="auto"/>
          <w:vertAlign w:val="subscript"/>
          <w:lang w:bidi="ar"/>
        </w:rPr>
        <w:t>10</w:t>
      </w:r>
      <w:r>
        <w:rPr>
          <w:rFonts w:hint="default" w:ascii="Times New Roman" w:hAnsi="Times New Roman" w:cs="Times New Roman"/>
          <w:color w:val="auto"/>
          <w:lang w:bidi="ar"/>
        </w:rPr>
        <w:t>、SO</w:t>
      </w:r>
      <w:r>
        <w:rPr>
          <w:rFonts w:hint="default" w:ascii="Times New Roman" w:hAnsi="Times New Roman" w:cs="Times New Roman"/>
          <w:color w:val="auto"/>
          <w:vertAlign w:val="subscript"/>
          <w:lang w:bidi="ar"/>
        </w:rPr>
        <w:t>2</w:t>
      </w:r>
      <w:r>
        <w:rPr>
          <w:rFonts w:hint="default" w:ascii="Times New Roman" w:hAnsi="Times New Roman" w:cs="Times New Roman"/>
          <w:color w:val="auto"/>
          <w:lang w:bidi="ar"/>
        </w:rPr>
        <w:t>、NO</w:t>
      </w:r>
      <w:r>
        <w:rPr>
          <w:rFonts w:hint="default" w:ascii="Times New Roman" w:hAnsi="Times New Roman" w:cs="Times New Roman"/>
          <w:color w:val="auto"/>
          <w:vertAlign w:val="subscript"/>
          <w:lang w:bidi="ar"/>
        </w:rPr>
        <w:t>2</w:t>
      </w:r>
      <w:r>
        <w:rPr>
          <w:rFonts w:hint="default" w:ascii="Times New Roman" w:hAnsi="Times New Roman" w:cs="Times New Roman"/>
          <w:color w:val="auto"/>
          <w:lang w:bidi="ar"/>
        </w:rPr>
        <w:t>、CO-95per和O</w:t>
      </w:r>
      <w:r>
        <w:rPr>
          <w:rFonts w:hint="default" w:ascii="Times New Roman" w:hAnsi="Times New Roman" w:cs="Times New Roman"/>
          <w:color w:val="auto"/>
          <w:vertAlign w:val="subscript"/>
          <w:lang w:bidi="ar"/>
        </w:rPr>
        <w:t>3</w:t>
      </w:r>
      <w:r>
        <w:rPr>
          <w:rFonts w:hint="default" w:ascii="Times New Roman" w:hAnsi="Times New Roman" w:cs="Times New Roman"/>
          <w:color w:val="auto"/>
          <w:lang w:bidi="ar"/>
        </w:rPr>
        <w:t>-8h-90per年均浓度分别为2</w:t>
      </w:r>
      <w:r>
        <w:rPr>
          <w:rFonts w:hint="eastAsia" w:cs="Times New Roman"/>
          <w:color w:val="auto"/>
          <w:lang w:val="en-US" w:eastAsia="zh-CN" w:bidi="ar"/>
        </w:rPr>
        <w:t>7</w:t>
      </w:r>
      <w:r>
        <w:rPr>
          <w:rFonts w:hint="default" w:ascii="Times New Roman" w:hAnsi="Times New Roman" w:eastAsia="黑体" w:cs="Times New Roman"/>
          <w:snapToGrid w:val="0"/>
          <w:color w:val="auto"/>
        </w:rPr>
        <w:t>μ</w:t>
      </w:r>
      <w:r>
        <w:rPr>
          <w:rFonts w:hint="default" w:ascii="Times New Roman" w:hAnsi="Times New Roman" w:cs="Times New Roman"/>
          <w:color w:val="auto"/>
          <w:lang w:bidi="ar"/>
        </w:rPr>
        <w:t>g/m</w:t>
      </w:r>
      <w:r>
        <w:rPr>
          <w:rFonts w:hint="default" w:ascii="Times New Roman" w:hAnsi="Times New Roman" w:cs="Times New Roman"/>
          <w:color w:val="auto"/>
          <w:vertAlign w:val="superscript"/>
          <w:lang w:bidi="ar"/>
        </w:rPr>
        <w:t>3</w:t>
      </w:r>
      <w:r>
        <w:rPr>
          <w:rFonts w:hint="default" w:ascii="Times New Roman" w:hAnsi="Times New Roman" w:cs="Times New Roman"/>
          <w:color w:val="auto"/>
          <w:lang w:bidi="ar"/>
        </w:rPr>
        <w:t>、</w:t>
      </w:r>
      <w:r>
        <w:rPr>
          <w:rFonts w:hint="eastAsia" w:cs="Times New Roman"/>
          <w:color w:val="auto"/>
          <w:lang w:val="en-US" w:eastAsia="zh-CN" w:bidi="ar"/>
        </w:rPr>
        <w:t>46</w:t>
      </w:r>
      <w:r>
        <w:rPr>
          <w:rFonts w:hint="default" w:ascii="Times New Roman" w:hAnsi="Times New Roman" w:eastAsia="黑体" w:cs="Times New Roman"/>
          <w:snapToGrid w:val="0"/>
          <w:color w:val="auto"/>
        </w:rPr>
        <w:t>μ</w:t>
      </w:r>
      <w:r>
        <w:rPr>
          <w:rFonts w:hint="default" w:ascii="Times New Roman" w:hAnsi="Times New Roman" w:cs="Times New Roman"/>
          <w:color w:val="auto"/>
          <w:lang w:bidi="ar"/>
        </w:rPr>
        <w:t>g/m</w:t>
      </w:r>
      <w:r>
        <w:rPr>
          <w:rFonts w:hint="default" w:ascii="Times New Roman" w:hAnsi="Times New Roman" w:cs="Times New Roman"/>
          <w:color w:val="auto"/>
          <w:vertAlign w:val="superscript"/>
          <w:lang w:bidi="ar"/>
        </w:rPr>
        <w:t>3</w:t>
      </w:r>
      <w:r>
        <w:rPr>
          <w:rFonts w:hint="default" w:ascii="Times New Roman" w:hAnsi="Times New Roman" w:cs="Times New Roman"/>
          <w:color w:val="auto"/>
          <w:lang w:bidi="ar"/>
        </w:rPr>
        <w:t>、8</w:t>
      </w:r>
      <w:r>
        <w:rPr>
          <w:rFonts w:hint="default" w:ascii="Times New Roman" w:hAnsi="Times New Roman" w:eastAsia="黑体" w:cs="Times New Roman"/>
          <w:snapToGrid w:val="0"/>
          <w:color w:val="auto"/>
        </w:rPr>
        <w:t>μ</w:t>
      </w:r>
      <w:r>
        <w:rPr>
          <w:rFonts w:hint="default" w:ascii="Times New Roman" w:hAnsi="Times New Roman" w:cs="Times New Roman"/>
          <w:color w:val="auto"/>
          <w:lang w:bidi="ar"/>
        </w:rPr>
        <w:t>g/m</w:t>
      </w:r>
      <w:r>
        <w:rPr>
          <w:rFonts w:hint="default" w:ascii="Times New Roman" w:hAnsi="Times New Roman" w:cs="Times New Roman"/>
          <w:color w:val="auto"/>
          <w:vertAlign w:val="superscript"/>
          <w:lang w:bidi="ar"/>
        </w:rPr>
        <w:t>3</w:t>
      </w:r>
      <w:r>
        <w:rPr>
          <w:rFonts w:hint="default" w:ascii="Times New Roman" w:hAnsi="Times New Roman" w:cs="Times New Roman"/>
          <w:color w:val="auto"/>
          <w:lang w:bidi="ar"/>
        </w:rPr>
        <w:t>、</w:t>
      </w:r>
      <w:r>
        <w:rPr>
          <w:rFonts w:hint="eastAsia" w:cs="Times New Roman"/>
          <w:color w:val="auto"/>
          <w:lang w:val="en-US" w:eastAsia="zh-CN" w:bidi="ar"/>
        </w:rPr>
        <w:t>17</w:t>
      </w:r>
      <w:r>
        <w:rPr>
          <w:rFonts w:hint="default" w:ascii="Times New Roman" w:hAnsi="Times New Roman" w:eastAsia="黑体" w:cs="Times New Roman"/>
          <w:snapToGrid w:val="0"/>
          <w:color w:val="auto"/>
        </w:rPr>
        <w:t>μ</w:t>
      </w:r>
      <w:r>
        <w:rPr>
          <w:rFonts w:hint="default" w:ascii="Times New Roman" w:hAnsi="Times New Roman" w:cs="Times New Roman"/>
          <w:color w:val="auto"/>
          <w:lang w:bidi="ar"/>
        </w:rPr>
        <w:t>g/m</w:t>
      </w:r>
      <w:r>
        <w:rPr>
          <w:rFonts w:hint="default" w:ascii="Times New Roman" w:hAnsi="Times New Roman" w:cs="Times New Roman"/>
          <w:color w:val="auto"/>
          <w:vertAlign w:val="superscript"/>
          <w:lang w:bidi="ar"/>
        </w:rPr>
        <w:t>3</w:t>
      </w:r>
      <w:r>
        <w:rPr>
          <w:rFonts w:hint="default" w:ascii="Times New Roman" w:hAnsi="Times New Roman" w:cs="Times New Roman"/>
          <w:color w:val="auto"/>
          <w:lang w:bidi="ar"/>
        </w:rPr>
        <w:t>、</w:t>
      </w:r>
      <w:r>
        <w:rPr>
          <w:rFonts w:hint="default" w:ascii="Times New Roman" w:hAnsi="Times New Roman" w:cs="Times New Roman"/>
          <w:color w:val="auto"/>
          <w:lang w:val="en-US" w:eastAsia="zh-CN" w:bidi="ar"/>
        </w:rPr>
        <w:t>1.0</w:t>
      </w:r>
      <w:r>
        <w:rPr>
          <w:rFonts w:hint="default" w:ascii="Times New Roman" w:hAnsi="Times New Roman" w:eastAsia="黑体" w:cs="Times New Roman"/>
          <w:snapToGrid w:val="0"/>
          <w:color w:val="auto"/>
        </w:rPr>
        <w:t>m</w:t>
      </w:r>
      <w:r>
        <w:rPr>
          <w:rFonts w:hint="default" w:ascii="Times New Roman" w:hAnsi="Times New Roman" w:cs="Times New Roman"/>
          <w:color w:val="auto"/>
          <w:lang w:bidi="ar"/>
        </w:rPr>
        <w:t>g/m</w:t>
      </w:r>
      <w:r>
        <w:rPr>
          <w:rFonts w:hint="default" w:ascii="Times New Roman" w:hAnsi="Times New Roman" w:cs="Times New Roman"/>
          <w:color w:val="auto"/>
          <w:vertAlign w:val="superscript"/>
          <w:lang w:bidi="ar"/>
        </w:rPr>
        <w:t>3</w:t>
      </w:r>
      <w:r>
        <w:rPr>
          <w:rFonts w:hint="default" w:ascii="Times New Roman" w:hAnsi="Times New Roman" w:cs="Times New Roman"/>
          <w:color w:val="auto"/>
          <w:lang w:bidi="ar"/>
        </w:rPr>
        <w:t>和9</w:t>
      </w:r>
      <w:r>
        <w:rPr>
          <w:rFonts w:hint="eastAsia" w:cs="Times New Roman"/>
          <w:color w:val="auto"/>
          <w:lang w:val="en-US" w:eastAsia="zh-CN" w:bidi="ar"/>
        </w:rPr>
        <w:t>0</w:t>
      </w:r>
      <w:r>
        <w:rPr>
          <w:rFonts w:hint="default" w:ascii="Times New Roman" w:hAnsi="Times New Roman" w:eastAsia="黑体" w:cs="Times New Roman"/>
          <w:snapToGrid w:val="0"/>
          <w:color w:val="auto"/>
        </w:rPr>
        <w:t>μ</w:t>
      </w:r>
      <w:r>
        <w:rPr>
          <w:rFonts w:hint="default" w:ascii="Times New Roman" w:hAnsi="Times New Roman" w:cs="Times New Roman"/>
          <w:color w:val="auto"/>
          <w:lang w:bidi="ar"/>
        </w:rPr>
        <w:t>g/m</w:t>
      </w:r>
      <w:r>
        <w:rPr>
          <w:rFonts w:hint="default" w:ascii="Times New Roman" w:hAnsi="Times New Roman" w:cs="Times New Roman"/>
          <w:color w:val="auto"/>
          <w:vertAlign w:val="superscript"/>
          <w:lang w:bidi="ar"/>
        </w:rPr>
        <w:t>3</w:t>
      </w:r>
      <w:r>
        <w:rPr>
          <w:rFonts w:hint="default" w:ascii="Times New Roman" w:hAnsi="Times New Roman" w:cs="Times New Roman"/>
          <w:color w:val="auto"/>
          <w:lang w:bidi="ar"/>
        </w:rPr>
        <w:t>，各污染物平均浓度均优于《环境空气质量标准》（GB3095-2012）及修改单中二级标准限值。因此，鸡西市属于达标区。</w:t>
      </w:r>
    </w:p>
    <w:p w14:paraId="2E35ACE3">
      <w:pPr>
        <w:rPr>
          <w:rFonts w:hint="default" w:ascii="Times New Roman" w:hAnsi="Times New Roman" w:cs="Times New Roman"/>
          <w:color w:val="auto"/>
        </w:rPr>
      </w:pPr>
      <w:r>
        <w:rPr>
          <w:rFonts w:hint="default" w:ascii="Times New Roman" w:hAnsi="Times New Roman" w:cs="Times New Roman"/>
          <w:color w:val="auto"/>
        </w:rPr>
        <w:t>4.2.1.2其他污染物环境质量达标情况</w:t>
      </w:r>
    </w:p>
    <w:p w14:paraId="0B77AD68">
      <w:pPr>
        <w:pStyle w:val="25"/>
        <w:bidi w:val="0"/>
        <w:rPr>
          <w:rFonts w:hint="default" w:ascii="Times New Roman" w:hAnsi="Times New Roman" w:cs="Times New Roman"/>
          <w:color w:val="auto"/>
        </w:rPr>
      </w:pPr>
      <w:r>
        <w:rPr>
          <w:rFonts w:hint="default" w:ascii="Times New Roman" w:hAnsi="Times New Roman" w:cs="Times New Roman"/>
          <w:color w:val="auto"/>
        </w:rPr>
        <w:t>（1）监测时间及监测项目</w:t>
      </w:r>
    </w:p>
    <w:p w14:paraId="0CD53A49">
      <w:pPr>
        <w:pStyle w:val="25"/>
        <w:bidi w:val="0"/>
        <w:rPr>
          <w:rFonts w:hint="default" w:ascii="Times New Roman" w:hAnsi="Times New Roman" w:cs="Times New Roman"/>
          <w:color w:val="auto"/>
        </w:rPr>
      </w:pPr>
      <w:r>
        <w:rPr>
          <w:rFonts w:hint="default" w:ascii="Times New Roman" w:hAnsi="Times New Roman" w:cs="Times New Roman"/>
          <w:color w:val="auto"/>
        </w:rPr>
        <w:t>建设单位委托黑龙江汉风环境检测技术有限公司于202</w:t>
      </w:r>
      <w:r>
        <w:rPr>
          <w:rFonts w:hint="default" w:ascii="Times New Roman" w:hAnsi="Times New Roman" w:cs="Times New Roman"/>
          <w:color w:val="auto"/>
          <w:lang w:val="en-US" w:eastAsia="zh-CN"/>
        </w:rPr>
        <w:t>4</w:t>
      </w:r>
      <w:r>
        <w:rPr>
          <w:rFonts w:hint="default" w:ascii="Times New Roman" w:hAnsi="Times New Roman" w:cs="Times New Roman"/>
          <w:color w:val="auto"/>
        </w:rPr>
        <w:t>年0</w:t>
      </w:r>
      <w:r>
        <w:rPr>
          <w:rFonts w:hint="default" w:ascii="Times New Roman" w:hAnsi="Times New Roman" w:cs="Times New Roman"/>
          <w:color w:val="auto"/>
          <w:lang w:val="en-US" w:eastAsia="zh-CN"/>
        </w:rPr>
        <w:t>8</w:t>
      </w:r>
      <w:r>
        <w:rPr>
          <w:rFonts w:hint="default" w:ascii="Times New Roman" w:hAnsi="Times New Roman" w:cs="Times New Roman"/>
          <w:color w:val="auto"/>
        </w:rPr>
        <w:t>月</w:t>
      </w:r>
      <w:r>
        <w:rPr>
          <w:rFonts w:hint="default" w:ascii="Times New Roman" w:hAnsi="Times New Roman" w:cs="Times New Roman"/>
          <w:color w:val="auto"/>
          <w:lang w:val="en-US" w:eastAsia="zh-CN"/>
        </w:rPr>
        <w:t>19</w:t>
      </w:r>
      <w:r>
        <w:rPr>
          <w:rFonts w:hint="default" w:ascii="Times New Roman" w:hAnsi="Times New Roman" w:cs="Times New Roman"/>
          <w:color w:val="auto"/>
        </w:rPr>
        <w:t>日～</w:t>
      </w:r>
      <w:r>
        <w:rPr>
          <w:rFonts w:hint="default" w:ascii="Times New Roman" w:hAnsi="Times New Roman" w:cs="Times New Roman"/>
          <w:color w:val="auto"/>
          <w:lang w:val="en-US" w:eastAsia="zh-CN"/>
        </w:rPr>
        <w:t>27</w:t>
      </w:r>
      <w:r>
        <w:rPr>
          <w:rFonts w:hint="default" w:ascii="Times New Roman" w:hAnsi="Times New Roman" w:cs="Times New Roman"/>
          <w:color w:val="auto"/>
        </w:rPr>
        <w:t>日对本项目场址及下风向处的TSP其他污染物进行现状监测。</w:t>
      </w:r>
    </w:p>
    <w:p w14:paraId="5FFF628B">
      <w:pPr>
        <w:pStyle w:val="25"/>
        <w:bidi w:val="0"/>
        <w:rPr>
          <w:rFonts w:hint="default" w:ascii="Times New Roman" w:hAnsi="Times New Roman" w:cs="Times New Roman"/>
          <w:color w:val="auto"/>
        </w:rPr>
      </w:pPr>
      <w:r>
        <w:rPr>
          <w:rFonts w:hint="default" w:ascii="Times New Roman" w:hAnsi="Times New Roman" w:cs="Times New Roman"/>
          <w:color w:val="auto"/>
        </w:rPr>
        <w:t>（2）监测点布设</w:t>
      </w:r>
    </w:p>
    <w:p w14:paraId="194C59BC">
      <w:pPr>
        <w:pStyle w:val="25"/>
        <w:bidi w:val="0"/>
        <w:rPr>
          <w:rFonts w:hint="default" w:ascii="Times New Roman" w:hAnsi="Times New Roman" w:cs="Times New Roman"/>
          <w:color w:val="auto"/>
        </w:rPr>
      </w:pPr>
      <w:r>
        <w:rPr>
          <w:rFonts w:hint="default" w:ascii="Times New Roman" w:hAnsi="Times New Roman" w:cs="Times New Roman"/>
          <w:color w:val="auto"/>
        </w:rPr>
        <w:t>根据《环境影响评价技术导则 大气环境》（HJ2.2-2018），补充监测布点以近20年的当地主导风向为轴向，在厂址及主导风向下风向设置监测点。</w:t>
      </w:r>
    </w:p>
    <w:p w14:paraId="48BAAFEA">
      <w:pPr>
        <w:pStyle w:val="25"/>
        <w:bidi w:val="0"/>
        <w:rPr>
          <w:rFonts w:hint="default" w:ascii="Times New Roman" w:hAnsi="Times New Roman" w:cs="Times New Roman"/>
          <w:color w:val="auto"/>
        </w:rPr>
      </w:pPr>
      <w:r>
        <w:rPr>
          <w:rFonts w:hint="default" w:ascii="Times New Roman" w:hAnsi="Times New Roman" w:cs="Times New Roman"/>
          <w:color w:val="auto"/>
        </w:rPr>
        <w:t>项目区主导风向为W，</w:t>
      </w:r>
      <w:r>
        <w:rPr>
          <w:rFonts w:hint="default" w:ascii="Times New Roman" w:hAnsi="Times New Roman" w:cs="Times New Roman"/>
          <w:color w:val="auto"/>
          <w:lang w:val="en-US" w:eastAsia="zh-CN"/>
        </w:rPr>
        <w:t>根据工程分布结合区域整体情况，在2#、15#、21#、25#、31#、41#、60#厂址下风，布设7处监测点，用以说明项目区域整体环境现状，</w:t>
      </w:r>
      <w:r>
        <w:rPr>
          <w:rFonts w:hint="default" w:ascii="Times New Roman" w:hAnsi="Times New Roman" w:cs="Times New Roman"/>
          <w:color w:val="auto"/>
        </w:rPr>
        <w:t>各监测点的情况见下表，监测布点图见下图。</w:t>
      </w:r>
    </w:p>
    <w:p w14:paraId="1BB916AB">
      <w:pPr>
        <w:pStyle w:val="27"/>
        <w:bidi w:val="0"/>
        <w:rPr>
          <w:rFonts w:hint="default" w:ascii="Times New Roman" w:hAnsi="Times New Roman" w:cs="Times New Roman"/>
          <w:color w:val="auto"/>
        </w:rPr>
      </w:pPr>
      <w:r>
        <w:rPr>
          <w:rFonts w:hint="default" w:ascii="Times New Roman" w:hAnsi="Times New Roman" w:cs="Times New Roman"/>
          <w:color w:val="auto"/>
        </w:rPr>
        <w:t>表4-2-1其他污染物补充监测点基本信息</w:t>
      </w:r>
    </w:p>
    <w:tbl>
      <w:tblPr>
        <w:tblStyle w:val="20"/>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60"/>
        <w:gridCol w:w="1701"/>
        <w:gridCol w:w="1840"/>
        <w:gridCol w:w="804"/>
        <w:gridCol w:w="1025"/>
        <w:gridCol w:w="1090"/>
        <w:gridCol w:w="1102"/>
      </w:tblGrid>
      <w:tr w14:paraId="1A0E908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63" w:type="pct"/>
            <w:vMerge w:val="restart"/>
            <w:tcBorders>
              <w:top w:val="single" w:color="000000" w:sz="12" w:space="0"/>
              <w:left w:val="nil"/>
              <w:bottom w:val="single" w:color="000000" w:sz="4" w:space="0"/>
              <w:right w:val="single" w:color="000000" w:sz="4" w:space="0"/>
            </w:tcBorders>
            <w:vAlign w:val="center"/>
          </w:tcPr>
          <w:p w14:paraId="6DA4049C">
            <w:pPr>
              <w:pStyle w:val="44"/>
              <w:bidi w:val="0"/>
              <w:rPr>
                <w:rFonts w:hint="default" w:ascii="Times New Roman" w:hAnsi="Times New Roman" w:cs="Times New Roman"/>
                <w:color w:val="auto"/>
              </w:rPr>
            </w:pPr>
            <w:r>
              <w:rPr>
                <w:rFonts w:hint="default" w:ascii="Times New Roman" w:hAnsi="Times New Roman" w:cs="Times New Roman"/>
                <w:color w:val="auto"/>
              </w:rPr>
              <w:t>监测点名称</w:t>
            </w:r>
          </w:p>
        </w:tc>
        <w:tc>
          <w:tcPr>
            <w:tcW w:w="2077" w:type="pct"/>
            <w:gridSpan w:val="2"/>
            <w:tcBorders>
              <w:top w:val="single" w:color="000000" w:sz="12" w:space="0"/>
              <w:left w:val="single" w:color="000000" w:sz="4" w:space="0"/>
              <w:bottom w:val="single" w:color="auto" w:sz="4" w:space="0"/>
              <w:right w:val="single" w:color="000000" w:sz="4" w:space="0"/>
            </w:tcBorders>
            <w:vAlign w:val="center"/>
          </w:tcPr>
          <w:p w14:paraId="5FB31A8D">
            <w:pPr>
              <w:pStyle w:val="44"/>
              <w:bidi w:val="0"/>
              <w:rPr>
                <w:rFonts w:hint="default" w:ascii="Times New Roman" w:hAnsi="Times New Roman" w:cs="Times New Roman"/>
                <w:color w:val="auto"/>
              </w:rPr>
            </w:pPr>
            <w:r>
              <w:rPr>
                <w:rFonts w:hint="default" w:ascii="Times New Roman" w:hAnsi="Times New Roman" w:cs="Times New Roman"/>
                <w:color w:val="auto"/>
              </w:rPr>
              <w:t>监测点坐标</w:t>
            </w:r>
          </w:p>
        </w:tc>
        <w:tc>
          <w:tcPr>
            <w:tcW w:w="471" w:type="pct"/>
            <w:vMerge w:val="restart"/>
            <w:tcBorders>
              <w:top w:val="single" w:color="000000" w:sz="12" w:space="0"/>
              <w:left w:val="single" w:color="000000" w:sz="4" w:space="0"/>
              <w:bottom w:val="single" w:color="000000" w:sz="4" w:space="0"/>
              <w:right w:val="single" w:color="000000" w:sz="4" w:space="0"/>
            </w:tcBorders>
            <w:vAlign w:val="center"/>
          </w:tcPr>
          <w:p w14:paraId="49403358">
            <w:pPr>
              <w:pStyle w:val="44"/>
              <w:bidi w:val="0"/>
              <w:rPr>
                <w:rFonts w:hint="default" w:ascii="Times New Roman" w:hAnsi="Times New Roman" w:cs="Times New Roman"/>
                <w:color w:val="auto"/>
              </w:rPr>
            </w:pPr>
            <w:r>
              <w:rPr>
                <w:rFonts w:hint="default" w:ascii="Times New Roman" w:hAnsi="Times New Roman" w:cs="Times New Roman"/>
                <w:color w:val="auto"/>
              </w:rPr>
              <w:t>监测因子</w:t>
            </w:r>
          </w:p>
        </w:tc>
        <w:tc>
          <w:tcPr>
            <w:tcW w:w="601" w:type="pct"/>
            <w:vMerge w:val="restart"/>
            <w:tcBorders>
              <w:top w:val="single" w:color="000000" w:sz="12" w:space="0"/>
              <w:left w:val="single" w:color="000000" w:sz="4" w:space="0"/>
              <w:bottom w:val="single" w:color="000000" w:sz="4" w:space="0"/>
              <w:right w:val="single" w:color="000000" w:sz="4" w:space="0"/>
            </w:tcBorders>
            <w:vAlign w:val="center"/>
          </w:tcPr>
          <w:p w14:paraId="69A5963B">
            <w:pPr>
              <w:pStyle w:val="44"/>
              <w:bidi w:val="0"/>
              <w:rPr>
                <w:rFonts w:hint="default" w:ascii="Times New Roman" w:hAnsi="Times New Roman" w:cs="Times New Roman"/>
                <w:color w:val="auto"/>
              </w:rPr>
            </w:pPr>
            <w:r>
              <w:rPr>
                <w:rFonts w:hint="default" w:ascii="Times New Roman" w:hAnsi="Times New Roman" w:cs="Times New Roman"/>
                <w:color w:val="auto"/>
              </w:rPr>
              <w:t>监测时段</w:t>
            </w:r>
          </w:p>
        </w:tc>
        <w:tc>
          <w:tcPr>
            <w:tcW w:w="639" w:type="pct"/>
            <w:vMerge w:val="restart"/>
            <w:tcBorders>
              <w:top w:val="single" w:color="000000" w:sz="12" w:space="0"/>
              <w:left w:val="single" w:color="000000" w:sz="4" w:space="0"/>
              <w:bottom w:val="single" w:color="000000" w:sz="4" w:space="0"/>
              <w:right w:val="single" w:color="000000" w:sz="4" w:space="0"/>
            </w:tcBorders>
            <w:vAlign w:val="center"/>
          </w:tcPr>
          <w:p w14:paraId="69E1A8CA">
            <w:pPr>
              <w:pStyle w:val="44"/>
              <w:bidi w:val="0"/>
              <w:rPr>
                <w:rFonts w:hint="default" w:ascii="Times New Roman" w:hAnsi="Times New Roman" w:cs="Times New Roman"/>
                <w:color w:val="auto"/>
              </w:rPr>
            </w:pPr>
            <w:r>
              <w:rPr>
                <w:rFonts w:hint="default" w:ascii="Times New Roman" w:hAnsi="Times New Roman" w:cs="Times New Roman"/>
                <w:color w:val="auto"/>
              </w:rPr>
              <w:t>相对厂址方位</w:t>
            </w:r>
          </w:p>
        </w:tc>
        <w:tc>
          <w:tcPr>
            <w:tcW w:w="646" w:type="pct"/>
            <w:vMerge w:val="restart"/>
            <w:tcBorders>
              <w:top w:val="single" w:color="000000" w:sz="12" w:space="0"/>
              <w:left w:val="single" w:color="000000" w:sz="4" w:space="0"/>
              <w:bottom w:val="single" w:color="000000" w:sz="4" w:space="0"/>
              <w:right w:val="nil"/>
            </w:tcBorders>
            <w:vAlign w:val="center"/>
          </w:tcPr>
          <w:p w14:paraId="089500D1">
            <w:pPr>
              <w:pStyle w:val="44"/>
              <w:bidi w:val="0"/>
              <w:rPr>
                <w:rFonts w:hint="default" w:ascii="Times New Roman" w:hAnsi="Times New Roman" w:cs="Times New Roman"/>
                <w:color w:val="auto"/>
              </w:rPr>
            </w:pPr>
            <w:r>
              <w:rPr>
                <w:rFonts w:hint="default" w:ascii="Times New Roman" w:hAnsi="Times New Roman" w:cs="Times New Roman"/>
                <w:color w:val="auto"/>
              </w:rPr>
              <w:t>相对厂界距离/m</w:t>
            </w:r>
          </w:p>
        </w:tc>
      </w:tr>
      <w:tr w14:paraId="7E3F94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90" w:hRule="atLeast"/>
        </w:trPr>
        <w:tc>
          <w:tcPr>
            <w:tcW w:w="563" w:type="pct"/>
            <w:vMerge w:val="continue"/>
            <w:tcBorders>
              <w:top w:val="single" w:color="000000" w:sz="12" w:space="0"/>
              <w:left w:val="nil"/>
              <w:bottom w:val="single" w:color="000000" w:sz="4" w:space="0"/>
              <w:right w:val="single" w:color="000000" w:sz="4" w:space="0"/>
            </w:tcBorders>
            <w:vAlign w:val="center"/>
          </w:tcPr>
          <w:p w14:paraId="5B53D6CE">
            <w:pPr>
              <w:pStyle w:val="44"/>
              <w:bidi w:val="0"/>
              <w:rPr>
                <w:rFonts w:hint="default" w:ascii="Times New Roman" w:hAnsi="Times New Roman" w:cs="Times New Roman"/>
                <w:color w:val="auto"/>
              </w:rPr>
            </w:pPr>
          </w:p>
        </w:tc>
        <w:tc>
          <w:tcPr>
            <w:tcW w:w="998" w:type="pct"/>
            <w:tcBorders>
              <w:top w:val="single" w:color="auto" w:sz="4" w:space="0"/>
              <w:left w:val="single" w:color="000000" w:sz="4" w:space="0"/>
              <w:bottom w:val="single" w:color="000000" w:sz="4" w:space="0"/>
              <w:right w:val="single" w:color="auto" w:sz="4" w:space="0"/>
            </w:tcBorders>
            <w:vAlign w:val="center"/>
          </w:tcPr>
          <w:p w14:paraId="2CBE717C">
            <w:pPr>
              <w:pStyle w:val="44"/>
              <w:bidi w:val="0"/>
              <w:rPr>
                <w:rFonts w:hint="default" w:ascii="Times New Roman" w:hAnsi="Times New Roman" w:cs="Times New Roman"/>
                <w:color w:val="auto"/>
              </w:rPr>
            </w:pPr>
            <w:r>
              <w:rPr>
                <w:rFonts w:hint="default" w:ascii="Times New Roman" w:hAnsi="Times New Roman" w:cs="Times New Roman"/>
                <w:color w:val="auto"/>
              </w:rPr>
              <w:t>X</w:t>
            </w:r>
          </w:p>
        </w:tc>
        <w:tc>
          <w:tcPr>
            <w:tcW w:w="1079" w:type="pct"/>
            <w:tcBorders>
              <w:top w:val="single" w:color="auto" w:sz="4" w:space="0"/>
              <w:left w:val="single" w:color="auto" w:sz="4" w:space="0"/>
              <w:bottom w:val="single" w:color="000000" w:sz="4" w:space="0"/>
              <w:right w:val="single" w:color="000000" w:sz="4" w:space="0"/>
            </w:tcBorders>
            <w:vAlign w:val="center"/>
          </w:tcPr>
          <w:p w14:paraId="2A4A8EB7">
            <w:pPr>
              <w:pStyle w:val="44"/>
              <w:bidi w:val="0"/>
              <w:rPr>
                <w:rFonts w:hint="default" w:ascii="Times New Roman" w:hAnsi="Times New Roman" w:cs="Times New Roman"/>
                <w:color w:val="auto"/>
              </w:rPr>
            </w:pPr>
            <w:r>
              <w:rPr>
                <w:rFonts w:hint="default" w:ascii="Times New Roman" w:hAnsi="Times New Roman" w:cs="Times New Roman"/>
                <w:color w:val="auto"/>
              </w:rPr>
              <w:t>Y</w:t>
            </w:r>
          </w:p>
        </w:tc>
        <w:tc>
          <w:tcPr>
            <w:tcW w:w="471" w:type="pct"/>
            <w:vMerge w:val="continue"/>
            <w:tcBorders>
              <w:top w:val="single" w:color="000000" w:sz="12" w:space="0"/>
              <w:left w:val="single" w:color="000000" w:sz="4" w:space="0"/>
              <w:bottom w:val="single" w:color="000000" w:sz="4" w:space="0"/>
              <w:right w:val="single" w:color="000000" w:sz="4" w:space="0"/>
            </w:tcBorders>
            <w:vAlign w:val="center"/>
          </w:tcPr>
          <w:p w14:paraId="4D55883C">
            <w:pPr>
              <w:pStyle w:val="44"/>
              <w:bidi w:val="0"/>
              <w:rPr>
                <w:rFonts w:hint="default" w:ascii="Times New Roman" w:hAnsi="Times New Roman" w:cs="Times New Roman"/>
                <w:color w:val="auto"/>
              </w:rPr>
            </w:pPr>
          </w:p>
        </w:tc>
        <w:tc>
          <w:tcPr>
            <w:tcW w:w="601" w:type="pct"/>
            <w:vMerge w:val="continue"/>
            <w:tcBorders>
              <w:top w:val="single" w:color="000000" w:sz="12" w:space="0"/>
              <w:left w:val="single" w:color="000000" w:sz="4" w:space="0"/>
              <w:bottom w:val="single" w:color="000000" w:sz="4" w:space="0"/>
              <w:right w:val="single" w:color="000000" w:sz="4" w:space="0"/>
            </w:tcBorders>
            <w:vAlign w:val="center"/>
          </w:tcPr>
          <w:p w14:paraId="79925F4F">
            <w:pPr>
              <w:pStyle w:val="44"/>
              <w:bidi w:val="0"/>
              <w:rPr>
                <w:rFonts w:hint="default" w:ascii="Times New Roman" w:hAnsi="Times New Roman" w:cs="Times New Roman"/>
                <w:color w:val="auto"/>
              </w:rPr>
            </w:pPr>
          </w:p>
        </w:tc>
        <w:tc>
          <w:tcPr>
            <w:tcW w:w="639" w:type="pct"/>
            <w:vMerge w:val="continue"/>
            <w:tcBorders>
              <w:top w:val="single" w:color="000000" w:sz="12" w:space="0"/>
              <w:left w:val="single" w:color="000000" w:sz="4" w:space="0"/>
              <w:bottom w:val="single" w:color="000000" w:sz="4" w:space="0"/>
              <w:right w:val="single" w:color="000000" w:sz="4" w:space="0"/>
            </w:tcBorders>
            <w:vAlign w:val="center"/>
          </w:tcPr>
          <w:p w14:paraId="77D56EB5">
            <w:pPr>
              <w:pStyle w:val="44"/>
              <w:bidi w:val="0"/>
              <w:rPr>
                <w:rFonts w:hint="default" w:ascii="Times New Roman" w:hAnsi="Times New Roman" w:cs="Times New Roman"/>
                <w:color w:val="auto"/>
              </w:rPr>
            </w:pPr>
          </w:p>
        </w:tc>
        <w:tc>
          <w:tcPr>
            <w:tcW w:w="646" w:type="pct"/>
            <w:vMerge w:val="continue"/>
            <w:tcBorders>
              <w:top w:val="single" w:color="000000" w:sz="12" w:space="0"/>
              <w:left w:val="single" w:color="000000" w:sz="4" w:space="0"/>
              <w:bottom w:val="single" w:color="000000" w:sz="4" w:space="0"/>
              <w:right w:val="nil"/>
            </w:tcBorders>
            <w:vAlign w:val="center"/>
          </w:tcPr>
          <w:p w14:paraId="0C3B0045">
            <w:pPr>
              <w:pStyle w:val="44"/>
              <w:bidi w:val="0"/>
              <w:rPr>
                <w:rFonts w:hint="default" w:ascii="Times New Roman" w:hAnsi="Times New Roman" w:cs="Times New Roman"/>
                <w:color w:val="auto"/>
              </w:rPr>
            </w:pPr>
          </w:p>
        </w:tc>
      </w:tr>
      <w:tr w14:paraId="6E902A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563" w:type="pct"/>
            <w:tcBorders>
              <w:top w:val="single" w:color="000000" w:sz="4" w:space="0"/>
              <w:left w:val="nil"/>
              <w:bottom w:val="single" w:color="000000" w:sz="4" w:space="0"/>
              <w:right w:val="single" w:color="000000" w:sz="4" w:space="0"/>
            </w:tcBorders>
            <w:vAlign w:val="center"/>
          </w:tcPr>
          <w:p w14:paraId="1C723887">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2#</w:t>
            </w:r>
            <w:r>
              <w:rPr>
                <w:rFonts w:hint="default" w:ascii="Times New Roman" w:hAnsi="Times New Roman" w:cs="Times New Roman"/>
                <w:color w:val="auto"/>
              </w:rPr>
              <w:t>场址</w:t>
            </w:r>
            <w:r>
              <w:rPr>
                <w:rFonts w:hint="default" w:ascii="Times New Roman" w:hAnsi="Times New Roman" w:cs="Times New Roman"/>
                <w:color w:val="auto"/>
                <w:lang w:val="en-US" w:eastAsia="zh-CN"/>
              </w:rPr>
              <w:t>下风向</w:t>
            </w:r>
          </w:p>
        </w:tc>
        <w:tc>
          <w:tcPr>
            <w:tcW w:w="998" w:type="pct"/>
            <w:tcBorders>
              <w:top w:val="single" w:color="000000" w:sz="4" w:space="0"/>
              <w:left w:val="single" w:color="000000" w:sz="4" w:space="0"/>
              <w:bottom w:val="single" w:color="000000" w:sz="4" w:space="0"/>
              <w:right w:val="single" w:color="auto" w:sz="4" w:space="0"/>
            </w:tcBorders>
            <w:vAlign w:val="center"/>
          </w:tcPr>
          <w:p w14:paraId="7C7DFCA0">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sz w:val="22"/>
                <w:szCs w:val="22"/>
                <w:highlight w:val="none"/>
                <w:lang w:val="en-US" w:eastAsia="zh-CN"/>
              </w:rPr>
              <w:t>131°01'28.2563"</w:t>
            </w:r>
          </w:p>
        </w:tc>
        <w:tc>
          <w:tcPr>
            <w:tcW w:w="1079" w:type="pct"/>
            <w:tcBorders>
              <w:top w:val="single" w:color="000000" w:sz="4" w:space="0"/>
              <w:left w:val="single" w:color="auto" w:sz="4" w:space="0"/>
              <w:bottom w:val="single" w:color="000000" w:sz="4" w:space="0"/>
              <w:right w:val="single" w:color="000000" w:sz="4" w:space="0"/>
            </w:tcBorders>
            <w:vAlign w:val="center"/>
          </w:tcPr>
          <w:p w14:paraId="54E55CF8">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sz w:val="22"/>
                <w:szCs w:val="22"/>
                <w:highlight w:val="none"/>
                <w:lang w:val="en-US" w:eastAsia="zh-CN"/>
              </w:rPr>
              <w:t>45°24'32.9817"</w:t>
            </w:r>
          </w:p>
        </w:tc>
        <w:tc>
          <w:tcPr>
            <w:tcW w:w="471" w:type="pct"/>
            <w:vMerge w:val="restart"/>
            <w:tcBorders>
              <w:top w:val="single" w:color="000000" w:sz="4" w:space="0"/>
              <w:left w:val="single" w:color="000000" w:sz="4" w:space="0"/>
              <w:right w:val="single" w:color="000000" w:sz="4" w:space="0"/>
            </w:tcBorders>
            <w:vAlign w:val="center"/>
          </w:tcPr>
          <w:p w14:paraId="1EE8E1A2">
            <w:pPr>
              <w:pStyle w:val="44"/>
              <w:bidi w:val="0"/>
              <w:rPr>
                <w:rFonts w:hint="default" w:ascii="Times New Roman" w:hAnsi="Times New Roman" w:cs="Times New Roman"/>
                <w:color w:val="auto"/>
              </w:rPr>
            </w:pPr>
            <w:r>
              <w:rPr>
                <w:rFonts w:hint="default" w:ascii="Times New Roman" w:hAnsi="Times New Roman" w:cs="Times New Roman"/>
                <w:color w:val="auto"/>
              </w:rPr>
              <w:t>TSP</w:t>
            </w:r>
          </w:p>
        </w:tc>
        <w:tc>
          <w:tcPr>
            <w:tcW w:w="601" w:type="pct"/>
            <w:vMerge w:val="restart"/>
            <w:tcBorders>
              <w:top w:val="single" w:color="000000" w:sz="4" w:space="0"/>
              <w:left w:val="single" w:color="000000" w:sz="4" w:space="0"/>
              <w:right w:val="single" w:color="000000" w:sz="4" w:space="0"/>
            </w:tcBorders>
            <w:vAlign w:val="center"/>
          </w:tcPr>
          <w:p w14:paraId="55BCF946">
            <w:pPr>
              <w:pStyle w:val="44"/>
              <w:bidi w:val="0"/>
              <w:rPr>
                <w:rFonts w:hint="default" w:ascii="Times New Roman" w:hAnsi="Times New Roman" w:cs="Times New Roman"/>
                <w:color w:val="auto"/>
              </w:rPr>
            </w:pPr>
            <w:r>
              <w:rPr>
                <w:rFonts w:hint="default" w:ascii="Times New Roman" w:hAnsi="Times New Roman" w:cs="Times New Roman"/>
                <w:color w:val="auto"/>
              </w:rPr>
              <w:t>202</w:t>
            </w:r>
            <w:r>
              <w:rPr>
                <w:rFonts w:hint="default" w:ascii="Times New Roman" w:hAnsi="Times New Roman" w:cs="Times New Roman"/>
                <w:color w:val="auto"/>
                <w:lang w:val="en-US" w:eastAsia="zh-CN"/>
              </w:rPr>
              <w:t>4</w:t>
            </w:r>
            <w:r>
              <w:rPr>
                <w:rFonts w:hint="default" w:ascii="Times New Roman" w:hAnsi="Times New Roman" w:cs="Times New Roman"/>
                <w:color w:val="auto"/>
              </w:rPr>
              <w:t>年0</w:t>
            </w:r>
            <w:r>
              <w:rPr>
                <w:rFonts w:hint="default" w:ascii="Times New Roman" w:hAnsi="Times New Roman" w:cs="Times New Roman"/>
                <w:color w:val="auto"/>
                <w:lang w:val="en-US" w:eastAsia="zh-CN"/>
              </w:rPr>
              <w:t>8</w:t>
            </w:r>
            <w:r>
              <w:rPr>
                <w:rFonts w:hint="default" w:ascii="Times New Roman" w:hAnsi="Times New Roman" w:cs="Times New Roman"/>
                <w:color w:val="auto"/>
              </w:rPr>
              <w:t>月</w:t>
            </w:r>
            <w:r>
              <w:rPr>
                <w:rFonts w:hint="default" w:ascii="Times New Roman" w:hAnsi="Times New Roman" w:cs="Times New Roman"/>
                <w:color w:val="auto"/>
                <w:lang w:val="en-US" w:eastAsia="zh-CN"/>
              </w:rPr>
              <w:t>18</w:t>
            </w:r>
            <w:r>
              <w:rPr>
                <w:rFonts w:hint="default" w:ascii="Times New Roman" w:hAnsi="Times New Roman" w:cs="Times New Roman"/>
                <w:color w:val="auto"/>
              </w:rPr>
              <w:t>日～2</w:t>
            </w:r>
            <w:r>
              <w:rPr>
                <w:rFonts w:hint="default" w:ascii="Times New Roman" w:hAnsi="Times New Roman" w:cs="Times New Roman"/>
                <w:color w:val="auto"/>
                <w:lang w:val="en-US" w:eastAsia="zh-CN"/>
              </w:rPr>
              <w:t>4</w:t>
            </w:r>
            <w:r>
              <w:rPr>
                <w:rFonts w:hint="default" w:ascii="Times New Roman" w:hAnsi="Times New Roman" w:cs="Times New Roman"/>
                <w:color w:val="auto"/>
              </w:rPr>
              <w:t>日</w:t>
            </w:r>
          </w:p>
        </w:tc>
        <w:tc>
          <w:tcPr>
            <w:tcW w:w="639" w:type="pct"/>
            <w:tcBorders>
              <w:top w:val="single" w:color="000000" w:sz="4" w:space="0"/>
              <w:left w:val="single" w:color="000000" w:sz="4" w:space="0"/>
              <w:bottom w:val="single" w:color="000000" w:sz="4" w:space="0"/>
              <w:right w:val="single" w:color="000000" w:sz="4" w:space="0"/>
            </w:tcBorders>
            <w:vAlign w:val="center"/>
          </w:tcPr>
          <w:p w14:paraId="7F2527DB">
            <w:pPr>
              <w:pStyle w:val="44"/>
              <w:bidi w:val="0"/>
              <w:rPr>
                <w:rFonts w:hint="default" w:ascii="Times New Roman" w:hAnsi="Times New Roman" w:eastAsia="宋体" w:cs="Times New Roman"/>
                <w:color w:val="auto"/>
                <w:lang w:eastAsia="zh-CN"/>
              </w:rPr>
            </w:pPr>
            <w:r>
              <w:rPr>
                <w:rFonts w:hint="default" w:ascii="Times New Roman" w:hAnsi="Times New Roman" w:cs="Times New Roman"/>
                <w:color w:val="auto"/>
                <w:lang w:val="en-US" w:eastAsia="zh-CN"/>
              </w:rPr>
              <w:t>E</w:t>
            </w:r>
          </w:p>
        </w:tc>
        <w:tc>
          <w:tcPr>
            <w:tcW w:w="646" w:type="pct"/>
            <w:tcBorders>
              <w:top w:val="single" w:color="000000" w:sz="4" w:space="0"/>
              <w:left w:val="single" w:color="000000" w:sz="4" w:space="0"/>
              <w:bottom w:val="single" w:color="000000" w:sz="4" w:space="0"/>
              <w:right w:val="nil"/>
            </w:tcBorders>
            <w:vAlign w:val="center"/>
          </w:tcPr>
          <w:p w14:paraId="172AD487">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150</w:t>
            </w:r>
          </w:p>
        </w:tc>
      </w:tr>
      <w:tr w14:paraId="18C680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63" w:type="pct"/>
            <w:tcBorders>
              <w:top w:val="single" w:color="000000" w:sz="4" w:space="0"/>
              <w:left w:val="nil"/>
              <w:bottom w:val="single" w:color="000000" w:sz="4" w:space="0"/>
              <w:right w:val="single" w:color="000000" w:sz="4" w:space="0"/>
            </w:tcBorders>
            <w:vAlign w:val="center"/>
          </w:tcPr>
          <w:p w14:paraId="37FA8FDF">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60#厂址</w:t>
            </w:r>
            <w:r>
              <w:rPr>
                <w:rFonts w:hint="default" w:ascii="Times New Roman" w:hAnsi="Times New Roman" w:cs="Times New Roman"/>
                <w:color w:val="auto"/>
              </w:rPr>
              <w:t>下风向</w:t>
            </w:r>
          </w:p>
        </w:tc>
        <w:tc>
          <w:tcPr>
            <w:tcW w:w="998" w:type="pct"/>
            <w:tcBorders>
              <w:top w:val="single" w:color="000000" w:sz="4" w:space="0"/>
              <w:left w:val="single" w:color="000000" w:sz="4" w:space="0"/>
              <w:bottom w:val="single" w:color="000000" w:sz="4" w:space="0"/>
              <w:right w:val="single" w:color="auto" w:sz="4" w:space="0"/>
            </w:tcBorders>
            <w:vAlign w:val="center"/>
          </w:tcPr>
          <w:p w14:paraId="00797029">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sz w:val="22"/>
                <w:szCs w:val="22"/>
                <w:highlight w:val="none"/>
                <w:lang w:val="en-US" w:eastAsia="zh-CN"/>
              </w:rPr>
              <w:t>131°03'00.9534"</w:t>
            </w:r>
          </w:p>
        </w:tc>
        <w:tc>
          <w:tcPr>
            <w:tcW w:w="1079" w:type="pct"/>
            <w:tcBorders>
              <w:top w:val="single" w:color="000000" w:sz="4" w:space="0"/>
              <w:left w:val="single" w:color="auto" w:sz="4" w:space="0"/>
              <w:bottom w:val="single" w:color="000000" w:sz="4" w:space="0"/>
              <w:right w:val="single" w:color="000000" w:sz="4" w:space="0"/>
            </w:tcBorders>
            <w:vAlign w:val="center"/>
          </w:tcPr>
          <w:p w14:paraId="5F1CDA90">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sz w:val="22"/>
                <w:szCs w:val="22"/>
                <w:highlight w:val="none"/>
                <w:lang w:val="en-US" w:eastAsia="zh-CN"/>
              </w:rPr>
              <w:t>45°23'29.2505"</w:t>
            </w:r>
          </w:p>
        </w:tc>
        <w:tc>
          <w:tcPr>
            <w:tcW w:w="471" w:type="pct"/>
            <w:vMerge w:val="continue"/>
            <w:tcBorders>
              <w:left w:val="single" w:color="000000" w:sz="4" w:space="0"/>
              <w:right w:val="single" w:color="000000" w:sz="4" w:space="0"/>
            </w:tcBorders>
            <w:vAlign w:val="center"/>
          </w:tcPr>
          <w:p w14:paraId="5C27C39A">
            <w:pPr>
              <w:pStyle w:val="44"/>
              <w:bidi w:val="0"/>
              <w:rPr>
                <w:rFonts w:hint="default" w:ascii="Times New Roman" w:hAnsi="Times New Roman" w:cs="Times New Roman"/>
                <w:color w:val="auto"/>
              </w:rPr>
            </w:pPr>
          </w:p>
        </w:tc>
        <w:tc>
          <w:tcPr>
            <w:tcW w:w="601" w:type="pct"/>
            <w:vMerge w:val="continue"/>
            <w:tcBorders>
              <w:left w:val="single" w:color="000000" w:sz="4" w:space="0"/>
              <w:right w:val="single" w:color="000000" w:sz="4" w:space="0"/>
            </w:tcBorders>
            <w:vAlign w:val="center"/>
          </w:tcPr>
          <w:p w14:paraId="4D478A7B">
            <w:pPr>
              <w:pStyle w:val="44"/>
              <w:bidi w:val="0"/>
              <w:rPr>
                <w:rFonts w:hint="default" w:ascii="Times New Roman" w:hAnsi="Times New Roman" w:cs="Times New Roman"/>
                <w:color w:val="auto"/>
              </w:rPr>
            </w:pPr>
          </w:p>
        </w:tc>
        <w:tc>
          <w:tcPr>
            <w:tcW w:w="639" w:type="pct"/>
            <w:tcBorders>
              <w:top w:val="single" w:color="000000" w:sz="4" w:space="0"/>
              <w:left w:val="single" w:color="000000" w:sz="4" w:space="0"/>
              <w:bottom w:val="single" w:color="000000" w:sz="4" w:space="0"/>
              <w:right w:val="single" w:color="000000" w:sz="4" w:space="0"/>
            </w:tcBorders>
            <w:vAlign w:val="center"/>
          </w:tcPr>
          <w:p w14:paraId="48F41545">
            <w:pPr>
              <w:pStyle w:val="44"/>
              <w:bidi w:val="0"/>
              <w:rPr>
                <w:rFonts w:hint="default" w:ascii="Times New Roman" w:hAnsi="Times New Roman" w:cs="Times New Roman"/>
                <w:color w:val="auto"/>
              </w:rPr>
            </w:pPr>
            <w:r>
              <w:rPr>
                <w:rFonts w:hint="default" w:ascii="Times New Roman" w:hAnsi="Times New Roman" w:cs="Times New Roman"/>
                <w:color w:val="auto"/>
              </w:rPr>
              <w:t>E</w:t>
            </w:r>
          </w:p>
        </w:tc>
        <w:tc>
          <w:tcPr>
            <w:tcW w:w="646" w:type="pct"/>
            <w:tcBorders>
              <w:top w:val="single" w:color="000000" w:sz="4" w:space="0"/>
              <w:left w:val="single" w:color="000000" w:sz="4" w:space="0"/>
              <w:bottom w:val="single" w:color="000000" w:sz="4" w:space="0"/>
              <w:right w:val="nil"/>
            </w:tcBorders>
            <w:vAlign w:val="center"/>
          </w:tcPr>
          <w:p w14:paraId="32D08581">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120</w:t>
            </w:r>
          </w:p>
        </w:tc>
      </w:tr>
      <w:tr w14:paraId="2B46B7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63" w:type="pct"/>
            <w:tcBorders>
              <w:top w:val="single" w:color="000000" w:sz="4" w:space="0"/>
              <w:left w:val="nil"/>
              <w:bottom w:val="single" w:color="000000" w:sz="4" w:space="0"/>
              <w:right w:val="single" w:color="000000" w:sz="4" w:space="0"/>
            </w:tcBorders>
            <w:vAlign w:val="center"/>
          </w:tcPr>
          <w:p w14:paraId="79625A1F">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15#厂址</w:t>
            </w:r>
            <w:r>
              <w:rPr>
                <w:rFonts w:hint="default" w:ascii="Times New Roman" w:hAnsi="Times New Roman" w:cs="Times New Roman"/>
                <w:color w:val="auto"/>
              </w:rPr>
              <w:t>下风向</w:t>
            </w:r>
          </w:p>
        </w:tc>
        <w:tc>
          <w:tcPr>
            <w:tcW w:w="998" w:type="pct"/>
            <w:tcBorders>
              <w:top w:val="single" w:color="000000" w:sz="4" w:space="0"/>
              <w:left w:val="single" w:color="000000" w:sz="4" w:space="0"/>
              <w:bottom w:val="single" w:color="000000" w:sz="4" w:space="0"/>
              <w:right w:val="single" w:color="auto" w:sz="4" w:space="0"/>
            </w:tcBorders>
            <w:vAlign w:val="center"/>
          </w:tcPr>
          <w:p w14:paraId="386BEBB9">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sz w:val="22"/>
                <w:szCs w:val="22"/>
                <w:highlight w:val="none"/>
                <w:lang w:val="en-US" w:eastAsia="zh-CN"/>
              </w:rPr>
              <w:t>131°01'07.0132"</w:t>
            </w:r>
          </w:p>
        </w:tc>
        <w:tc>
          <w:tcPr>
            <w:tcW w:w="1079" w:type="pct"/>
            <w:tcBorders>
              <w:top w:val="single" w:color="000000" w:sz="4" w:space="0"/>
              <w:left w:val="single" w:color="auto" w:sz="4" w:space="0"/>
              <w:bottom w:val="single" w:color="000000" w:sz="4" w:space="0"/>
              <w:right w:val="single" w:color="000000" w:sz="4" w:space="0"/>
            </w:tcBorders>
            <w:vAlign w:val="center"/>
          </w:tcPr>
          <w:p w14:paraId="562AC6EE">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sz w:val="22"/>
                <w:szCs w:val="22"/>
                <w:highlight w:val="none"/>
                <w:lang w:val="en-US" w:eastAsia="zh-CN"/>
              </w:rPr>
              <w:t>45°22'48.9946"</w:t>
            </w:r>
          </w:p>
        </w:tc>
        <w:tc>
          <w:tcPr>
            <w:tcW w:w="471" w:type="pct"/>
            <w:vMerge w:val="continue"/>
            <w:tcBorders>
              <w:left w:val="single" w:color="000000" w:sz="4" w:space="0"/>
              <w:right w:val="single" w:color="000000" w:sz="4" w:space="0"/>
            </w:tcBorders>
            <w:vAlign w:val="center"/>
          </w:tcPr>
          <w:p w14:paraId="651D827A">
            <w:pPr>
              <w:pStyle w:val="44"/>
              <w:bidi w:val="0"/>
              <w:rPr>
                <w:rFonts w:hint="default" w:ascii="Times New Roman" w:hAnsi="Times New Roman" w:cs="Times New Roman"/>
                <w:color w:val="auto"/>
              </w:rPr>
            </w:pPr>
          </w:p>
        </w:tc>
        <w:tc>
          <w:tcPr>
            <w:tcW w:w="601" w:type="pct"/>
            <w:vMerge w:val="continue"/>
            <w:tcBorders>
              <w:left w:val="single" w:color="000000" w:sz="4" w:space="0"/>
              <w:right w:val="single" w:color="000000" w:sz="4" w:space="0"/>
            </w:tcBorders>
            <w:vAlign w:val="center"/>
          </w:tcPr>
          <w:p w14:paraId="7DD93E84">
            <w:pPr>
              <w:pStyle w:val="44"/>
              <w:bidi w:val="0"/>
              <w:rPr>
                <w:rFonts w:hint="default" w:ascii="Times New Roman" w:hAnsi="Times New Roman" w:cs="Times New Roman"/>
                <w:color w:val="auto"/>
              </w:rPr>
            </w:pPr>
          </w:p>
        </w:tc>
        <w:tc>
          <w:tcPr>
            <w:tcW w:w="639" w:type="pct"/>
            <w:tcBorders>
              <w:top w:val="single" w:color="000000" w:sz="4" w:space="0"/>
              <w:left w:val="single" w:color="000000" w:sz="4" w:space="0"/>
              <w:bottom w:val="single" w:color="000000" w:sz="4" w:space="0"/>
              <w:right w:val="single" w:color="000000" w:sz="4" w:space="0"/>
            </w:tcBorders>
            <w:vAlign w:val="center"/>
          </w:tcPr>
          <w:p w14:paraId="4C82F631">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E</w:t>
            </w:r>
          </w:p>
        </w:tc>
        <w:tc>
          <w:tcPr>
            <w:tcW w:w="646" w:type="pct"/>
            <w:tcBorders>
              <w:top w:val="single" w:color="000000" w:sz="4" w:space="0"/>
              <w:left w:val="single" w:color="000000" w:sz="4" w:space="0"/>
              <w:bottom w:val="single" w:color="000000" w:sz="4" w:space="0"/>
              <w:right w:val="nil"/>
            </w:tcBorders>
            <w:vAlign w:val="center"/>
          </w:tcPr>
          <w:p w14:paraId="3B316A3F">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170</w:t>
            </w:r>
          </w:p>
        </w:tc>
      </w:tr>
      <w:tr w14:paraId="132314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63" w:type="pct"/>
            <w:tcBorders>
              <w:top w:val="single" w:color="000000" w:sz="4" w:space="0"/>
              <w:left w:val="nil"/>
              <w:bottom w:val="single" w:color="000000" w:sz="4" w:space="0"/>
              <w:right w:val="single" w:color="000000" w:sz="4" w:space="0"/>
            </w:tcBorders>
            <w:vAlign w:val="center"/>
          </w:tcPr>
          <w:p w14:paraId="624572F0">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21#厂址</w:t>
            </w:r>
            <w:r>
              <w:rPr>
                <w:rFonts w:hint="default" w:ascii="Times New Roman" w:hAnsi="Times New Roman" w:cs="Times New Roman"/>
                <w:color w:val="auto"/>
              </w:rPr>
              <w:t>下风向</w:t>
            </w:r>
          </w:p>
        </w:tc>
        <w:tc>
          <w:tcPr>
            <w:tcW w:w="998" w:type="pct"/>
            <w:tcBorders>
              <w:top w:val="single" w:color="000000" w:sz="4" w:space="0"/>
              <w:left w:val="single" w:color="000000" w:sz="4" w:space="0"/>
              <w:bottom w:val="single" w:color="000000" w:sz="4" w:space="0"/>
              <w:right w:val="single" w:color="auto" w:sz="4" w:space="0"/>
            </w:tcBorders>
            <w:vAlign w:val="center"/>
          </w:tcPr>
          <w:p w14:paraId="2557D591">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sz w:val="22"/>
                <w:szCs w:val="22"/>
                <w:highlight w:val="none"/>
                <w:lang w:val="en-US" w:eastAsia="zh-CN"/>
              </w:rPr>
              <w:t>131°01'21.9992"</w:t>
            </w:r>
          </w:p>
        </w:tc>
        <w:tc>
          <w:tcPr>
            <w:tcW w:w="1079" w:type="pct"/>
            <w:tcBorders>
              <w:top w:val="single" w:color="000000" w:sz="4" w:space="0"/>
              <w:left w:val="single" w:color="auto" w:sz="4" w:space="0"/>
              <w:bottom w:val="single" w:color="000000" w:sz="4" w:space="0"/>
              <w:right w:val="single" w:color="000000" w:sz="4" w:space="0"/>
            </w:tcBorders>
            <w:vAlign w:val="center"/>
          </w:tcPr>
          <w:p w14:paraId="20A38391">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sz w:val="22"/>
                <w:szCs w:val="22"/>
                <w:highlight w:val="none"/>
                <w:lang w:val="en-US" w:eastAsia="zh-CN"/>
              </w:rPr>
              <w:t>45°22'03.8464"</w:t>
            </w:r>
          </w:p>
        </w:tc>
        <w:tc>
          <w:tcPr>
            <w:tcW w:w="471" w:type="pct"/>
            <w:vMerge w:val="continue"/>
            <w:tcBorders>
              <w:left w:val="single" w:color="000000" w:sz="4" w:space="0"/>
              <w:right w:val="single" w:color="000000" w:sz="4" w:space="0"/>
            </w:tcBorders>
            <w:vAlign w:val="center"/>
          </w:tcPr>
          <w:p w14:paraId="7FAB814E">
            <w:pPr>
              <w:pStyle w:val="44"/>
              <w:bidi w:val="0"/>
              <w:rPr>
                <w:rFonts w:hint="default" w:ascii="Times New Roman" w:hAnsi="Times New Roman" w:cs="Times New Roman"/>
                <w:color w:val="auto"/>
              </w:rPr>
            </w:pPr>
          </w:p>
        </w:tc>
        <w:tc>
          <w:tcPr>
            <w:tcW w:w="601" w:type="pct"/>
            <w:vMerge w:val="continue"/>
            <w:tcBorders>
              <w:left w:val="single" w:color="000000" w:sz="4" w:space="0"/>
              <w:right w:val="single" w:color="000000" w:sz="4" w:space="0"/>
            </w:tcBorders>
            <w:vAlign w:val="center"/>
          </w:tcPr>
          <w:p w14:paraId="215C93FA">
            <w:pPr>
              <w:pStyle w:val="44"/>
              <w:bidi w:val="0"/>
              <w:rPr>
                <w:rFonts w:hint="default" w:ascii="Times New Roman" w:hAnsi="Times New Roman" w:cs="Times New Roman"/>
                <w:color w:val="auto"/>
              </w:rPr>
            </w:pPr>
          </w:p>
        </w:tc>
        <w:tc>
          <w:tcPr>
            <w:tcW w:w="639" w:type="pct"/>
            <w:tcBorders>
              <w:top w:val="single" w:color="000000" w:sz="4" w:space="0"/>
              <w:left w:val="single" w:color="000000" w:sz="4" w:space="0"/>
              <w:bottom w:val="single" w:color="000000" w:sz="4" w:space="0"/>
              <w:right w:val="single" w:color="000000" w:sz="4" w:space="0"/>
            </w:tcBorders>
            <w:vAlign w:val="center"/>
          </w:tcPr>
          <w:p w14:paraId="3CD38935">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E</w:t>
            </w:r>
          </w:p>
        </w:tc>
        <w:tc>
          <w:tcPr>
            <w:tcW w:w="646" w:type="pct"/>
            <w:tcBorders>
              <w:top w:val="single" w:color="000000" w:sz="4" w:space="0"/>
              <w:left w:val="single" w:color="000000" w:sz="4" w:space="0"/>
              <w:bottom w:val="single" w:color="000000" w:sz="4" w:space="0"/>
              <w:right w:val="nil"/>
            </w:tcBorders>
            <w:vAlign w:val="center"/>
          </w:tcPr>
          <w:p w14:paraId="5346FD85">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130</w:t>
            </w:r>
          </w:p>
        </w:tc>
      </w:tr>
      <w:tr w14:paraId="572549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63" w:type="pct"/>
            <w:tcBorders>
              <w:top w:val="single" w:color="000000" w:sz="4" w:space="0"/>
              <w:left w:val="nil"/>
              <w:bottom w:val="single" w:color="000000" w:sz="4" w:space="0"/>
              <w:right w:val="single" w:color="000000" w:sz="4" w:space="0"/>
            </w:tcBorders>
            <w:vAlign w:val="center"/>
          </w:tcPr>
          <w:p w14:paraId="6D0F5C53">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31#厂址</w:t>
            </w:r>
            <w:r>
              <w:rPr>
                <w:rFonts w:hint="default" w:ascii="Times New Roman" w:hAnsi="Times New Roman" w:cs="Times New Roman"/>
                <w:color w:val="auto"/>
              </w:rPr>
              <w:t>下风向</w:t>
            </w:r>
          </w:p>
        </w:tc>
        <w:tc>
          <w:tcPr>
            <w:tcW w:w="998" w:type="pct"/>
            <w:tcBorders>
              <w:top w:val="single" w:color="000000" w:sz="4" w:space="0"/>
              <w:left w:val="single" w:color="000000" w:sz="4" w:space="0"/>
              <w:bottom w:val="single" w:color="000000" w:sz="4" w:space="0"/>
              <w:right w:val="single" w:color="auto" w:sz="4" w:space="0"/>
            </w:tcBorders>
            <w:vAlign w:val="center"/>
          </w:tcPr>
          <w:p w14:paraId="311D7BFC">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sz w:val="22"/>
                <w:szCs w:val="22"/>
                <w:highlight w:val="none"/>
                <w:lang w:val="en-US" w:eastAsia="zh-CN"/>
              </w:rPr>
              <w:t>130°56'45.3755"</w:t>
            </w:r>
          </w:p>
        </w:tc>
        <w:tc>
          <w:tcPr>
            <w:tcW w:w="1079" w:type="pct"/>
            <w:tcBorders>
              <w:top w:val="single" w:color="000000" w:sz="4" w:space="0"/>
              <w:left w:val="single" w:color="auto" w:sz="4" w:space="0"/>
              <w:bottom w:val="single" w:color="000000" w:sz="4" w:space="0"/>
              <w:right w:val="single" w:color="000000" w:sz="4" w:space="0"/>
            </w:tcBorders>
            <w:vAlign w:val="center"/>
          </w:tcPr>
          <w:p w14:paraId="32EAEF1C">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sz w:val="22"/>
                <w:szCs w:val="22"/>
                <w:highlight w:val="none"/>
                <w:lang w:val="en-US" w:eastAsia="zh-CN"/>
              </w:rPr>
              <w:t>45°20'32.6514"</w:t>
            </w:r>
          </w:p>
        </w:tc>
        <w:tc>
          <w:tcPr>
            <w:tcW w:w="471" w:type="pct"/>
            <w:vMerge w:val="continue"/>
            <w:tcBorders>
              <w:left w:val="single" w:color="000000" w:sz="4" w:space="0"/>
              <w:right w:val="single" w:color="000000" w:sz="4" w:space="0"/>
            </w:tcBorders>
            <w:vAlign w:val="center"/>
          </w:tcPr>
          <w:p w14:paraId="53E0ACE3">
            <w:pPr>
              <w:pStyle w:val="44"/>
              <w:bidi w:val="0"/>
              <w:rPr>
                <w:rFonts w:hint="default" w:ascii="Times New Roman" w:hAnsi="Times New Roman" w:cs="Times New Roman"/>
                <w:color w:val="auto"/>
              </w:rPr>
            </w:pPr>
          </w:p>
        </w:tc>
        <w:tc>
          <w:tcPr>
            <w:tcW w:w="601" w:type="pct"/>
            <w:vMerge w:val="continue"/>
            <w:tcBorders>
              <w:left w:val="single" w:color="000000" w:sz="4" w:space="0"/>
              <w:right w:val="single" w:color="000000" w:sz="4" w:space="0"/>
            </w:tcBorders>
            <w:vAlign w:val="center"/>
          </w:tcPr>
          <w:p w14:paraId="694B4674">
            <w:pPr>
              <w:pStyle w:val="44"/>
              <w:bidi w:val="0"/>
              <w:rPr>
                <w:rFonts w:hint="default" w:ascii="Times New Roman" w:hAnsi="Times New Roman" w:cs="Times New Roman"/>
                <w:color w:val="auto"/>
              </w:rPr>
            </w:pPr>
          </w:p>
        </w:tc>
        <w:tc>
          <w:tcPr>
            <w:tcW w:w="639" w:type="pct"/>
            <w:tcBorders>
              <w:top w:val="single" w:color="000000" w:sz="4" w:space="0"/>
              <w:left w:val="single" w:color="000000" w:sz="4" w:space="0"/>
              <w:bottom w:val="single" w:color="000000" w:sz="4" w:space="0"/>
              <w:right w:val="single" w:color="000000" w:sz="4" w:space="0"/>
            </w:tcBorders>
            <w:vAlign w:val="center"/>
          </w:tcPr>
          <w:p w14:paraId="39F440F1">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E</w:t>
            </w:r>
          </w:p>
        </w:tc>
        <w:tc>
          <w:tcPr>
            <w:tcW w:w="646" w:type="pct"/>
            <w:tcBorders>
              <w:top w:val="single" w:color="000000" w:sz="4" w:space="0"/>
              <w:left w:val="single" w:color="000000" w:sz="4" w:space="0"/>
              <w:bottom w:val="single" w:color="000000" w:sz="4" w:space="0"/>
              <w:right w:val="nil"/>
            </w:tcBorders>
            <w:vAlign w:val="center"/>
          </w:tcPr>
          <w:p w14:paraId="7C6A6A78">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180</w:t>
            </w:r>
          </w:p>
        </w:tc>
      </w:tr>
      <w:tr w14:paraId="3D0C3F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63" w:type="pct"/>
            <w:tcBorders>
              <w:top w:val="single" w:color="000000" w:sz="4" w:space="0"/>
              <w:left w:val="nil"/>
              <w:bottom w:val="single" w:color="000000" w:sz="4" w:space="0"/>
              <w:right w:val="single" w:color="000000" w:sz="4" w:space="0"/>
            </w:tcBorders>
            <w:vAlign w:val="center"/>
          </w:tcPr>
          <w:p w14:paraId="7B0A69CE">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41#厂址</w:t>
            </w:r>
            <w:r>
              <w:rPr>
                <w:rFonts w:hint="default" w:ascii="Times New Roman" w:hAnsi="Times New Roman" w:cs="Times New Roman"/>
                <w:color w:val="auto"/>
              </w:rPr>
              <w:t>下风向</w:t>
            </w:r>
          </w:p>
        </w:tc>
        <w:tc>
          <w:tcPr>
            <w:tcW w:w="998" w:type="pct"/>
            <w:tcBorders>
              <w:top w:val="single" w:color="000000" w:sz="4" w:space="0"/>
              <w:left w:val="single" w:color="000000" w:sz="4" w:space="0"/>
              <w:bottom w:val="single" w:color="000000" w:sz="4" w:space="0"/>
              <w:right w:val="single" w:color="auto" w:sz="4" w:space="0"/>
            </w:tcBorders>
            <w:vAlign w:val="center"/>
          </w:tcPr>
          <w:p w14:paraId="6C83C53C">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sz w:val="22"/>
                <w:szCs w:val="22"/>
                <w:highlight w:val="none"/>
                <w:lang w:val="en-US" w:eastAsia="zh-CN"/>
              </w:rPr>
              <w:t>130°59'38.7191"</w:t>
            </w:r>
          </w:p>
        </w:tc>
        <w:tc>
          <w:tcPr>
            <w:tcW w:w="1079" w:type="pct"/>
            <w:tcBorders>
              <w:top w:val="single" w:color="000000" w:sz="4" w:space="0"/>
              <w:left w:val="single" w:color="auto" w:sz="4" w:space="0"/>
              <w:bottom w:val="single" w:color="000000" w:sz="4" w:space="0"/>
              <w:right w:val="single" w:color="000000" w:sz="4" w:space="0"/>
            </w:tcBorders>
            <w:vAlign w:val="center"/>
          </w:tcPr>
          <w:p w14:paraId="79FB7A75">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sz w:val="22"/>
                <w:szCs w:val="22"/>
                <w:highlight w:val="none"/>
                <w:lang w:val="en-US" w:eastAsia="zh-CN"/>
              </w:rPr>
              <w:t>45°21'26.6677"</w:t>
            </w:r>
          </w:p>
        </w:tc>
        <w:tc>
          <w:tcPr>
            <w:tcW w:w="471" w:type="pct"/>
            <w:vMerge w:val="continue"/>
            <w:tcBorders>
              <w:left w:val="single" w:color="000000" w:sz="4" w:space="0"/>
              <w:right w:val="single" w:color="000000" w:sz="4" w:space="0"/>
            </w:tcBorders>
            <w:vAlign w:val="center"/>
          </w:tcPr>
          <w:p w14:paraId="0F6E0F05">
            <w:pPr>
              <w:pStyle w:val="44"/>
              <w:bidi w:val="0"/>
              <w:rPr>
                <w:rFonts w:hint="default" w:ascii="Times New Roman" w:hAnsi="Times New Roman" w:cs="Times New Roman"/>
                <w:color w:val="auto"/>
              </w:rPr>
            </w:pPr>
          </w:p>
        </w:tc>
        <w:tc>
          <w:tcPr>
            <w:tcW w:w="601" w:type="pct"/>
            <w:vMerge w:val="continue"/>
            <w:tcBorders>
              <w:left w:val="single" w:color="000000" w:sz="4" w:space="0"/>
              <w:right w:val="single" w:color="000000" w:sz="4" w:space="0"/>
            </w:tcBorders>
            <w:vAlign w:val="center"/>
          </w:tcPr>
          <w:p w14:paraId="3AAF1BD4">
            <w:pPr>
              <w:pStyle w:val="44"/>
              <w:bidi w:val="0"/>
              <w:rPr>
                <w:rFonts w:hint="default" w:ascii="Times New Roman" w:hAnsi="Times New Roman" w:cs="Times New Roman"/>
                <w:color w:val="auto"/>
              </w:rPr>
            </w:pPr>
          </w:p>
        </w:tc>
        <w:tc>
          <w:tcPr>
            <w:tcW w:w="639" w:type="pct"/>
            <w:tcBorders>
              <w:top w:val="single" w:color="000000" w:sz="4" w:space="0"/>
              <w:left w:val="single" w:color="000000" w:sz="4" w:space="0"/>
              <w:bottom w:val="single" w:color="000000" w:sz="4" w:space="0"/>
              <w:right w:val="single" w:color="000000" w:sz="4" w:space="0"/>
            </w:tcBorders>
            <w:vAlign w:val="center"/>
          </w:tcPr>
          <w:p w14:paraId="2DA05FC0">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E</w:t>
            </w:r>
          </w:p>
        </w:tc>
        <w:tc>
          <w:tcPr>
            <w:tcW w:w="646" w:type="pct"/>
            <w:tcBorders>
              <w:top w:val="single" w:color="000000" w:sz="4" w:space="0"/>
              <w:left w:val="single" w:color="000000" w:sz="4" w:space="0"/>
              <w:bottom w:val="single" w:color="000000" w:sz="4" w:space="0"/>
              <w:right w:val="nil"/>
            </w:tcBorders>
            <w:vAlign w:val="center"/>
          </w:tcPr>
          <w:p w14:paraId="01618127">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140</w:t>
            </w:r>
          </w:p>
        </w:tc>
      </w:tr>
      <w:tr w14:paraId="045541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63" w:type="pct"/>
            <w:tcBorders>
              <w:top w:val="single" w:color="000000" w:sz="4" w:space="0"/>
              <w:left w:val="nil"/>
              <w:bottom w:val="single" w:color="000000" w:sz="12" w:space="0"/>
              <w:right w:val="single" w:color="000000" w:sz="4" w:space="0"/>
            </w:tcBorders>
            <w:vAlign w:val="center"/>
          </w:tcPr>
          <w:p w14:paraId="08218AF4">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25#厂址</w:t>
            </w:r>
            <w:r>
              <w:rPr>
                <w:rFonts w:hint="default" w:ascii="Times New Roman" w:hAnsi="Times New Roman" w:cs="Times New Roman"/>
                <w:color w:val="auto"/>
              </w:rPr>
              <w:t>下风向</w:t>
            </w:r>
          </w:p>
        </w:tc>
        <w:tc>
          <w:tcPr>
            <w:tcW w:w="998" w:type="pct"/>
            <w:tcBorders>
              <w:top w:val="single" w:color="000000" w:sz="4" w:space="0"/>
              <w:left w:val="single" w:color="000000" w:sz="4" w:space="0"/>
              <w:bottom w:val="single" w:color="000000" w:sz="12" w:space="0"/>
              <w:right w:val="single" w:color="auto" w:sz="4" w:space="0"/>
            </w:tcBorders>
            <w:vAlign w:val="center"/>
          </w:tcPr>
          <w:p w14:paraId="29036734">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sz w:val="22"/>
                <w:szCs w:val="22"/>
                <w:highlight w:val="none"/>
                <w:lang w:val="en-US" w:eastAsia="zh-CN"/>
              </w:rPr>
              <w:t>131°03'23.8187"</w:t>
            </w:r>
          </w:p>
        </w:tc>
        <w:tc>
          <w:tcPr>
            <w:tcW w:w="1079" w:type="pct"/>
            <w:tcBorders>
              <w:top w:val="single" w:color="000000" w:sz="4" w:space="0"/>
              <w:left w:val="single" w:color="auto" w:sz="4" w:space="0"/>
              <w:bottom w:val="single" w:color="000000" w:sz="12" w:space="0"/>
              <w:right w:val="single" w:color="000000" w:sz="4" w:space="0"/>
            </w:tcBorders>
            <w:vAlign w:val="center"/>
          </w:tcPr>
          <w:p w14:paraId="5B313019">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sz w:val="22"/>
                <w:szCs w:val="22"/>
                <w:highlight w:val="none"/>
                <w:lang w:val="en-US" w:eastAsia="zh-CN"/>
              </w:rPr>
              <w:t>45°22'07.0484"</w:t>
            </w:r>
          </w:p>
        </w:tc>
        <w:tc>
          <w:tcPr>
            <w:tcW w:w="471" w:type="pct"/>
            <w:vMerge w:val="continue"/>
            <w:tcBorders>
              <w:left w:val="single" w:color="000000" w:sz="4" w:space="0"/>
              <w:bottom w:val="single" w:color="000000" w:sz="12" w:space="0"/>
              <w:right w:val="single" w:color="000000" w:sz="4" w:space="0"/>
            </w:tcBorders>
            <w:vAlign w:val="center"/>
          </w:tcPr>
          <w:p w14:paraId="627AC029">
            <w:pPr>
              <w:pStyle w:val="44"/>
              <w:bidi w:val="0"/>
              <w:rPr>
                <w:rFonts w:hint="default" w:ascii="Times New Roman" w:hAnsi="Times New Roman" w:cs="Times New Roman"/>
                <w:color w:val="auto"/>
              </w:rPr>
            </w:pPr>
          </w:p>
        </w:tc>
        <w:tc>
          <w:tcPr>
            <w:tcW w:w="601" w:type="pct"/>
            <w:vMerge w:val="continue"/>
            <w:tcBorders>
              <w:left w:val="single" w:color="000000" w:sz="4" w:space="0"/>
              <w:bottom w:val="single" w:color="000000" w:sz="12" w:space="0"/>
              <w:right w:val="single" w:color="000000" w:sz="4" w:space="0"/>
            </w:tcBorders>
            <w:vAlign w:val="center"/>
          </w:tcPr>
          <w:p w14:paraId="18C385EB">
            <w:pPr>
              <w:pStyle w:val="44"/>
              <w:bidi w:val="0"/>
              <w:rPr>
                <w:rFonts w:hint="default" w:ascii="Times New Roman" w:hAnsi="Times New Roman" w:cs="Times New Roman"/>
                <w:color w:val="auto"/>
              </w:rPr>
            </w:pPr>
          </w:p>
        </w:tc>
        <w:tc>
          <w:tcPr>
            <w:tcW w:w="639" w:type="pct"/>
            <w:tcBorders>
              <w:top w:val="single" w:color="000000" w:sz="4" w:space="0"/>
              <w:left w:val="single" w:color="000000" w:sz="4" w:space="0"/>
              <w:bottom w:val="single" w:color="000000" w:sz="12" w:space="0"/>
              <w:right w:val="single" w:color="000000" w:sz="4" w:space="0"/>
            </w:tcBorders>
            <w:vAlign w:val="center"/>
          </w:tcPr>
          <w:p w14:paraId="07255D2D">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E</w:t>
            </w:r>
          </w:p>
        </w:tc>
        <w:tc>
          <w:tcPr>
            <w:tcW w:w="646" w:type="pct"/>
            <w:tcBorders>
              <w:top w:val="single" w:color="000000" w:sz="4" w:space="0"/>
              <w:left w:val="single" w:color="000000" w:sz="4" w:space="0"/>
              <w:bottom w:val="single" w:color="000000" w:sz="12" w:space="0"/>
              <w:right w:val="nil"/>
            </w:tcBorders>
            <w:vAlign w:val="center"/>
          </w:tcPr>
          <w:p w14:paraId="45B8D0D9">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250</w:t>
            </w:r>
          </w:p>
        </w:tc>
      </w:tr>
    </w:tbl>
    <w:p w14:paraId="3836A2D3">
      <w:pPr>
        <w:adjustRightInd w:val="0"/>
        <w:snapToGrid w:val="0"/>
        <w:ind w:left="0" w:leftChars="0" w:firstLine="0" w:firstLineChars="0"/>
        <w:jc w:val="both"/>
        <w:rPr>
          <w:rFonts w:hint="default" w:ascii="Times New Roman" w:hAnsi="Times New Roman" w:cs="Times New Roman"/>
          <w:color w:val="auto"/>
          <w:sz w:val="24"/>
        </w:rPr>
      </w:pPr>
      <w:r>
        <w:rPr>
          <w:rFonts w:hint="default" w:ascii="Times New Roman" w:hAnsi="Times New Roman" w:cs="Times New Roman"/>
          <w:color w:val="auto"/>
        </w:rPr>
        <mc:AlternateContent>
          <mc:Choice Requires="wps">
            <w:drawing>
              <wp:anchor distT="0" distB="0" distL="114300" distR="114300" simplePos="0" relativeHeight="251671552" behindDoc="0" locked="0" layoutInCell="1" allowOverlap="1">
                <wp:simplePos x="0" y="0"/>
                <wp:positionH relativeFrom="column">
                  <wp:posOffset>3970655</wp:posOffset>
                </wp:positionH>
                <wp:positionV relativeFrom="paragraph">
                  <wp:posOffset>59690</wp:posOffset>
                </wp:positionV>
                <wp:extent cx="809625" cy="809625"/>
                <wp:effectExtent l="0" t="0" r="0" b="0"/>
                <wp:wrapNone/>
                <wp:docPr id="799543834" name="Rectangle 339281"/>
                <wp:cNvGraphicFramePr/>
                <a:graphic xmlns:a="http://schemas.openxmlformats.org/drawingml/2006/main">
                  <a:graphicData uri="http://schemas.microsoft.com/office/word/2010/wordprocessingShape">
                    <wps:wsp>
                      <wps:cNvSpPr>
                        <a:spLocks noChangeArrowheads="1"/>
                      </wps:cNvSpPr>
                      <wps:spPr bwMode="auto">
                        <a:xfrm>
                          <a:off x="0" y="0"/>
                          <a:ext cx="809625" cy="809625"/>
                        </a:xfrm>
                        <a:prstGeom prst="rect">
                          <a:avLst/>
                        </a:prstGeom>
                        <a:noFill/>
                        <a:ln>
                          <a:noFill/>
                        </a:ln>
                      </wps:spPr>
                      <wps:txbx>
                        <w:txbxContent>
                          <w:p w14:paraId="76245076"/>
                        </w:txbxContent>
                      </wps:txbx>
                      <wps:bodyPr rot="0" vert="horz" wrap="square" lIns="91440" tIns="45720" rIns="91440" bIns="45720" anchor="t" anchorCtr="0" upright="1">
                        <a:noAutofit/>
                      </wps:bodyPr>
                    </wps:wsp>
                  </a:graphicData>
                </a:graphic>
              </wp:anchor>
            </w:drawing>
          </mc:Choice>
          <mc:Fallback>
            <w:pict>
              <v:rect id="Rectangle 339281" o:spid="_x0000_s1026" o:spt="1" style="position:absolute;left:0pt;margin-left:312.65pt;margin-top:4.7pt;height:63.75pt;width:63.75pt;z-index:251671552;mso-width-relative:page;mso-height-relative:page;" filled="f" stroked="f" coordsize="21600,21600" o:gfxdata="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ITOTsHaAAAACQEAAA8AAAAAAAAAAQAgAAAA&#10;IgAAAGRycy9kb3ducmV2LnhtbFBLAQIUABQAAAAIAIdO4kBcmLHSCQIAABcEAAAOAAAAAAAAAAEA&#10;IAAAACkBAABkcnMvZTJvRG9jLnhtbFBLBQYAAAAABgAGAFkBAACkBQAAAAA=&#10;">
                <v:fill on="f" focussize="0,0"/>
                <v:stroke on="f"/>
                <v:imagedata o:title=""/>
                <o:lock v:ext="edit" aspectratio="f"/>
                <v:textbox>
                  <w:txbxContent>
                    <w:p w14:paraId="76245076"/>
                  </w:txbxContent>
                </v:textbox>
              </v:rect>
            </w:pict>
          </mc:Fallback>
        </mc:AlternateContent>
      </w:r>
      <w:r>
        <w:rPr>
          <w:rFonts w:hint="default" w:ascii="Times New Roman" w:hAnsi="Times New Roman" w:cs="Times New Roman"/>
          <w:color w:val="auto"/>
        </w:rPr>
        <mc:AlternateContent>
          <mc:Choice Requires="wps">
            <w:drawing>
              <wp:anchor distT="0" distB="0" distL="114300" distR="114300" simplePos="0" relativeHeight="251672576" behindDoc="0" locked="0" layoutInCell="1" allowOverlap="1">
                <wp:simplePos x="0" y="0"/>
                <wp:positionH relativeFrom="column">
                  <wp:posOffset>2390140</wp:posOffset>
                </wp:positionH>
                <wp:positionV relativeFrom="paragraph">
                  <wp:posOffset>1641475</wp:posOffset>
                </wp:positionV>
                <wp:extent cx="104775" cy="104775"/>
                <wp:effectExtent l="4445" t="4445" r="5080" b="5080"/>
                <wp:wrapNone/>
                <wp:docPr id="2102963294" name="Oval 339279"/>
                <wp:cNvGraphicFramePr/>
                <a:graphic xmlns:a="http://schemas.openxmlformats.org/drawingml/2006/main">
                  <a:graphicData uri="http://schemas.microsoft.com/office/word/2010/wordprocessingShape">
                    <wps:wsp>
                      <wps:cNvSpPr>
                        <a:spLocks noChangeArrowheads="1"/>
                      </wps:cNvSpPr>
                      <wps:spPr bwMode="auto">
                        <a:xfrm>
                          <a:off x="0" y="0"/>
                          <a:ext cx="104775" cy="104775"/>
                        </a:xfrm>
                        <a:prstGeom prst="ellipse">
                          <a:avLst/>
                        </a:prstGeom>
                        <a:solidFill>
                          <a:srgbClr val="FF0000"/>
                        </a:solidFill>
                        <a:ln w="9525">
                          <a:solidFill>
                            <a:srgbClr val="FF0000"/>
                          </a:solidFill>
                          <a:round/>
                        </a:ln>
                      </wps:spPr>
                      <wps:bodyPr rot="0" vert="horz" wrap="square" lIns="91440" tIns="45720" rIns="91440" bIns="45720" anchor="t" anchorCtr="0" upright="1">
                        <a:noAutofit/>
                      </wps:bodyPr>
                    </wps:wsp>
                  </a:graphicData>
                </a:graphic>
              </wp:anchor>
            </w:drawing>
          </mc:Choice>
          <mc:Fallback>
            <w:pict>
              <v:shape id="Oval 339279" o:spid="_x0000_s1026" o:spt="3" type="#_x0000_t3" style="position:absolute;left:0pt;margin-left:188.2pt;margin-top:129.25pt;height:8.25pt;width:8.25pt;z-index:251672576;mso-width-relative:page;mso-height-relative:page;" fillcolor="#FF0000" filled="t" stroked="t" coordsize="21600,21600" o:gfxdata="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M7mhA3ZAAAACwEAAA8AAAAAAAAAAQAgAAAAIgAAAGRycy9kb3ducmV2LnhtbFBLAQIUABQA&#10;AAAIAIdO4kAJHKqxKAIAAHAEAAAOAAAAAAAAAAEAIAAAACgBAABkcnMvZTJvRG9jLnhtbFBLBQYA&#10;AAAABgAGAFkBAADCBQAAAAA=&#10;">
                <v:fill on="t" focussize="0,0"/>
                <v:stroke color="#FF0000" joinstyle="round"/>
                <v:imagedata o:title=""/>
                <o:lock v:ext="edit" aspectratio="f"/>
              </v:shape>
            </w:pict>
          </mc:Fallback>
        </mc:AlternateContent>
      </w:r>
      <w:r>
        <w:rPr>
          <w:rFonts w:hint="default" w:ascii="Times New Roman" w:hAnsi="Times New Roman" w:cs="Times New Roman"/>
          <w:color w:val="auto"/>
        </w:rPr>
        <w:drawing>
          <wp:inline distT="0" distB="0" distL="114300" distR="114300">
            <wp:extent cx="5244465" cy="3271520"/>
            <wp:effectExtent l="0" t="0" r="13335" b="508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68"/>
                    <a:stretch>
                      <a:fillRect/>
                    </a:stretch>
                  </pic:blipFill>
                  <pic:spPr>
                    <a:xfrm>
                      <a:off x="0" y="0"/>
                      <a:ext cx="5244465" cy="3271520"/>
                    </a:xfrm>
                    <a:prstGeom prst="rect">
                      <a:avLst/>
                    </a:prstGeom>
                    <a:noFill/>
                    <a:ln>
                      <a:noFill/>
                    </a:ln>
                  </pic:spPr>
                </pic:pic>
              </a:graphicData>
            </a:graphic>
          </wp:inline>
        </w:drawing>
      </w:r>
    </w:p>
    <w:p w14:paraId="729F1F0F">
      <w:pPr>
        <w:pStyle w:val="27"/>
        <w:bidi w:val="0"/>
        <w:rPr>
          <w:rFonts w:hint="default" w:ascii="Times New Roman" w:hAnsi="Times New Roman" w:cs="Times New Roman"/>
          <w:color w:val="auto"/>
        </w:rPr>
      </w:pPr>
      <w:r>
        <w:rPr>
          <w:rFonts w:hint="default" w:ascii="Times New Roman" w:hAnsi="Times New Roman" w:cs="Times New Roman"/>
          <w:color w:val="auto"/>
        </w:rPr>
        <w:t>图4-2-1环境空气补充监测点位</w:t>
      </w:r>
    </w:p>
    <w:p w14:paraId="7EB11E7E">
      <w:pPr>
        <w:pStyle w:val="25"/>
        <w:bidi w:val="0"/>
        <w:rPr>
          <w:rFonts w:hint="default" w:ascii="Times New Roman" w:hAnsi="Times New Roman" w:cs="Times New Roman"/>
          <w:color w:val="auto"/>
        </w:rPr>
      </w:pPr>
      <w:r>
        <w:rPr>
          <w:rFonts w:hint="default" w:ascii="Times New Roman" w:hAnsi="Times New Roman" w:cs="Times New Roman"/>
          <w:color w:val="auto"/>
        </w:rPr>
        <w:t>（3）监测结果</w:t>
      </w:r>
    </w:p>
    <w:p w14:paraId="0067A727">
      <w:pPr>
        <w:pStyle w:val="25"/>
        <w:bidi w:val="0"/>
        <w:rPr>
          <w:rFonts w:hint="default" w:ascii="Times New Roman" w:hAnsi="Times New Roman" w:cs="Times New Roman"/>
          <w:color w:val="auto"/>
        </w:rPr>
      </w:pPr>
      <w:r>
        <w:rPr>
          <w:rFonts w:hint="default" w:ascii="Times New Roman" w:hAnsi="Times New Roman" w:cs="Times New Roman"/>
          <w:color w:val="auto"/>
          <w:lang w:val="en-US" w:eastAsia="zh-CN"/>
        </w:rPr>
        <w:t>各</w:t>
      </w:r>
      <w:r>
        <w:rPr>
          <w:rFonts w:hint="default" w:ascii="Times New Roman" w:hAnsi="Times New Roman" w:cs="Times New Roman"/>
          <w:color w:val="auto"/>
        </w:rPr>
        <w:t>监测点TSP的监测值为0.</w:t>
      </w:r>
      <w:r>
        <w:rPr>
          <w:rFonts w:hint="default" w:ascii="Times New Roman" w:hAnsi="Times New Roman" w:cs="Times New Roman"/>
          <w:color w:val="auto"/>
          <w:lang w:val="en-US" w:eastAsia="zh-CN"/>
        </w:rPr>
        <w:t>083</w:t>
      </w:r>
      <w:r>
        <w:rPr>
          <w:rFonts w:hint="default" w:ascii="Times New Roman" w:hAnsi="Times New Roman" w:cs="Times New Roman"/>
          <w:color w:val="auto"/>
        </w:rPr>
        <w:t>-0.11</w:t>
      </w:r>
      <w:r>
        <w:rPr>
          <w:rFonts w:hint="default" w:ascii="Times New Roman" w:hAnsi="Times New Roman" w:cs="Times New Roman"/>
          <w:color w:val="auto"/>
          <w:lang w:val="en-US" w:eastAsia="zh-CN"/>
        </w:rPr>
        <w:t>8</w:t>
      </w:r>
      <w:r>
        <w:rPr>
          <w:rFonts w:hint="default" w:ascii="Times New Roman" w:hAnsi="Times New Roman" w:cs="Times New Roman"/>
          <w:color w:val="auto"/>
        </w:rPr>
        <w:t>mg/m</w:t>
      </w:r>
      <w:r>
        <w:rPr>
          <w:rFonts w:hint="default" w:ascii="Times New Roman" w:hAnsi="Times New Roman" w:cs="Times New Roman"/>
          <w:color w:val="auto"/>
          <w:vertAlign w:val="superscript"/>
        </w:rPr>
        <w:t>3</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详</w:t>
      </w:r>
      <w:r>
        <w:rPr>
          <w:rFonts w:hint="default" w:ascii="Times New Roman" w:hAnsi="Times New Roman" w:cs="Times New Roman"/>
          <w:color w:val="auto"/>
        </w:rPr>
        <w:t>见附件。</w:t>
      </w:r>
    </w:p>
    <w:p w14:paraId="0EC97892">
      <w:pPr>
        <w:pStyle w:val="25"/>
        <w:bidi w:val="0"/>
        <w:rPr>
          <w:rFonts w:hint="default" w:ascii="Times New Roman" w:hAnsi="Times New Roman" w:cs="Times New Roman"/>
          <w:color w:val="auto"/>
        </w:rPr>
      </w:pPr>
      <w:r>
        <w:rPr>
          <w:rFonts w:hint="default" w:ascii="Times New Roman" w:hAnsi="Times New Roman" w:cs="Times New Roman"/>
          <w:color w:val="auto"/>
        </w:rPr>
        <w:t>（4）评价方法</w:t>
      </w:r>
    </w:p>
    <w:p w14:paraId="21199A4E">
      <w:pPr>
        <w:pStyle w:val="25"/>
        <w:bidi w:val="0"/>
        <w:rPr>
          <w:rFonts w:hint="default" w:ascii="Times New Roman" w:hAnsi="Times New Roman" w:cs="Times New Roman"/>
          <w:color w:val="auto"/>
        </w:rPr>
      </w:pPr>
      <w:r>
        <w:rPr>
          <w:rFonts w:hint="default" w:ascii="Times New Roman" w:hAnsi="Times New Roman" w:cs="Times New Roman"/>
          <w:color w:val="auto"/>
        </w:rPr>
        <w:t>环境空气质量评价采用占标百分比评价法，数学表达式：</w:t>
      </w:r>
    </w:p>
    <w:p w14:paraId="6B7C2390">
      <w:pPr>
        <w:pStyle w:val="25"/>
        <w:bidi w:val="0"/>
        <w:rPr>
          <w:rFonts w:hint="default" w:ascii="Times New Roman" w:hAnsi="Times New Roman" w:cs="Times New Roman"/>
          <w:color w:val="auto"/>
        </w:rPr>
      </w:pPr>
      <w:r>
        <w:rPr>
          <w:rFonts w:hint="default" w:ascii="Times New Roman" w:hAnsi="Times New Roman" w:cs="Times New Roman"/>
          <w:color w:val="auto"/>
        </w:rPr>
        <w:t>环境空气质量评价采用如下方法：</w:t>
      </w:r>
    </w:p>
    <w:p w14:paraId="3BA377B4">
      <w:pPr>
        <w:pStyle w:val="25"/>
        <w:bidi w:val="0"/>
        <w:rPr>
          <w:rFonts w:hint="default" w:ascii="Times New Roman" w:hAnsi="Times New Roman" w:cs="Times New Roman"/>
          <w:color w:val="auto"/>
        </w:rPr>
      </w:pPr>
      <w:bookmarkStart w:id="240" w:name="_Toc173664414"/>
      <w:bookmarkStart w:id="241" w:name="_Toc173913381"/>
      <w:bookmarkStart w:id="242" w:name="_Toc173913122"/>
      <w:bookmarkStart w:id="243" w:name="_Toc173745759"/>
      <w:bookmarkStart w:id="244" w:name="_Toc173912864"/>
      <w:bookmarkStart w:id="245" w:name="_Toc173719425"/>
      <w:r>
        <w:rPr>
          <w:rFonts w:hint="default" w:ascii="Times New Roman" w:hAnsi="Times New Roman" w:cs="Times New Roman"/>
          <w:color w:val="auto"/>
        </w:rPr>
        <w:t>C现状（x,y）=MAX[</w:t>
      </w:r>
      <m:oMath>
        <m:f>
          <m:fPr>
            <m:ctrlPr>
              <w:rPr>
                <w:rFonts w:hint="default" w:ascii="Cambria Math" w:hAnsi="Cambria Math" w:cs="Times New Roman"/>
                <w:color w:val="auto"/>
              </w:rPr>
            </m:ctrlPr>
          </m:fPr>
          <m:num>
            <m:r>
              <m:rPr>
                <m:sty m:val="p"/>
              </m:rPr>
              <w:rPr>
                <w:rFonts w:hint="default" w:ascii="Cambria Math" w:hAnsi="Cambria Math" w:cs="Times New Roman"/>
                <w:color w:val="auto"/>
              </w:rPr>
              <m:t>1</m:t>
            </m:r>
            <m:ctrlPr>
              <w:rPr>
                <w:rFonts w:hint="default" w:ascii="Cambria Math" w:hAnsi="Cambria Math" w:cs="Times New Roman"/>
                <w:color w:val="auto"/>
              </w:rPr>
            </m:ctrlPr>
          </m:num>
          <m:den>
            <m:r>
              <m:rPr>
                <m:sty m:val="p"/>
              </m:rPr>
              <w:rPr>
                <w:rFonts w:hint="default" w:ascii="Cambria Math" w:hAnsi="Cambria Math" w:cs="Times New Roman"/>
                <w:color w:val="auto"/>
              </w:rPr>
              <m:t>n</m:t>
            </m:r>
            <m:ctrlPr>
              <w:rPr>
                <w:rFonts w:hint="default" w:ascii="Cambria Math" w:hAnsi="Cambria Math" w:cs="Times New Roman"/>
                <w:color w:val="auto"/>
              </w:rPr>
            </m:ctrlPr>
          </m:den>
        </m:f>
        <m:nary>
          <m:naryPr>
            <m:chr m:val="∑"/>
            <m:limLoc m:val="subSup"/>
            <m:ctrlPr>
              <w:rPr>
                <w:rFonts w:hint="default" w:ascii="Cambria Math" w:hAnsi="Cambria Math" w:cs="Times New Roman"/>
                <w:color w:val="auto"/>
              </w:rPr>
            </m:ctrlPr>
          </m:naryPr>
          <m:sub>
            <m:r>
              <m:rPr>
                <m:sty m:val="p"/>
              </m:rPr>
              <w:rPr>
                <w:rFonts w:hint="default" w:ascii="Cambria Math" w:hAnsi="Cambria Math" w:cs="Times New Roman"/>
                <w:color w:val="auto"/>
              </w:rPr>
              <m:t>j=1</m:t>
            </m:r>
            <m:ctrlPr>
              <w:rPr>
                <w:rFonts w:hint="default" w:ascii="Cambria Math" w:hAnsi="Cambria Math" w:cs="Times New Roman"/>
                <w:color w:val="auto"/>
              </w:rPr>
            </m:ctrlPr>
          </m:sub>
          <m:sup>
            <m:r>
              <m:rPr>
                <m:sty m:val="p"/>
              </m:rPr>
              <w:rPr>
                <w:rFonts w:hint="default" w:ascii="Cambria Math" w:hAnsi="Cambria Math" w:cs="Times New Roman"/>
                <w:color w:val="auto"/>
              </w:rPr>
              <m:t>n</m:t>
            </m:r>
            <m:ctrlPr>
              <w:rPr>
                <w:rFonts w:hint="default" w:ascii="Cambria Math" w:hAnsi="Cambria Math" w:cs="Times New Roman"/>
                <w:color w:val="auto"/>
              </w:rPr>
            </m:ctrlPr>
          </m:sup>
          <m:e>
            <m:sSub>
              <m:sSubPr>
                <m:ctrlPr>
                  <w:rPr>
                    <w:rFonts w:hint="default" w:ascii="Cambria Math" w:hAnsi="Cambria Math" w:cs="Times New Roman"/>
                    <w:color w:val="auto"/>
                  </w:rPr>
                </m:ctrlPr>
              </m:sSubPr>
              <m:e>
                <m:r>
                  <m:rPr>
                    <m:sty m:val="p"/>
                  </m:rPr>
                  <w:rPr>
                    <w:rFonts w:hint="default" w:ascii="Cambria Math" w:hAnsi="Cambria Math" w:cs="Times New Roman"/>
                    <w:color w:val="auto"/>
                  </w:rPr>
                  <m:t>C</m:t>
                </m:r>
                <m:ctrlPr>
                  <w:rPr>
                    <w:rFonts w:hint="default" w:ascii="Cambria Math" w:hAnsi="Cambria Math" w:cs="Times New Roman"/>
                    <w:color w:val="auto"/>
                  </w:rPr>
                </m:ctrlPr>
              </m:e>
              <m:sub>
                <m:r>
                  <m:rPr>
                    <m:sty m:val="p"/>
                  </m:rPr>
                  <w:rPr>
                    <w:rFonts w:hint="default" w:ascii="Cambria Math" w:hAnsi="Cambria Math" w:cs="Times New Roman"/>
                    <w:color w:val="auto"/>
                  </w:rPr>
                  <m:t>监测（j,t）</m:t>
                </m:r>
                <m:ctrlPr>
                  <w:rPr>
                    <w:rFonts w:hint="default" w:ascii="Cambria Math" w:hAnsi="Cambria Math" w:cs="Times New Roman"/>
                    <w:color w:val="auto"/>
                  </w:rPr>
                </m:ctrlPr>
              </m:sub>
            </m:sSub>
            <m:ctrlPr>
              <w:rPr>
                <w:rFonts w:hint="default" w:ascii="Cambria Math" w:hAnsi="Cambria Math" w:cs="Times New Roman"/>
                <w:color w:val="auto"/>
              </w:rPr>
            </m:ctrlPr>
          </m:e>
        </m:nary>
      </m:oMath>
      <w:r>
        <w:rPr>
          <w:rFonts w:hint="default" w:ascii="Times New Roman" w:hAnsi="Times New Roman" w:cs="Times New Roman"/>
          <w:color w:val="auto"/>
        </w:rPr>
        <w:t>]</w:t>
      </w:r>
      <w:bookmarkEnd w:id="240"/>
      <w:bookmarkEnd w:id="241"/>
      <w:bookmarkEnd w:id="242"/>
      <w:bookmarkEnd w:id="243"/>
      <w:bookmarkEnd w:id="244"/>
      <w:bookmarkEnd w:id="245"/>
    </w:p>
    <w:p w14:paraId="6B5E0C57">
      <w:pPr>
        <w:pStyle w:val="25"/>
        <w:bidi w:val="0"/>
        <w:rPr>
          <w:rFonts w:hint="default" w:ascii="Times New Roman" w:hAnsi="Times New Roman" w:cs="Times New Roman"/>
          <w:color w:val="auto"/>
        </w:rPr>
      </w:pPr>
      <w:r>
        <w:rPr>
          <w:rFonts w:hint="default" w:ascii="Times New Roman" w:hAnsi="Times New Roman" w:cs="Times New Roman"/>
          <w:color w:val="auto"/>
        </w:rPr>
        <w:t>式中：C现状（x,y）——环境空气保护目标及网格点（x,y）环境质量现状浓度，μg/m</w:t>
      </w:r>
      <w:r>
        <w:rPr>
          <w:rFonts w:hint="default" w:ascii="Times New Roman" w:hAnsi="Times New Roman" w:cs="Times New Roman"/>
          <w:color w:val="auto"/>
          <w:vertAlign w:val="superscript"/>
        </w:rPr>
        <w:t>3</w:t>
      </w:r>
      <w:r>
        <w:rPr>
          <w:rFonts w:hint="default" w:ascii="Times New Roman" w:hAnsi="Times New Roman" w:cs="Times New Roman"/>
          <w:color w:val="auto"/>
        </w:rPr>
        <w:t>；</w:t>
      </w:r>
    </w:p>
    <w:p w14:paraId="397B9F3A">
      <w:pPr>
        <w:pStyle w:val="25"/>
        <w:bidi w:val="0"/>
        <w:rPr>
          <w:rFonts w:hint="default" w:ascii="Times New Roman" w:hAnsi="Times New Roman" w:cs="Times New Roman"/>
          <w:color w:val="auto"/>
        </w:rPr>
      </w:pPr>
      <w:r>
        <w:rPr>
          <w:rFonts w:hint="default" w:ascii="Times New Roman" w:hAnsi="Times New Roman" w:cs="Times New Roman"/>
          <w:color w:val="auto"/>
        </w:rPr>
        <w:t xml:space="preserve">      </w:t>
      </w:r>
      <m:oMath>
        <m:sSub>
          <m:sSubPr>
            <m:ctrlPr>
              <w:rPr>
                <w:rFonts w:hint="default" w:ascii="Cambria Math" w:hAnsi="Cambria Math" w:cs="Times New Roman"/>
                <w:color w:val="auto"/>
              </w:rPr>
            </m:ctrlPr>
          </m:sSubPr>
          <m:e>
            <m:r>
              <m:rPr>
                <m:sty m:val="p"/>
              </m:rPr>
              <w:rPr>
                <w:rFonts w:hint="default" w:ascii="Cambria Math" w:hAnsi="Cambria Math" w:cs="Times New Roman"/>
                <w:color w:val="auto"/>
              </w:rPr>
              <m:t>C</m:t>
            </m:r>
            <m:ctrlPr>
              <w:rPr>
                <w:rFonts w:hint="default" w:ascii="Cambria Math" w:hAnsi="Cambria Math" w:cs="Times New Roman"/>
                <w:color w:val="auto"/>
              </w:rPr>
            </m:ctrlPr>
          </m:e>
          <m:sub>
            <m:r>
              <m:rPr>
                <m:sty m:val="p"/>
              </m:rPr>
              <w:rPr>
                <w:rFonts w:hint="default" w:ascii="Cambria Math" w:hAnsi="Cambria Math" w:cs="Times New Roman"/>
                <w:color w:val="auto"/>
              </w:rPr>
              <m:t>监测（j,t）</m:t>
            </m:r>
            <m:ctrlPr>
              <w:rPr>
                <w:rFonts w:hint="default" w:ascii="Cambria Math" w:hAnsi="Cambria Math" w:cs="Times New Roman"/>
                <w:color w:val="auto"/>
              </w:rPr>
            </m:ctrlPr>
          </m:sub>
        </m:sSub>
      </m:oMath>
      <w:r>
        <w:rPr>
          <w:rFonts w:hint="default" w:ascii="Times New Roman" w:hAnsi="Times New Roman" w:cs="Times New Roman"/>
          <w:color w:val="auto"/>
        </w:rPr>
        <w:t>——第j个监测点位在t时刻环境质量现状浓度（包括1h平均、8h平均或日平均质量浓度）采用估算模型计算出的第i个污染物的最大1h地面空气质量浓度，</w:t>
      </w:r>
      <w:bookmarkStart w:id="246" w:name="_Hlk53993784"/>
      <w:r>
        <w:rPr>
          <w:rFonts w:hint="default" w:ascii="Times New Roman" w:hAnsi="Times New Roman" w:cs="Times New Roman"/>
          <w:color w:val="auto"/>
        </w:rPr>
        <w:t>μg/m</w:t>
      </w:r>
      <w:r>
        <w:rPr>
          <w:rFonts w:hint="default" w:ascii="Times New Roman" w:hAnsi="Times New Roman" w:cs="Times New Roman"/>
          <w:color w:val="auto"/>
          <w:vertAlign w:val="superscript"/>
        </w:rPr>
        <w:t>3</w:t>
      </w:r>
      <w:bookmarkEnd w:id="246"/>
      <w:r>
        <w:rPr>
          <w:rFonts w:hint="default" w:ascii="Times New Roman" w:hAnsi="Times New Roman" w:cs="Times New Roman"/>
          <w:color w:val="auto"/>
        </w:rPr>
        <w:t>；</w:t>
      </w:r>
    </w:p>
    <w:p w14:paraId="1D17B7A8">
      <w:pPr>
        <w:pStyle w:val="25"/>
        <w:bidi w:val="0"/>
        <w:rPr>
          <w:rFonts w:hint="default" w:ascii="Times New Roman" w:hAnsi="Times New Roman" w:cs="Times New Roman"/>
          <w:color w:val="auto"/>
        </w:rPr>
      </w:pPr>
      <w:r>
        <w:rPr>
          <w:rFonts w:hint="default" w:ascii="Times New Roman" w:hAnsi="Times New Roman" w:cs="Times New Roman"/>
          <w:color w:val="auto"/>
        </w:rPr>
        <w:t xml:space="preserve">      n——现状补充监测点位数；</w:t>
      </w:r>
    </w:p>
    <w:p w14:paraId="08BDE852">
      <w:pPr>
        <w:pStyle w:val="25"/>
        <w:bidi w:val="0"/>
        <w:rPr>
          <w:rFonts w:hint="default" w:ascii="Times New Roman" w:hAnsi="Times New Roman" w:cs="Times New Roman"/>
          <w:color w:val="auto"/>
        </w:rPr>
      </w:pPr>
      <w:r>
        <w:rPr>
          <w:rFonts w:hint="default" w:ascii="Times New Roman" w:hAnsi="Times New Roman" w:cs="Times New Roman"/>
          <w:color w:val="auto"/>
        </w:rPr>
        <w:t>（5）监测结果分析评价</w:t>
      </w:r>
    </w:p>
    <w:p w14:paraId="287DBA54">
      <w:pPr>
        <w:pStyle w:val="27"/>
        <w:bidi w:val="0"/>
        <w:rPr>
          <w:rFonts w:hint="default" w:ascii="Times New Roman" w:hAnsi="Times New Roman" w:cs="Times New Roman"/>
          <w:color w:val="auto"/>
        </w:rPr>
      </w:pPr>
      <w:r>
        <w:rPr>
          <w:rFonts w:hint="default" w:ascii="Times New Roman" w:hAnsi="Times New Roman" w:cs="Times New Roman"/>
          <w:color w:val="auto"/>
        </w:rPr>
        <w:t>表4-2-2其他污染物环境质量现状（监测结果）表</w:t>
      </w:r>
    </w:p>
    <w:tbl>
      <w:tblPr>
        <w:tblStyle w:val="20"/>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54"/>
        <w:gridCol w:w="1699"/>
        <w:gridCol w:w="1590"/>
        <w:gridCol w:w="578"/>
        <w:gridCol w:w="672"/>
        <w:gridCol w:w="922"/>
        <w:gridCol w:w="796"/>
        <w:gridCol w:w="729"/>
        <w:gridCol w:w="450"/>
        <w:gridCol w:w="427"/>
      </w:tblGrid>
      <w:tr w14:paraId="105888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99" w:hRule="atLeast"/>
          <w:jc w:val="center"/>
        </w:trPr>
        <w:tc>
          <w:tcPr>
            <w:tcW w:w="384" w:type="pct"/>
            <w:vMerge w:val="restart"/>
            <w:tcBorders>
              <w:top w:val="single" w:color="000000" w:sz="12" w:space="0"/>
              <w:left w:val="nil"/>
              <w:bottom w:val="single" w:color="000000" w:sz="4" w:space="0"/>
              <w:right w:val="single" w:color="000000" w:sz="4" w:space="0"/>
            </w:tcBorders>
            <w:vAlign w:val="center"/>
          </w:tcPr>
          <w:p w14:paraId="5F4D60DE">
            <w:pPr>
              <w:pStyle w:val="44"/>
              <w:bidi w:val="0"/>
              <w:rPr>
                <w:rFonts w:hint="default" w:ascii="Times New Roman" w:hAnsi="Times New Roman" w:cs="Times New Roman"/>
                <w:color w:val="auto"/>
              </w:rPr>
            </w:pPr>
            <w:r>
              <w:rPr>
                <w:rFonts w:hint="default" w:ascii="Times New Roman" w:hAnsi="Times New Roman" w:cs="Times New Roman"/>
                <w:color w:val="auto"/>
              </w:rPr>
              <w:t>监测点位</w:t>
            </w:r>
          </w:p>
        </w:tc>
        <w:tc>
          <w:tcPr>
            <w:tcW w:w="1930" w:type="pct"/>
            <w:gridSpan w:val="2"/>
            <w:tcBorders>
              <w:top w:val="single" w:color="000000" w:sz="12" w:space="0"/>
              <w:left w:val="single" w:color="000000" w:sz="4" w:space="0"/>
              <w:bottom w:val="single" w:color="auto" w:sz="4" w:space="0"/>
              <w:right w:val="single" w:color="000000" w:sz="4" w:space="0"/>
            </w:tcBorders>
            <w:vAlign w:val="center"/>
          </w:tcPr>
          <w:p w14:paraId="60A43C64">
            <w:pPr>
              <w:pStyle w:val="44"/>
              <w:bidi w:val="0"/>
              <w:rPr>
                <w:rFonts w:hint="default" w:ascii="Times New Roman" w:hAnsi="Times New Roman" w:cs="Times New Roman"/>
                <w:color w:val="auto"/>
              </w:rPr>
            </w:pPr>
            <w:r>
              <w:rPr>
                <w:rFonts w:hint="default" w:ascii="Times New Roman" w:hAnsi="Times New Roman" w:cs="Times New Roman"/>
                <w:color w:val="auto"/>
              </w:rPr>
              <w:t>监测点坐标</w:t>
            </w:r>
          </w:p>
        </w:tc>
        <w:tc>
          <w:tcPr>
            <w:tcW w:w="339" w:type="pct"/>
            <w:vMerge w:val="restart"/>
            <w:tcBorders>
              <w:top w:val="single" w:color="000000" w:sz="12" w:space="0"/>
              <w:left w:val="single" w:color="000000" w:sz="4" w:space="0"/>
              <w:bottom w:val="single" w:color="000000" w:sz="4" w:space="0"/>
              <w:right w:val="single" w:color="000000" w:sz="4" w:space="0"/>
            </w:tcBorders>
            <w:vAlign w:val="center"/>
          </w:tcPr>
          <w:p w14:paraId="462A317D">
            <w:pPr>
              <w:pStyle w:val="44"/>
              <w:bidi w:val="0"/>
              <w:rPr>
                <w:rFonts w:hint="default" w:ascii="Times New Roman" w:hAnsi="Times New Roman" w:cs="Times New Roman"/>
                <w:color w:val="auto"/>
              </w:rPr>
            </w:pPr>
            <w:r>
              <w:rPr>
                <w:rFonts w:hint="default" w:ascii="Times New Roman" w:hAnsi="Times New Roman" w:cs="Times New Roman"/>
                <w:color w:val="auto"/>
              </w:rPr>
              <w:t>污染物</w:t>
            </w:r>
          </w:p>
        </w:tc>
        <w:tc>
          <w:tcPr>
            <w:tcW w:w="394" w:type="pct"/>
            <w:vMerge w:val="restart"/>
            <w:tcBorders>
              <w:top w:val="single" w:color="000000" w:sz="12" w:space="0"/>
              <w:left w:val="single" w:color="000000" w:sz="4" w:space="0"/>
              <w:bottom w:val="single" w:color="000000" w:sz="4" w:space="0"/>
              <w:right w:val="single" w:color="000000" w:sz="4" w:space="0"/>
            </w:tcBorders>
            <w:vAlign w:val="center"/>
          </w:tcPr>
          <w:p w14:paraId="01A29DF1">
            <w:pPr>
              <w:pStyle w:val="44"/>
              <w:bidi w:val="0"/>
              <w:rPr>
                <w:rFonts w:hint="default" w:ascii="Times New Roman" w:hAnsi="Times New Roman" w:cs="Times New Roman"/>
                <w:color w:val="auto"/>
              </w:rPr>
            </w:pPr>
            <w:r>
              <w:rPr>
                <w:rFonts w:hint="default" w:ascii="Times New Roman" w:hAnsi="Times New Roman" w:cs="Times New Roman"/>
                <w:color w:val="auto"/>
              </w:rPr>
              <w:t>平均时间</w:t>
            </w:r>
          </w:p>
        </w:tc>
        <w:tc>
          <w:tcPr>
            <w:tcW w:w="541" w:type="pct"/>
            <w:vMerge w:val="restart"/>
            <w:tcBorders>
              <w:top w:val="single" w:color="000000" w:sz="12" w:space="0"/>
              <w:left w:val="single" w:color="000000" w:sz="4" w:space="0"/>
              <w:bottom w:val="single" w:color="000000" w:sz="4" w:space="0"/>
              <w:right w:val="single" w:color="000000" w:sz="4" w:space="0"/>
            </w:tcBorders>
            <w:vAlign w:val="center"/>
          </w:tcPr>
          <w:p w14:paraId="0302FC24">
            <w:pPr>
              <w:pStyle w:val="44"/>
              <w:bidi w:val="0"/>
              <w:rPr>
                <w:rFonts w:hint="default" w:ascii="Times New Roman" w:hAnsi="Times New Roman" w:cs="Times New Roman"/>
                <w:color w:val="auto"/>
              </w:rPr>
            </w:pPr>
            <w:r>
              <w:rPr>
                <w:rFonts w:hint="default" w:ascii="Times New Roman" w:hAnsi="Times New Roman" w:cs="Times New Roman"/>
                <w:color w:val="auto"/>
              </w:rPr>
              <w:t>评价标准/(μg/m</w:t>
            </w:r>
            <w:r>
              <w:rPr>
                <w:rFonts w:hint="default" w:ascii="Times New Roman" w:hAnsi="Times New Roman" w:cs="Times New Roman"/>
                <w:color w:val="auto"/>
                <w:vertAlign w:val="superscript"/>
              </w:rPr>
              <w:t>3</w:t>
            </w:r>
            <w:r>
              <w:rPr>
                <w:rFonts w:hint="default" w:ascii="Times New Roman" w:hAnsi="Times New Roman" w:cs="Times New Roman"/>
                <w:color w:val="auto"/>
              </w:rPr>
              <w:t>)</w:t>
            </w:r>
          </w:p>
        </w:tc>
        <w:tc>
          <w:tcPr>
            <w:tcW w:w="467" w:type="pct"/>
            <w:vMerge w:val="restart"/>
            <w:tcBorders>
              <w:top w:val="single" w:color="000000" w:sz="12" w:space="0"/>
              <w:left w:val="single" w:color="000000" w:sz="4" w:space="0"/>
              <w:bottom w:val="single" w:color="000000" w:sz="4" w:space="0"/>
              <w:right w:val="single" w:color="000000" w:sz="4" w:space="0"/>
            </w:tcBorders>
            <w:vAlign w:val="center"/>
          </w:tcPr>
          <w:p w14:paraId="202CF018">
            <w:pPr>
              <w:pStyle w:val="44"/>
              <w:bidi w:val="0"/>
              <w:rPr>
                <w:rFonts w:hint="default" w:ascii="Times New Roman" w:hAnsi="Times New Roman" w:cs="Times New Roman"/>
                <w:color w:val="auto"/>
              </w:rPr>
            </w:pPr>
            <w:r>
              <w:rPr>
                <w:rFonts w:hint="default" w:ascii="Times New Roman" w:hAnsi="Times New Roman" w:cs="Times New Roman"/>
                <w:color w:val="auto"/>
              </w:rPr>
              <w:t>监测浓度范围/(μg/m</w:t>
            </w:r>
            <w:r>
              <w:rPr>
                <w:rFonts w:hint="default" w:ascii="Times New Roman" w:hAnsi="Times New Roman" w:cs="Times New Roman"/>
                <w:color w:val="auto"/>
                <w:vertAlign w:val="superscript"/>
              </w:rPr>
              <w:t>3</w:t>
            </w:r>
            <w:r>
              <w:rPr>
                <w:rFonts w:hint="default" w:ascii="Times New Roman" w:hAnsi="Times New Roman" w:cs="Times New Roman"/>
                <w:color w:val="auto"/>
              </w:rPr>
              <w:t>)</w:t>
            </w:r>
          </w:p>
        </w:tc>
        <w:tc>
          <w:tcPr>
            <w:tcW w:w="428" w:type="pct"/>
            <w:vMerge w:val="restart"/>
            <w:tcBorders>
              <w:top w:val="single" w:color="000000" w:sz="12" w:space="0"/>
              <w:left w:val="single" w:color="000000" w:sz="4" w:space="0"/>
              <w:bottom w:val="single" w:color="000000" w:sz="4" w:space="0"/>
              <w:right w:val="single" w:color="000000" w:sz="4" w:space="0"/>
            </w:tcBorders>
            <w:vAlign w:val="center"/>
          </w:tcPr>
          <w:p w14:paraId="3D98F945">
            <w:pPr>
              <w:pStyle w:val="44"/>
              <w:bidi w:val="0"/>
              <w:rPr>
                <w:rFonts w:hint="default" w:ascii="Times New Roman" w:hAnsi="Times New Roman" w:cs="Times New Roman"/>
                <w:color w:val="auto"/>
              </w:rPr>
            </w:pPr>
            <w:r>
              <w:rPr>
                <w:rFonts w:hint="default" w:ascii="Times New Roman" w:hAnsi="Times New Roman" w:cs="Times New Roman"/>
                <w:color w:val="auto"/>
              </w:rPr>
              <w:t>最大浓度占标率/%</w:t>
            </w:r>
          </w:p>
        </w:tc>
        <w:tc>
          <w:tcPr>
            <w:tcW w:w="264" w:type="pct"/>
            <w:vMerge w:val="restart"/>
            <w:tcBorders>
              <w:top w:val="single" w:color="000000" w:sz="12" w:space="0"/>
              <w:left w:val="single" w:color="000000" w:sz="4" w:space="0"/>
              <w:bottom w:val="single" w:color="000000" w:sz="4" w:space="0"/>
              <w:right w:val="single" w:color="000000" w:sz="4" w:space="0"/>
            </w:tcBorders>
            <w:vAlign w:val="center"/>
          </w:tcPr>
          <w:p w14:paraId="63E961C7">
            <w:pPr>
              <w:pStyle w:val="44"/>
              <w:bidi w:val="0"/>
              <w:rPr>
                <w:rFonts w:hint="default" w:ascii="Times New Roman" w:hAnsi="Times New Roman" w:cs="Times New Roman"/>
                <w:color w:val="auto"/>
              </w:rPr>
            </w:pPr>
            <w:r>
              <w:rPr>
                <w:rFonts w:hint="default" w:ascii="Times New Roman" w:hAnsi="Times New Roman" w:cs="Times New Roman"/>
                <w:color w:val="auto"/>
              </w:rPr>
              <w:t>超标率/%</w:t>
            </w:r>
          </w:p>
        </w:tc>
        <w:tc>
          <w:tcPr>
            <w:tcW w:w="250" w:type="pct"/>
            <w:vMerge w:val="restart"/>
            <w:tcBorders>
              <w:top w:val="single" w:color="000000" w:sz="12" w:space="0"/>
              <w:left w:val="single" w:color="000000" w:sz="4" w:space="0"/>
              <w:bottom w:val="single" w:color="000000" w:sz="4" w:space="0"/>
              <w:right w:val="nil"/>
            </w:tcBorders>
            <w:vAlign w:val="center"/>
          </w:tcPr>
          <w:p w14:paraId="4BD62CF9">
            <w:pPr>
              <w:pStyle w:val="44"/>
              <w:bidi w:val="0"/>
              <w:rPr>
                <w:rFonts w:hint="default" w:ascii="Times New Roman" w:hAnsi="Times New Roman" w:cs="Times New Roman"/>
                <w:color w:val="auto"/>
              </w:rPr>
            </w:pPr>
            <w:r>
              <w:rPr>
                <w:rFonts w:hint="default" w:ascii="Times New Roman" w:hAnsi="Times New Roman" w:cs="Times New Roman"/>
                <w:color w:val="auto"/>
              </w:rPr>
              <w:t>达标情况</w:t>
            </w:r>
          </w:p>
        </w:tc>
      </w:tr>
      <w:tr w14:paraId="3E35F5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 w:hRule="atLeast"/>
          <w:jc w:val="center"/>
        </w:trPr>
        <w:tc>
          <w:tcPr>
            <w:tcW w:w="384" w:type="pct"/>
            <w:vMerge w:val="continue"/>
            <w:tcBorders>
              <w:top w:val="single" w:color="000000" w:sz="12" w:space="0"/>
              <w:left w:val="nil"/>
              <w:bottom w:val="single" w:color="000000" w:sz="4" w:space="0"/>
              <w:right w:val="single" w:color="000000" w:sz="4" w:space="0"/>
            </w:tcBorders>
            <w:vAlign w:val="center"/>
          </w:tcPr>
          <w:p w14:paraId="0D7DA8E0">
            <w:pPr>
              <w:pStyle w:val="44"/>
              <w:bidi w:val="0"/>
              <w:rPr>
                <w:rFonts w:hint="default" w:ascii="Times New Roman" w:hAnsi="Times New Roman" w:cs="Times New Roman"/>
                <w:color w:val="auto"/>
              </w:rPr>
            </w:pPr>
          </w:p>
        </w:tc>
        <w:tc>
          <w:tcPr>
            <w:tcW w:w="997" w:type="pct"/>
            <w:tcBorders>
              <w:top w:val="single" w:color="auto" w:sz="4" w:space="0"/>
              <w:left w:val="single" w:color="000000" w:sz="4" w:space="0"/>
              <w:bottom w:val="single" w:color="000000" w:sz="4" w:space="0"/>
              <w:right w:val="single" w:color="auto" w:sz="4" w:space="0"/>
            </w:tcBorders>
            <w:vAlign w:val="center"/>
          </w:tcPr>
          <w:p w14:paraId="2C53F835">
            <w:pPr>
              <w:pStyle w:val="44"/>
              <w:bidi w:val="0"/>
              <w:rPr>
                <w:rFonts w:hint="default" w:ascii="Times New Roman" w:hAnsi="Times New Roman" w:cs="Times New Roman"/>
                <w:color w:val="auto"/>
              </w:rPr>
            </w:pPr>
            <w:r>
              <w:rPr>
                <w:rFonts w:hint="default" w:ascii="Times New Roman" w:hAnsi="Times New Roman" w:cs="Times New Roman"/>
                <w:color w:val="auto"/>
              </w:rPr>
              <w:t>X</w:t>
            </w:r>
          </w:p>
        </w:tc>
        <w:tc>
          <w:tcPr>
            <w:tcW w:w="932" w:type="pct"/>
            <w:tcBorders>
              <w:top w:val="single" w:color="auto" w:sz="4" w:space="0"/>
              <w:left w:val="single" w:color="auto" w:sz="4" w:space="0"/>
              <w:bottom w:val="single" w:color="000000" w:sz="4" w:space="0"/>
              <w:right w:val="single" w:color="000000" w:sz="4" w:space="0"/>
            </w:tcBorders>
            <w:vAlign w:val="center"/>
          </w:tcPr>
          <w:p w14:paraId="4C8E9FAA">
            <w:pPr>
              <w:pStyle w:val="44"/>
              <w:bidi w:val="0"/>
              <w:rPr>
                <w:rFonts w:hint="default" w:ascii="Times New Roman" w:hAnsi="Times New Roman" w:cs="Times New Roman"/>
                <w:color w:val="auto"/>
              </w:rPr>
            </w:pPr>
            <w:r>
              <w:rPr>
                <w:rFonts w:hint="default" w:ascii="Times New Roman" w:hAnsi="Times New Roman" w:cs="Times New Roman"/>
                <w:color w:val="auto"/>
              </w:rPr>
              <w:t>Y</w:t>
            </w:r>
          </w:p>
        </w:tc>
        <w:tc>
          <w:tcPr>
            <w:tcW w:w="339" w:type="pct"/>
            <w:vMerge w:val="continue"/>
            <w:tcBorders>
              <w:top w:val="single" w:color="000000" w:sz="12" w:space="0"/>
              <w:left w:val="single" w:color="000000" w:sz="4" w:space="0"/>
              <w:bottom w:val="single" w:color="000000" w:sz="4" w:space="0"/>
              <w:right w:val="single" w:color="000000" w:sz="4" w:space="0"/>
            </w:tcBorders>
            <w:vAlign w:val="center"/>
          </w:tcPr>
          <w:p w14:paraId="73433E87">
            <w:pPr>
              <w:pStyle w:val="44"/>
              <w:bidi w:val="0"/>
              <w:rPr>
                <w:rFonts w:hint="default" w:ascii="Times New Roman" w:hAnsi="Times New Roman" w:cs="Times New Roman"/>
                <w:color w:val="auto"/>
              </w:rPr>
            </w:pPr>
          </w:p>
        </w:tc>
        <w:tc>
          <w:tcPr>
            <w:tcW w:w="394" w:type="pct"/>
            <w:vMerge w:val="continue"/>
            <w:tcBorders>
              <w:top w:val="single" w:color="000000" w:sz="12" w:space="0"/>
              <w:left w:val="single" w:color="000000" w:sz="4" w:space="0"/>
              <w:bottom w:val="single" w:color="000000" w:sz="4" w:space="0"/>
              <w:right w:val="single" w:color="000000" w:sz="4" w:space="0"/>
            </w:tcBorders>
            <w:vAlign w:val="center"/>
          </w:tcPr>
          <w:p w14:paraId="4E44A31B">
            <w:pPr>
              <w:pStyle w:val="44"/>
              <w:bidi w:val="0"/>
              <w:rPr>
                <w:rFonts w:hint="default" w:ascii="Times New Roman" w:hAnsi="Times New Roman" w:cs="Times New Roman"/>
                <w:color w:val="auto"/>
              </w:rPr>
            </w:pPr>
          </w:p>
        </w:tc>
        <w:tc>
          <w:tcPr>
            <w:tcW w:w="922" w:type="dxa"/>
            <w:vMerge w:val="continue"/>
            <w:tcBorders>
              <w:top w:val="single" w:color="000000" w:sz="12" w:space="0"/>
              <w:left w:val="single" w:color="000000" w:sz="4" w:space="0"/>
              <w:bottom w:val="single" w:color="000000" w:sz="4" w:space="0"/>
              <w:right w:val="single" w:color="000000" w:sz="4" w:space="0"/>
            </w:tcBorders>
            <w:vAlign w:val="center"/>
          </w:tcPr>
          <w:p w14:paraId="26DECC1F">
            <w:pPr>
              <w:pStyle w:val="44"/>
              <w:bidi w:val="0"/>
              <w:rPr>
                <w:rFonts w:hint="default" w:ascii="Times New Roman" w:hAnsi="Times New Roman" w:cs="Times New Roman"/>
                <w:color w:val="auto"/>
              </w:rPr>
            </w:pPr>
          </w:p>
        </w:tc>
        <w:tc>
          <w:tcPr>
            <w:tcW w:w="467" w:type="pct"/>
            <w:vMerge w:val="continue"/>
            <w:tcBorders>
              <w:top w:val="single" w:color="000000" w:sz="12" w:space="0"/>
              <w:left w:val="single" w:color="000000" w:sz="4" w:space="0"/>
              <w:bottom w:val="single" w:color="000000" w:sz="4" w:space="0"/>
              <w:right w:val="single" w:color="000000" w:sz="4" w:space="0"/>
            </w:tcBorders>
            <w:vAlign w:val="center"/>
          </w:tcPr>
          <w:p w14:paraId="34278759">
            <w:pPr>
              <w:pStyle w:val="44"/>
              <w:bidi w:val="0"/>
              <w:rPr>
                <w:rFonts w:hint="default" w:ascii="Times New Roman" w:hAnsi="Times New Roman" w:cs="Times New Roman"/>
                <w:color w:val="auto"/>
              </w:rPr>
            </w:pPr>
          </w:p>
        </w:tc>
        <w:tc>
          <w:tcPr>
            <w:tcW w:w="428" w:type="pct"/>
            <w:vMerge w:val="continue"/>
            <w:tcBorders>
              <w:top w:val="single" w:color="000000" w:sz="12" w:space="0"/>
              <w:left w:val="single" w:color="000000" w:sz="4" w:space="0"/>
              <w:bottom w:val="single" w:color="000000" w:sz="4" w:space="0"/>
              <w:right w:val="single" w:color="000000" w:sz="4" w:space="0"/>
            </w:tcBorders>
            <w:vAlign w:val="center"/>
          </w:tcPr>
          <w:p w14:paraId="758A0B08">
            <w:pPr>
              <w:pStyle w:val="44"/>
              <w:bidi w:val="0"/>
              <w:rPr>
                <w:rFonts w:hint="default" w:ascii="Times New Roman" w:hAnsi="Times New Roman" w:cs="Times New Roman"/>
                <w:color w:val="auto"/>
              </w:rPr>
            </w:pPr>
          </w:p>
        </w:tc>
        <w:tc>
          <w:tcPr>
            <w:tcW w:w="451" w:type="dxa"/>
            <w:vMerge w:val="continue"/>
            <w:tcBorders>
              <w:top w:val="single" w:color="000000" w:sz="12" w:space="0"/>
              <w:left w:val="single" w:color="000000" w:sz="4" w:space="0"/>
              <w:bottom w:val="single" w:color="000000" w:sz="4" w:space="0"/>
              <w:right w:val="single" w:color="000000" w:sz="4" w:space="0"/>
            </w:tcBorders>
            <w:vAlign w:val="center"/>
          </w:tcPr>
          <w:p w14:paraId="40810FD7">
            <w:pPr>
              <w:pStyle w:val="44"/>
              <w:bidi w:val="0"/>
              <w:rPr>
                <w:rFonts w:hint="default" w:ascii="Times New Roman" w:hAnsi="Times New Roman" w:cs="Times New Roman"/>
                <w:color w:val="auto"/>
              </w:rPr>
            </w:pPr>
          </w:p>
        </w:tc>
        <w:tc>
          <w:tcPr>
            <w:tcW w:w="427" w:type="dxa"/>
            <w:vMerge w:val="continue"/>
            <w:tcBorders>
              <w:top w:val="single" w:color="000000" w:sz="12" w:space="0"/>
              <w:left w:val="single" w:color="000000" w:sz="4" w:space="0"/>
              <w:bottom w:val="single" w:color="000000" w:sz="4" w:space="0"/>
              <w:right w:val="nil"/>
            </w:tcBorders>
            <w:vAlign w:val="center"/>
          </w:tcPr>
          <w:p w14:paraId="6548AE62">
            <w:pPr>
              <w:pStyle w:val="44"/>
              <w:bidi w:val="0"/>
              <w:rPr>
                <w:rFonts w:hint="default" w:ascii="Times New Roman" w:hAnsi="Times New Roman" w:cs="Times New Roman"/>
                <w:color w:val="auto"/>
              </w:rPr>
            </w:pPr>
          </w:p>
        </w:tc>
      </w:tr>
      <w:tr w14:paraId="4392B9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7" w:hRule="atLeast"/>
          <w:jc w:val="center"/>
        </w:trPr>
        <w:tc>
          <w:tcPr>
            <w:tcW w:w="384" w:type="pct"/>
            <w:tcBorders>
              <w:top w:val="single" w:color="000000" w:sz="4" w:space="0"/>
              <w:left w:val="nil"/>
              <w:right w:val="single" w:color="000000" w:sz="4" w:space="0"/>
            </w:tcBorders>
            <w:vAlign w:val="center"/>
          </w:tcPr>
          <w:p w14:paraId="446FB8B8">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w:t>
            </w:r>
            <w:r>
              <w:rPr>
                <w:rFonts w:hint="default" w:ascii="Times New Roman" w:hAnsi="Times New Roman" w:cs="Times New Roman"/>
                <w:color w:val="auto"/>
              </w:rPr>
              <w:t>场址</w:t>
            </w:r>
            <w:r>
              <w:rPr>
                <w:rFonts w:hint="default" w:ascii="Times New Roman" w:hAnsi="Times New Roman" w:cs="Times New Roman"/>
                <w:color w:val="auto"/>
                <w:lang w:val="en-US" w:eastAsia="zh-CN"/>
              </w:rPr>
              <w:t>下风向</w:t>
            </w:r>
          </w:p>
        </w:tc>
        <w:tc>
          <w:tcPr>
            <w:tcW w:w="997" w:type="pct"/>
            <w:tcBorders>
              <w:top w:val="single" w:color="000000" w:sz="4" w:space="0"/>
              <w:left w:val="single" w:color="000000" w:sz="4" w:space="0"/>
              <w:right w:val="single" w:color="auto" w:sz="4" w:space="0"/>
            </w:tcBorders>
            <w:vAlign w:val="center"/>
          </w:tcPr>
          <w:p w14:paraId="25382D2C">
            <w:pPr>
              <w:pStyle w:val="44"/>
              <w:bidi w:val="0"/>
              <w:rPr>
                <w:rFonts w:hint="default" w:ascii="Times New Roman" w:hAnsi="Times New Roman" w:cs="Times New Roman"/>
                <w:color w:val="auto"/>
              </w:rPr>
            </w:pPr>
            <w:r>
              <w:rPr>
                <w:rFonts w:hint="default" w:ascii="Times New Roman" w:hAnsi="Times New Roman" w:cs="Times New Roman"/>
                <w:color w:val="auto"/>
                <w:sz w:val="22"/>
                <w:szCs w:val="22"/>
                <w:highlight w:val="none"/>
                <w:lang w:val="en-US" w:eastAsia="zh-CN"/>
              </w:rPr>
              <w:t>131°01'28.2563"</w:t>
            </w:r>
          </w:p>
        </w:tc>
        <w:tc>
          <w:tcPr>
            <w:tcW w:w="932" w:type="pct"/>
            <w:tcBorders>
              <w:top w:val="single" w:color="000000" w:sz="4" w:space="0"/>
              <w:left w:val="single" w:color="auto" w:sz="4" w:space="0"/>
              <w:right w:val="single" w:color="000000" w:sz="4" w:space="0"/>
            </w:tcBorders>
            <w:vAlign w:val="center"/>
          </w:tcPr>
          <w:p w14:paraId="4EF4091E">
            <w:pPr>
              <w:pStyle w:val="44"/>
              <w:bidi w:val="0"/>
              <w:rPr>
                <w:rFonts w:hint="default" w:ascii="Times New Roman" w:hAnsi="Times New Roman" w:cs="Times New Roman"/>
                <w:color w:val="auto"/>
              </w:rPr>
            </w:pPr>
            <w:r>
              <w:rPr>
                <w:rFonts w:hint="default" w:ascii="Times New Roman" w:hAnsi="Times New Roman" w:cs="Times New Roman"/>
                <w:color w:val="auto"/>
                <w:sz w:val="22"/>
                <w:szCs w:val="22"/>
                <w:highlight w:val="none"/>
                <w:lang w:val="en-US" w:eastAsia="zh-CN"/>
              </w:rPr>
              <w:t>45°24'32.9817"</w:t>
            </w:r>
          </w:p>
        </w:tc>
        <w:tc>
          <w:tcPr>
            <w:tcW w:w="339" w:type="pct"/>
            <w:tcBorders>
              <w:top w:val="single" w:color="000000" w:sz="4" w:space="0"/>
              <w:left w:val="single" w:color="000000" w:sz="4" w:space="0"/>
              <w:bottom w:val="single" w:color="000000" w:sz="4" w:space="0"/>
              <w:right w:val="single" w:color="000000" w:sz="4" w:space="0"/>
            </w:tcBorders>
            <w:vAlign w:val="center"/>
          </w:tcPr>
          <w:p w14:paraId="660800B8">
            <w:pPr>
              <w:pStyle w:val="44"/>
              <w:bidi w:val="0"/>
              <w:rPr>
                <w:rFonts w:hint="default" w:ascii="Times New Roman" w:hAnsi="Times New Roman" w:cs="Times New Roman"/>
                <w:color w:val="auto"/>
              </w:rPr>
            </w:pPr>
            <w:r>
              <w:rPr>
                <w:rFonts w:hint="default" w:ascii="Times New Roman" w:hAnsi="Times New Roman" w:cs="Times New Roman"/>
                <w:color w:val="auto"/>
              </w:rPr>
              <w:t>TSP</w:t>
            </w:r>
          </w:p>
        </w:tc>
        <w:tc>
          <w:tcPr>
            <w:tcW w:w="394" w:type="pct"/>
            <w:tcBorders>
              <w:top w:val="single" w:color="000000" w:sz="4" w:space="0"/>
              <w:left w:val="single" w:color="000000" w:sz="4" w:space="0"/>
              <w:right w:val="single" w:color="000000" w:sz="4" w:space="0"/>
            </w:tcBorders>
            <w:vAlign w:val="center"/>
          </w:tcPr>
          <w:p w14:paraId="60FB0ABC">
            <w:pPr>
              <w:pStyle w:val="44"/>
              <w:bidi w:val="0"/>
              <w:rPr>
                <w:rFonts w:hint="default" w:ascii="Times New Roman" w:hAnsi="Times New Roman" w:cs="Times New Roman"/>
                <w:color w:val="auto"/>
              </w:rPr>
            </w:pPr>
            <w:r>
              <w:rPr>
                <w:rFonts w:hint="default" w:ascii="Times New Roman" w:hAnsi="Times New Roman" w:cs="Times New Roman"/>
                <w:color w:val="auto"/>
              </w:rPr>
              <w:t>24小时均值</w:t>
            </w:r>
          </w:p>
        </w:tc>
        <w:tc>
          <w:tcPr>
            <w:tcW w:w="541" w:type="pct"/>
            <w:tcBorders>
              <w:top w:val="single" w:color="000000" w:sz="4" w:space="0"/>
              <w:left w:val="single" w:color="000000" w:sz="4" w:space="0"/>
              <w:right w:val="single" w:color="000000" w:sz="4" w:space="0"/>
            </w:tcBorders>
            <w:vAlign w:val="center"/>
          </w:tcPr>
          <w:p w14:paraId="35E1A31D">
            <w:pPr>
              <w:pStyle w:val="44"/>
              <w:bidi w:val="0"/>
              <w:rPr>
                <w:rFonts w:hint="default" w:ascii="Times New Roman" w:hAnsi="Times New Roman" w:cs="Times New Roman"/>
                <w:color w:val="auto"/>
              </w:rPr>
            </w:pPr>
            <w:r>
              <w:rPr>
                <w:rFonts w:hint="default" w:ascii="Times New Roman" w:hAnsi="Times New Roman" w:cs="Times New Roman"/>
                <w:color w:val="auto"/>
              </w:rPr>
              <w:t>300</w:t>
            </w:r>
          </w:p>
        </w:tc>
        <w:tc>
          <w:tcPr>
            <w:tcW w:w="467" w:type="pct"/>
            <w:tcBorders>
              <w:top w:val="single" w:color="000000" w:sz="4" w:space="0"/>
              <w:left w:val="single" w:color="000000" w:sz="4" w:space="0"/>
              <w:right w:val="single" w:color="000000" w:sz="4" w:space="0"/>
            </w:tcBorders>
            <w:vAlign w:val="center"/>
          </w:tcPr>
          <w:p w14:paraId="0E2911EE">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83-118</w:t>
            </w:r>
          </w:p>
        </w:tc>
        <w:tc>
          <w:tcPr>
            <w:tcW w:w="428" w:type="pct"/>
            <w:tcBorders>
              <w:top w:val="single" w:color="000000" w:sz="4" w:space="0"/>
              <w:left w:val="single" w:color="000000" w:sz="4" w:space="0"/>
              <w:right w:val="single" w:color="000000" w:sz="4" w:space="0"/>
            </w:tcBorders>
            <w:vAlign w:val="center"/>
          </w:tcPr>
          <w:p w14:paraId="56A9F5BF">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39.3</w:t>
            </w:r>
          </w:p>
        </w:tc>
        <w:tc>
          <w:tcPr>
            <w:tcW w:w="264" w:type="pct"/>
            <w:tcBorders>
              <w:top w:val="single" w:color="000000" w:sz="4" w:space="0"/>
              <w:left w:val="single" w:color="000000" w:sz="4" w:space="0"/>
              <w:right w:val="single" w:color="000000" w:sz="4" w:space="0"/>
            </w:tcBorders>
            <w:vAlign w:val="center"/>
          </w:tcPr>
          <w:p w14:paraId="4FA3594D">
            <w:pPr>
              <w:pStyle w:val="44"/>
              <w:bidi w:val="0"/>
              <w:rPr>
                <w:rFonts w:hint="default" w:ascii="Times New Roman" w:hAnsi="Times New Roman" w:cs="Times New Roman"/>
                <w:color w:val="auto"/>
              </w:rPr>
            </w:pPr>
            <w:r>
              <w:rPr>
                <w:rFonts w:hint="default" w:ascii="Times New Roman" w:hAnsi="Times New Roman" w:cs="Times New Roman"/>
                <w:color w:val="auto"/>
              </w:rPr>
              <w:t>0</w:t>
            </w:r>
          </w:p>
        </w:tc>
        <w:tc>
          <w:tcPr>
            <w:tcW w:w="250" w:type="pct"/>
            <w:vMerge w:val="restart"/>
            <w:tcBorders>
              <w:top w:val="single" w:color="000000" w:sz="4" w:space="0"/>
              <w:left w:val="single" w:color="000000" w:sz="4" w:space="0"/>
              <w:right w:val="nil"/>
            </w:tcBorders>
            <w:vAlign w:val="center"/>
          </w:tcPr>
          <w:p w14:paraId="6ADC6B1B">
            <w:pPr>
              <w:pStyle w:val="44"/>
              <w:bidi w:val="0"/>
              <w:rPr>
                <w:rFonts w:hint="default" w:ascii="Times New Roman" w:hAnsi="Times New Roman" w:cs="Times New Roman"/>
                <w:color w:val="auto"/>
              </w:rPr>
            </w:pPr>
            <w:r>
              <w:rPr>
                <w:rFonts w:hint="default" w:ascii="Times New Roman" w:hAnsi="Times New Roman" w:cs="Times New Roman"/>
                <w:color w:val="auto"/>
              </w:rPr>
              <w:t>达标</w:t>
            </w:r>
          </w:p>
        </w:tc>
      </w:tr>
      <w:tr w14:paraId="56F083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96" w:hRule="atLeast"/>
          <w:jc w:val="center"/>
        </w:trPr>
        <w:tc>
          <w:tcPr>
            <w:tcW w:w="384" w:type="pct"/>
            <w:tcBorders>
              <w:top w:val="single" w:color="000000" w:sz="4" w:space="0"/>
              <w:left w:val="nil"/>
              <w:bottom w:val="single" w:color="000000" w:sz="4" w:space="0"/>
              <w:right w:val="single" w:color="000000" w:sz="4" w:space="0"/>
            </w:tcBorders>
            <w:vAlign w:val="center"/>
          </w:tcPr>
          <w:p w14:paraId="682C04C9">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60#厂址</w:t>
            </w:r>
            <w:r>
              <w:rPr>
                <w:rFonts w:hint="default" w:ascii="Times New Roman" w:hAnsi="Times New Roman" w:cs="Times New Roman"/>
                <w:color w:val="auto"/>
              </w:rPr>
              <w:t>下风向</w:t>
            </w:r>
          </w:p>
        </w:tc>
        <w:tc>
          <w:tcPr>
            <w:tcW w:w="997" w:type="pct"/>
            <w:tcBorders>
              <w:top w:val="single" w:color="000000" w:sz="4" w:space="0"/>
              <w:left w:val="single" w:color="000000" w:sz="4" w:space="0"/>
              <w:bottom w:val="single" w:color="000000" w:sz="4" w:space="0"/>
              <w:right w:val="single" w:color="auto" w:sz="4" w:space="0"/>
            </w:tcBorders>
            <w:vAlign w:val="center"/>
          </w:tcPr>
          <w:p w14:paraId="3C46F840">
            <w:pPr>
              <w:pStyle w:val="44"/>
              <w:bidi w:val="0"/>
              <w:rPr>
                <w:rFonts w:hint="default" w:ascii="Times New Roman" w:hAnsi="Times New Roman" w:cs="Times New Roman"/>
                <w:color w:val="auto"/>
              </w:rPr>
            </w:pPr>
            <w:r>
              <w:rPr>
                <w:rFonts w:hint="default" w:ascii="Times New Roman" w:hAnsi="Times New Roman" w:cs="Times New Roman"/>
                <w:color w:val="auto"/>
                <w:sz w:val="22"/>
                <w:szCs w:val="22"/>
                <w:highlight w:val="none"/>
                <w:lang w:val="en-US" w:eastAsia="zh-CN"/>
              </w:rPr>
              <w:t>131°03'00.9534"</w:t>
            </w:r>
          </w:p>
        </w:tc>
        <w:tc>
          <w:tcPr>
            <w:tcW w:w="932" w:type="pct"/>
            <w:tcBorders>
              <w:top w:val="single" w:color="000000" w:sz="4" w:space="0"/>
              <w:left w:val="single" w:color="auto" w:sz="4" w:space="0"/>
              <w:bottom w:val="single" w:color="000000" w:sz="4" w:space="0"/>
              <w:right w:val="single" w:color="000000" w:sz="4" w:space="0"/>
            </w:tcBorders>
            <w:vAlign w:val="center"/>
          </w:tcPr>
          <w:p w14:paraId="0F003A0F">
            <w:pPr>
              <w:pStyle w:val="44"/>
              <w:bidi w:val="0"/>
              <w:rPr>
                <w:rFonts w:hint="default" w:ascii="Times New Roman" w:hAnsi="Times New Roman" w:cs="Times New Roman"/>
                <w:color w:val="auto"/>
              </w:rPr>
            </w:pPr>
            <w:r>
              <w:rPr>
                <w:rFonts w:hint="default" w:ascii="Times New Roman" w:hAnsi="Times New Roman" w:cs="Times New Roman"/>
                <w:color w:val="auto"/>
                <w:sz w:val="22"/>
                <w:szCs w:val="22"/>
                <w:highlight w:val="none"/>
                <w:lang w:val="en-US" w:eastAsia="zh-CN"/>
              </w:rPr>
              <w:t>45°23'29.2505"</w:t>
            </w:r>
          </w:p>
        </w:tc>
        <w:tc>
          <w:tcPr>
            <w:tcW w:w="339" w:type="pct"/>
            <w:tcBorders>
              <w:top w:val="single" w:color="000000" w:sz="4" w:space="0"/>
              <w:left w:val="single" w:color="000000" w:sz="4" w:space="0"/>
              <w:bottom w:val="single" w:color="000000" w:sz="4" w:space="0"/>
              <w:right w:val="single" w:color="000000" w:sz="4" w:space="0"/>
            </w:tcBorders>
            <w:vAlign w:val="center"/>
          </w:tcPr>
          <w:p w14:paraId="6A72E57A">
            <w:pPr>
              <w:pStyle w:val="44"/>
              <w:bidi w:val="0"/>
              <w:rPr>
                <w:rFonts w:hint="default" w:ascii="Times New Roman" w:hAnsi="Times New Roman" w:cs="Times New Roman"/>
                <w:color w:val="auto"/>
              </w:rPr>
            </w:pPr>
            <w:r>
              <w:rPr>
                <w:rFonts w:hint="default" w:ascii="Times New Roman" w:hAnsi="Times New Roman" w:cs="Times New Roman"/>
                <w:color w:val="auto"/>
              </w:rPr>
              <w:t>TSP</w:t>
            </w:r>
          </w:p>
        </w:tc>
        <w:tc>
          <w:tcPr>
            <w:tcW w:w="394" w:type="pct"/>
            <w:tcBorders>
              <w:left w:val="single" w:color="000000" w:sz="4" w:space="0"/>
              <w:right w:val="single" w:color="000000" w:sz="4" w:space="0"/>
            </w:tcBorders>
            <w:vAlign w:val="center"/>
          </w:tcPr>
          <w:p w14:paraId="4A655B7E">
            <w:pPr>
              <w:pStyle w:val="44"/>
              <w:bidi w:val="0"/>
              <w:rPr>
                <w:rFonts w:hint="default" w:ascii="Times New Roman" w:hAnsi="Times New Roman" w:cs="Times New Roman"/>
                <w:color w:val="auto"/>
              </w:rPr>
            </w:pPr>
            <w:r>
              <w:rPr>
                <w:rFonts w:hint="default" w:ascii="Times New Roman" w:hAnsi="Times New Roman" w:cs="Times New Roman"/>
                <w:color w:val="auto"/>
              </w:rPr>
              <w:t>24小时均值</w:t>
            </w:r>
          </w:p>
        </w:tc>
        <w:tc>
          <w:tcPr>
            <w:tcW w:w="922" w:type="dxa"/>
            <w:tcBorders>
              <w:left w:val="single" w:color="000000" w:sz="4" w:space="0"/>
              <w:right w:val="single" w:color="000000" w:sz="4" w:space="0"/>
            </w:tcBorders>
            <w:vAlign w:val="center"/>
          </w:tcPr>
          <w:p w14:paraId="4999B07D">
            <w:pPr>
              <w:pStyle w:val="44"/>
              <w:bidi w:val="0"/>
              <w:rPr>
                <w:rFonts w:hint="default" w:ascii="Times New Roman" w:hAnsi="Times New Roman" w:cs="Times New Roman"/>
                <w:color w:val="auto"/>
              </w:rPr>
            </w:pPr>
            <w:r>
              <w:rPr>
                <w:rFonts w:hint="default" w:ascii="Times New Roman" w:hAnsi="Times New Roman" w:cs="Times New Roman"/>
                <w:color w:val="auto"/>
              </w:rPr>
              <w:t>300</w:t>
            </w:r>
          </w:p>
        </w:tc>
        <w:tc>
          <w:tcPr>
            <w:tcW w:w="467" w:type="pct"/>
            <w:tcBorders>
              <w:left w:val="single" w:color="000000" w:sz="4" w:space="0"/>
              <w:right w:val="single" w:color="000000" w:sz="4" w:space="0"/>
            </w:tcBorders>
            <w:vAlign w:val="center"/>
          </w:tcPr>
          <w:p w14:paraId="07C0554B">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83-118</w:t>
            </w:r>
          </w:p>
        </w:tc>
        <w:tc>
          <w:tcPr>
            <w:tcW w:w="428" w:type="pct"/>
            <w:tcBorders>
              <w:left w:val="single" w:color="000000" w:sz="4" w:space="0"/>
              <w:right w:val="single" w:color="000000" w:sz="4" w:space="0"/>
            </w:tcBorders>
            <w:vAlign w:val="center"/>
          </w:tcPr>
          <w:p w14:paraId="2896DB7D">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39.3</w:t>
            </w:r>
          </w:p>
        </w:tc>
        <w:tc>
          <w:tcPr>
            <w:tcW w:w="264" w:type="pct"/>
            <w:tcBorders>
              <w:left w:val="single" w:color="000000" w:sz="4" w:space="0"/>
              <w:right w:val="single" w:color="000000" w:sz="4" w:space="0"/>
            </w:tcBorders>
            <w:vAlign w:val="center"/>
          </w:tcPr>
          <w:p w14:paraId="650C2472">
            <w:pPr>
              <w:pStyle w:val="44"/>
              <w:bidi w:val="0"/>
              <w:rPr>
                <w:rFonts w:hint="default" w:ascii="Times New Roman" w:hAnsi="Times New Roman" w:cs="Times New Roman"/>
                <w:color w:val="auto"/>
              </w:rPr>
            </w:pPr>
            <w:r>
              <w:rPr>
                <w:rFonts w:hint="default" w:ascii="Times New Roman" w:hAnsi="Times New Roman" w:cs="Times New Roman"/>
                <w:color w:val="auto"/>
              </w:rPr>
              <w:t>0</w:t>
            </w:r>
          </w:p>
        </w:tc>
        <w:tc>
          <w:tcPr>
            <w:tcW w:w="427" w:type="dxa"/>
            <w:vMerge w:val="continue"/>
            <w:tcBorders>
              <w:left w:val="single" w:color="000000" w:sz="4" w:space="0"/>
              <w:right w:val="nil"/>
            </w:tcBorders>
            <w:vAlign w:val="center"/>
          </w:tcPr>
          <w:p w14:paraId="2792FA1E">
            <w:pPr>
              <w:pStyle w:val="44"/>
              <w:bidi w:val="0"/>
              <w:rPr>
                <w:rFonts w:hint="default" w:ascii="Times New Roman" w:hAnsi="Times New Roman" w:cs="Times New Roman"/>
                <w:color w:val="auto"/>
              </w:rPr>
            </w:pPr>
          </w:p>
        </w:tc>
      </w:tr>
      <w:tr w14:paraId="0E4BAD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96" w:hRule="atLeast"/>
          <w:jc w:val="center"/>
        </w:trPr>
        <w:tc>
          <w:tcPr>
            <w:tcW w:w="384" w:type="pct"/>
            <w:tcBorders>
              <w:top w:val="single" w:color="000000" w:sz="4" w:space="0"/>
              <w:left w:val="nil"/>
              <w:bottom w:val="single" w:color="000000" w:sz="4" w:space="0"/>
              <w:right w:val="single" w:color="000000" w:sz="4" w:space="0"/>
            </w:tcBorders>
            <w:vAlign w:val="center"/>
          </w:tcPr>
          <w:p w14:paraId="6456E240">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15#厂址</w:t>
            </w:r>
            <w:r>
              <w:rPr>
                <w:rFonts w:hint="default" w:ascii="Times New Roman" w:hAnsi="Times New Roman" w:cs="Times New Roman"/>
                <w:color w:val="auto"/>
              </w:rPr>
              <w:t>下风向</w:t>
            </w:r>
          </w:p>
        </w:tc>
        <w:tc>
          <w:tcPr>
            <w:tcW w:w="997" w:type="pct"/>
            <w:tcBorders>
              <w:top w:val="single" w:color="000000" w:sz="4" w:space="0"/>
              <w:left w:val="single" w:color="000000" w:sz="4" w:space="0"/>
              <w:bottom w:val="single" w:color="000000" w:sz="4" w:space="0"/>
              <w:right w:val="single" w:color="auto" w:sz="4" w:space="0"/>
            </w:tcBorders>
            <w:vAlign w:val="center"/>
          </w:tcPr>
          <w:p w14:paraId="6765C5C8">
            <w:pPr>
              <w:pStyle w:val="44"/>
              <w:bidi w:val="0"/>
              <w:rPr>
                <w:rFonts w:hint="default" w:ascii="Times New Roman" w:hAnsi="Times New Roman" w:cs="Times New Roman"/>
                <w:color w:val="auto"/>
              </w:rPr>
            </w:pPr>
            <w:r>
              <w:rPr>
                <w:rFonts w:hint="default" w:ascii="Times New Roman" w:hAnsi="Times New Roman" w:cs="Times New Roman"/>
                <w:color w:val="auto"/>
                <w:sz w:val="22"/>
                <w:szCs w:val="22"/>
                <w:highlight w:val="none"/>
                <w:lang w:val="en-US" w:eastAsia="zh-CN"/>
              </w:rPr>
              <w:t>131°01'07.0132"</w:t>
            </w:r>
          </w:p>
        </w:tc>
        <w:tc>
          <w:tcPr>
            <w:tcW w:w="932" w:type="pct"/>
            <w:tcBorders>
              <w:top w:val="single" w:color="000000" w:sz="4" w:space="0"/>
              <w:left w:val="single" w:color="auto" w:sz="4" w:space="0"/>
              <w:bottom w:val="single" w:color="000000" w:sz="4" w:space="0"/>
              <w:right w:val="single" w:color="000000" w:sz="4" w:space="0"/>
            </w:tcBorders>
            <w:vAlign w:val="center"/>
          </w:tcPr>
          <w:p w14:paraId="79D18B0A">
            <w:pPr>
              <w:pStyle w:val="44"/>
              <w:bidi w:val="0"/>
              <w:rPr>
                <w:rFonts w:hint="default" w:ascii="Times New Roman" w:hAnsi="Times New Roman" w:cs="Times New Roman"/>
                <w:color w:val="auto"/>
              </w:rPr>
            </w:pPr>
            <w:r>
              <w:rPr>
                <w:rFonts w:hint="default" w:ascii="Times New Roman" w:hAnsi="Times New Roman" w:cs="Times New Roman"/>
                <w:color w:val="auto"/>
                <w:sz w:val="22"/>
                <w:szCs w:val="22"/>
                <w:highlight w:val="none"/>
                <w:lang w:val="en-US" w:eastAsia="zh-CN"/>
              </w:rPr>
              <w:t>45°22'48.9946"</w:t>
            </w:r>
          </w:p>
        </w:tc>
        <w:tc>
          <w:tcPr>
            <w:tcW w:w="339" w:type="pct"/>
            <w:tcBorders>
              <w:top w:val="single" w:color="000000" w:sz="4" w:space="0"/>
              <w:left w:val="single" w:color="000000" w:sz="4" w:space="0"/>
              <w:bottom w:val="single" w:color="000000" w:sz="4" w:space="0"/>
              <w:right w:val="single" w:color="000000" w:sz="4" w:space="0"/>
            </w:tcBorders>
            <w:vAlign w:val="center"/>
          </w:tcPr>
          <w:p w14:paraId="0751F7B0">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rPr>
              <w:t>TSP</w:t>
            </w:r>
          </w:p>
        </w:tc>
        <w:tc>
          <w:tcPr>
            <w:tcW w:w="394" w:type="pct"/>
            <w:tcBorders>
              <w:left w:val="single" w:color="000000" w:sz="4" w:space="0"/>
              <w:right w:val="single" w:color="000000" w:sz="4" w:space="0"/>
            </w:tcBorders>
            <w:vAlign w:val="center"/>
          </w:tcPr>
          <w:p w14:paraId="1F750641">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rPr>
              <w:t>24小时均值</w:t>
            </w:r>
          </w:p>
        </w:tc>
        <w:tc>
          <w:tcPr>
            <w:tcW w:w="541" w:type="pct"/>
            <w:tcBorders>
              <w:left w:val="single" w:color="000000" w:sz="4" w:space="0"/>
              <w:right w:val="single" w:color="000000" w:sz="4" w:space="0"/>
            </w:tcBorders>
            <w:vAlign w:val="center"/>
          </w:tcPr>
          <w:p w14:paraId="794AC997">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rPr>
              <w:t>300</w:t>
            </w:r>
          </w:p>
        </w:tc>
        <w:tc>
          <w:tcPr>
            <w:tcW w:w="467" w:type="pct"/>
            <w:tcBorders>
              <w:left w:val="single" w:color="000000" w:sz="4" w:space="0"/>
              <w:right w:val="single" w:color="000000" w:sz="4" w:space="0"/>
            </w:tcBorders>
            <w:vAlign w:val="center"/>
          </w:tcPr>
          <w:p w14:paraId="3ABEDEA8">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90-118</w:t>
            </w:r>
          </w:p>
        </w:tc>
        <w:tc>
          <w:tcPr>
            <w:tcW w:w="428" w:type="pct"/>
            <w:tcBorders>
              <w:left w:val="single" w:color="000000" w:sz="4" w:space="0"/>
              <w:right w:val="single" w:color="000000" w:sz="4" w:space="0"/>
            </w:tcBorders>
            <w:vAlign w:val="center"/>
          </w:tcPr>
          <w:p w14:paraId="4512100C">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39.3</w:t>
            </w:r>
          </w:p>
        </w:tc>
        <w:tc>
          <w:tcPr>
            <w:tcW w:w="264" w:type="pct"/>
            <w:tcBorders>
              <w:left w:val="single" w:color="000000" w:sz="4" w:space="0"/>
              <w:right w:val="single" w:color="000000" w:sz="4" w:space="0"/>
            </w:tcBorders>
            <w:vAlign w:val="center"/>
          </w:tcPr>
          <w:p w14:paraId="706A5DED">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0</w:t>
            </w:r>
          </w:p>
        </w:tc>
        <w:tc>
          <w:tcPr>
            <w:tcW w:w="427" w:type="dxa"/>
            <w:vMerge w:val="continue"/>
            <w:tcBorders>
              <w:left w:val="single" w:color="000000" w:sz="4" w:space="0"/>
              <w:right w:val="nil"/>
            </w:tcBorders>
            <w:vAlign w:val="center"/>
          </w:tcPr>
          <w:p w14:paraId="36183DE3">
            <w:pPr>
              <w:pStyle w:val="44"/>
              <w:bidi w:val="0"/>
              <w:rPr>
                <w:rFonts w:hint="default" w:ascii="Times New Roman" w:hAnsi="Times New Roman" w:cs="Times New Roman"/>
                <w:color w:val="auto"/>
              </w:rPr>
            </w:pPr>
          </w:p>
        </w:tc>
      </w:tr>
      <w:tr w14:paraId="7BD0FA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96" w:hRule="atLeast"/>
          <w:jc w:val="center"/>
        </w:trPr>
        <w:tc>
          <w:tcPr>
            <w:tcW w:w="384" w:type="pct"/>
            <w:tcBorders>
              <w:top w:val="single" w:color="000000" w:sz="4" w:space="0"/>
              <w:left w:val="nil"/>
              <w:bottom w:val="single" w:color="000000" w:sz="4" w:space="0"/>
              <w:right w:val="single" w:color="000000" w:sz="4" w:space="0"/>
            </w:tcBorders>
            <w:vAlign w:val="center"/>
          </w:tcPr>
          <w:p w14:paraId="6378F6EA">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21#厂址</w:t>
            </w:r>
            <w:r>
              <w:rPr>
                <w:rFonts w:hint="default" w:ascii="Times New Roman" w:hAnsi="Times New Roman" w:cs="Times New Roman"/>
                <w:color w:val="auto"/>
              </w:rPr>
              <w:t>下风向</w:t>
            </w:r>
          </w:p>
        </w:tc>
        <w:tc>
          <w:tcPr>
            <w:tcW w:w="997" w:type="pct"/>
            <w:tcBorders>
              <w:top w:val="single" w:color="000000" w:sz="4" w:space="0"/>
              <w:left w:val="single" w:color="000000" w:sz="4" w:space="0"/>
              <w:bottom w:val="single" w:color="000000" w:sz="4" w:space="0"/>
              <w:right w:val="single" w:color="auto" w:sz="4" w:space="0"/>
            </w:tcBorders>
            <w:vAlign w:val="center"/>
          </w:tcPr>
          <w:p w14:paraId="1A6EA9B6">
            <w:pPr>
              <w:pStyle w:val="44"/>
              <w:bidi w:val="0"/>
              <w:rPr>
                <w:rFonts w:hint="default" w:ascii="Times New Roman" w:hAnsi="Times New Roman" w:cs="Times New Roman"/>
                <w:color w:val="auto"/>
              </w:rPr>
            </w:pPr>
            <w:r>
              <w:rPr>
                <w:rFonts w:hint="default" w:ascii="Times New Roman" w:hAnsi="Times New Roman" w:cs="Times New Roman"/>
                <w:color w:val="auto"/>
                <w:sz w:val="22"/>
                <w:szCs w:val="22"/>
                <w:highlight w:val="none"/>
                <w:lang w:val="en-US" w:eastAsia="zh-CN"/>
              </w:rPr>
              <w:t>131°01'21.9992"</w:t>
            </w:r>
          </w:p>
        </w:tc>
        <w:tc>
          <w:tcPr>
            <w:tcW w:w="932" w:type="pct"/>
            <w:tcBorders>
              <w:top w:val="single" w:color="000000" w:sz="4" w:space="0"/>
              <w:left w:val="single" w:color="auto" w:sz="4" w:space="0"/>
              <w:bottom w:val="single" w:color="000000" w:sz="4" w:space="0"/>
              <w:right w:val="single" w:color="000000" w:sz="4" w:space="0"/>
            </w:tcBorders>
            <w:vAlign w:val="center"/>
          </w:tcPr>
          <w:p w14:paraId="2F393BEA">
            <w:pPr>
              <w:pStyle w:val="44"/>
              <w:bidi w:val="0"/>
              <w:rPr>
                <w:rFonts w:hint="default" w:ascii="Times New Roman" w:hAnsi="Times New Roman" w:cs="Times New Roman"/>
                <w:color w:val="auto"/>
              </w:rPr>
            </w:pPr>
            <w:r>
              <w:rPr>
                <w:rFonts w:hint="default" w:ascii="Times New Roman" w:hAnsi="Times New Roman" w:cs="Times New Roman"/>
                <w:color w:val="auto"/>
                <w:sz w:val="22"/>
                <w:szCs w:val="22"/>
                <w:highlight w:val="none"/>
                <w:lang w:val="en-US" w:eastAsia="zh-CN"/>
              </w:rPr>
              <w:t>45°22'03.8464"</w:t>
            </w:r>
          </w:p>
        </w:tc>
        <w:tc>
          <w:tcPr>
            <w:tcW w:w="339" w:type="pct"/>
            <w:tcBorders>
              <w:top w:val="single" w:color="000000" w:sz="4" w:space="0"/>
              <w:left w:val="single" w:color="000000" w:sz="4" w:space="0"/>
              <w:bottom w:val="single" w:color="000000" w:sz="4" w:space="0"/>
              <w:right w:val="single" w:color="000000" w:sz="4" w:space="0"/>
            </w:tcBorders>
            <w:vAlign w:val="center"/>
          </w:tcPr>
          <w:p w14:paraId="5AF3EF1A">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rPr>
              <w:t>TSP</w:t>
            </w:r>
          </w:p>
        </w:tc>
        <w:tc>
          <w:tcPr>
            <w:tcW w:w="394" w:type="pct"/>
            <w:tcBorders>
              <w:left w:val="single" w:color="000000" w:sz="4" w:space="0"/>
              <w:right w:val="single" w:color="000000" w:sz="4" w:space="0"/>
            </w:tcBorders>
            <w:vAlign w:val="center"/>
          </w:tcPr>
          <w:p w14:paraId="73CB0F10">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rPr>
              <w:t>24小时均值</w:t>
            </w:r>
          </w:p>
        </w:tc>
        <w:tc>
          <w:tcPr>
            <w:tcW w:w="541" w:type="pct"/>
            <w:tcBorders>
              <w:left w:val="single" w:color="000000" w:sz="4" w:space="0"/>
              <w:right w:val="single" w:color="000000" w:sz="4" w:space="0"/>
            </w:tcBorders>
            <w:vAlign w:val="center"/>
          </w:tcPr>
          <w:p w14:paraId="4F7283AD">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rPr>
              <w:t>300</w:t>
            </w:r>
          </w:p>
        </w:tc>
        <w:tc>
          <w:tcPr>
            <w:tcW w:w="467" w:type="pct"/>
            <w:tcBorders>
              <w:left w:val="single" w:color="000000" w:sz="4" w:space="0"/>
              <w:right w:val="single" w:color="000000" w:sz="4" w:space="0"/>
            </w:tcBorders>
            <w:vAlign w:val="center"/>
          </w:tcPr>
          <w:p w14:paraId="66131C1F">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83-118</w:t>
            </w:r>
          </w:p>
        </w:tc>
        <w:tc>
          <w:tcPr>
            <w:tcW w:w="428" w:type="pct"/>
            <w:tcBorders>
              <w:left w:val="single" w:color="000000" w:sz="4" w:space="0"/>
              <w:right w:val="single" w:color="000000" w:sz="4" w:space="0"/>
            </w:tcBorders>
            <w:vAlign w:val="center"/>
          </w:tcPr>
          <w:p w14:paraId="10EB4D80">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39.3</w:t>
            </w:r>
          </w:p>
        </w:tc>
        <w:tc>
          <w:tcPr>
            <w:tcW w:w="264" w:type="pct"/>
            <w:tcBorders>
              <w:left w:val="single" w:color="000000" w:sz="4" w:space="0"/>
              <w:right w:val="single" w:color="000000" w:sz="4" w:space="0"/>
            </w:tcBorders>
            <w:vAlign w:val="center"/>
          </w:tcPr>
          <w:p w14:paraId="0EC694A5">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0</w:t>
            </w:r>
          </w:p>
        </w:tc>
        <w:tc>
          <w:tcPr>
            <w:tcW w:w="427" w:type="dxa"/>
            <w:vMerge w:val="continue"/>
            <w:tcBorders>
              <w:left w:val="single" w:color="000000" w:sz="4" w:space="0"/>
              <w:right w:val="nil"/>
            </w:tcBorders>
            <w:vAlign w:val="center"/>
          </w:tcPr>
          <w:p w14:paraId="27CB6101">
            <w:pPr>
              <w:pStyle w:val="44"/>
              <w:bidi w:val="0"/>
              <w:rPr>
                <w:rFonts w:hint="default" w:ascii="Times New Roman" w:hAnsi="Times New Roman" w:cs="Times New Roman"/>
                <w:color w:val="auto"/>
              </w:rPr>
            </w:pPr>
          </w:p>
        </w:tc>
      </w:tr>
      <w:tr w14:paraId="1191EB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96" w:hRule="atLeast"/>
          <w:jc w:val="center"/>
        </w:trPr>
        <w:tc>
          <w:tcPr>
            <w:tcW w:w="384" w:type="pct"/>
            <w:tcBorders>
              <w:top w:val="single" w:color="000000" w:sz="4" w:space="0"/>
              <w:left w:val="nil"/>
              <w:bottom w:val="single" w:color="000000" w:sz="4" w:space="0"/>
              <w:right w:val="single" w:color="000000" w:sz="4" w:space="0"/>
            </w:tcBorders>
            <w:vAlign w:val="center"/>
          </w:tcPr>
          <w:p w14:paraId="546D52E3">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31#厂址</w:t>
            </w:r>
            <w:r>
              <w:rPr>
                <w:rFonts w:hint="default" w:ascii="Times New Roman" w:hAnsi="Times New Roman" w:cs="Times New Roman"/>
                <w:color w:val="auto"/>
              </w:rPr>
              <w:t>下风向</w:t>
            </w:r>
          </w:p>
        </w:tc>
        <w:tc>
          <w:tcPr>
            <w:tcW w:w="997" w:type="pct"/>
            <w:tcBorders>
              <w:top w:val="single" w:color="000000" w:sz="4" w:space="0"/>
              <w:left w:val="single" w:color="000000" w:sz="4" w:space="0"/>
              <w:bottom w:val="single" w:color="000000" w:sz="4" w:space="0"/>
              <w:right w:val="single" w:color="auto" w:sz="4" w:space="0"/>
            </w:tcBorders>
            <w:vAlign w:val="center"/>
          </w:tcPr>
          <w:p w14:paraId="3E2CBC95">
            <w:pPr>
              <w:pStyle w:val="44"/>
              <w:bidi w:val="0"/>
              <w:rPr>
                <w:rFonts w:hint="default" w:ascii="Times New Roman" w:hAnsi="Times New Roman" w:cs="Times New Roman"/>
                <w:color w:val="auto"/>
              </w:rPr>
            </w:pPr>
            <w:r>
              <w:rPr>
                <w:rFonts w:hint="default" w:ascii="Times New Roman" w:hAnsi="Times New Roman" w:cs="Times New Roman"/>
                <w:color w:val="auto"/>
                <w:sz w:val="22"/>
                <w:szCs w:val="22"/>
                <w:highlight w:val="none"/>
                <w:lang w:val="en-US" w:eastAsia="zh-CN"/>
              </w:rPr>
              <w:t>130°56'45.3755"</w:t>
            </w:r>
          </w:p>
        </w:tc>
        <w:tc>
          <w:tcPr>
            <w:tcW w:w="932" w:type="pct"/>
            <w:tcBorders>
              <w:top w:val="single" w:color="000000" w:sz="4" w:space="0"/>
              <w:left w:val="single" w:color="auto" w:sz="4" w:space="0"/>
              <w:bottom w:val="single" w:color="000000" w:sz="4" w:space="0"/>
              <w:right w:val="single" w:color="000000" w:sz="4" w:space="0"/>
            </w:tcBorders>
            <w:vAlign w:val="center"/>
          </w:tcPr>
          <w:p w14:paraId="4B685B5C">
            <w:pPr>
              <w:pStyle w:val="44"/>
              <w:bidi w:val="0"/>
              <w:rPr>
                <w:rFonts w:hint="default" w:ascii="Times New Roman" w:hAnsi="Times New Roman" w:cs="Times New Roman"/>
                <w:color w:val="auto"/>
              </w:rPr>
            </w:pPr>
            <w:r>
              <w:rPr>
                <w:rFonts w:hint="default" w:ascii="Times New Roman" w:hAnsi="Times New Roman" w:cs="Times New Roman"/>
                <w:color w:val="auto"/>
                <w:sz w:val="22"/>
                <w:szCs w:val="22"/>
                <w:highlight w:val="none"/>
                <w:lang w:val="en-US" w:eastAsia="zh-CN"/>
              </w:rPr>
              <w:t>45°20'32.6514"</w:t>
            </w:r>
          </w:p>
        </w:tc>
        <w:tc>
          <w:tcPr>
            <w:tcW w:w="339" w:type="pct"/>
            <w:tcBorders>
              <w:top w:val="single" w:color="000000" w:sz="4" w:space="0"/>
              <w:left w:val="single" w:color="000000" w:sz="4" w:space="0"/>
              <w:bottom w:val="single" w:color="000000" w:sz="4" w:space="0"/>
              <w:right w:val="single" w:color="000000" w:sz="4" w:space="0"/>
            </w:tcBorders>
            <w:vAlign w:val="center"/>
          </w:tcPr>
          <w:p w14:paraId="442CAC82">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rPr>
              <w:t>TSP</w:t>
            </w:r>
          </w:p>
        </w:tc>
        <w:tc>
          <w:tcPr>
            <w:tcW w:w="394" w:type="pct"/>
            <w:tcBorders>
              <w:left w:val="single" w:color="000000" w:sz="4" w:space="0"/>
              <w:right w:val="single" w:color="000000" w:sz="4" w:space="0"/>
            </w:tcBorders>
            <w:vAlign w:val="center"/>
          </w:tcPr>
          <w:p w14:paraId="214D3088">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rPr>
              <w:t>24小时均值</w:t>
            </w:r>
          </w:p>
        </w:tc>
        <w:tc>
          <w:tcPr>
            <w:tcW w:w="541" w:type="pct"/>
            <w:tcBorders>
              <w:left w:val="single" w:color="000000" w:sz="4" w:space="0"/>
              <w:right w:val="single" w:color="000000" w:sz="4" w:space="0"/>
            </w:tcBorders>
            <w:vAlign w:val="center"/>
          </w:tcPr>
          <w:p w14:paraId="3E9E781B">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rPr>
              <w:t>300</w:t>
            </w:r>
          </w:p>
        </w:tc>
        <w:tc>
          <w:tcPr>
            <w:tcW w:w="467" w:type="pct"/>
            <w:tcBorders>
              <w:left w:val="single" w:color="000000" w:sz="4" w:space="0"/>
              <w:right w:val="single" w:color="000000" w:sz="4" w:space="0"/>
            </w:tcBorders>
            <w:vAlign w:val="center"/>
          </w:tcPr>
          <w:p w14:paraId="131663E8">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83-118</w:t>
            </w:r>
          </w:p>
        </w:tc>
        <w:tc>
          <w:tcPr>
            <w:tcW w:w="428" w:type="pct"/>
            <w:tcBorders>
              <w:left w:val="single" w:color="000000" w:sz="4" w:space="0"/>
              <w:right w:val="single" w:color="000000" w:sz="4" w:space="0"/>
            </w:tcBorders>
            <w:vAlign w:val="center"/>
          </w:tcPr>
          <w:p w14:paraId="15F8A3A6">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39.3</w:t>
            </w:r>
          </w:p>
        </w:tc>
        <w:tc>
          <w:tcPr>
            <w:tcW w:w="264" w:type="pct"/>
            <w:tcBorders>
              <w:left w:val="single" w:color="000000" w:sz="4" w:space="0"/>
              <w:right w:val="single" w:color="000000" w:sz="4" w:space="0"/>
            </w:tcBorders>
            <w:vAlign w:val="center"/>
          </w:tcPr>
          <w:p w14:paraId="7BE1C2D7">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0</w:t>
            </w:r>
          </w:p>
        </w:tc>
        <w:tc>
          <w:tcPr>
            <w:tcW w:w="427" w:type="dxa"/>
            <w:vMerge w:val="continue"/>
            <w:tcBorders>
              <w:left w:val="single" w:color="000000" w:sz="4" w:space="0"/>
              <w:right w:val="nil"/>
            </w:tcBorders>
            <w:vAlign w:val="center"/>
          </w:tcPr>
          <w:p w14:paraId="60BEA083">
            <w:pPr>
              <w:pStyle w:val="44"/>
              <w:bidi w:val="0"/>
              <w:rPr>
                <w:rFonts w:hint="default" w:ascii="Times New Roman" w:hAnsi="Times New Roman" w:cs="Times New Roman"/>
                <w:color w:val="auto"/>
              </w:rPr>
            </w:pPr>
          </w:p>
        </w:tc>
      </w:tr>
      <w:tr w14:paraId="14B918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96" w:hRule="atLeast"/>
          <w:jc w:val="center"/>
        </w:trPr>
        <w:tc>
          <w:tcPr>
            <w:tcW w:w="384" w:type="pct"/>
            <w:tcBorders>
              <w:top w:val="single" w:color="000000" w:sz="4" w:space="0"/>
              <w:left w:val="nil"/>
              <w:bottom w:val="single" w:color="000000" w:sz="4" w:space="0"/>
              <w:right w:val="single" w:color="000000" w:sz="4" w:space="0"/>
            </w:tcBorders>
            <w:vAlign w:val="center"/>
          </w:tcPr>
          <w:p w14:paraId="38DC38AA">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41#厂址</w:t>
            </w:r>
            <w:r>
              <w:rPr>
                <w:rFonts w:hint="default" w:ascii="Times New Roman" w:hAnsi="Times New Roman" w:cs="Times New Roman"/>
                <w:color w:val="auto"/>
              </w:rPr>
              <w:t>下风向</w:t>
            </w:r>
          </w:p>
        </w:tc>
        <w:tc>
          <w:tcPr>
            <w:tcW w:w="997" w:type="pct"/>
            <w:tcBorders>
              <w:top w:val="single" w:color="000000" w:sz="4" w:space="0"/>
              <w:left w:val="single" w:color="000000" w:sz="4" w:space="0"/>
              <w:bottom w:val="single" w:color="000000" w:sz="4" w:space="0"/>
              <w:right w:val="single" w:color="auto" w:sz="4" w:space="0"/>
            </w:tcBorders>
            <w:vAlign w:val="center"/>
          </w:tcPr>
          <w:p w14:paraId="21A66125">
            <w:pPr>
              <w:pStyle w:val="44"/>
              <w:bidi w:val="0"/>
              <w:rPr>
                <w:rFonts w:hint="default" w:ascii="Times New Roman" w:hAnsi="Times New Roman" w:cs="Times New Roman"/>
                <w:color w:val="auto"/>
              </w:rPr>
            </w:pPr>
            <w:r>
              <w:rPr>
                <w:rFonts w:hint="default" w:ascii="Times New Roman" w:hAnsi="Times New Roman" w:cs="Times New Roman"/>
                <w:color w:val="auto"/>
                <w:sz w:val="22"/>
                <w:szCs w:val="22"/>
                <w:highlight w:val="none"/>
                <w:lang w:val="en-US" w:eastAsia="zh-CN"/>
              </w:rPr>
              <w:t>130°59'38.7191"</w:t>
            </w:r>
          </w:p>
        </w:tc>
        <w:tc>
          <w:tcPr>
            <w:tcW w:w="932" w:type="pct"/>
            <w:tcBorders>
              <w:top w:val="single" w:color="000000" w:sz="4" w:space="0"/>
              <w:left w:val="single" w:color="auto" w:sz="4" w:space="0"/>
              <w:bottom w:val="single" w:color="000000" w:sz="4" w:space="0"/>
              <w:right w:val="single" w:color="000000" w:sz="4" w:space="0"/>
            </w:tcBorders>
            <w:vAlign w:val="center"/>
          </w:tcPr>
          <w:p w14:paraId="759C4D31">
            <w:pPr>
              <w:pStyle w:val="44"/>
              <w:bidi w:val="0"/>
              <w:rPr>
                <w:rFonts w:hint="default" w:ascii="Times New Roman" w:hAnsi="Times New Roman" w:cs="Times New Roman"/>
                <w:color w:val="auto"/>
              </w:rPr>
            </w:pPr>
            <w:r>
              <w:rPr>
                <w:rFonts w:hint="default" w:ascii="Times New Roman" w:hAnsi="Times New Roman" w:cs="Times New Roman"/>
                <w:color w:val="auto"/>
                <w:sz w:val="22"/>
                <w:szCs w:val="22"/>
                <w:highlight w:val="none"/>
                <w:lang w:val="en-US" w:eastAsia="zh-CN"/>
              </w:rPr>
              <w:t>45°21'26.6677"</w:t>
            </w:r>
          </w:p>
        </w:tc>
        <w:tc>
          <w:tcPr>
            <w:tcW w:w="339" w:type="pct"/>
            <w:tcBorders>
              <w:top w:val="single" w:color="000000" w:sz="4" w:space="0"/>
              <w:left w:val="single" w:color="000000" w:sz="4" w:space="0"/>
              <w:bottom w:val="single" w:color="000000" w:sz="4" w:space="0"/>
              <w:right w:val="single" w:color="000000" w:sz="4" w:space="0"/>
            </w:tcBorders>
            <w:vAlign w:val="center"/>
          </w:tcPr>
          <w:p w14:paraId="4608CF12">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rPr>
              <w:t>TSP</w:t>
            </w:r>
          </w:p>
        </w:tc>
        <w:tc>
          <w:tcPr>
            <w:tcW w:w="394" w:type="pct"/>
            <w:tcBorders>
              <w:left w:val="single" w:color="000000" w:sz="4" w:space="0"/>
              <w:right w:val="single" w:color="000000" w:sz="4" w:space="0"/>
            </w:tcBorders>
            <w:vAlign w:val="center"/>
          </w:tcPr>
          <w:p w14:paraId="7552DAC4">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rPr>
              <w:t>24小时均值</w:t>
            </w:r>
          </w:p>
        </w:tc>
        <w:tc>
          <w:tcPr>
            <w:tcW w:w="541" w:type="pct"/>
            <w:tcBorders>
              <w:left w:val="single" w:color="000000" w:sz="4" w:space="0"/>
              <w:right w:val="single" w:color="000000" w:sz="4" w:space="0"/>
            </w:tcBorders>
            <w:vAlign w:val="center"/>
          </w:tcPr>
          <w:p w14:paraId="5E97C5B6">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rPr>
              <w:t>300</w:t>
            </w:r>
          </w:p>
        </w:tc>
        <w:tc>
          <w:tcPr>
            <w:tcW w:w="467" w:type="pct"/>
            <w:tcBorders>
              <w:left w:val="single" w:color="000000" w:sz="4" w:space="0"/>
              <w:right w:val="single" w:color="000000" w:sz="4" w:space="0"/>
            </w:tcBorders>
            <w:vAlign w:val="center"/>
          </w:tcPr>
          <w:p w14:paraId="3F735919">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83-118</w:t>
            </w:r>
          </w:p>
        </w:tc>
        <w:tc>
          <w:tcPr>
            <w:tcW w:w="428" w:type="pct"/>
            <w:tcBorders>
              <w:left w:val="single" w:color="000000" w:sz="4" w:space="0"/>
              <w:right w:val="single" w:color="000000" w:sz="4" w:space="0"/>
            </w:tcBorders>
            <w:vAlign w:val="center"/>
          </w:tcPr>
          <w:p w14:paraId="7FD43F5B">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39.3</w:t>
            </w:r>
          </w:p>
        </w:tc>
        <w:tc>
          <w:tcPr>
            <w:tcW w:w="264" w:type="pct"/>
            <w:tcBorders>
              <w:left w:val="single" w:color="000000" w:sz="4" w:space="0"/>
              <w:right w:val="single" w:color="000000" w:sz="4" w:space="0"/>
            </w:tcBorders>
            <w:vAlign w:val="center"/>
          </w:tcPr>
          <w:p w14:paraId="24A178B5">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0</w:t>
            </w:r>
          </w:p>
        </w:tc>
        <w:tc>
          <w:tcPr>
            <w:tcW w:w="427" w:type="dxa"/>
            <w:vMerge w:val="continue"/>
            <w:tcBorders>
              <w:left w:val="single" w:color="000000" w:sz="4" w:space="0"/>
              <w:right w:val="nil"/>
            </w:tcBorders>
            <w:vAlign w:val="center"/>
          </w:tcPr>
          <w:p w14:paraId="3739C537">
            <w:pPr>
              <w:pStyle w:val="44"/>
              <w:bidi w:val="0"/>
              <w:rPr>
                <w:rFonts w:hint="default" w:ascii="Times New Roman" w:hAnsi="Times New Roman" w:cs="Times New Roman"/>
                <w:color w:val="auto"/>
              </w:rPr>
            </w:pPr>
          </w:p>
        </w:tc>
      </w:tr>
      <w:tr w14:paraId="01A9C6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96" w:hRule="atLeast"/>
          <w:jc w:val="center"/>
        </w:trPr>
        <w:tc>
          <w:tcPr>
            <w:tcW w:w="384" w:type="pct"/>
            <w:tcBorders>
              <w:top w:val="single" w:color="000000" w:sz="4" w:space="0"/>
              <w:left w:val="nil"/>
              <w:bottom w:val="single" w:color="000000" w:sz="4" w:space="0"/>
              <w:right w:val="single" w:color="000000" w:sz="4" w:space="0"/>
            </w:tcBorders>
            <w:vAlign w:val="center"/>
          </w:tcPr>
          <w:p w14:paraId="26A016CB">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25#厂址</w:t>
            </w:r>
            <w:r>
              <w:rPr>
                <w:rFonts w:hint="default" w:ascii="Times New Roman" w:hAnsi="Times New Roman" w:cs="Times New Roman"/>
                <w:color w:val="auto"/>
              </w:rPr>
              <w:t>下风向</w:t>
            </w:r>
          </w:p>
        </w:tc>
        <w:tc>
          <w:tcPr>
            <w:tcW w:w="997" w:type="pct"/>
            <w:tcBorders>
              <w:top w:val="single" w:color="000000" w:sz="4" w:space="0"/>
              <w:left w:val="single" w:color="000000" w:sz="4" w:space="0"/>
              <w:bottom w:val="single" w:color="000000" w:sz="4" w:space="0"/>
              <w:right w:val="single" w:color="auto" w:sz="4" w:space="0"/>
            </w:tcBorders>
            <w:vAlign w:val="center"/>
          </w:tcPr>
          <w:p w14:paraId="128A721F">
            <w:pPr>
              <w:pStyle w:val="44"/>
              <w:bidi w:val="0"/>
              <w:rPr>
                <w:rFonts w:hint="default" w:ascii="Times New Roman" w:hAnsi="Times New Roman" w:cs="Times New Roman"/>
                <w:color w:val="auto"/>
              </w:rPr>
            </w:pPr>
            <w:r>
              <w:rPr>
                <w:rFonts w:hint="default" w:ascii="Times New Roman" w:hAnsi="Times New Roman" w:cs="Times New Roman"/>
                <w:color w:val="auto"/>
                <w:sz w:val="22"/>
                <w:szCs w:val="22"/>
                <w:highlight w:val="none"/>
                <w:lang w:val="en-US" w:eastAsia="zh-CN"/>
              </w:rPr>
              <w:t>131°03'23.8187"</w:t>
            </w:r>
          </w:p>
        </w:tc>
        <w:tc>
          <w:tcPr>
            <w:tcW w:w="932" w:type="pct"/>
            <w:tcBorders>
              <w:top w:val="single" w:color="000000" w:sz="4" w:space="0"/>
              <w:left w:val="single" w:color="auto" w:sz="4" w:space="0"/>
              <w:bottom w:val="single" w:color="000000" w:sz="4" w:space="0"/>
              <w:right w:val="single" w:color="000000" w:sz="4" w:space="0"/>
            </w:tcBorders>
            <w:vAlign w:val="center"/>
          </w:tcPr>
          <w:p w14:paraId="14FA3F16">
            <w:pPr>
              <w:pStyle w:val="44"/>
              <w:bidi w:val="0"/>
              <w:rPr>
                <w:rFonts w:hint="default" w:ascii="Times New Roman" w:hAnsi="Times New Roman" w:cs="Times New Roman"/>
                <w:color w:val="auto"/>
              </w:rPr>
            </w:pPr>
            <w:r>
              <w:rPr>
                <w:rFonts w:hint="default" w:ascii="Times New Roman" w:hAnsi="Times New Roman" w:cs="Times New Roman"/>
                <w:color w:val="auto"/>
                <w:sz w:val="22"/>
                <w:szCs w:val="22"/>
                <w:highlight w:val="none"/>
                <w:lang w:val="en-US" w:eastAsia="zh-CN"/>
              </w:rPr>
              <w:t>45°22'07.0484"</w:t>
            </w:r>
          </w:p>
        </w:tc>
        <w:tc>
          <w:tcPr>
            <w:tcW w:w="339" w:type="pct"/>
            <w:tcBorders>
              <w:top w:val="single" w:color="000000" w:sz="4" w:space="0"/>
              <w:left w:val="single" w:color="000000" w:sz="4" w:space="0"/>
              <w:bottom w:val="single" w:color="000000" w:sz="4" w:space="0"/>
              <w:right w:val="single" w:color="000000" w:sz="4" w:space="0"/>
            </w:tcBorders>
            <w:vAlign w:val="center"/>
          </w:tcPr>
          <w:p w14:paraId="6D9AEFD9">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rPr>
              <w:t>TSP</w:t>
            </w:r>
          </w:p>
        </w:tc>
        <w:tc>
          <w:tcPr>
            <w:tcW w:w="394" w:type="pct"/>
            <w:tcBorders>
              <w:left w:val="single" w:color="000000" w:sz="4" w:space="0"/>
              <w:right w:val="single" w:color="000000" w:sz="4" w:space="0"/>
            </w:tcBorders>
            <w:vAlign w:val="center"/>
          </w:tcPr>
          <w:p w14:paraId="7FED7E04">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rPr>
              <w:t>24小时均值</w:t>
            </w:r>
          </w:p>
        </w:tc>
        <w:tc>
          <w:tcPr>
            <w:tcW w:w="541" w:type="pct"/>
            <w:tcBorders>
              <w:left w:val="single" w:color="000000" w:sz="4" w:space="0"/>
              <w:right w:val="single" w:color="000000" w:sz="4" w:space="0"/>
            </w:tcBorders>
            <w:vAlign w:val="center"/>
          </w:tcPr>
          <w:p w14:paraId="0791DCB5">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rPr>
              <w:t>300</w:t>
            </w:r>
          </w:p>
        </w:tc>
        <w:tc>
          <w:tcPr>
            <w:tcW w:w="467" w:type="pct"/>
            <w:tcBorders>
              <w:left w:val="single" w:color="000000" w:sz="4" w:space="0"/>
              <w:right w:val="single" w:color="000000" w:sz="4" w:space="0"/>
            </w:tcBorders>
            <w:vAlign w:val="center"/>
          </w:tcPr>
          <w:p w14:paraId="68369B23">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83-111</w:t>
            </w:r>
          </w:p>
        </w:tc>
        <w:tc>
          <w:tcPr>
            <w:tcW w:w="428" w:type="pct"/>
            <w:tcBorders>
              <w:left w:val="single" w:color="000000" w:sz="4" w:space="0"/>
              <w:right w:val="single" w:color="000000" w:sz="4" w:space="0"/>
            </w:tcBorders>
            <w:vAlign w:val="center"/>
          </w:tcPr>
          <w:p w14:paraId="2FF83976">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37</w:t>
            </w:r>
          </w:p>
        </w:tc>
        <w:tc>
          <w:tcPr>
            <w:tcW w:w="264" w:type="pct"/>
            <w:tcBorders>
              <w:left w:val="single" w:color="000000" w:sz="4" w:space="0"/>
              <w:right w:val="single" w:color="000000" w:sz="4" w:space="0"/>
            </w:tcBorders>
            <w:vAlign w:val="center"/>
          </w:tcPr>
          <w:p w14:paraId="0407B3FC">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0</w:t>
            </w:r>
          </w:p>
        </w:tc>
        <w:tc>
          <w:tcPr>
            <w:tcW w:w="427" w:type="dxa"/>
            <w:vMerge w:val="continue"/>
            <w:tcBorders>
              <w:left w:val="single" w:color="000000" w:sz="4" w:space="0"/>
              <w:right w:val="nil"/>
            </w:tcBorders>
            <w:vAlign w:val="center"/>
          </w:tcPr>
          <w:p w14:paraId="7F71B6AC">
            <w:pPr>
              <w:pStyle w:val="44"/>
              <w:bidi w:val="0"/>
              <w:rPr>
                <w:rFonts w:hint="default" w:ascii="Times New Roman" w:hAnsi="Times New Roman" w:cs="Times New Roman"/>
                <w:color w:val="auto"/>
              </w:rPr>
            </w:pPr>
          </w:p>
        </w:tc>
      </w:tr>
      <w:tr w14:paraId="54FFE5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96" w:hRule="atLeast"/>
          <w:jc w:val="center"/>
        </w:trPr>
        <w:tc>
          <w:tcPr>
            <w:tcW w:w="2314" w:type="pct"/>
            <w:gridSpan w:val="3"/>
            <w:tcBorders>
              <w:top w:val="single" w:color="000000" w:sz="4" w:space="0"/>
              <w:left w:val="nil"/>
              <w:bottom w:val="single" w:color="000000" w:sz="12" w:space="0"/>
              <w:right w:val="single" w:color="000000" w:sz="4" w:space="0"/>
            </w:tcBorders>
            <w:vAlign w:val="center"/>
          </w:tcPr>
          <w:p w14:paraId="3FF102D1">
            <w:pPr>
              <w:pStyle w:val="44"/>
              <w:bidi w:val="0"/>
              <w:rPr>
                <w:rFonts w:hint="default" w:ascii="Times New Roman" w:hAnsi="Times New Roman" w:cs="Times New Roman"/>
                <w:color w:val="auto"/>
              </w:rPr>
            </w:pPr>
            <w:r>
              <w:rPr>
                <w:rFonts w:hint="default" w:ascii="Times New Roman" w:hAnsi="Times New Roman" w:cs="Times New Roman"/>
                <w:color w:val="auto"/>
              </w:rPr>
              <w:t>平均值</w:t>
            </w:r>
          </w:p>
        </w:tc>
        <w:tc>
          <w:tcPr>
            <w:tcW w:w="339" w:type="pct"/>
            <w:tcBorders>
              <w:top w:val="single" w:color="000000" w:sz="4" w:space="0"/>
              <w:left w:val="single" w:color="000000" w:sz="4" w:space="0"/>
              <w:bottom w:val="single" w:color="000000" w:sz="12" w:space="0"/>
              <w:right w:val="single" w:color="000000" w:sz="4" w:space="0"/>
            </w:tcBorders>
            <w:vAlign w:val="center"/>
          </w:tcPr>
          <w:p w14:paraId="46AB692B">
            <w:pPr>
              <w:pStyle w:val="44"/>
              <w:bidi w:val="0"/>
              <w:rPr>
                <w:rFonts w:hint="default" w:ascii="Times New Roman" w:hAnsi="Times New Roman" w:cs="Times New Roman"/>
                <w:color w:val="auto"/>
              </w:rPr>
            </w:pPr>
            <w:r>
              <w:rPr>
                <w:rFonts w:hint="default" w:ascii="Times New Roman" w:hAnsi="Times New Roman" w:cs="Times New Roman"/>
                <w:color w:val="auto"/>
              </w:rPr>
              <w:t>TSP</w:t>
            </w:r>
          </w:p>
        </w:tc>
        <w:tc>
          <w:tcPr>
            <w:tcW w:w="394" w:type="pct"/>
            <w:tcBorders>
              <w:left w:val="single" w:color="000000" w:sz="4" w:space="0"/>
              <w:bottom w:val="single" w:color="000000" w:sz="12" w:space="0"/>
              <w:right w:val="single" w:color="000000" w:sz="4" w:space="0"/>
            </w:tcBorders>
            <w:vAlign w:val="center"/>
          </w:tcPr>
          <w:p w14:paraId="1FB54C85">
            <w:pPr>
              <w:pStyle w:val="44"/>
              <w:bidi w:val="0"/>
              <w:rPr>
                <w:rFonts w:hint="default" w:ascii="Times New Roman" w:hAnsi="Times New Roman" w:cs="Times New Roman"/>
                <w:color w:val="auto"/>
              </w:rPr>
            </w:pPr>
            <w:r>
              <w:rPr>
                <w:rFonts w:hint="default" w:ascii="Times New Roman" w:hAnsi="Times New Roman" w:cs="Times New Roman"/>
                <w:color w:val="auto"/>
              </w:rPr>
              <w:t>24小时均值</w:t>
            </w:r>
          </w:p>
        </w:tc>
        <w:tc>
          <w:tcPr>
            <w:tcW w:w="922" w:type="dxa"/>
            <w:tcBorders>
              <w:left w:val="single" w:color="000000" w:sz="4" w:space="0"/>
              <w:bottom w:val="single" w:color="000000" w:sz="12" w:space="0"/>
              <w:right w:val="single" w:color="000000" w:sz="4" w:space="0"/>
            </w:tcBorders>
            <w:vAlign w:val="center"/>
          </w:tcPr>
          <w:p w14:paraId="3FA1EB9B">
            <w:pPr>
              <w:pStyle w:val="44"/>
              <w:bidi w:val="0"/>
              <w:rPr>
                <w:rFonts w:hint="default" w:ascii="Times New Roman" w:hAnsi="Times New Roman" w:cs="Times New Roman"/>
                <w:color w:val="auto"/>
              </w:rPr>
            </w:pPr>
            <w:r>
              <w:rPr>
                <w:rFonts w:hint="default" w:ascii="Times New Roman" w:hAnsi="Times New Roman" w:cs="Times New Roman"/>
                <w:color w:val="auto"/>
              </w:rPr>
              <w:t>300</w:t>
            </w:r>
          </w:p>
        </w:tc>
        <w:tc>
          <w:tcPr>
            <w:tcW w:w="467" w:type="pct"/>
            <w:tcBorders>
              <w:left w:val="single" w:color="000000" w:sz="4" w:space="0"/>
              <w:bottom w:val="single" w:color="000000" w:sz="12" w:space="0"/>
              <w:right w:val="single" w:color="000000" w:sz="4" w:space="0"/>
            </w:tcBorders>
            <w:vAlign w:val="center"/>
          </w:tcPr>
          <w:p w14:paraId="48DC0E89">
            <w:pPr>
              <w:pStyle w:val="44"/>
              <w:bidi w:val="0"/>
              <w:rPr>
                <w:rFonts w:hint="default" w:ascii="Times New Roman" w:hAnsi="Times New Roman" w:cs="Times New Roman"/>
                <w:color w:val="auto"/>
              </w:rPr>
            </w:pPr>
            <w:r>
              <w:rPr>
                <w:rFonts w:hint="default" w:ascii="Times New Roman" w:hAnsi="Times New Roman" w:cs="Times New Roman"/>
                <w:color w:val="auto"/>
              </w:rPr>
              <w:t>107</w:t>
            </w:r>
          </w:p>
        </w:tc>
        <w:tc>
          <w:tcPr>
            <w:tcW w:w="428" w:type="pct"/>
            <w:tcBorders>
              <w:left w:val="single" w:color="000000" w:sz="4" w:space="0"/>
              <w:bottom w:val="single" w:color="000000" w:sz="12" w:space="0"/>
              <w:right w:val="single" w:color="000000" w:sz="4" w:space="0"/>
            </w:tcBorders>
            <w:vAlign w:val="center"/>
          </w:tcPr>
          <w:p w14:paraId="198A580F">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39.0</w:t>
            </w:r>
          </w:p>
        </w:tc>
        <w:tc>
          <w:tcPr>
            <w:tcW w:w="264" w:type="pct"/>
            <w:tcBorders>
              <w:left w:val="single" w:color="000000" w:sz="4" w:space="0"/>
              <w:bottom w:val="single" w:color="000000" w:sz="12" w:space="0"/>
              <w:right w:val="single" w:color="000000" w:sz="4" w:space="0"/>
            </w:tcBorders>
            <w:vAlign w:val="center"/>
          </w:tcPr>
          <w:p w14:paraId="23AF41EB">
            <w:pPr>
              <w:pStyle w:val="44"/>
              <w:bidi w:val="0"/>
              <w:rPr>
                <w:rFonts w:hint="default" w:ascii="Times New Roman" w:hAnsi="Times New Roman" w:cs="Times New Roman"/>
                <w:color w:val="auto"/>
              </w:rPr>
            </w:pPr>
            <w:r>
              <w:rPr>
                <w:rFonts w:hint="default" w:ascii="Times New Roman" w:hAnsi="Times New Roman" w:cs="Times New Roman"/>
                <w:color w:val="auto"/>
              </w:rPr>
              <w:t>0</w:t>
            </w:r>
          </w:p>
        </w:tc>
        <w:tc>
          <w:tcPr>
            <w:tcW w:w="427" w:type="dxa"/>
            <w:vMerge w:val="continue"/>
            <w:tcBorders>
              <w:left w:val="single" w:color="000000" w:sz="4" w:space="0"/>
              <w:bottom w:val="single" w:color="000000" w:sz="12" w:space="0"/>
              <w:right w:val="nil"/>
            </w:tcBorders>
            <w:vAlign w:val="center"/>
          </w:tcPr>
          <w:p w14:paraId="5E87092A">
            <w:pPr>
              <w:pStyle w:val="44"/>
              <w:bidi w:val="0"/>
              <w:rPr>
                <w:rFonts w:hint="default" w:ascii="Times New Roman" w:hAnsi="Times New Roman" w:cs="Times New Roman"/>
                <w:color w:val="auto"/>
              </w:rPr>
            </w:pPr>
          </w:p>
        </w:tc>
      </w:tr>
    </w:tbl>
    <w:p w14:paraId="564DBCDD">
      <w:pPr>
        <w:pStyle w:val="25"/>
        <w:bidi w:val="0"/>
        <w:rPr>
          <w:rFonts w:hint="default" w:ascii="Times New Roman" w:hAnsi="Times New Roman" w:cs="Times New Roman"/>
          <w:color w:val="auto"/>
        </w:rPr>
      </w:pPr>
      <w:r>
        <w:rPr>
          <w:rFonts w:hint="default" w:ascii="Times New Roman" w:hAnsi="Times New Roman" w:cs="Times New Roman"/>
          <w:color w:val="auto"/>
        </w:rPr>
        <w:t>（6）现状补充监测评价结论</w:t>
      </w:r>
    </w:p>
    <w:p w14:paraId="563A02C0">
      <w:pPr>
        <w:pStyle w:val="25"/>
        <w:bidi w:val="0"/>
        <w:rPr>
          <w:rFonts w:hint="default" w:ascii="Times New Roman" w:hAnsi="Times New Roman" w:cs="Times New Roman"/>
          <w:color w:val="auto"/>
          <w:lang w:val="zh-CN"/>
        </w:rPr>
      </w:pPr>
      <w:bookmarkStart w:id="247" w:name="_Hlk26984030"/>
      <w:r>
        <w:rPr>
          <w:rFonts w:hint="default" w:ascii="Times New Roman" w:hAnsi="Times New Roman" w:cs="Times New Roman"/>
          <w:color w:val="auto"/>
        </w:rPr>
        <w:t>根据其他污染物现状评价结果可知，TSP浓度满足《环境空气质量标准》（GB3095-2012）及修改单中的二级标准。</w:t>
      </w:r>
    </w:p>
    <w:bookmarkEnd w:id="247"/>
    <w:p w14:paraId="61035EDA">
      <w:pPr>
        <w:pStyle w:val="39"/>
        <w:bidi w:val="0"/>
        <w:rPr>
          <w:rFonts w:hint="default" w:ascii="Times New Roman" w:hAnsi="Times New Roman" w:cs="Times New Roman"/>
          <w:color w:val="auto"/>
        </w:rPr>
      </w:pPr>
      <w:bookmarkStart w:id="248" w:name="_Toc30380"/>
      <w:r>
        <w:rPr>
          <w:rFonts w:hint="default" w:ascii="Times New Roman" w:hAnsi="Times New Roman" w:cs="Times New Roman"/>
          <w:color w:val="auto"/>
        </w:rPr>
        <w:t>4.2.2地表水现状评价</w:t>
      </w:r>
      <w:bookmarkEnd w:id="248"/>
    </w:p>
    <w:p w14:paraId="22189806">
      <w:pPr>
        <w:pStyle w:val="25"/>
        <w:bidi w:val="0"/>
        <w:rPr>
          <w:rFonts w:hint="default" w:ascii="Times New Roman" w:hAnsi="Times New Roman" w:cs="Times New Roman"/>
          <w:color w:val="auto"/>
        </w:rPr>
      </w:pPr>
      <w:bookmarkStart w:id="249" w:name="_Hlk149051250"/>
      <w:r>
        <w:rPr>
          <w:rFonts w:hint="default" w:ascii="Times New Roman" w:hAnsi="Times New Roman" w:cs="Times New Roman"/>
          <w:color w:val="auto"/>
        </w:rPr>
        <w:t>本项目涉及的地表水体为</w:t>
      </w:r>
      <w:r>
        <w:rPr>
          <w:rFonts w:hint="default" w:ascii="Times New Roman" w:hAnsi="Times New Roman" w:cs="Times New Roman"/>
          <w:color w:val="auto"/>
          <w:lang w:val="en-US" w:eastAsia="zh-CN"/>
        </w:rPr>
        <w:t>城子河，</w:t>
      </w:r>
      <w:r>
        <w:rPr>
          <w:rFonts w:hint="default" w:ascii="Times New Roman" w:hAnsi="Times New Roman" w:cs="Times New Roman"/>
          <w:color w:val="auto"/>
        </w:rPr>
        <w:t>城子河无规划水体类别。城子河汇入穆棱河，根据《全国重要江河湖泊水功能区划》(2011—2030年），项目区穆棱河所在一级水功能区名称为穆棱河鸡西市开发利用区，二级水功能区名称为穆棱河鸡西市排污控制区，起始断面为206省道公路桥，终止断面为东胜村，无规划水质目标，本次评价按III类执行。</w:t>
      </w:r>
    </w:p>
    <w:p w14:paraId="754779B0">
      <w:pPr>
        <w:pStyle w:val="25"/>
        <w:bidi w:val="0"/>
        <w:rPr>
          <w:rFonts w:hint="default" w:ascii="Times New Roman" w:hAnsi="Times New Roman" w:cs="Times New Roman"/>
          <w:color w:val="auto"/>
        </w:rPr>
      </w:pPr>
      <w:bookmarkStart w:id="250" w:name="OLE_LINK27"/>
      <w:r>
        <w:rPr>
          <w:rFonts w:hint="default" w:ascii="Times New Roman" w:hAnsi="Times New Roman" w:cs="Times New Roman"/>
          <w:color w:val="auto"/>
        </w:rPr>
        <w:t>根据黑龙江省生态环境厅《</w:t>
      </w:r>
      <w:r>
        <w:rPr>
          <w:rFonts w:hint="eastAsia" w:cs="Times New Roman"/>
          <w:color w:val="auto"/>
          <w:lang w:eastAsia="zh-CN"/>
        </w:rPr>
        <w:t>2024年黑龙江省生态环境质量状况</w:t>
      </w:r>
      <w:r>
        <w:rPr>
          <w:rFonts w:hint="default" w:ascii="Times New Roman" w:hAnsi="Times New Roman" w:cs="Times New Roman"/>
          <w:color w:val="auto"/>
        </w:rPr>
        <w:t>》，鸡西市地表水国家考核断面共8个，Ⅰ - Ⅲ类水质比例为</w:t>
      </w:r>
      <w:r>
        <w:rPr>
          <w:rFonts w:hint="eastAsia" w:cs="Times New Roman"/>
          <w:color w:val="auto"/>
          <w:lang w:val="en-US" w:eastAsia="zh-CN"/>
        </w:rPr>
        <w:t>75.0</w:t>
      </w:r>
      <w:r>
        <w:rPr>
          <w:rFonts w:hint="default" w:ascii="Times New Roman" w:hAnsi="Times New Roman" w:cs="Times New Roman"/>
          <w:color w:val="auto"/>
        </w:rPr>
        <w:t>%，无劣V类水质断面。与上年同期相比，Ⅰ - Ⅲ类水质比例上升12.5个百分点，均无劣V类水质断面。</w:t>
      </w:r>
    </w:p>
    <w:p w14:paraId="042E771E">
      <w:pPr>
        <w:pStyle w:val="25"/>
        <w:bidi w:val="0"/>
        <w:ind w:left="0" w:leftChars="0" w:firstLine="0" w:firstLineChars="0"/>
        <w:rPr>
          <w:rFonts w:hint="default" w:ascii="Times New Roman" w:hAnsi="Times New Roman" w:cs="Times New Roman"/>
          <w:color w:val="auto"/>
        </w:rPr>
      </w:pPr>
      <w:r>
        <w:rPr>
          <w:rFonts w:hint="eastAsia" w:cs="Times New Roman"/>
          <w:color w:val="auto"/>
          <w:lang w:val="en-US" w:eastAsia="zh-CN"/>
        </w:rPr>
        <w:t>兴凯湖和</w:t>
      </w:r>
      <w:r>
        <w:rPr>
          <w:rFonts w:hint="default" w:ascii="Times New Roman" w:hAnsi="Times New Roman" w:cs="Times New Roman"/>
          <w:color w:val="auto"/>
        </w:rPr>
        <w:t>小兴凯湖的水质状况为轻度污染。鸡西市饮用水水源地水量达标率为100%。</w:t>
      </w:r>
    </w:p>
    <w:p w14:paraId="3C57A0C9">
      <w:pPr>
        <w:pStyle w:val="25"/>
        <w:bidi w:val="0"/>
        <w:ind w:left="0" w:leftChars="0" w:firstLine="480" w:firstLineChars="200"/>
        <w:rPr>
          <w:rFonts w:hint="default" w:ascii="Times New Roman" w:hAnsi="Times New Roman" w:cs="Times New Roman"/>
          <w:color w:val="auto"/>
        </w:rPr>
      </w:pPr>
      <w:r>
        <w:rPr>
          <w:rFonts w:hint="default" w:ascii="Times New Roman" w:hAnsi="Times New Roman" w:cs="Times New Roman"/>
          <w:color w:val="auto"/>
        </w:rPr>
        <w:t>202</w:t>
      </w:r>
      <w:r>
        <w:rPr>
          <w:rFonts w:hint="eastAsia" w:cs="Times New Roman"/>
          <w:color w:val="auto"/>
          <w:lang w:val="en-US" w:eastAsia="zh-CN"/>
        </w:rPr>
        <w:t>4</w:t>
      </w:r>
      <w:r>
        <w:rPr>
          <w:rFonts w:hint="default" w:ascii="Times New Roman" w:hAnsi="Times New Roman" w:cs="Times New Roman"/>
          <w:color w:val="auto"/>
        </w:rPr>
        <w:t>年全省河流水质状况示意图见图4-2-2。由图可知，穆棱河水质现状为Ⅲ类水体，满足水体功能区规划目标Ⅲ类标准要求。</w:t>
      </w:r>
    </w:p>
    <w:bookmarkEnd w:id="249"/>
    <w:bookmarkEnd w:id="250"/>
    <w:p w14:paraId="257EAEA1">
      <w:pPr>
        <w:pStyle w:val="25"/>
        <w:spacing w:line="240" w:lineRule="auto"/>
        <w:ind w:firstLine="199" w:firstLineChars="83"/>
        <w:rPr>
          <w:rFonts w:hint="default" w:ascii="Times New Roman" w:hAnsi="Times New Roman" w:cs="Times New Roman"/>
          <w:color w:val="auto"/>
        </w:rPr>
      </w:pPr>
      <w:r>
        <w:rPr>
          <w:rFonts w:hint="default" w:ascii="Times New Roman" w:hAnsi="Times New Roman" w:cs="Times New Roman"/>
          <w:color w:val="auto"/>
        </w:rPr>
        <mc:AlternateContent>
          <mc:Choice Requires="wps">
            <w:drawing>
              <wp:anchor distT="0" distB="0" distL="114300" distR="114300" simplePos="0" relativeHeight="251673600" behindDoc="0" locked="0" layoutInCell="1" allowOverlap="1">
                <wp:simplePos x="0" y="0"/>
                <wp:positionH relativeFrom="column">
                  <wp:posOffset>4516120</wp:posOffset>
                </wp:positionH>
                <wp:positionV relativeFrom="paragraph">
                  <wp:posOffset>2490470</wp:posOffset>
                </wp:positionV>
                <wp:extent cx="697230" cy="366395"/>
                <wp:effectExtent l="708025" t="5080" r="23495" b="390525"/>
                <wp:wrapNone/>
                <wp:docPr id="1318530949" name="对话气泡: 矩形 3"/>
                <wp:cNvGraphicFramePr/>
                <a:graphic xmlns:a="http://schemas.openxmlformats.org/drawingml/2006/main">
                  <a:graphicData uri="http://schemas.microsoft.com/office/word/2010/wordprocessingShape">
                    <wps:wsp>
                      <wps:cNvSpPr/>
                      <wps:spPr>
                        <a:xfrm>
                          <a:off x="0" y="0"/>
                          <a:ext cx="697230" cy="366395"/>
                        </a:xfrm>
                        <a:prstGeom prst="wedgeRectCallout">
                          <a:avLst>
                            <a:gd name="adj1" fmla="val -150891"/>
                            <a:gd name="adj2" fmla="val 154531"/>
                          </a:avLst>
                        </a:prstGeom>
                        <a:ln w="3175"/>
                      </wps:spPr>
                      <wps:style>
                        <a:lnRef idx="2">
                          <a:schemeClr val="dk1"/>
                        </a:lnRef>
                        <a:fillRef idx="1">
                          <a:schemeClr val="lt1"/>
                        </a:fillRef>
                        <a:effectRef idx="0">
                          <a:schemeClr val="dk1"/>
                        </a:effectRef>
                        <a:fontRef idx="minor">
                          <a:schemeClr val="dk1"/>
                        </a:fontRef>
                      </wps:style>
                      <wps:txbx>
                        <w:txbxContent>
                          <w:p w14:paraId="331C0525">
                            <w:pPr>
                              <w:ind w:left="0" w:leftChars="0" w:firstLine="0" w:firstLineChars="0"/>
                              <w:jc w:val="center"/>
                            </w:pPr>
                            <w:r>
                              <w:rPr>
                                <w:rFonts w:hint="eastAsia"/>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3" o:spid="_x0000_s1026" o:spt="61" type="#_x0000_t61" style="position:absolute;left:0pt;margin-left:355.6pt;margin-top:196.1pt;height:28.85pt;width:54.9pt;z-index:251673600;v-text-anchor:middle;mso-width-relative:page;mso-height-relative:page;" fillcolor="#FFFFFF [3201]" filled="t" stroked="t" coordsize="21600,21600" o:gfxdata="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" adj="-21792,44179">
                <v:fill on="t" focussize="0,0"/>
                <v:stroke weight="0.25pt" color="#000000 [3200]" joinstyle="round"/>
                <v:imagedata o:title=""/>
                <o:lock v:ext="edit" aspectratio="f"/>
                <v:textbox>
                  <w:txbxContent>
                    <w:p w14:paraId="331C0525">
                      <w:pPr>
                        <w:ind w:left="0" w:leftChars="0" w:firstLine="0" w:firstLineChars="0"/>
                        <w:jc w:val="center"/>
                      </w:pPr>
                      <w:r>
                        <w:rPr>
                          <w:rFonts w:hint="eastAsia"/>
                        </w:rPr>
                        <w:t>本项目</w:t>
                      </w:r>
                    </w:p>
                  </w:txbxContent>
                </v:textbox>
              </v:shape>
            </w:pict>
          </mc:Fallback>
        </mc:AlternateContent>
      </w:r>
      <w:r>
        <w:drawing>
          <wp:inline distT="0" distB="0" distL="114300" distR="114300">
            <wp:extent cx="5076825" cy="4219575"/>
            <wp:effectExtent l="0" t="0" r="9525" b="9525"/>
            <wp:docPr id="5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6"/>
                    <pic:cNvPicPr>
                      <a:picLocks noChangeAspect="1"/>
                    </pic:cNvPicPr>
                  </pic:nvPicPr>
                  <pic:blipFill>
                    <a:blip r:embed="rId69"/>
                    <a:stretch>
                      <a:fillRect/>
                    </a:stretch>
                  </pic:blipFill>
                  <pic:spPr>
                    <a:xfrm>
                      <a:off x="0" y="0"/>
                      <a:ext cx="5076825" cy="4219575"/>
                    </a:xfrm>
                    <a:prstGeom prst="rect">
                      <a:avLst/>
                    </a:prstGeom>
                    <a:noFill/>
                    <a:ln>
                      <a:noFill/>
                    </a:ln>
                  </pic:spPr>
                </pic:pic>
              </a:graphicData>
            </a:graphic>
          </wp:inline>
        </w:drawing>
      </w:r>
    </w:p>
    <w:p w14:paraId="0BAA80AF">
      <w:pPr>
        <w:pStyle w:val="27"/>
        <w:bidi w:val="0"/>
        <w:rPr>
          <w:rFonts w:hint="default" w:ascii="Times New Roman" w:hAnsi="Times New Roman" w:cs="Times New Roman"/>
          <w:color w:val="auto"/>
        </w:rPr>
      </w:pPr>
      <w:r>
        <w:rPr>
          <w:rFonts w:hint="default" w:ascii="Times New Roman" w:hAnsi="Times New Roman" w:cs="Times New Roman"/>
          <w:color w:val="auto"/>
        </w:rPr>
        <w:t>图4-2-2全省地表水水质状况示意图</w:t>
      </w:r>
    </w:p>
    <w:p w14:paraId="6FBD069A">
      <w:pPr>
        <w:pStyle w:val="39"/>
        <w:bidi w:val="0"/>
        <w:rPr>
          <w:rFonts w:hint="default" w:ascii="Times New Roman" w:hAnsi="Times New Roman" w:cs="Times New Roman"/>
          <w:color w:val="auto"/>
        </w:rPr>
      </w:pPr>
      <w:bookmarkStart w:id="251" w:name="_Toc8122"/>
      <w:r>
        <w:rPr>
          <w:rFonts w:hint="default" w:ascii="Times New Roman" w:hAnsi="Times New Roman" w:cs="Times New Roman"/>
          <w:color w:val="auto"/>
        </w:rPr>
        <w:t>4.2.3地下水质量现状评价</w:t>
      </w:r>
      <w:bookmarkEnd w:id="251"/>
    </w:p>
    <w:p w14:paraId="7E13093C">
      <w:pPr>
        <w:pStyle w:val="5"/>
        <w:bidi w:val="0"/>
        <w:rPr>
          <w:rFonts w:hint="default" w:ascii="Times New Roman" w:hAnsi="Times New Roman" w:cs="Times New Roman"/>
          <w:color w:val="auto"/>
        </w:rPr>
      </w:pPr>
      <w:r>
        <w:rPr>
          <w:rFonts w:hint="default" w:ascii="Times New Roman" w:hAnsi="Times New Roman" w:cs="Times New Roman"/>
          <w:color w:val="auto"/>
        </w:rPr>
        <w:t>4.2.3.1地下水环境现状监测</w:t>
      </w:r>
    </w:p>
    <w:p w14:paraId="7E4E7409">
      <w:pPr>
        <w:pStyle w:val="25"/>
        <w:bidi w:val="0"/>
        <w:rPr>
          <w:rFonts w:hint="default" w:ascii="Times New Roman" w:hAnsi="Times New Roman" w:cs="Times New Roman"/>
          <w:color w:val="auto"/>
        </w:rPr>
      </w:pPr>
      <w:r>
        <w:rPr>
          <w:rFonts w:hint="default" w:ascii="Times New Roman" w:hAnsi="Times New Roman" w:cs="Times New Roman"/>
          <w:color w:val="auto"/>
        </w:rPr>
        <w:t>1、数据来源</w:t>
      </w:r>
    </w:p>
    <w:p w14:paraId="43A04983">
      <w:pPr>
        <w:pStyle w:val="25"/>
        <w:bidi w:val="0"/>
        <w:rPr>
          <w:rFonts w:hint="default" w:ascii="Times New Roman" w:hAnsi="Times New Roman" w:cs="Times New Roman"/>
          <w:color w:val="auto"/>
        </w:rPr>
      </w:pPr>
      <w:r>
        <w:rPr>
          <w:rFonts w:hint="default" w:ascii="Times New Roman" w:hAnsi="Times New Roman" w:cs="Times New Roman"/>
          <w:color w:val="auto"/>
        </w:rPr>
        <w:t>建设单位委托</w:t>
      </w:r>
      <w:r>
        <w:rPr>
          <w:rFonts w:hint="default" w:ascii="Times New Roman" w:hAnsi="Times New Roman" w:cs="Times New Roman"/>
          <w:color w:val="auto"/>
          <w:lang w:eastAsia="zh-CN"/>
        </w:rPr>
        <w:t>黑龙江汉风环境检测技术有限公司</w:t>
      </w:r>
      <w:r>
        <w:rPr>
          <w:rFonts w:hint="default" w:ascii="Times New Roman" w:hAnsi="Times New Roman" w:cs="Times New Roman"/>
          <w:color w:val="auto"/>
        </w:rPr>
        <w:t>于202</w:t>
      </w:r>
      <w:r>
        <w:rPr>
          <w:rFonts w:hint="default" w:ascii="Times New Roman" w:hAnsi="Times New Roman" w:cs="Times New Roman"/>
          <w:color w:val="auto"/>
          <w:lang w:val="en-US" w:eastAsia="zh-CN"/>
        </w:rPr>
        <w:t>4</w:t>
      </w:r>
      <w:r>
        <w:rPr>
          <w:rFonts w:hint="default" w:ascii="Times New Roman" w:hAnsi="Times New Roman" w:cs="Times New Roman"/>
          <w:color w:val="auto"/>
        </w:rPr>
        <w:t>年</w:t>
      </w:r>
      <w:r>
        <w:rPr>
          <w:rFonts w:hint="default" w:ascii="Times New Roman" w:hAnsi="Times New Roman" w:cs="Times New Roman"/>
          <w:color w:val="auto"/>
          <w:lang w:val="en-US" w:eastAsia="zh-CN"/>
        </w:rPr>
        <w:t>8</w:t>
      </w:r>
      <w:r>
        <w:rPr>
          <w:rFonts w:hint="default" w:ascii="Times New Roman" w:hAnsi="Times New Roman" w:cs="Times New Roman"/>
          <w:color w:val="auto"/>
        </w:rPr>
        <w:t>月对项目区的地下水环境质量监测，详细情况见附件。</w:t>
      </w:r>
    </w:p>
    <w:p w14:paraId="707159E4">
      <w:pPr>
        <w:pStyle w:val="25"/>
        <w:bidi w:val="0"/>
        <w:rPr>
          <w:rFonts w:hint="default" w:ascii="Times New Roman" w:hAnsi="Times New Roman" w:cs="Times New Roman"/>
          <w:color w:val="auto"/>
        </w:rPr>
      </w:pPr>
      <w:r>
        <w:rPr>
          <w:rFonts w:hint="default" w:ascii="Times New Roman" w:hAnsi="Times New Roman" w:cs="Times New Roman"/>
          <w:color w:val="auto"/>
        </w:rPr>
        <w:t>2、监测点位</w:t>
      </w:r>
    </w:p>
    <w:p w14:paraId="025AE613">
      <w:pPr>
        <w:pStyle w:val="25"/>
        <w:bidi w:val="0"/>
        <w:rPr>
          <w:rFonts w:hint="default" w:ascii="Times New Roman" w:hAnsi="Times New Roman" w:cs="Times New Roman"/>
          <w:color w:val="auto"/>
        </w:rPr>
      </w:pPr>
      <w:r>
        <w:rPr>
          <w:rFonts w:hint="default" w:ascii="Times New Roman" w:hAnsi="Times New Roman" w:cs="Times New Roman"/>
          <w:color w:val="auto"/>
        </w:rPr>
        <w:t>根据本项目的布局特点及所处环境特征，只有2#矿山涉及回填工程，可能存在地下水影响</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本次仅在2#矿山周边设置监测点位，2#矿山所在区域</w:t>
      </w:r>
      <w:r>
        <w:rPr>
          <w:rFonts w:hint="default" w:ascii="Times New Roman" w:hAnsi="Times New Roman" w:cs="Times New Roman"/>
          <w:color w:val="auto"/>
        </w:rPr>
        <w:t>地下水监测地下水流向由西北向东南，在地下水流向的上游、侧向和下游分别设置1个监测点以监测潜水含水层水质状况；在场地上游布设1个监测点、侧向设置3个监测点、下游设置2个监测点以了解当地地下水的水位状况。监测点概况见表4-2-3，监测点位置见下图。</w:t>
      </w:r>
    </w:p>
    <w:p w14:paraId="149CC434">
      <w:pPr>
        <w:pStyle w:val="27"/>
        <w:bidi w:val="0"/>
        <w:rPr>
          <w:rFonts w:hint="default" w:ascii="Times New Roman" w:hAnsi="Times New Roman" w:cs="Times New Roman"/>
          <w:color w:val="auto"/>
        </w:rPr>
      </w:pPr>
      <w:r>
        <w:rPr>
          <w:rFonts w:hint="default" w:ascii="Times New Roman" w:hAnsi="Times New Roman" w:cs="Times New Roman"/>
          <w:color w:val="auto"/>
        </w:rPr>
        <w:t>表4-2-3地下水现状监测点位表</w:t>
      </w:r>
    </w:p>
    <w:tbl>
      <w:tblPr>
        <w:tblStyle w:val="2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02"/>
        <w:gridCol w:w="3049"/>
        <w:gridCol w:w="1389"/>
        <w:gridCol w:w="1389"/>
        <w:gridCol w:w="1390"/>
      </w:tblGrid>
      <w:tr w14:paraId="66C454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64" w:type="pct"/>
            <w:tcBorders>
              <w:tl2br w:val="nil"/>
              <w:tr2bl w:val="nil"/>
            </w:tcBorders>
            <w:noWrap w:val="0"/>
            <w:vAlign w:val="center"/>
          </w:tcPr>
          <w:p w14:paraId="0EA2EA3F">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序号</w:t>
            </w:r>
          </w:p>
        </w:tc>
        <w:tc>
          <w:tcPr>
            <w:tcW w:w="1789" w:type="pct"/>
            <w:tcBorders>
              <w:tl2br w:val="nil"/>
              <w:tr2bl w:val="nil"/>
            </w:tcBorders>
            <w:noWrap w:val="0"/>
            <w:vAlign w:val="center"/>
          </w:tcPr>
          <w:p w14:paraId="63DD7606">
            <w:pPr>
              <w:pStyle w:val="44"/>
              <w:bidi w:val="0"/>
              <w:rPr>
                <w:rFonts w:hint="default" w:ascii="Times New Roman" w:hAnsi="Times New Roman" w:cs="Times New Roman"/>
                <w:color w:val="auto"/>
              </w:rPr>
            </w:pPr>
            <w:r>
              <w:rPr>
                <w:rFonts w:hint="default" w:ascii="Times New Roman" w:hAnsi="Times New Roman" w:cs="Times New Roman"/>
                <w:color w:val="auto"/>
              </w:rPr>
              <w:t>采样点</w:t>
            </w:r>
            <w:r>
              <w:rPr>
                <w:rFonts w:hint="default" w:ascii="Times New Roman" w:hAnsi="Times New Roman" w:cs="Times New Roman"/>
                <w:color w:val="auto"/>
                <w:lang w:eastAsia="zh-CN"/>
              </w:rPr>
              <w:t>位</w:t>
            </w:r>
          </w:p>
        </w:tc>
        <w:tc>
          <w:tcPr>
            <w:tcW w:w="815" w:type="pct"/>
            <w:tcBorders>
              <w:tl2br w:val="nil"/>
              <w:tr2bl w:val="nil"/>
            </w:tcBorders>
            <w:noWrap w:val="0"/>
            <w:vAlign w:val="center"/>
          </w:tcPr>
          <w:p w14:paraId="399E0427">
            <w:pPr>
              <w:pStyle w:val="44"/>
              <w:bidi w:val="0"/>
              <w:rPr>
                <w:rFonts w:hint="default" w:ascii="Times New Roman" w:hAnsi="Times New Roman" w:cs="Times New Roman"/>
                <w:color w:val="auto"/>
              </w:rPr>
            </w:pPr>
            <w:r>
              <w:rPr>
                <w:rFonts w:hint="default" w:ascii="Times New Roman" w:hAnsi="Times New Roman" w:cs="Times New Roman"/>
                <w:color w:val="auto"/>
              </w:rPr>
              <w:t>井深(m)</w:t>
            </w:r>
          </w:p>
        </w:tc>
        <w:tc>
          <w:tcPr>
            <w:tcW w:w="815" w:type="pct"/>
            <w:tcBorders>
              <w:tl2br w:val="nil"/>
              <w:tr2bl w:val="nil"/>
            </w:tcBorders>
            <w:noWrap w:val="0"/>
            <w:vAlign w:val="center"/>
          </w:tcPr>
          <w:p w14:paraId="03FD2115">
            <w:pPr>
              <w:pStyle w:val="44"/>
              <w:bidi w:val="0"/>
              <w:rPr>
                <w:rFonts w:hint="default" w:ascii="Times New Roman" w:hAnsi="Times New Roman" w:cs="Times New Roman"/>
                <w:color w:val="auto"/>
              </w:rPr>
            </w:pPr>
            <w:r>
              <w:rPr>
                <w:rFonts w:hint="default" w:ascii="Times New Roman" w:hAnsi="Times New Roman" w:cs="Times New Roman"/>
                <w:color w:val="auto"/>
              </w:rPr>
              <w:t>水位(m)</w:t>
            </w:r>
          </w:p>
        </w:tc>
        <w:tc>
          <w:tcPr>
            <w:tcW w:w="815" w:type="pct"/>
            <w:tcBorders>
              <w:tl2br w:val="nil"/>
              <w:tr2bl w:val="nil"/>
            </w:tcBorders>
            <w:noWrap w:val="0"/>
            <w:vAlign w:val="center"/>
          </w:tcPr>
          <w:p w14:paraId="4A3F3F8A">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用途</w:t>
            </w:r>
          </w:p>
        </w:tc>
      </w:tr>
      <w:tr w14:paraId="7E128F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764" w:type="pct"/>
            <w:tcBorders>
              <w:tl2br w:val="nil"/>
              <w:tr2bl w:val="nil"/>
            </w:tcBorders>
            <w:noWrap w:val="0"/>
            <w:vAlign w:val="center"/>
          </w:tcPr>
          <w:p w14:paraId="654919D0">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★1#</w:t>
            </w:r>
          </w:p>
        </w:tc>
        <w:tc>
          <w:tcPr>
            <w:tcW w:w="1789" w:type="pct"/>
            <w:tcBorders>
              <w:tl2br w:val="nil"/>
              <w:tr2bl w:val="nil"/>
            </w:tcBorders>
            <w:noWrap w:val="0"/>
            <w:vAlign w:val="center"/>
          </w:tcPr>
          <w:p w14:paraId="1A140FF8">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水质</w:t>
            </w:r>
            <w:r>
              <w:rPr>
                <w:rFonts w:hint="eastAsia" w:cs="Times New Roman"/>
                <w:color w:val="auto"/>
                <w:lang w:val="en-US" w:eastAsia="zh-CN"/>
              </w:rPr>
              <w:t>、</w:t>
            </w:r>
            <w:r>
              <w:rPr>
                <w:rFonts w:hint="default" w:ascii="Times New Roman" w:hAnsi="Times New Roman" w:cs="Times New Roman"/>
                <w:color w:val="auto"/>
                <w:lang w:val="en-US" w:eastAsia="zh-CN"/>
              </w:rPr>
              <w:t>水位监测点1</w:t>
            </w:r>
          </w:p>
        </w:tc>
        <w:tc>
          <w:tcPr>
            <w:tcW w:w="815" w:type="pct"/>
            <w:tcBorders>
              <w:tl2br w:val="nil"/>
              <w:tr2bl w:val="nil"/>
            </w:tcBorders>
            <w:noWrap w:val="0"/>
            <w:vAlign w:val="center"/>
          </w:tcPr>
          <w:p w14:paraId="089C5852">
            <w:pPr>
              <w:pStyle w:val="44"/>
              <w:bidi w:val="0"/>
              <w:rPr>
                <w:rFonts w:hint="default" w:ascii="Times New Roman" w:hAnsi="Times New Roman" w:cs="Times New Roman"/>
                <w:color w:val="auto"/>
                <w:lang w:val="en-US" w:eastAsia="zh-CN"/>
              </w:rPr>
            </w:pPr>
            <w:r>
              <w:rPr>
                <w:rFonts w:hint="eastAsia" w:cs="Times New Roman"/>
                <w:color w:val="auto"/>
                <w:lang w:val="en-US" w:eastAsia="zh-CN"/>
              </w:rPr>
              <w:t>80</w:t>
            </w:r>
          </w:p>
        </w:tc>
        <w:tc>
          <w:tcPr>
            <w:tcW w:w="815" w:type="pct"/>
            <w:tcBorders>
              <w:tl2br w:val="nil"/>
              <w:tr2bl w:val="nil"/>
            </w:tcBorders>
            <w:noWrap w:val="0"/>
            <w:vAlign w:val="center"/>
          </w:tcPr>
          <w:p w14:paraId="7C56097C">
            <w:pPr>
              <w:pStyle w:val="44"/>
              <w:bidi w:val="0"/>
              <w:rPr>
                <w:rFonts w:hint="default" w:ascii="Times New Roman" w:hAnsi="Times New Roman" w:cs="Times New Roman"/>
                <w:color w:val="auto"/>
                <w:lang w:val="en-US" w:eastAsia="zh-CN"/>
              </w:rPr>
            </w:pPr>
            <w:r>
              <w:rPr>
                <w:rFonts w:hint="eastAsia" w:cs="Times New Roman"/>
                <w:color w:val="auto"/>
                <w:lang w:val="en-US" w:eastAsia="zh-CN"/>
              </w:rPr>
              <w:t>19</w:t>
            </w:r>
          </w:p>
        </w:tc>
        <w:tc>
          <w:tcPr>
            <w:tcW w:w="815" w:type="pct"/>
            <w:tcBorders>
              <w:tl2br w:val="nil"/>
              <w:tr2bl w:val="nil"/>
            </w:tcBorders>
            <w:noWrap w:val="0"/>
            <w:vAlign w:val="center"/>
          </w:tcPr>
          <w:p w14:paraId="6D52FE7C">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饮用</w:t>
            </w:r>
          </w:p>
        </w:tc>
      </w:tr>
      <w:tr w14:paraId="071F34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64" w:type="pct"/>
            <w:tcBorders>
              <w:tl2br w:val="nil"/>
              <w:tr2bl w:val="nil"/>
            </w:tcBorders>
            <w:noWrap w:val="0"/>
            <w:vAlign w:val="center"/>
          </w:tcPr>
          <w:p w14:paraId="16E12DD2">
            <w:pPr>
              <w:pStyle w:val="44"/>
              <w:bidi w:val="0"/>
              <w:rPr>
                <w:rFonts w:hint="default" w:ascii="Times New Roman" w:hAnsi="Times New Roman" w:cs="Times New Roman"/>
                <w:color w:val="auto"/>
              </w:rPr>
            </w:pPr>
            <w:r>
              <w:rPr>
                <w:rFonts w:hint="default" w:ascii="Times New Roman" w:hAnsi="Times New Roman" w:cs="Times New Roman"/>
                <w:color w:val="auto"/>
              </w:rPr>
              <w:t>★</w:t>
            </w:r>
            <w:r>
              <w:rPr>
                <w:rFonts w:hint="default" w:ascii="Times New Roman" w:hAnsi="Times New Roman" w:cs="Times New Roman"/>
                <w:color w:val="auto"/>
                <w:lang w:val="en-US" w:eastAsia="zh-CN"/>
              </w:rPr>
              <w:t>2</w:t>
            </w:r>
            <w:r>
              <w:rPr>
                <w:rFonts w:hint="default" w:ascii="Times New Roman" w:hAnsi="Times New Roman" w:cs="Times New Roman"/>
                <w:color w:val="auto"/>
              </w:rPr>
              <w:t>#</w:t>
            </w:r>
          </w:p>
        </w:tc>
        <w:tc>
          <w:tcPr>
            <w:tcW w:w="1789" w:type="pct"/>
            <w:tcBorders>
              <w:tl2br w:val="nil"/>
              <w:tr2bl w:val="nil"/>
            </w:tcBorders>
            <w:noWrap w:val="0"/>
            <w:vAlign w:val="center"/>
          </w:tcPr>
          <w:p w14:paraId="184661AC">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水质</w:t>
            </w:r>
            <w:r>
              <w:rPr>
                <w:rFonts w:hint="eastAsia" w:cs="Times New Roman"/>
                <w:color w:val="auto"/>
                <w:lang w:val="en-US" w:eastAsia="zh-CN"/>
              </w:rPr>
              <w:t>、</w:t>
            </w:r>
            <w:r>
              <w:rPr>
                <w:rFonts w:hint="default" w:ascii="Times New Roman" w:hAnsi="Times New Roman" w:cs="Times New Roman"/>
                <w:color w:val="auto"/>
                <w:lang w:val="en-US" w:eastAsia="zh-CN"/>
              </w:rPr>
              <w:t>水位监测点2</w:t>
            </w:r>
          </w:p>
        </w:tc>
        <w:tc>
          <w:tcPr>
            <w:tcW w:w="815" w:type="pct"/>
            <w:tcBorders>
              <w:tl2br w:val="nil"/>
              <w:tr2bl w:val="nil"/>
            </w:tcBorders>
            <w:noWrap w:val="0"/>
            <w:vAlign w:val="center"/>
          </w:tcPr>
          <w:p w14:paraId="5C90D480">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12</w:t>
            </w:r>
          </w:p>
        </w:tc>
        <w:tc>
          <w:tcPr>
            <w:tcW w:w="815" w:type="pct"/>
            <w:tcBorders>
              <w:tl2br w:val="nil"/>
              <w:tr2bl w:val="nil"/>
            </w:tcBorders>
            <w:noWrap w:val="0"/>
            <w:vAlign w:val="center"/>
          </w:tcPr>
          <w:p w14:paraId="0B682F24">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5</w:t>
            </w:r>
          </w:p>
        </w:tc>
        <w:tc>
          <w:tcPr>
            <w:tcW w:w="815" w:type="pct"/>
            <w:tcBorders>
              <w:tl2br w:val="nil"/>
              <w:tr2bl w:val="nil"/>
            </w:tcBorders>
            <w:noWrap w:val="0"/>
            <w:vAlign w:val="center"/>
          </w:tcPr>
          <w:p w14:paraId="71C55BA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饮用</w:t>
            </w:r>
          </w:p>
        </w:tc>
      </w:tr>
      <w:tr w14:paraId="61160F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64" w:type="pct"/>
            <w:tcBorders>
              <w:tl2br w:val="nil"/>
              <w:tr2bl w:val="nil"/>
            </w:tcBorders>
            <w:noWrap w:val="0"/>
            <w:vAlign w:val="center"/>
          </w:tcPr>
          <w:p w14:paraId="75F40748">
            <w:pPr>
              <w:pStyle w:val="44"/>
              <w:bidi w:val="0"/>
              <w:rPr>
                <w:rFonts w:hint="default" w:ascii="Times New Roman" w:hAnsi="Times New Roman" w:cs="Times New Roman"/>
                <w:color w:val="auto"/>
              </w:rPr>
            </w:pPr>
            <w:r>
              <w:rPr>
                <w:rFonts w:hint="default" w:ascii="Times New Roman" w:hAnsi="Times New Roman" w:cs="Times New Roman"/>
                <w:color w:val="auto"/>
              </w:rPr>
              <w:t>★</w:t>
            </w:r>
            <w:r>
              <w:rPr>
                <w:rFonts w:hint="default" w:ascii="Times New Roman" w:hAnsi="Times New Roman" w:cs="Times New Roman"/>
                <w:color w:val="auto"/>
                <w:lang w:val="en-US" w:eastAsia="zh-CN"/>
              </w:rPr>
              <w:t>3</w:t>
            </w:r>
            <w:r>
              <w:rPr>
                <w:rFonts w:hint="default" w:ascii="Times New Roman" w:hAnsi="Times New Roman" w:cs="Times New Roman"/>
                <w:color w:val="auto"/>
              </w:rPr>
              <w:t>#</w:t>
            </w:r>
          </w:p>
        </w:tc>
        <w:tc>
          <w:tcPr>
            <w:tcW w:w="1789" w:type="pct"/>
            <w:tcBorders>
              <w:tl2br w:val="nil"/>
              <w:tr2bl w:val="nil"/>
            </w:tcBorders>
            <w:noWrap w:val="0"/>
            <w:vAlign w:val="center"/>
          </w:tcPr>
          <w:p w14:paraId="48EB55A5">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水质</w:t>
            </w:r>
            <w:r>
              <w:rPr>
                <w:rFonts w:hint="eastAsia" w:cs="Times New Roman"/>
                <w:color w:val="auto"/>
                <w:lang w:val="en-US" w:eastAsia="zh-CN"/>
              </w:rPr>
              <w:t>、</w:t>
            </w:r>
            <w:r>
              <w:rPr>
                <w:rFonts w:hint="default" w:ascii="Times New Roman" w:hAnsi="Times New Roman" w:cs="Times New Roman"/>
                <w:color w:val="auto"/>
                <w:lang w:val="en-US" w:eastAsia="zh-CN"/>
              </w:rPr>
              <w:t>水位监测点3</w:t>
            </w:r>
          </w:p>
        </w:tc>
        <w:tc>
          <w:tcPr>
            <w:tcW w:w="815" w:type="pct"/>
            <w:tcBorders>
              <w:tl2br w:val="nil"/>
              <w:tr2bl w:val="nil"/>
            </w:tcBorders>
            <w:noWrap w:val="0"/>
            <w:vAlign w:val="center"/>
          </w:tcPr>
          <w:p w14:paraId="17FD3FA9">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18</w:t>
            </w:r>
          </w:p>
        </w:tc>
        <w:tc>
          <w:tcPr>
            <w:tcW w:w="815" w:type="pct"/>
            <w:tcBorders>
              <w:tl2br w:val="nil"/>
              <w:tr2bl w:val="nil"/>
            </w:tcBorders>
            <w:noWrap w:val="0"/>
            <w:vAlign w:val="center"/>
          </w:tcPr>
          <w:p w14:paraId="2B942210">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7</w:t>
            </w:r>
          </w:p>
        </w:tc>
        <w:tc>
          <w:tcPr>
            <w:tcW w:w="815" w:type="pct"/>
            <w:tcBorders>
              <w:tl2br w:val="nil"/>
              <w:tr2bl w:val="nil"/>
            </w:tcBorders>
            <w:noWrap w:val="0"/>
            <w:vAlign w:val="center"/>
          </w:tcPr>
          <w:p w14:paraId="055B2B5D">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饮用</w:t>
            </w:r>
          </w:p>
        </w:tc>
      </w:tr>
      <w:tr w14:paraId="5D208A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64" w:type="pct"/>
            <w:tcBorders>
              <w:tl2br w:val="nil"/>
              <w:tr2bl w:val="nil"/>
            </w:tcBorders>
            <w:noWrap w:val="0"/>
            <w:vAlign w:val="center"/>
          </w:tcPr>
          <w:p w14:paraId="18007717">
            <w:pPr>
              <w:pStyle w:val="44"/>
              <w:bidi w:val="0"/>
              <w:rPr>
                <w:rFonts w:hint="default" w:ascii="Times New Roman" w:hAnsi="Times New Roman" w:cs="Times New Roman"/>
                <w:color w:val="auto"/>
              </w:rPr>
            </w:pPr>
            <w:r>
              <w:rPr>
                <w:rFonts w:hint="default" w:ascii="Times New Roman" w:hAnsi="Times New Roman" w:cs="Times New Roman"/>
                <w:color w:val="auto"/>
              </w:rPr>
              <w:t>★</w:t>
            </w:r>
            <w:r>
              <w:rPr>
                <w:rFonts w:hint="default" w:ascii="Times New Roman" w:hAnsi="Times New Roman" w:cs="Times New Roman"/>
                <w:color w:val="auto"/>
                <w:lang w:val="en-US" w:eastAsia="zh-CN"/>
              </w:rPr>
              <w:t>4</w:t>
            </w:r>
            <w:r>
              <w:rPr>
                <w:rFonts w:hint="default" w:ascii="Times New Roman" w:hAnsi="Times New Roman" w:cs="Times New Roman"/>
                <w:color w:val="auto"/>
              </w:rPr>
              <w:t>#</w:t>
            </w:r>
          </w:p>
        </w:tc>
        <w:tc>
          <w:tcPr>
            <w:tcW w:w="1789" w:type="pct"/>
            <w:tcBorders>
              <w:tl2br w:val="nil"/>
              <w:tr2bl w:val="nil"/>
            </w:tcBorders>
            <w:noWrap w:val="0"/>
            <w:vAlign w:val="center"/>
          </w:tcPr>
          <w:p w14:paraId="6D0EA48A">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水位监测点4</w:t>
            </w:r>
          </w:p>
        </w:tc>
        <w:tc>
          <w:tcPr>
            <w:tcW w:w="815" w:type="pct"/>
            <w:tcBorders>
              <w:tl2br w:val="nil"/>
              <w:tr2bl w:val="nil"/>
            </w:tcBorders>
            <w:noWrap w:val="0"/>
            <w:vAlign w:val="center"/>
          </w:tcPr>
          <w:p w14:paraId="23B51D76">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32</w:t>
            </w:r>
          </w:p>
        </w:tc>
        <w:tc>
          <w:tcPr>
            <w:tcW w:w="815" w:type="pct"/>
            <w:tcBorders>
              <w:tl2br w:val="nil"/>
              <w:tr2bl w:val="nil"/>
            </w:tcBorders>
            <w:noWrap w:val="0"/>
            <w:vAlign w:val="center"/>
          </w:tcPr>
          <w:p w14:paraId="0BE21B9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w:t>
            </w:r>
          </w:p>
        </w:tc>
        <w:tc>
          <w:tcPr>
            <w:tcW w:w="815" w:type="pct"/>
            <w:tcBorders>
              <w:tl2br w:val="nil"/>
              <w:tr2bl w:val="nil"/>
            </w:tcBorders>
            <w:noWrap w:val="0"/>
            <w:vAlign w:val="center"/>
          </w:tcPr>
          <w:p w14:paraId="617A4EE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灌溉</w:t>
            </w:r>
          </w:p>
        </w:tc>
      </w:tr>
      <w:tr w14:paraId="5A629C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64" w:type="pct"/>
            <w:tcBorders>
              <w:tl2br w:val="nil"/>
              <w:tr2bl w:val="nil"/>
            </w:tcBorders>
            <w:noWrap w:val="0"/>
            <w:vAlign w:val="center"/>
          </w:tcPr>
          <w:p w14:paraId="659055C9">
            <w:pPr>
              <w:pStyle w:val="44"/>
              <w:bidi w:val="0"/>
              <w:rPr>
                <w:rFonts w:hint="default" w:ascii="Times New Roman" w:hAnsi="Times New Roman" w:cs="Times New Roman"/>
                <w:color w:val="auto"/>
              </w:rPr>
            </w:pPr>
            <w:r>
              <w:rPr>
                <w:rFonts w:hint="default" w:ascii="Times New Roman" w:hAnsi="Times New Roman" w:cs="Times New Roman"/>
                <w:color w:val="auto"/>
              </w:rPr>
              <w:t>★</w:t>
            </w:r>
            <w:r>
              <w:rPr>
                <w:rFonts w:hint="default" w:ascii="Times New Roman" w:hAnsi="Times New Roman" w:cs="Times New Roman"/>
                <w:color w:val="auto"/>
                <w:lang w:val="en-US" w:eastAsia="zh-CN"/>
              </w:rPr>
              <w:t>5</w:t>
            </w:r>
            <w:r>
              <w:rPr>
                <w:rFonts w:hint="default" w:ascii="Times New Roman" w:hAnsi="Times New Roman" w:cs="Times New Roman"/>
                <w:color w:val="auto"/>
              </w:rPr>
              <w:t>#</w:t>
            </w:r>
          </w:p>
        </w:tc>
        <w:tc>
          <w:tcPr>
            <w:tcW w:w="1789" w:type="pct"/>
            <w:tcBorders>
              <w:tl2br w:val="nil"/>
              <w:tr2bl w:val="nil"/>
            </w:tcBorders>
            <w:noWrap w:val="0"/>
            <w:vAlign w:val="center"/>
          </w:tcPr>
          <w:p w14:paraId="0526A263">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水位监测点5</w:t>
            </w:r>
          </w:p>
        </w:tc>
        <w:tc>
          <w:tcPr>
            <w:tcW w:w="815" w:type="pct"/>
            <w:tcBorders>
              <w:tl2br w:val="nil"/>
              <w:tr2bl w:val="nil"/>
            </w:tcBorders>
            <w:noWrap w:val="0"/>
            <w:vAlign w:val="center"/>
          </w:tcPr>
          <w:p w14:paraId="23542F6F">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17</w:t>
            </w:r>
          </w:p>
        </w:tc>
        <w:tc>
          <w:tcPr>
            <w:tcW w:w="815" w:type="pct"/>
            <w:tcBorders>
              <w:tl2br w:val="nil"/>
              <w:tr2bl w:val="nil"/>
            </w:tcBorders>
            <w:noWrap w:val="0"/>
            <w:vAlign w:val="center"/>
          </w:tcPr>
          <w:p w14:paraId="75B18E66">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8</w:t>
            </w:r>
          </w:p>
        </w:tc>
        <w:tc>
          <w:tcPr>
            <w:tcW w:w="815" w:type="pct"/>
            <w:tcBorders>
              <w:tl2br w:val="nil"/>
              <w:tr2bl w:val="nil"/>
            </w:tcBorders>
            <w:noWrap w:val="0"/>
            <w:vAlign w:val="center"/>
          </w:tcPr>
          <w:p w14:paraId="6F9EFA36">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灌溉</w:t>
            </w:r>
          </w:p>
        </w:tc>
      </w:tr>
      <w:tr w14:paraId="515432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64" w:type="pct"/>
            <w:tcBorders>
              <w:tl2br w:val="nil"/>
              <w:tr2bl w:val="nil"/>
            </w:tcBorders>
            <w:noWrap w:val="0"/>
            <w:vAlign w:val="center"/>
          </w:tcPr>
          <w:p w14:paraId="2D683D54">
            <w:pPr>
              <w:pStyle w:val="44"/>
              <w:bidi w:val="0"/>
              <w:rPr>
                <w:rFonts w:hint="default" w:ascii="Times New Roman" w:hAnsi="Times New Roman" w:cs="Times New Roman"/>
                <w:color w:val="auto"/>
              </w:rPr>
            </w:pPr>
            <w:r>
              <w:rPr>
                <w:rFonts w:hint="default" w:ascii="Times New Roman" w:hAnsi="Times New Roman" w:cs="Times New Roman"/>
                <w:color w:val="auto"/>
              </w:rPr>
              <w:t>★</w:t>
            </w:r>
            <w:r>
              <w:rPr>
                <w:rFonts w:hint="default" w:ascii="Times New Roman" w:hAnsi="Times New Roman" w:cs="Times New Roman"/>
                <w:color w:val="auto"/>
                <w:lang w:val="en-US" w:eastAsia="zh-CN"/>
              </w:rPr>
              <w:t>6</w:t>
            </w:r>
            <w:r>
              <w:rPr>
                <w:rFonts w:hint="default" w:ascii="Times New Roman" w:hAnsi="Times New Roman" w:cs="Times New Roman"/>
                <w:color w:val="auto"/>
              </w:rPr>
              <w:t>#</w:t>
            </w:r>
          </w:p>
        </w:tc>
        <w:tc>
          <w:tcPr>
            <w:tcW w:w="1789" w:type="pct"/>
            <w:tcBorders>
              <w:tl2br w:val="nil"/>
              <w:tr2bl w:val="nil"/>
            </w:tcBorders>
            <w:noWrap w:val="0"/>
            <w:vAlign w:val="center"/>
          </w:tcPr>
          <w:p w14:paraId="14B4A36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水位监测点6</w:t>
            </w:r>
          </w:p>
        </w:tc>
        <w:tc>
          <w:tcPr>
            <w:tcW w:w="815" w:type="pct"/>
            <w:tcBorders>
              <w:tl2br w:val="nil"/>
              <w:tr2bl w:val="nil"/>
            </w:tcBorders>
            <w:noWrap w:val="0"/>
            <w:vAlign w:val="center"/>
          </w:tcPr>
          <w:p w14:paraId="65672C4E">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26</w:t>
            </w:r>
          </w:p>
        </w:tc>
        <w:tc>
          <w:tcPr>
            <w:tcW w:w="815" w:type="pct"/>
            <w:tcBorders>
              <w:tl2br w:val="nil"/>
              <w:tr2bl w:val="nil"/>
            </w:tcBorders>
            <w:noWrap w:val="0"/>
            <w:vAlign w:val="center"/>
          </w:tcPr>
          <w:p w14:paraId="2C64AC3D">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11</w:t>
            </w:r>
          </w:p>
        </w:tc>
        <w:tc>
          <w:tcPr>
            <w:tcW w:w="815" w:type="pct"/>
            <w:tcBorders>
              <w:tl2br w:val="nil"/>
              <w:tr2bl w:val="nil"/>
            </w:tcBorders>
            <w:noWrap w:val="0"/>
            <w:vAlign w:val="center"/>
          </w:tcPr>
          <w:p w14:paraId="0858105A">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饮用</w:t>
            </w:r>
          </w:p>
        </w:tc>
      </w:tr>
    </w:tbl>
    <w:p w14:paraId="38BB942D">
      <w:pPr>
        <w:spacing w:line="360" w:lineRule="auto"/>
        <w:ind w:left="0" w:leftChars="0" w:firstLine="0" w:firstLineChars="0"/>
        <w:jc w:val="both"/>
        <w:rPr>
          <w:rFonts w:hint="default" w:ascii="Times New Roman" w:hAnsi="Times New Roman" w:cs="Times New Roman"/>
          <w:color w:val="auto"/>
        </w:rPr>
      </w:pPr>
      <w:r>
        <w:rPr>
          <w:rFonts w:hint="default" w:ascii="Times New Roman" w:hAnsi="Times New Roman" w:cs="Times New Roman"/>
          <w:color w:val="auto"/>
          <w:sz w:val="24"/>
        </w:rPr>
        <mc:AlternateContent>
          <mc:Choice Requires="wps">
            <w:drawing>
              <wp:anchor distT="0" distB="0" distL="114300" distR="114300" simplePos="0" relativeHeight="251677696" behindDoc="0" locked="0" layoutInCell="1" allowOverlap="1">
                <wp:simplePos x="0" y="0"/>
                <wp:positionH relativeFrom="column">
                  <wp:posOffset>1348105</wp:posOffset>
                </wp:positionH>
                <wp:positionV relativeFrom="paragraph">
                  <wp:posOffset>1552575</wp:posOffset>
                </wp:positionV>
                <wp:extent cx="457200" cy="733425"/>
                <wp:effectExtent l="10795" t="6985" r="8255" b="2540"/>
                <wp:wrapNone/>
                <wp:docPr id="20" name="直接箭头连接符 20"/>
                <wp:cNvGraphicFramePr/>
                <a:graphic xmlns:a="http://schemas.openxmlformats.org/drawingml/2006/main">
                  <a:graphicData uri="http://schemas.microsoft.com/office/word/2010/wordprocessingShape">
                    <wps:wsp>
                      <wps:cNvCnPr/>
                      <wps:spPr>
                        <a:xfrm>
                          <a:off x="2491105" y="7343140"/>
                          <a:ext cx="457200" cy="733425"/>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06.15pt;margin-top:122.25pt;height:57.75pt;width:36pt;z-index:251677696;mso-width-relative:page;mso-height-relative:page;" filled="f" stroked="t" coordsize="21600,21600" o:gfxdata="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fcRxX2wAAAAsBAAAPAAAAAAAAAAEA&#10;IAAAACIAAABkcnMvZG93bnJldi54bWxQSwECFAAUAAAACACHTuJANA4pLgwCAADaAwAADgAAAAAA&#10;AAABACAAAAAqAQAAZHJzL2Uyb0RvYy54bWxQSwUGAAAAAAYABgBZAQAAqAUAAAAA&#10;">
                <v:fill on="f" focussize="0,0"/>
                <v:stroke weight="2pt" color="#4F81BD [3204]" joinstyle="round" endarrow="open"/>
                <v:imagedata o:title=""/>
                <o:lock v:ext="edit" aspectratio="f"/>
              </v:shape>
            </w:pict>
          </mc:Fallback>
        </mc:AlternateContent>
      </w:r>
      <w:r>
        <w:rPr>
          <w:rFonts w:hint="default" w:ascii="Times New Roman" w:hAnsi="Times New Roman" w:cs="Times New Roman"/>
          <w:color w:val="auto"/>
        </w:rPr>
        <w:drawing>
          <wp:inline distT="0" distB="0" distL="114300" distR="114300">
            <wp:extent cx="5214620" cy="3459480"/>
            <wp:effectExtent l="0" t="0" r="5080" b="7620"/>
            <wp:docPr id="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pic:cNvPicPr>
                      <a:picLocks noChangeAspect="1"/>
                    </pic:cNvPicPr>
                  </pic:nvPicPr>
                  <pic:blipFill>
                    <a:blip r:embed="rId70"/>
                    <a:stretch>
                      <a:fillRect/>
                    </a:stretch>
                  </pic:blipFill>
                  <pic:spPr>
                    <a:xfrm>
                      <a:off x="0" y="0"/>
                      <a:ext cx="5214620" cy="3459480"/>
                    </a:xfrm>
                    <a:prstGeom prst="rect">
                      <a:avLst/>
                    </a:prstGeom>
                    <a:noFill/>
                    <a:ln>
                      <a:noFill/>
                    </a:ln>
                  </pic:spPr>
                </pic:pic>
              </a:graphicData>
            </a:graphic>
          </wp:inline>
        </w:drawing>
      </w:r>
    </w:p>
    <w:p w14:paraId="47992896">
      <w:pPr>
        <w:pStyle w:val="27"/>
        <w:bidi w:val="0"/>
        <w:rPr>
          <w:rFonts w:hint="default" w:ascii="Times New Roman" w:hAnsi="Times New Roman" w:cs="Times New Roman"/>
          <w:color w:val="auto"/>
        </w:rPr>
      </w:pPr>
      <w:r>
        <w:rPr>
          <w:rFonts w:hint="default" w:ascii="Times New Roman" w:hAnsi="Times New Roman" w:cs="Times New Roman"/>
          <w:color w:val="auto"/>
        </w:rPr>
        <w:t>图4-2-3地下水监测点位布设图</w:t>
      </w:r>
    </w:p>
    <w:p w14:paraId="2642FCEA">
      <w:pPr>
        <w:pStyle w:val="25"/>
        <w:bidi w:val="0"/>
        <w:rPr>
          <w:rFonts w:hint="default" w:ascii="Times New Roman" w:hAnsi="Times New Roman" w:cs="Times New Roman"/>
          <w:color w:val="auto"/>
        </w:rPr>
      </w:pPr>
      <w:r>
        <w:rPr>
          <w:rFonts w:hint="default" w:ascii="Times New Roman" w:hAnsi="Times New Roman" w:cs="Times New Roman"/>
          <w:color w:val="auto"/>
        </w:rPr>
        <w:t>3、监测项目</w:t>
      </w:r>
    </w:p>
    <w:p w14:paraId="7E87ECA4">
      <w:pPr>
        <w:pStyle w:val="25"/>
        <w:bidi w:val="0"/>
        <w:rPr>
          <w:rFonts w:hint="default" w:ascii="Times New Roman" w:hAnsi="Times New Roman" w:cs="Times New Roman"/>
          <w:color w:val="auto"/>
        </w:rPr>
      </w:pPr>
      <w:r>
        <w:rPr>
          <w:rFonts w:hint="default" w:ascii="Times New Roman" w:hAnsi="Times New Roman" w:cs="Times New Roman"/>
          <w:color w:val="auto"/>
        </w:rPr>
        <w:t>K</w:t>
      </w:r>
      <w:r>
        <w:rPr>
          <w:rFonts w:hint="default" w:ascii="Times New Roman" w:hAnsi="Times New Roman" w:cs="Times New Roman"/>
          <w:color w:val="auto"/>
          <w:vertAlign w:val="superscript"/>
        </w:rPr>
        <w:t>+</w:t>
      </w:r>
      <w:r>
        <w:rPr>
          <w:rFonts w:hint="default" w:ascii="Times New Roman" w:hAnsi="Times New Roman" w:cs="Times New Roman"/>
          <w:color w:val="auto"/>
        </w:rPr>
        <w:t>、Na</w:t>
      </w:r>
      <w:r>
        <w:rPr>
          <w:rFonts w:hint="default" w:ascii="Times New Roman" w:hAnsi="Times New Roman" w:cs="Times New Roman"/>
          <w:color w:val="auto"/>
          <w:vertAlign w:val="superscript"/>
        </w:rPr>
        <w:t>+</w:t>
      </w:r>
      <w:r>
        <w:rPr>
          <w:rFonts w:hint="default" w:ascii="Times New Roman" w:hAnsi="Times New Roman" w:cs="Times New Roman"/>
          <w:color w:val="auto"/>
        </w:rPr>
        <w:t>、Ca</w:t>
      </w:r>
      <w:r>
        <w:rPr>
          <w:rFonts w:hint="default" w:ascii="Times New Roman" w:hAnsi="Times New Roman" w:cs="Times New Roman"/>
          <w:color w:val="auto"/>
          <w:vertAlign w:val="superscript"/>
        </w:rPr>
        <w:t>2+</w:t>
      </w:r>
      <w:r>
        <w:rPr>
          <w:rFonts w:hint="default" w:ascii="Times New Roman" w:hAnsi="Times New Roman" w:cs="Times New Roman"/>
          <w:color w:val="auto"/>
        </w:rPr>
        <w:t>、Mg</w:t>
      </w:r>
      <w:r>
        <w:rPr>
          <w:rFonts w:hint="default" w:ascii="Times New Roman" w:hAnsi="Times New Roman" w:cs="Times New Roman"/>
          <w:color w:val="auto"/>
          <w:vertAlign w:val="superscript"/>
        </w:rPr>
        <w:t>2+</w:t>
      </w:r>
      <w:r>
        <w:rPr>
          <w:rFonts w:hint="default" w:ascii="Times New Roman" w:hAnsi="Times New Roman" w:cs="Times New Roman"/>
          <w:color w:val="auto"/>
        </w:rPr>
        <w:t>、CO</w:t>
      </w:r>
      <w:r>
        <w:rPr>
          <w:rFonts w:hint="default" w:ascii="Times New Roman" w:hAnsi="Times New Roman" w:cs="Times New Roman"/>
          <w:color w:val="auto"/>
          <w:vertAlign w:val="subscript"/>
        </w:rPr>
        <w:t>3</w:t>
      </w:r>
      <w:r>
        <w:rPr>
          <w:rFonts w:hint="default" w:ascii="Times New Roman" w:hAnsi="Times New Roman" w:cs="Times New Roman"/>
          <w:color w:val="auto"/>
          <w:vertAlign w:val="superscript"/>
        </w:rPr>
        <w:t>2-</w:t>
      </w:r>
      <w:r>
        <w:rPr>
          <w:rFonts w:hint="default" w:ascii="Times New Roman" w:hAnsi="Times New Roman" w:cs="Times New Roman"/>
          <w:color w:val="auto"/>
        </w:rPr>
        <w:t>、HCO</w:t>
      </w:r>
      <w:r>
        <w:rPr>
          <w:rFonts w:hint="default" w:ascii="Times New Roman" w:hAnsi="Times New Roman" w:cs="Times New Roman"/>
          <w:color w:val="auto"/>
          <w:vertAlign w:val="subscript"/>
        </w:rPr>
        <w:t>3</w:t>
      </w:r>
      <w:r>
        <w:rPr>
          <w:rFonts w:hint="default" w:ascii="Times New Roman" w:hAnsi="Times New Roman" w:cs="Times New Roman"/>
          <w:color w:val="auto"/>
          <w:vertAlign w:val="superscript"/>
        </w:rPr>
        <w:t>-</w:t>
      </w:r>
      <w:r>
        <w:rPr>
          <w:rFonts w:hint="default" w:ascii="Times New Roman" w:hAnsi="Times New Roman" w:cs="Times New Roman"/>
          <w:color w:val="auto"/>
        </w:rPr>
        <w:t>、Cl</w:t>
      </w:r>
      <w:r>
        <w:rPr>
          <w:rFonts w:hint="default" w:ascii="Times New Roman" w:hAnsi="Times New Roman" w:cs="Times New Roman"/>
          <w:color w:val="auto"/>
          <w:vertAlign w:val="superscript"/>
        </w:rPr>
        <w:t>-</w:t>
      </w:r>
      <w:r>
        <w:rPr>
          <w:rFonts w:hint="default" w:ascii="Times New Roman" w:hAnsi="Times New Roman" w:cs="Times New Roman"/>
          <w:color w:val="auto"/>
        </w:rPr>
        <w:t>、SO</w:t>
      </w:r>
      <w:r>
        <w:rPr>
          <w:rFonts w:hint="default" w:ascii="Times New Roman" w:hAnsi="Times New Roman" w:cs="Times New Roman"/>
          <w:color w:val="auto"/>
          <w:vertAlign w:val="subscript"/>
        </w:rPr>
        <w:t>4</w:t>
      </w:r>
      <w:r>
        <w:rPr>
          <w:rFonts w:hint="default" w:ascii="Times New Roman" w:hAnsi="Times New Roman" w:cs="Times New Roman"/>
          <w:color w:val="auto"/>
          <w:vertAlign w:val="superscript"/>
        </w:rPr>
        <w:t>2-</w:t>
      </w:r>
      <w:r>
        <w:rPr>
          <w:rFonts w:hint="default" w:ascii="Times New Roman" w:hAnsi="Times New Roman" w:cs="Times New Roman"/>
          <w:color w:val="auto"/>
        </w:rPr>
        <w:t>、pH、氨氮、硝酸盐（以N计）、亚硝酸盐（以N计）、挥发酚、氰化物、砷、汞、六价铬、总硬度、铅、氟化物、镉、铁、锰、溶解性总固体、高锰酸盐指数（耗氧量）、硫酸盐、氯化物、总大肠菌群、菌落总数，共计</w:t>
      </w:r>
      <w:r>
        <w:rPr>
          <w:rFonts w:hint="default" w:ascii="Times New Roman" w:hAnsi="Times New Roman" w:cs="Times New Roman"/>
          <w:color w:val="auto"/>
          <w:lang w:val="en-US" w:eastAsia="zh-CN"/>
        </w:rPr>
        <w:t>29</w:t>
      </w:r>
      <w:r>
        <w:rPr>
          <w:rFonts w:hint="default" w:ascii="Times New Roman" w:hAnsi="Times New Roman" w:cs="Times New Roman"/>
          <w:color w:val="auto"/>
        </w:rPr>
        <w:t>项。</w:t>
      </w:r>
    </w:p>
    <w:p w14:paraId="70A17E4F">
      <w:pPr>
        <w:pStyle w:val="25"/>
        <w:bidi w:val="0"/>
        <w:rPr>
          <w:rFonts w:hint="default" w:ascii="Times New Roman" w:hAnsi="Times New Roman" w:cs="Times New Roman"/>
          <w:color w:val="auto"/>
        </w:rPr>
      </w:pPr>
      <w:r>
        <w:rPr>
          <w:rFonts w:hint="default" w:ascii="Times New Roman" w:hAnsi="Times New Roman" w:cs="Times New Roman"/>
          <w:color w:val="auto"/>
        </w:rPr>
        <w:t>4、监测分析方法</w:t>
      </w:r>
    </w:p>
    <w:p w14:paraId="487DDA9C">
      <w:pPr>
        <w:pStyle w:val="27"/>
        <w:bidi w:val="0"/>
        <w:rPr>
          <w:rFonts w:hint="default" w:ascii="Times New Roman" w:hAnsi="Times New Roman" w:cs="Times New Roman"/>
          <w:color w:val="auto"/>
        </w:rPr>
      </w:pPr>
      <w:r>
        <w:rPr>
          <w:rFonts w:hint="default" w:ascii="Times New Roman" w:hAnsi="Times New Roman" w:cs="Times New Roman"/>
          <w:color w:val="auto"/>
        </w:rPr>
        <w:t>表4-2-4监测方法</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37"/>
        <w:gridCol w:w="6885"/>
      </w:tblGrid>
      <w:tr w14:paraId="7CC1BE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tcPr>
          <w:p w14:paraId="46B9EB5B">
            <w:pPr>
              <w:pStyle w:val="44"/>
              <w:bidi w:val="0"/>
              <w:rPr>
                <w:rFonts w:hint="default" w:ascii="Times New Roman" w:hAnsi="Times New Roman" w:cs="Times New Roman"/>
                <w:color w:val="auto"/>
              </w:rPr>
            </w:pPr>
            <w:r>
              <w:rPr>
                <w:rFonts w:hint="default" w:ascii="Times New Roman" w:hAnsi="Times New Roman" w:cs="Times New Roman"/>
                <w:color w:val="auto"/>
              </w:rPr>
              <w:t>检测项目</w:t>
            </w:r>
          </w:p>
        </w:tc>
        <w:tc>
          <w:tcPr>
            <w:tcW w:w="6885" w:type="dxa"/>
            <w:tcBorders>
              <w:tl2br w:val="nil"/>
              <w:tr2bl w:val="nil"/>
            </w:tcBorders>
          </w:tcPr>
          <w:p w14:paraId="38F07689">
            <w:pPr>
              <w:pStyle w:val="44"/>
              <w:bidi w:val="0"/>
              <w:rPr>
                <w:rFonts w:hint="default" w:ascii="Times New Roman" w:hAnsi="Times New Roman" w:cs="Times New Roman"/>
                <w:color w:val="auto"/>
              </w:rPr>
            </w:pPr>
            <w:r>
              <w:rPr>
                <w:rFonts w:hint="default" w:ascii="Times New Roman" w:hAnsi="Times New Roman" w:cs="Times New Roman"/>
                <w:color w:val="auto"/>
              </w:rPr>
              <w:t>标准方法名称及代号</w:t>
            </w:r>
          </w:p>
        </w:tc>
      </w:tr>
      <w:tr w14:paraId="69068C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37" w:type="dxa"/>
            <w:tcBorders>
              <w:tl2br w:val="nil"/>
              <w:tr2bl w:val="nil"/>
            </w:tcBorders>
            <w:vAlign w:val="center"/>
          </w:tcPr>
          <w:p w14:paraId="3DBDC78C">
            <w:pPr>
              <w:pStyle w:val="44"/>
              <w:bidi w:val="0"/>
              <w:rPr>
                <w:rFonts w:hint="default" w:ascii="Times New Roman" w:hAnsi="Times New Roman" w:cs="Times New Roman"/>
                <w:color w:val="auto"/>
              </w:rPr>
            </w:pPr>
            <w:r>
              <w:rPr>
                <w:rFonts w:hint="default" w:ascii="Times New Roman" w:hAnsi="Times New Roman" w:cs="Times New Roman"/>
                <w:color w:val="auto"/>
              </w:rPr>
              <w:t>pH</w:t>
            </w:r>
          </w:p>
        </w:tc>
        <w:tc>
          <w:tcPr>
            <w:tcW w:w="6885" w:type="dxa"/>
            <w:tcBorders>
              <w:tl2br w:val="nil"/>
              <w:tr2bl w:val="nil"/>
            </w:tcBorders>
            <w:vAlign w:val="center"/>
          </w:tcPr>
          <w:p w14:paraId="3BE0B91F">
            <w:pPr>
              <w:pStyle w:val="44"/>
              <w:bidi w:val="0"/>
              <w:rPr>
                <w:rFonts w:hint="default" w:ascii="Times New Roman" w:hAnsi="Times New Roman" w:cs="Times New Roman"/>
                <w:color w:val="auto"/>
              </w:rPr>
            </w:pPr>
            <w:r>
              <w:rPr>
                <w:rFonts w:hint="default" w:ascii="Times New Roman" w:hAnsi="Times New Roman" w:cs="Times New Roman"/>
                <w:color w:val="auto"/>
              </w:rPr>
              <w:t>水质 pH 值的测定 电极法HJ 1147-2020</w:t>
            </w:r>
          </w:p>
        </w:tc>
      </w:tr>
      <w:tr w14:paraId="5B2BC5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vAlign w:val="center"/>
          </w:tcPr>
          <w:p w14:paraId="0EBBD2C0">
            <w:pPr>
              <w:pStyle w:val="44"/>
              <w:bidi w:val="0"/>
              <w:rPr>
                <w:rFonts w:hint="default" w:ascii="Times New Roman" w:hAnsi="Times New Roman" w:cs="Times New Roman"/>
                <w:color w:val="auto"/>
              </w:rPr>
            </w:pPr>
            <w:r>
              <w:rPr>
                <w:rFonts w:hint="default" w:ascii="Times New Roman" w:hAnsi="Times New Roman" w:cs="Times New Roman"/>
                <w:color w:val="auto"/>
              </w:rPr>
              <w:t>Ca2+、Mg2+</w:t>
            </w:r>
          </w:p>
          <w:p w14:paraId="04BB974D">
            <w:pPr>
              <w:pStyle w:val="44"/>
              <w:bidi w:val="0"/>
              <w:rPr>
                <w:rFonts w:hint="default" w:ascii="Times New Roman" w:hAnsi="Times New Roman" w:cs="Times New Roman"/>
                <w:color w:val="auto"/>
              </w:rPr>
            </w:pPr>
            <w:r>
              <w:rPr>
                <w:rFonts w:hint="default" w:ascii="Times New Roman" w:hAnsi="Times New Roman" w:cs="Times New Roman"/>
                <w:color w:val="auto"/>
              </w:rPr>
              <w:t>、K+、Na+</w:t>
            </w:r>
          </w:p>
        </w:tc>
        <w:tc>
          <w:tcPr>
            <w:tcW w:w="6885" w:type="dxa"/>
            <w:tcBorders>
              <w:tl2br w:val="nil"/>
              <w:tr2bl w:val="nil"/>
            </w:tcBorders>
            <w:vAlign w:val="center"/>
          </w:tcPr>
          <w:p w14:paraId="139C0A2F">
            <w:pPr>
              <w:pStyle w:val="44"/>
              <w:bidi w:val="0"/>
              <w:rPr>
                <w:rFonts w:hint="default" w:ascii="Times New Roman" w:hAnsi="Times New Roman" w:cs="Times New Roman"/>
                <w:color w:val="auto"/>
              </w:rPr>
            </w:pPr>
            <w:r>
              <w:rPr>
                <w:rFonts w:hint="default" w:ascii="Times New Roman" w:hAnsi="Times New Roman" w:cs="Times New Roman"/>
                <w:color w:val="auto"/>
              </w:rPr>
              <w:t xml:space="preserve">水质 可溶性阳离子（Li+、Na+、NH4+、K+、Ca2+、Mg2+）的测定 </w:t>
            </w:r>
          </w:p>
          <w:p w14:paraId="4487A7CA">
            <w:pPr>
              <w:pStyle w:val="44"/>
              <w:bidi w:val="0"/>
              <w:rPr>
                <w:rFonts w:hint="default" w:ascii="Times New Roman" w:hAnsi="Times New Roman" w:cs="Times New Roman"/>
                <w:color w:val="auto"/>
              </w:rPr>
            </w:pPr>
            <w:r>
              <w:rPr>
                <w:rFonts w:hint="default" w:ascii="Times New Roman" w:hAnsi="Times New Roman" w:cs="Times New Roman"/>
                <w:color w:val="auto"/>
              </w:rPr>
              <w:t>离子色谱法HJ 812-2016</w:t>
            </w:r>
          </w:p>
        </w:tc>
      </w:tr>
      <w:tr w14:paraId="291BCC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vAlign w:val="center"/>
          </w:tcPr>
          <w:p w14:paraId="5AED1011">
            <w:pPr>
              <w:pStyle w:val="44"/>
              <w:bidi w:val="0"/>
              <w:rPr>
                <w:rFonts w:hint="default" w:ascii="Times New Roman" w:hAnsi="Times New Roman" w:cs="Times New Roman"/>
                <w:color w:val="auto"/>
              </w:rPr>
            </w:pPr>
            <w:r>
              <w:rPr>
                <w:rFonts w:hint="default" w:ascii="Times New Roman" w:hAnsi="Times New Roman" w:cs="Times New Roman"/>
                <w:color w:val="auto"/>
              </w:rPr>
              <w:t>Cl-、SO42-</w:t>
            </w:r>
          </w:p>
        </w:tc>
        <w:tc>
          <w:tcPr>
            <w:tcW w:w="6885" w:type="dxa"/>
            <w:tcBorders>
              <w:tl2br w:val="nil"/>
              <w:tr2bl w:val="nil"/>
            </w:tcBorders>
            <w:vAlign w:val="center"/>
          </w:tcPr>
          <w:p w14:paraId="6627C06E">
            <w:pPr>
              <w:pStyle w:val="44"/>
              <w:bidi w:val="0"/>
              <w:rPr>
                <w:rFonts w:hint="default" w:ascii="Times New Roman" w:hAnsi="Times New Roman" w:cs="Times New Roman"/>
                <w:color w:val="auto"/>
              </w:rPr>
            </w:pPr>
            <w:r>
              <w:rPr>
                <w:rFonts w:hint="default" w:ascii="Times New Roman" w:hAnsi="Times New Roman" w:cs="Times New Roman"/>
                <w:color w:val="auto"/>
              </w:rPr>
              <w:t>水质 无机阴离子（F-、Cl-、NO2-、Br-、NO3-、PO43-、SO32-、SO42-）的测定离子色谱法HJ 84-2016</w:t>
            </w:r>
          </w:p>
        </w:tc>
      </w:tr>
      <w:tr w14:paraId="058AE3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vAlign w:val="center"/>
          </w:tcPr>
          <w:p w14:paraId="3AF6ABE7">
            <w:pPr>
              <w:pStyle w:val="44"/>
              <w:bidi w:val="0"/>
              <w:rPr>
                <w:rFonts w:hint="default" w:ascii="Times New Roman" w:hAnsi="Times New Roman" w:cs="Times New Roman"/>
                <w:color w:val="auto"/>
              </w:rPr>
            </w:pPr>
            <w:r>
              <w:rPr>
                <w:rFonts w:hint="default" w:ascii="Times New Roman" w:hAnsi="Times New Roman" w:cs="Times New Roman"/>
                <w:color w:val="auto"/>
              </w:rPr>
              <w:t>CO32-、HCO3-</w:t>
            </w:r>
          </w:p>
        </w:tc>
        <w:tc>
          <w:tcPr>
            <w:tcW w:w="6885" w:type="dxa"/>
            <w:tcBorders>
              <w:tl2br w:val="nil"/>
              <w:tr2bl w:val="nil"/>
            </w:tcBorders>
            <w:vAlign w:val="center"/>
          </w:tcPr>
          <w:p w14:paraId="643E747D">
            <w:pPr>
              <w:pStyle w:val="44"/>
              <w:bidi w:val="0"/>
              <w:rPr>
                <w:rFonts w:hint="default" w:ascii="Times New Roman" w:hAnsi="Times New Roman" w:cs="Times New Roman"/>
                <w:color w:val="auto"/>
              </w:rPr>
            </w:pPr>
            <w:r>
              <w:rPr>
                <w:rFonts w:hint="default" w:ascii="Times New Roman" w:hAnsi="Times New Roman" w:cs="Times New Roman"/>
                <w:color w:val="auto"/>
                <w:lang w:eastAsia="zh-CN"/>
              </w:rPr>
              <w:t>（第四版）国家环境保护总局（2002年）</w:t>
            </w:r>
            <w:r>
              <w:rPr>
                <w:rFonts w:hint="default" w:ascii="Times New Roman" w:hAnsi="Times New Roman" w:cs="Times New Roman"/>
                <w:color w:val="auto"/>
              </w:rPr>
              <w:t>酸碱指示剂滴定法</w:t>
            </w:r>
          </w:p>
        </w:tc>
      </w:tr>
      <w:tr w14:paraId="607E80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vAlign w:val="center"/>
          </w:tcPr>
          <w:p w14:paraId="33E6AE96">
            <w:pPr>
              <w:pStyle w:val="44"/>
              <w:bidi w:val="0"/>
              <w:rPr>
                <w:rFonts w:hint="default" w:ascii="Times New Roman" w:hAnsi="Times New Roman" w:cs="Times New Roman"/>
                <w:color w:val="auto"/>
              </w:rPr>
            </w:pPr>
            <w:r>
              <w:rPr>
                <w:rFonts w:hint="default" w:ascii="Times New Roman" w:hAnsi="Times New Roman" w:cs="Times New Roman"/>
                <w:color w:val="auto"/>
              </w:rPr>
              <w:t>高锰酸盐指数</w:t>
            </w:r>
          </w:p>
          <w:p w14:paraId="217D7C60">
            <w:pPr>
              <w:pStyle w:val="44"/>
              <w:bidi w:val="0"/>
              <w:rPr>
                <w:rFonts w:hint="default" w:ascii="Times New Roman" w:hAnsi="Times New Roman" w:cs="Times New Roman"/>
                <w:color w:val="auto"/>
              </w:rPr>
            </w:pP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耗氧量</w:t>
            </w:r>
            <w:r>
              <w:rPr>
                <w:rFonts w:hint="default" w:ascii="Times New Roman" w:hAnsi="Times New Roman" w:cs="Times New Roman"/>
                <w:color w:val="auto"/>
                <w:lang w:eastAsia="zh-CN"/>
              </w:rPr>
              <w:t>）</w:t>
            </w:r>
          </w:p>
        </w:tc>
        <w:tc>
          <w:tcPr>
            <w:tcW w:w="6885" w:type="dxa"/>
            <w:tcBorders>
              <w:tl2br w:val="nil"/>
              <w:tr2bl w:val="nil"/>
            </w:tcBorders>
            <w:vAlign w:val="center"/>
          </w:tcPr>
          <w:p w14:paraId="2251DBA4">
            <w:pPr>
              <w:pStyle w:val="44"/>
              <w:bidi w:val="0"/>
              <w:rPr>
                <w:rFonts w:hint="default" w:ascii="Times New Roman" w:hAnsi="Times New Roman" w:cs="Times New Roman"/>
                <w:color w:val="auto"/>
              </w:rPr>
            </w:pPr>
            <w:r>
              <w:rPr>
                <w:rFonts w:hint="default" w:ascii="Times New Roman" w:hAnsi="Times New Roman" w:cs="Times New Roman"/>
                <w:color w:val="auto"/>
              </w:rPr>
              <w:t>水质 高锰酸盐指数的测定GB 11892-89</w:t>
            </w:r>
          </w:p>
        </w:tc>
      </w:tr>
      <w:tr w14:paraId="026F3C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vAlign w:val="center"/>
          </w:tcPr>
          <w:p w14:paraId="5175CF4E">
            <w:pPr>
              <w:pStyle w:val="44"/>
              <w:bidi w:val="0"/>
              <w:rPr>
                <w:rFonts w:hint="default" w:ascii="Times New Roman" w:hAnsi="Times New Roman" w:cs="Times New Roman"/>
                <w:color w:val="auto"/>
              </w:rPr>
            </w:pPr>
            <w:r>
              <w:rPr>
                <w:rFonts w:hint="default" w:ascii="Times New Roman" w:hAnsi="Times New Roman" w:cs="Times New Roman"/>
                <w:color w:val="auto"/>
              </w:rPr>
              <w:t>氨氮</w:t>
            </w:r>
          </w:p>
        </w:tc>
        <w:tc>
          <w:tcPr>
            <w:tcW w:w="6885" w:type="dxa"/>
            <w:tcBorders>
              <w:tl2br w:val="nil"/>
              <w:tr2bl w:val="nil"/>
            </w:tcBorders>
            <w:vAlign w:val="center"/>
          </w:tcPr>
          <w:p w14:paraId="4E312A0E">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水质 氨氮的测定 纳氏试剂分光光度法</w:t>
            </w:r>
          </w:p>
          <w:p w14:paraId="6FC6F1F5">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HJ 535-2009</w:t>
            </w:r>
          </w:p>
        </w:tc>
      </w:tr>
      <w:tr w14:paraId="2A56ED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vAlign w:val="center"/>
          </w:tcPr>
          <w:p w14:paraId="0657063A">
            <w:pPr>
              <w:pStyle w:val="44"/>
              <w:bidi w:val="0"/>
              <w:rPr>
                <w:rFonts w:hint="default" w:ascii="Times New Roman" w:hAnsi="Times New Roman" w:cs="Times New Roman"/>
                <w:color w:val="auto"/>
              </w:rPr>
            </w:pPr>
            <w:r>
              <w:rPr>
                <w:rFonts w:hint="default" w:ascii="Times New Roman" w:hAnsi="Times New Roman" w:cs="Times New Roman"/>
                <w:color w:val="auto"/>
              </w:rPr>
              <w:t>总硬度</w:t>
            </w:r>
          </w:p>
        </w:tc>
        <w:tc>
          <w:tcPr>
            <w:tcW w:w="6885" w:type="dxa"/>
            <w:tcBorders>
              <w:tl2br w:val="nil"/>
              <w:tr2bl w:val="nil"/>
            </w:tcBorders>
            <w:vAlign w:val="center"/>
          </w:tcPr>
          <w:p w14:paraId="3BFA109B">
            <w:pPr>
              <w:pStyle w:val="44"/>
              <w:bidi w:val="0"/>
              <w:rPr>
                <w:rFonts w:hint="default" w:ascii="Times New Roman" w:hAnsi="Times New Roman" w:cs="Times New Roman"/>
                <w:color w:val="auto"/>
              </w:rPr>
            </w:pPr>
            <w:r>
              <w:rPr>
                <w:rFonts w:hint="default" w:ascii="Times New Roman" w:hAnsi="Times New Roman" w:cs="Times New Roman"/>
                <w:color w:val="auto"/>
              </w:rPr>
              <w:t xml:space="preserve">生活饮用水标准检验方法 </w:t>
            </w:r>
            <w:r>
              <w:rPr>
                <w:rFonts w:hint="default" w:ascii="Times New Roman" w:hAnsi="Times New Roman" w:cs="Times New Roman"/>
                <w:color w:val="auto"/>
                <w:lang w:val="en-US" w:eastAsia="zh-CN"/>
              </w:rPr>
              <w:t>第4部分：</w:t>
            </w:r>
            <w:r>
              <w:rPr>
                <w:rFonts w:hint="default" w:ascii="Times New Roman" w:hAnsi="Times New Roman" w:cs="Times New Roman"/>
                <w:color w:val="auto"/>
              </w:rPr>
              <w:t>感官性状和物理指标</w:t>
            </w:r>
            <w:r>
              <w:rPr>
                <w:rFonts w:hint="default" w:ascii="Times New Roman" w:hAnsi="Times New Roman" w:cs="Times New Roman"/>
                <w:color w:val="auto"/>
                <w:lang w:eastAsia="zh-CN"/>
              </w:rPr>
              <w:t>GB/T 5750.4-2023 10</w:t>
            </w:r>
          </w:p>
        </w:tc>
      </w:tr>
      <w:tr w14:paraId="5DCDCB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vAlign w:val="center"/>
          </w:tcPr>
          <w:p w14:paraId="6C66D62A">
            <w:pPr>
              <w:pStyle w:val="44"/>
              <w:bidi w:val="0"/>
              <w:rPr>
                <w:rFonts w:hint="default" w:ascii="Times New Roman" w:hAnsi="Times New Roman" w:cs="Times New Roman"/>
                <w:color w:val="auto"/>
              </w:rPr>
            </w:pPr>
            <w:r>
              <w:rPr>
                <w:rFonts w:hint="default" w:ascii="Times New Roman" w:hAnsi="Times New Roman" w:cs="Times New Roman"/>
                <w:color w:val="auto"/>
              </w:rPr>
              <w:t>硝酸盐</w:t>
            </w:r>
          </w:p>
          <w:p w14:paraId="20B6E2A2">
            <w:pPr>
              <w:pStyle w:val="44"/>
              <w:bidi w:val="0"/>
              <w:rPr>
                <w:rFonts w:hint="default" w:ascii="Times New Roman" w:hAnsi="Times New Roman" w:cs="Times New Roman"/>
                <w:color w:val="auto"/>
              </w:rPr>
            </w:pP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以N计</w:t>
            </w:r>
            <w:r>
              <w:rPr>
                <w:rFonts w:hint="default" w:ascii="Times New Roman" w:hAnsi="Times New Roman" w:cs="Times New Roman"/>
                <w:color w:val="auto"/>
                <w:lang w:eastAsia="zh-CN"/>
              </w:rPr>
              <w:t>）</w:t>
            </w:r>
          </w:p>
        </w:tc>
        <w:tc>
          <w:tcPr>
            <w:tcW w:w="6885" w:type="dxa"/>
            <w:tcBorders>
              <w:tl2br w:val="nil"/>
              <w:tr2bl w:val="nil"/>
            </w:tcBorders>
            <w:vAlign w:val="center"/>
          </w:tcPr>
          <w:p w14:paraId="77ACB28E">
            <w:pPr>
              <w:pStyle w:val="44"/>
              <w:bidi w:val="0"/>
              <w:rPr>
                <w:rFonts w:hint="default" w:ascii="Times New Roman" w:hAnsi="Times New Roman" w:cs="Times New Roman"/>
                <w:color w:val="auto"/>
              </w:rPr>
            </w:pPr>
            <w:r>
              <w:rPr>
                <w:rFonts w:hint="default" w:ascii="Times New Roman" w:hAnsi="Times New Roman" w:cs="Times New Roman"/>
                <w:color w:val="auto"/>
              </w:rPr>
              <w:t>水质 硝酸盐氮的测定 酚二磺酸分光光度法</w:t>
            </w:r>
          </w:p>
          <w:p w14:paraId="457B325C">
            <w:pPr>
              <w:pStyle w:val="44"/>
              <w:bidi w:val="0"/>
              <w:rPr>
                <w:rFonts w:hint="default" w:ascii="Times New Roman" w:hAnsi="Times New Roman" w:cs="Times New Roman"/>
                <w:color w:val="auto"/>
              </w:rPr>
            </w:pPr>
            <w:r>
              <w:rPr>
                <w:rFonts w:hint="default" w:ascii="Times New Roman" w:hAnsi="Times New Roman" w:cs="Times New Roman"/>
                <w:color w:val="auto"/>
              </w:rPr>
              <w:t>GB</w:t>
            </w:r>
            <w:r>
              <w:rPr>
                <w:rFonts w:hint="default" w:ascii="Times New Roman" w:hAnsi="Times New Roman" w:cs="Times New Roman"/>
                <w:color w:val="auto"/>
                <w:lang w:val="en-US" w:eastAsia="zh-CN"/>
              </w:rPr>
              <w:t xml:space="preserve"> </w:t>
            </w:r>
            <w:r>
              <w:rPr>
                <w:rFonts w:hint="default" w:ascii="Times New Roman" w:hAnsi="Times New Roman" w:cs="Times New Roman"/>
                <w:color w:val="auto"/>
              </w:rPr>
              <w:t>7480-87</w:t>
            </w:r>
          </w:p>
        </w:tc>
      </w:tr>
      <w:tr w14:paraId="7657AE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vAlign w:val="center"/>
          </w:tcPr>
          <w:p w14:paraId="5CDC0F9D">
            <w:pPr>
              <w:pStyle w:val="44"/>
              <w:bidi w:val="0"/>
              <w:rPr>
                <w:rFonts w:hint="default" w:ascii="Times New Roman" w:hAnsi="Times New Roman" w:cs="Times New Roman"/>
                <w:color w:val="auto"/>
              </w:rPr>
            </w:pPr>
            <w:r>
              <w:rPr>
                <w:rFonts w:hint="default" w:ascii="Times New Roman" w:hAnsi="Times New Roman" w:cs="Times New Roman"/>
                <w:color w:val="auto"/>
              </w:rPr>
              <w:t>亚硝酸盐</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以N计</w:t>
            </w:r>
            <w:r>
              <w:rPr>
                <w:rFonts w:hint="default" w:ascii="Times New Roman" w:hAnsi="Times New Roman" w:cs="Times New Roman"/>
                <w:color w:val="auto"/>
                <w:lang w:eastAsia="zh-CN"/>
              </w:rPr>
              <w:t>）</w:t>
            </w:r>
          </w:p>
        </w:tc>
        <w:tc>
          <w:tcPr>
            <w:tcW w:w="6885" w:type="dxa"/>
            <w:tcBorders>
              <w:tl2br w:val="nil"/>
              <w:tr2bl w:val="nil"/>
            </w:tcBorders>
            <w:vAlign w:val="center"/>
          </w:tcPr>
          <w:p w14:paraId="70A25D2E">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 xml:space="preserve">生活饮用水标准检验方法第5部分：无机非金属指标 </w:t>
            </w:r>
            <w:r>
              <w:rPr>
                <w:rFonts w:hint="default" w:ascii="Times New Roman" w:hAnsi="Times New Roman" w:cs="Times New Roman"/>
                <w:color w:val="auto"/>
              </w:rPr>
              <w:t>GB/T 5750.</w:t>
            </w:r>
            <w:r>
              <w:rPr>
                <w:rFonts w:hint="default" w:ascii="Times New Roman" w:hAnsi="Times New Roman" w:cs="Times New Roman"/>
                <w:color w:val="auto"/>
                <w:lang w:val="en-US" w:eastAsia="zh-CN"/>
              </w:rPr>
              <w:t>5</w:t>
            </w:r>
            <w:r>
              <w:rPr>
                <w:rFonts w:hint="default" w:ascii="Times New Roman" w:hAnsi="Times New Roman" w:cs="Times New Roman"/>
                <w:color w:val="auto"/>
              </w:rPr>
              <w:t>-2023</w:t>
            </w:r>
            <w:r>
              <w:rPr>
                <w:rFonts w:hint="default" w:ascii="Times New Roman" w:hAnsi="Times New Roman" w:cs="Times New Roman"/>
                <w:color w:val="auto"/>
                <w:lang w:val="en-US" w:eastAsia="zh-CN"/>
              </w:rPr>
              <w:t xml:space="preserve"> </w:t>
            </w:r>
            <w:r>
              <w:rPr>
                <w:rFonts w:hint="default" w:ascii="Times New Roman" w:hAnsi="Times New Roman" w:cs="Times New Roman"/>
                <w:color w:val="auto"/>
              </w:rPr>
              <w:t>1</w:t>
            </w:r>
            <w:r>
              <w:rPr>
                <w:rFonts w:hint="default" w:ascii="Times New Roman" w:hAnsi="Times New Roman" w:cs="Times New Roman"/>
                <w:color w:val="auto"/>
                <w:lang w:val="en-US" w:eastAsia="zh-CN"/>
              </w:rPr>
              <w:t>2</w:t>
            </w:r>
          </w:p>
        </w:tc>
      </w:tr>
      <w:tr w14:paraId="0CCE81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vAlign w:val="center"/>
          </w:tcPr>
          <w:p w14:paraId="56BBF112">
            <w:pPr>
              <w:pStyle w:val="44"/>
              <w:bidi w:val="0"/>
              <w:rPr>
                <w:rFonts w:hint="default" w:ascii="Times New Roman" w:hAnsi="Times New Roman" w:cs="Times New Roman"/>
                <w:color w:val="auto"/>
              </w:rPr>
            </w:pPr>
            <w:r>
              <w:rPr>
                <w:rFonts w:hint="default" w:ascii="Times New Roman" w:hAnsi="Times New Roman" w:cs="Times New Roman"/>
                <w:color w:val="auto"/>
              </w:rPr>
              <w:t>硫酸盐</w:t>
            </w:r>
          </w:p>
        </w:tc>
        <w:tc>
          <w:tcPr>
            <w:tcW w:w="6885" w:type="dxa"/>
            <w:tcBorders>
              <w:tl2br w:val="nil"/>
              <w:tr2bl w:val="nil"/>
            </w:tcBorders>
            <w:vAlign w:val="center"/>
          </w:tcPr>
          <w:p w14:paraId="4CC9CFF2">
            <w:pPr>
              <w:pStyle w:val="44"/>
              <w:bidi w:val="0"/>
              <w:rPr>
                <w:rFonts w:hint="default" w:ascii="Times New Roman" w:hAnsi="Times New Roman" w:cs="Times New Roman"/>
                <w:color w:val="auto"/>
              </w:rPr>
            </w:pPr>
            <w:r>
              <w:rPr>
                <w:rFonts w:hint="default" w:ascii="Times New Roman" w:hAnsi="Times New Roman" w:cs="Times New Roman"/>
                <w:color w:val="auto"/>
              </w:rPr>
              <w:t xml:space="preserve">生活饮用水标准检验方法 </w:t>
            </w:r>
            <w:r>
              <w:rPr>
                <w:rFonts w:hint="default" w:ascii="Times New Roman" w:hAnsi="Times New Roman" w:cs="Times New Roman"/>
                <w:color w:val="auto"/>
                <w:lang w:val="en-US" w:eastAsia="zh-CN"/>
              </w:rPr>
              <w:t>第5部分：无机非金属指标</w:t>
            </w:r>
            <w:r>
              <w:rPr>
                <w:rFonts w:hint="default" w:ascii="Times New Roman" w:hAnsi="Times New Roman" w:cs="Times New Roman"/>
                <w:color w:val="auto"/>
                <w:lang w:eastAsia="zh-CN"/>
              </w:rPr>
              <w:t>GB/T 5750.5-2023 4</w:t>
            </w:r>
          </w:p>
        </w:tc>
      </w:tr>
      <w:tr w14:paraId="7596DF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vAlign w:val="center"/>
          </w:tcPr>
          <w:p w14:paraId="63A8F105">
            <w:pPr>
              <w:pStyle w:val="44"/>
              <w:bidi w:val="0"/>
              <w:rPr>
                <w:rFonts w:hint="default" w:ascii="Times New Roman" w:hAnsi="Times New Roman" w:cs="Times New Roman"/>
                <w:color w:val="auto"/>
              </w:rPr>
            </w:pPr>
            <w:r>
              <w:rPr>
                <w:rFonts w:hint="default" w:ascii="Times New Roman" w:hAnsi="Times New Roman" w:cs="Times New Roman"/>
                <w:color w:val="auto"/>
              </w:rPr>
              <w:t>氯化物</w:t>
            </w:r>
          </w:p>
        </w:tc>
        <w:tc>
          <w:tcPr>
            <w:tcW w:w="6885" w:type="dxa"/>
            <w:tcBorders>
              <w:tl2br w:val="nil"/>
              <w:tr2bl w:val="nil"/>
            </w:tcBorders>
            <w:vAlign w:val="center"/>
          </w:tcPr>
          <w:p w14:paraId="54F46365">
            <w:pPr>
              <w:pStyle w:val="44"/>
              <w:bidi w:val="0"/>
              <w:rPr>
                <w:rFonts w:hint="default" w:ascii="Times New Roman" w:hAnsi="Times New Roman" w:cs="Times New Roman"/>
                <w:color w:val="auto"/>
              </w:rPr>
            </w:pPr>
            <w:r>
              <w:rPr>
                <w:rFonts w:hint="default" w:ascii="Times New Roman" w:hAnsi="Times New Roman" w:cs="Times New Roman"/>
                <w:color w:val="auto"/>
              </w:rPr>
              <w:t xml:space="preserve">生活饮用水标准检验方法 </w:t>
            </w:r>
            <w:r>
              <w:rPr>
                <w:rFonts w:hint="default" w:ascii="Times New Roman" w:hAnsi="Times New Roman" w:cs="Times New Roman"/>
                <w:color w:val="auto"/>
                <w:lang w:val="en-US" w:eastAsia="zh-CN"/>
              </w:rPr>
              <w:t>第5部分：无机非金属指标</w:t>
            </w:r>
            <w:r>
              <w:rPr>
                <w:rFonts w:hint="default" w:ascii="Times New Roman" w:hAnsi="Times New Roman" w:cs="Times New Roman"/>
                <w:color w:val="auto"/>
                <w:lang w:eastAsia="zh-CN"/>
              </w:rPr>
              <w:t>GB/T 5750.5-2023 5</w:t>
            </w:r>
          </w:p>
        </w:tc>
      </w:tr>
      <w:tr w14:paraId="2563CA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vAlign w:val="center"/>
          </w:tcPr>
          <w:p w14:paraId="15F61ECA">
            <w:pPr>
              <w:pStyle w:val="44"/>
              <w:bidi w:val="0"/>
              <w:rPr>
                <w:rFonts w:hint="default" w:ascii="Times New Roman" w:hAnsi="Times New Roman" w:cs="Times New Roman"/>
                <w:color w:val="auto"/>
              </w:rPr>
            </w:pPr>
            <w:r>
              <w:rPr>
                <w:rFonts w:hint="default" w:ascii="Times New Roman" w:hAnsi="Times New Roman" w:cs="Times New Roman"/>
                <w:color w:val="auto"/>
              </w:rPr>
              <w:t>铁</w:t>
            </w:r>
            <w:r>
              <w:rPr>
                <w:rFonts w:hint="default" w:ascii="Times New Roman" w:hAnsi="Times New Roman" w:cs="Times New Roman"/>
                <w:color w:val="auto"/>
                <w:lang w:eastAsia="zh-CN"/>
              </w:rPr>
              <w:t>、</w:t>
            </w:r>
            <w:r>
              <w:rPr>
                <w:rFonts w:hint="default" w:ascii="Times New Roman" w:hAnsi="Times New Roman" w:cs="Times New Roman"/>
                <w:color w:val="auto"/>
              </w:rPr>
              <w:t>锰</w:t>
            </w:r>
          </w:p>
        </w:tc>
        <w:tc>
          <w:tcPr>
            <w:tcW w:w="6885" w:type="dxa"/>
            <w:tcBorders>
              <w:tl2br w:val="nil"/>
              <w:tr2bl w:val="nil"/>
            </w:tcBorders>
            <w:vAlign w:val="center"/>
          </w:tcPr>
          <w:p w14:paraId="110D8C7C">
            <w:pPr>
              <w:pStyle w:val="44"/>
              <w:bidi w:val="0"/>
              <w:rPr>
                <w:rFonts w:hint="default" w:ascii="Times New Roman" w:hAnsi="Times New Roman" w:cs="Times New Roman"/>
                <w:color w:val="auto"/>
              </w:rPr>
            </w:pPr>
            <w:r>
              <w:rPr>
                <w:rFonts w:hint="default" w:ascii="Times New Roman" w:hAnsi="Times New Roman" w:cs="Times New Roman"/>
                <w:color w:val="auto"/>
              </w:rPr>
              <w:t>水质 铁、锰的测定 火焰原子吸收分光光度法GB 11911-89</w:t>
            </w:r>
          </w:p>
        </w:tc>
      </w:tr>
      <w:tr w14:paraId="53E0D2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vAlign w:val="center"/>
          </w:tcPr>
          <w:p w14:paraId="60EF9D84">
            <w:pPr>
              <w:pStyle w:val="44"/>
              <w:bidi w:val="0"/>
              <w:rPr>
                <w:rFonts w:hint="default" w:ascii="Times New Roman" w:hAnsi="Times New Roman" w:cs="Times New Roman"/>
                <w:color w:val="auto"/>
              </w:rPr>
            </w:pPr>
            <w:r>
              <w:rPr>
                <w:rFonts w:hint="default" w:ascii="Times New Roman" w:hAnsi="Times New Roman" w:cs="Times New Roman"/>
                <w:color w:val="auto"/>
              </w:rPr>
              <w:t>总大肠菌群</w:t>
            </w:r>
          </w:p>
        </w:tc>
        <w:tc>
          <w:tcPr>
            <w:tcW w:w="6885" w:type="dxa"/>
            <w:tcBorders>
              <w:tl2br w:val="nil"/>
              <w:tr2bl w:val="nil"/>
            </w:tcBorders>
            <w:vAlign w:val="center"/>
          </w:tcPr>
          <w:p w14:paraId="1520975F">
            <w:pPr>
              <w:pStyle w:val="44"/>
              <w:bidi w:val="0"/>
              <w:rPr>
                <w:rFonts w:hint="default" w:ascii="Times New Roman" w:hAnsi="Times New Roman" w:cs="Times New Roman"/>
                <w:color w:val="auto"/>
              </w:rPr>
            </w:pPr>
            <w:r>
              <w:rPr>
                <w:rFonts w:hint="default" w:ascii="Times New Roman" w:hAnsi="Times New Roman" w:cs="Times New Roman"/>
                <w:color w:val="auto"/>
              </w:rPr>
              <w:t>生活饮用水标准检验方法 第12部分：微生物指标GB/T 5750.12-2023 5</w:t>
            </w:r>
          </w:p>
        </w:tc>
      </w:tr>
      <w:tr w14:paraId="667BA7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vAlign w:val="center"/>
          </w:tcPr>
          <w:p w14:paraId="57C0CF4A">
            <w:pPr>
              <w:pStyle w:val="44"/>
              <w:bidi w:val="0"/>
              <w:rPr>
                <w:rFonts w:hint="default" w:ascii="Times New Roman" w:hAnsi="Times New Roman" w:cs="Times New Roman"/>
                <w:color w:val="auto"/>
              </w:rPr>
            </w:pPr>
            <w:r>
              <w:rPr>
                <w:rFonts w:hint="default" w:ascii="Times New Roman" w:hAnsi="Times New Roman" w:cs="Times New Roman"/>
                <w:color w:val="auto"/>
              </w:rPr>
              <w:t>挥发酚</w:t>
            </w:r>
          </w:p>
        </w:tc>
        <w:tc>
          <w:tcPr>
            <w:tcW w:w="6885" w:type="dxa"/>
            <w:tcBorders>
              <w:tl2br w:val="nil"/>
              <w:tr2bl w:val="nil"/>
            </w:tcBorders>
            <w:vAlign w:val="center"/>
          </w:tcPr>
          <w:p w14:paraId="3782C901">
            <w:pPr>
              <w:pStyle w:val="44"/>
              <w:bidi w:val="0"/>
              <w:rPr>
                <w:rFonts w:hint="default" w:ascii="Times New Roman" w:hAnsi="Times New Roman" w:cs="Times New Roman"/>
                <w:color w:val="auto"/>
              </w:rPr>
            </w:pPr>
            <w:r>
              <w:rPr>
                <w:rFonts w:hint="default" w:ascii="Times New Roman" w:hAnsi="Times New Roman" w:cs="Times New Roman"/>
                <w:color w:val="auto"/>
              </w:rPr>
              <w:t>水质 挥发酚的测定 4-氨基安替比林分光光度法HJ 503-2009</w:t>
            </w:r>
          </w:p>
        </w:tc>
      </w:tr>
      <w:tr w14:paraId="68F008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vAlign w:val="center"/>
          </w:tcPr>
          <w:p w14:paraId="735F3560">
            <w:pPr>
              <w:pStyle w:val="44"/>
              <w:bidi w:val="0"/>
              <w:rPr>
                <w:rFonts w:hint="default" w:ascii="Times New Roman" w:hAnsi="Times New Roman" w:cs="Times New Roman"/>
                <w:color w:val="auto"/>
              </w:rPr>
            </w:pPr>
            <w:r>
              <w:rPr>
                <w:rFonts w:hint="default" w:ascii="Times New Roman" w:hAnsi="Times New Roman" w:cs="Times New Roman"/>
                <w:color w:val="auto"/>
              </w:rPr>
              <w:t>氰化物</w:t>
            </w:r>
          </w:p>
        </w:tc>
        <w:tc>
          <w:tcPr>
            <w:tcW w:w="6885" w:type="dxa"/>
            <w:tcBorders>
              <w:tl2br w:val="nil"/>
              <w:tr2bl w:val="nil"/>
            </w:tcBorders>
            <w:vAlign w:val="center"/>
          </w:tcPr>
          <w:p w14:paraId="184F064B">
            <w:pPr>
              <w:pStyle w:val="44"/>
              <w:bidi w:val="0"/>
              <w:rPr>
                <w:rFonts w:hint="default" w:ascii="Times New Roman" w:hAnsi="Times New Roman" w:cs="Times New Roman"/>
                <w:color w:val="auto"/>
              </w:rPr>
            </w:pPr>
            <w:r>
              <w:rPr>
                <w:rFonts w:hint="default" w:ascii="Times New Roman" w:hAnsi="Times New Roman" w:cs="Times New Roman"/>
                <w:color w:val="auto"/>
              </w:rPr>
              <w:t xml:space="preserve">生活饮用水标准检验方法 </w:t>
            </w:r>
            <w:r>
              <w:rPr>
                <w:rFonts w:hint="default" w:ascii="Times New Roman" w:hAnsi="Times New Roman" w:cs="Times New Roman"/>
                <w:color w:val="auto"/>
                <w:lang w:val="en-US" w:eastAsia="zh-CN"/>
              </w:rPr>
              <w:t>第5部分：无机非金属指标</w:t>
            </w:r>
            <w:r>
              <w:rPr>
                <w:rFonts w:hint="default" w:ascii="Times New Roman" w:hAnsi="Times New Roman" w:cs="Times New Roman"/>
                <w:color w:val="auto"/>
                <w:lang w:eastAsia="zh-CN"/>
              </w:rPr>
              <w:t>GB/T 5750.5-2023 7</w:t>
            </w:r>
          </w:p>
        </w:tc>
      </w:tr>
      <w:tr w14:paraId="7971AD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vAlign w:val="center"/>
          </w:tcPr>
          <w:p w14:paraId="321C314F">
            <w:pPr>
              <w:pStyle w:val="44"/>
              <w:bidi w:val="0"/>
              <w:rPr>
                <w:rFonts w:hint="default" w:ascii="Times New Roman" w:hAnsi="Times New Roman" w:cs="Times New Roman"/>
                <w:color w:val="auto"/>
              </w:rPr>
            </w:pPr>
            <w:r>
              <w:rPr>
                <w:rFonts w:hint="default" w:ascii="Times New Roman" w:hAnsi="Times New Roman" w:cs="Times New Roman"/>
                <w:color w:val="auto"/>
              </w:rPr>
              <w:t>砷</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汞</w:t>
            </w:r>
          </w:p>
        </w:tc>
        <w:tc>
          <w:tcPr>
            <w:tcW w:w="6885" w:type="dxa"/>
            <w:tcBorders>
              <w:tl2br w:val="nil"/>
              <w:tr2bl w:val="nil"/>
            </w:tcBorders>
            <w:vAlign w:val="center"/>
          </w:tcPr>
          <w:p w14:paraId="65A750F7">
            <w:pPr>
              <w:pStyle w:val="44"/>
              <w:bidi w:val="0"/>
              <w:rPr>
                <w:rFonts w:hint="default" w:ascii="Times New Roman" w:hAnsi="Times New Roman" w:cs="Times New Roman"/>
                <w:color w:val="auto"/>
              </w:rPr>
            </w:pPr>
            <w:r>
              <w:rPr>
                <w:rFonts w:hint="default" w:ascii="Times New Roman" w:hAnsi="Times New Roman" w:cs="Times New Roman"/>
                <w:color w:val="auto"/>
              </w:rPr>
              <w:t>水质 汞、砷、硒、铋和锑的测定 原子荧光法HJ 694-2014</w:t>
            </w:r>
          </w:p>
        </w:tc>
      </w:tr>
      <w:tr w14:paraId="6D9644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vAlign w:val="center"/>
          </w:tcPr>
          <w:p w14:paraId="70E2C07B">
            <w:pPr>
              <w:pStyle w:val="44"/>
              <w:bidi w:val="0"/>
              <w:rPr>
                <w:rFonts w:hint="default" w:ascii="Times New Roman" w:hAnsi="Times New Roman" w:cs="Times New Roman"/>
                <w:color w:val="auto"/>
              </w:rPr>
            </w:pPr>
            <w:r>
              <w:rPr>
                <w:rFonts w:hint="default" w:ascii="Times New Roman" w:hAnsi="Times New Roman" w:cs="Times New Roman"/>
                <w:color w:val="auto"/>
              </w:rPr>
              <w:t>六价铬</w:t>
            </w:r>
          </w:p>
        </w:tc>
        <w:tc>
          <w:tcPr>
            <w:tcW w:w="6885" w:type="dxa"/>
            <w:tcBorders>
              <w:tl2br w:val="nil"/>
              <w:tr2bl w:val="nil"/>
            </w:tcBorders>
            <w:vAlign w:val="center"/>
          </w:tcPr>
          <w:p w14:paraId="6A611C8F">
            <w:pPr>
              <w:pStyle w:val="44"/>
              <w:bidi w:val="0"/>
              <w:rPr>
                <w:rFonts w:hint="default" w:ascii="Times New Roman" w:hAnsi="Times New Roman" w:cs="Times New Roman"/>
                <w:color w:val="auto"/>
              </w:rPr>
            </w:pPr>
            <w:r>
              <w:rPr>
                <w:rFonts w:hint="default" w:ascii="Times New Roman" w:hAnsi="Times New Roman" w:cs="Times New Roman"/>
                <w:color w:val="auto"/>
              </w:rPr>
              <w:t xml:space="preserve">生活饮用水标准检验方法 </w:t>
            </w:r>
            <w:r>
              <w:rPr>
                <w:rFonts w:hint="default" w:ascii="Times New Roman" w:hAnsi="Times New Roman" w:cs="Times New Roman"/>
                <w:color w:val="auto"/>
                <w:lang w:val="en-US" w:eastAsia="zh-CN"/>
              </w:rPr>
              <w:t>第6部分：</w:t>
            </w:r>
            <w:r>
              <w:rPr>
                <w:rFonts w:hint="default" w:ascii="Times New Roman" w:hAnsi="Times New Roman" w:cs="Times New Roman"/>
                <w:color w:val="auto"/>
              </w:rPr>
              <w:t>金属</w:t>
            </w:r>
            <w:r>
              <w:rPr>
                <w:rFonts w:hint="default" w:ascii="Times New Roman" w:hAnsi="Times New Roman" w:cs="Times New Roman"/>
                <w:color w:val="auto"/>
                <w:lang w:val="en-US" w:eastAsia="zh-CN"/>
              </w:rPr>
              <w:t>和类金属</w:t>
            </w:r>
            <w:r>
              <w:rPr>
                <w:rFonts w:hint="default" w:ascii="Times New Roman" w:hAnsi="Times New Roman" w:cs="Times New Roman"/>
                <w:color w:val="auto"/>
              </w:rPr>
              <w:t>指标</w:t>
            </w:r>
            <w:r>
              <w:rPr>
                <w:rFonts w:hint="default" w:ascii="Times New Roman" w:hAnsi="Times New Roman" w:cs="Times New Roman"/>
                <w:color w:val="auto"/>
                <w:lang w:eastAsia="zh-CN"/>
              </w:rPr>
              <w:t>GB/T5750.6-2023 13</w:t>
            </w:r>
          </w:p>
        </w:tc>
      </w:tr>
      <w:tr w14:paraId="27324E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vAlign w:val="center"/>
          </w:tcPr>
          <w:p w14:paraId="7887D405">
            <w:pPr>
              <w:pStyle w:val="44"/>
              <w:bidi w:val="0"/>
              <w:rPr>
                <w:rFonts w:hint="default" w:ascii="Times New Roman" w:hAnsi="Times New Roman" w:cs="Times New Roman"/>
                <w:color w:val="auto"/>
              </w:rPr>
            </w:pPr>
            <w:r>
              <w:rPr>
                <w:rFonts w:hint="default" w:ascii="Times New Roman" w:hAnsi="Times New Roman" w:cs="Times New Roman"/>
                <w:color w:val="auto"/>
              </w:rPr>
              <w:t>铅</w:t>
            </w:r>
          </w:p>
        </w:tc>
        <w:tc>
          <w:tcPr>
            <w:tcW w:w="6885" w:type="dxa"/>
            <w:tcBorders>
              <w:tl2br w:val="nil"/>
              <w:tr2bl w:val="nil"/>
            </w:tcBorders>
            <w:vAlign w:val="center"/>
          </w:tcPr>
          <w:p w14:paraId="016F5A39">
            <w:pPr>
              <w:pStyle w:val="44"/>
              <w:bidi w:val="0"/>
              <w:rPr>
                <w:rFonts w:hint="default" w:ascii="Times New Roman" w:hAnsi="Times New Roman" w:cs="Times New Roman"/>
                <w:color w:val="auto"/>
              </w:rPr>
            </w:pPr>
            <w:r>
              <w:rPr>
                <w:rFonts w:hint="default" w:ascii="Times New Roman" w:hAnsi="Times New Roman" w:cs="Times New Roman"/>
                <w:color w:val="auto"/>
              </w:rPr>
              <w:t xml:space="preserve">生活饮用水标准检验方法 </w:t>
            </w:r>
            <w:r>
              <w:rPr>
                <w:rFonts w:hint="default" w:ascii="Times New Roman" w:hAnsi="Times New Roman" w:cs="Times New Roman"/>
                <w:color w:val="auto"/>
                <w:lang w:val="en-US" w:eastAsia="zh-CN"/>
              </w:rPr>
              <w:t>第6部分：</w:t>
            </w:r>
            <w:r>
              <w:rPr>
                <w:rFonts w:hint="default" w:ascii="Times New Roman" w:hAnsi="Times New Roman" w:cs="Times New Roman"/>
                <w:color w:val="auto"/>
              </w:rPr>
              <w:t>金属</w:t>
            </w:r>
            <w:r>
              <w:rPr>
                <w:rFonts w:hint="default" w:ascii="Times New Roman" w:hAnsi="Times New Roman" w:cs="Times New Roman"/>
                <w:color w:val="auto"/>
                <w:lang w:val="en-US" w:eastAsia="zh-CN"/>
              </w:rPr>
              <w:t>和类金属</w:t>
            </w:r>
            <w:r>
              <w:rPr>
                <w:rFonts w:hint="default" w:ascii="Times New Roman" w:hAnsi="Times New Roman" w:cs="Times New Roman"/>
                <w:color w:val="auto"/>
              </w:rPr>
              <w:t>指标</w:t>
            </w:r>
            <w:r>
              <w:rPr>
                <w:rFonts w:hint="default" w:ascii="Times New Roman" w:hAnsi="Times New Roman" w:cs="Times New Roman"/>
                <w:color w:val="auto"/>
                <w:lang w:eastAsia="zh-CN"/>
              </w:rPr>
              <w:t>GB/T5750.6-2023 14</w:t>
            </w:r>
          </w:p>
        </w:tc>
      </w:tr>
      <w:tr w14:paraId="3AB6A9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vAlign w:val="center"/>
          </w:tcPr>
          <w:p w14:paraId="7A450CF0">
            <w:pPr>
              <w:pStyle w:val="44"/>
              <w:bidi w:val="0"/>
              <w:rPr>
                <w:rFonts w:hint="default" w:ascii="Times New Roman" w:hAnsi="Times New Roman" w:cs="Times New Roman"/>
                <w:color w:val="auto"/>
              </w:rPr>
            </w:pPr>
            <w:r>
              <w:rPr>
                <w:rFonts w:hint="default" w:ascii="Times New Roman" w:hAnsi="Times New Roman" w:cs="Times New Roman"/>
                <w:color w:val="auto"/>
              </w:rPr>
              <w:t>镉</w:t>
            </w:r>
          </w:p>
        </w:tc>
        <w:tc>
          <w:tcPr>
            <w:tcW w:w="6885" w:type="dxa"/>
            <w:tcBorders>
              <w:tl2br w:val="nil"/>
              <w:tr2bl w:val="nil"/>
            </w:tcBorders>
            <w:vAlign w:val="center"/>
          </w:tcPr>
          <w:p w14:paraId="0CA32594">
            <w:pPr>
              <w:pStyle w:val="44"/>
              <w:bidi w:val="0"/>
              <w:rPr>
                <w:rFonts w:hint="default" w:ascii="Times New Roman" w:hAnsi="Times New Roman" w:cs="Times New Roman"/>
                <w:color w:val="auto"/>
              </w:rPr>
            </w:pPr>
            <w:r>
              <w:rPr>
                <w:rFonts w:hint="default" w:ascii="Times New Roman" w:hAnsi="Times New Roman" w:cs="Times New Roman"/>
                <w:color w:val="auto"/>
              </w:rPr>
              <w:t xml:space="preserve">生活饮用水标准检验方法 </w:t>
            </w:r>
            <w:r>
              <w:rPr>
                <w:rFonts w:hint="default" w:ascii="Times New Roman" w:hAnsi="Times New Roman" w:cs="Times New Roman"/>
                <w:color w:val="auto"/>
                <w:lang w:val="en-US" w:eastAsia="zh-CN"/>
              </w:rPr>
              <w:t>第6部分：</w:t>
            </w:r>
            <w:r>
              <w:rPr>
                <w:rFonts w:hint="default" w:ascii="Times New Roman" w:hAnsi="Times New Roman" w:cs="Times New Roman"/>
                <w:color w:val="auto"/>
              </w:rPr>
              <w:t>金属</w:t>
            </w:r>
            <w:r>
              <w:rPr>
                <w:rFonts w:hint="default" w:ascii="Times New Roman" w:hAnsi="Times New Roman" w:cs="Times New Roman"/>
                <w:color w:val="auto"/>
                <w:lang w:val="en-US" w:eastAsia="zh-CN"/>
              </w:rPr>
              <w:t>和类金属</w:t>
            </w:r>
            <w:r>
              <w:rPr>
                <w:rFonts w:hint="default" w:ascii="Times New Roman" w:hAnsi="Times New Roman" w:cs="Times New Roman"/>
                <w:color w:val="auto"/>
              </w:rPr>
              <w:t xml:space="preserve">指标 </w:t>
            </w:r>
            <w:r>
              <w:rPr>
                <w:rFonts w:hint="default" w:ascii="Times New Roman" w:hAnsi="Times New Roman" w:cs="Times New Roman"/>
                <w:color w:val="auto"/>
                <w:lang w:eastAsia="zh-CN"/>
              </w:rPr>
              <w:t>GB/T 5750.6-2023 12</w:t>
            </w:r>
          </w:p>
        </w:tc>
      </w:tr>
      <w:tr w14:paraId="7A3398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vAlign w:val="center"/>
          </w:tcPr>
          <w:p w14:paraId="081463D8">
            <w:pPr>
              <w:pStyle w:val="44"/>
              <w:bidi w:val="0"/>
              <w:rPr>
                <w:rFonts w:hint="default" w:ascii="Times New Roman" w:hAnsi="Times New Roman" w:cs="Times New Roman"/>
                <w:color w:val="auto"/>
              </w:rPr>
            </w:pPr>
            <w:r>
              <w:rPr>
                <w:rFonts w:hint="default" w:ascii="Times New Roman" w:hAnsi="Times New Roman" w:cs="Times New Roman"/>
                <w:color w:val="auto"/>
              </w:rPr>
              <w:t>氟</w:t>
            </w:r>
            <w:r>
              <w:rPr>
                <w:rFonts w:hint="default" w:ascii="Times New Roman" w:hAnsi="Times New Roman" w:cs="Times New Roman"/>
                <w:color w:val="auto"/>
                <w:lang w:eastAsia="zh-CN"/>
              </w:rPr>
              <w:t>化物</w:t>
            </w:r>
          </w:p>
        </w:tc>
        <w:tc>
          <w:tcPr>
            <w:tcW w:w="6885" w:type="dxa"/>
            <w:tcBorders>
              <w:tl2br w:val="nil"/>
              <w:tr2bl w:val="nil"/>
            </w:tcBorders>
            <w:vAlign w:val="center"/>
          </w:tcPr>
          <w:p w14:paraId="17C04BA2">
            <w:pPr>
              <w:pStyle w:val="44"/>
              <w:bidi w:val="0"/>
              <w:rPr>
                <w:rFonts w:hint="default" w:ascii="Times New Roman" w:hAnsi="Times New Roman" w:cs="Times New Roman"/>
                <w:color w:val="auto"/>
              </w:rPr>
            </w:pPr>
            <w:r>
              <w:rPr>
                <w:rFonts w:hint="default" w:ascii="Times New Roman" w:hAnsi="Times New Roman" w:cs="Times New Roman"/>
                <w:color w:val="auto"/>
              </w:rPr>
              <w:t>水质 氟化物的测定 氟试剂分光光度法HJ488-2009</w:t>
            </w:r>
          </w:p>
        </w:tc>
      </w:tr>
      <w:tr w14:paraId="64FDCA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vAlign w:val="center"/>
          </w:tcPr>
          <w:p w14:paraId="3C17B758">
            <w:pPr>
              <w:pStyle w:val="44"/>
              <w:bidi w:val="0"/>
              <w:rPr>
                <w:rFonts w:hint="default" w:ascii="Times New Roman" w:hAnsi="Times New Roman" w:cs="Times New Roman"/>
                <w:color w:val="auto"/>
              </w:rPr>
            </w:pPr>
            <w:r>
              <w:rPr>
                <w:rFonts w:hint="default" w:ascii="Times New Roman" w:hAnsi="Times New Roman" w:cs="Times New Roman"/>
                <w:color w:val="auto"/>
              </w:rPr>
              <w:t>溶解性总固体</w:t>
            </w:r>
          </w:p>
        </w:tc>
        <w:tc>
          <w:tcPr>
            <w:tcW w:w="6885" w:type="dxa"/>
            <w:tcBorders>
              <w:tl2br w:val="nil"/>
              <w:tr2bl w:val="nil"/>
            </w:tcBorders>
            <w:vAlign w:val="center"/>
          </w:tcPr>
          <w:p w14:paraId="370B57F5">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 xml:space="preserve">生活饮用水标准检验方法 第4部分：感官性状和物理指标 </w:t>
            </w:r>
            <w:r>
              <w:rPr>
                <w:rFonts w:hint="default" w:ascii="Times New Roman" w:hAnsi="Times New Roman" w:cs="Times New Roman"/>
                <w:color w:val="auto"/>
                <w:lang w:eastAsia="zh-CN"/>
              </w:rPr>
              <w:t>GB/T 5750.4-2023 11</w:t>
            </w:r>
          </w:p>
        </w:tc>
      </w:tr>
      <w:tr w14:paraId="633161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37" w:type="dxa"/>
            <w:tcBorders>
              <w:tl2br w:val="nil"/>
              <w:tr2bl w:val="nil"/>
            </w:tcBorders>
            <w:vAlign w:val="center"/>
          </w:tcPr>
          <w:p w14:paraId="1DDECFBA">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菌落总数</w:t>
            </w:r>
          </w:p>
        </w:tc>
        <w:tc>
          <w:tcPr>
            <w:tcW w:w="6885" w:type="dxa"/>
            <w:tcBorders>
              <w:tl2br w:val="nil"/>
              <w:tr2bl w:val="nil"/>
            </w:tcBorders>
            <w:vAlign w:val="center"/>
          </w:tcPr>
          <w:p w14:paraId="73321668">
            <w:pPr>
              <w:pStyle w:val="44"/>
              <w:bidi w:val="0"/>
              <w:rPr>
                <w:rFonts w:hint="default" w:ascii="Times New Roman" w:hAnsi="Times New Roman" w:cs="Times New Roman"/>
                <w:color w:val="auto"/>
              </w:rPr>
            </w:pPr>
            <w:r>
              <w:rPr>
                <w:rFonts w:hint="default" w:ascii="Times New Roman" w:hAnsi="Times New Roman" w:cs="Times New Roman"/>
                <w:color w:val="auto"/>
              </w:rPr>
              <w:t>生活饮用水标准检验方法 第12部分：微生物指标GB/T 5750.12-2023 4</w:t>
            </w:r>
          </w:p>
        </w:tc>
      </w:tr>
    </w:tbl>
    <w:p w14:paraId="738262F6">
      <w:pPr>
        <w:pStyle w:val="25"/>
        <w:bidi w:val="0"/>
        <w:rPr>
          <w:rFonts w:hint="default" w:ascii="Times New Roman" w:hAnsi="Times New Roman" w:cs="Times New Roman"/>
          <w:color w:val="auto"/>
        </w:rPr>
      </w:pPr>
      <w:r>
        <w:rPr>
          <w:rFonts w:hint="default" w:ascii="Times New Roman" w:hAnsi="Times New Roman" w:cs="Times New Roman"/>
          <w:color w:val="auto"/>
        </w:rPr>
        <w:t>5、监测仪器</w:t>
      </w:r>
    </w:p>
    <w:p w14:paraId="19F797B3">
      <w:pPr>
        <w:pStyle w:val="27"/>
        <w:bidi w:val="0"/>
        <w:rPr>
          <w:rFonts w:hint="default" w:ascii="Times New Roman" w:hAnsi="Times New Roman" w:cs="Times New Roman"/>
          <w:color w:val="auto"/>
        </w:rPr>
      </w:pPr>
    </w:p>
    <w:p w14:paraId="25E7B852">
      <w:pPr>
        <w:pStyle w:val="27"/>
        <w:bidi w:val="0"/>
        <w:rPr>
          <w:rFonts w:hint="default" w:ascii="Times New Roman" w:hAnsi="Times New Roman" w:cs="Times New Roman"/>
          <w:color w:val="auto"/>
        </w:rPr>
      </w:pPr>
      <w:r>
        <w:rPr>
          <w:rFonts w:hint="default" w:ascii="Times New Roman" w:hAnsi="Times New Roman" w:cs="Times New Roman"/>
          <w:color w:val="auto"/>
        </w:rPr>
        <w:t>表4-2-5监测仪器</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01"/>
        <w:gridCol w:w="2997"/>
        <w:gridCol w:w="1587"/>
        <w:gridCol w:w="1837"/>
      </w:tblGrid>
      <w:tr w14:paraId="72003C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tcBorders>
              <w:tl2br w:val="nil"/>
              <w:tr2bl w:val="nil"/>
            </w:tcBorders>
          </w:tcPr>
          <w:p w14:paraId="633BAFE4">
            <w:pPr>
              <w:pStyle w:val="44"/>
              <w:bidi w:val="0"/>
              <w:rPr>
                <w:rFonts w:hint="default" w:ascii="Times New Roman" w:hAnsi="Times New Roman" w:cs="Times New Roman"/>
                <w:color w:val="auto"/>
              </w:rPr>
            </w:pPr>
            <w:r>
              <w:rPr>
                <w:rFonts w:hint="default" w:ascii="Times New Roman" w:hAnsi="Times New Roman" w:cs="Times New Roman"/>
                <w:color w:val="auto"/>
              </w:rPr>
              <w:t>检测项目</w:t>
            </w:r>
          </w:p>
        </w:tc>
        <w:tc>
          <w:tcPr>
            <w:tcW w:w="1758" w:type="pct"/>
            <w:tcBorders>
              <w:tl2br w:val="nil"/>
              <w:tr2bl w:val="nil"/>
            </w:tcBorders>
          </w:tcPr>
          <w:p w14:paraId="15BEBA9A">
            <w:pPr>
              <w:pStyle w:val="44"/>
              <w:bidi w:val="0"/>
              <w:rPr>
                <w:rFonts w:hint="default" w:ascii="Times New Roman" w:hAnsi="Times New Roman" w:cs="Times New Roman"/>
                <w:color w:val="auto"/>
              </w:rPr>
            </w:pPr>
            <w:r>
              <w:rPr>
                <w:rFonts w:hint="default" w:ascii="Times New Roman" w:hAnsi="Times New Roman" w:cs="Times New Roman"/>
                <w:color w:val="auto"/>
              </w:rPr>
              <w:t>仪器名称</w:t>
            </w:r>
          </w:p>
        </w:tc>
        <w:tc>
          <w:tcPr>
            <w:tcW w:w="931" w:type="pct"/>
            <w:tcBorders>
              <w:tl2br w:val="nil"/>
              <w:tr2bl w:val="nil"/>
            </w:tcBorders>
          </w:tcPr>
          <w:p w14:paraId="3AB61456">
            <w:pPr>
              <w:pStyle w:val="44"/>
              <w:bidi w:val="0"/>
              <w:rPr>
                <w:rFonts w:hint="default" w:ascii="Times New Roman" w:hAnsi="Times New Roman" w:cs="Times New Roman"/>
                <w:color w:val="auto"/>
              </w:rPr>
            </w:pPr>
            <w:r>
              <w:rPr>
                <w:rFonts w:hint="default" w:ascii="Times New Roman" w:hAnsi="Times New Roman" w:cs="Times New Roman"/>
                <w:color w:val="auto"/>
              </w:rPr>
              <w:t>型号</w:t>
            </w:r>
          </w:p>
        </w:tc>
        <w:tc>
          <w:tcPr>
            <w:tcW w:w="1077" w:type="pct"/>
            <w:tcBorders>
              <w:tl2br w:val="nil"/>
              <w:tr2bl w:val="nil"/>
            </w:tcBorders>
          </w:tcPr>
          <w:p w14:paraId="6750518C">
            <w:pPr>
              <w:pStyle w:val="44"/>
              <w:bidi w:val="0"/>
              <w:rPr>
                <w:rFonts w:hint="default" w:ascii="Times New Roman" w:hAnsi="Times New Roman" w:cs="Times New Roman"/>
                <w:color w:val="auto"/>
              </w:rPr>
            </w:pPr>
            <w:r>
              <w:rPr>
                <w:rFonts w:hint="default" w:ascii="Times New Roman" w:hAnsi="Times New Roman" w:cs="Times New Roman"/>
                <w:color w:val="auto"/>
              </w:rPr>
              <w:t>编号</w:t>
            </w:r>
          </w:p>
        </w:tc>
      </w:tr>
      <w:tr w14:paraId="3053A7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tcBorders>
              <w:tl2br w:val="nil"/>
              <w:tr2bl w:val="nil"/>
            </w:tcBorders>
            <w:vAlign w:val="center"/>
          </w:tcPr>
          <w:p w14:paraId="73F5AC72">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rPr>
              <w:t>pH</w:t>
            </w:r>
          </w:p>
        </w:tc>
        <w:tc>
          <w:tcPr>
            <w:tcW w:w="1758" w:type="pct"/>
            <w:tcBorders>
              <w:tl2br w:val="nil"/>
              <w:tr2bl w:val="nil"/>
            </w:tcBorders>
            <w:vAlign w:val="center"/>
          </w:tcPr>
          <w:p w14:paraId="672FF42B">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便携式pH计</w:t>
            </w:r>
          </w:p>
        </w:tc>
        <w:tc>
          <w:tcPr>
            <w:tcW w:w="931" w:type="pct"/>
            <w:tcBorders>
              <w:tl2br w:val="nil"/>
              <w:tr2bl w:val="nil"/>
            </w:tcBorders>
            <w:vAlign w:val="center"/>
          </w:tcPr>
          <w:p w14:paraId="239B359D">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PHBJ-260</w:t>
            </w:r>
          </w:p>
        </w:tc>
        <w:tc>
          <w:tcPr>
            <w:tcW w:w="1077" w:type="pct"/>
            <w:tcBorders>
              <w:tl2br w:val="nil"/>
              <w:tr2bl w:val="nil"/>
            </w:tcBorders>
            <w:vAlign w:val="center"/>
          </w:tcPr>
          <w:p w14:paraId="1214011E">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HFYQ-2043</w:t>
            </w:r>
          </w:p>
        </w:tc>
      </w:tr>
      <w:tr w14:paraId="3BA4EF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tcBorders>
              <w:tl2br w:val="nil"/>
              <w:tr2bl w:val="nil"/>
            </w:tcBorders>
            <w:vAlign w:val="center"/>
          </w:tcPr>
          <w:p w14:paraId="40A1F596">
            <w:pPr>
              <w:pStyle w:val="44"/>
              <w:bidi w:val="0"/>
              <w:rPr>
                <w:rFonts w:hint="default" w:ascii="Times New Roman" w:hAnsi="Times New Roman" w:cs="Times New Roman"/>
                <w:color w:val="auto"/>
              </w:rPr>
            </w:pPr>
            <w:r>
              <w:rPr>
                <w:rFonts w:hint="default" w:ascii="Times New Roman" w:hAnsi="Times New Roman" w:cs="Times New Roman"/>
                <w:color w:val="auto"/>
              </w:rPr>
              <w:t>Ca</w:t>
            </w:r>
            <w:r>
              <w:rPr>
                <w:rFonts w:hint="default" w:ascii="Times New Roman" w:hAnsi="Times New Roman" w:cs="Times New Roman"/>
                <w:color w:val="auto"/>
                <w:vertAlign w:val="superscript"/>
              </w:rPr>
              <w:t>2+</w:t>
            </w:r>
            <w:r>
              <w:rPr>
                <w:rFonts w:hint="default" w:ascii="Times New Roman" w:hAnsi="Times New Roman" w:cs="Times New Roman"/>
                <w:color w:val="auto"/>
              </w:rPr>
              <w:t>、Mg</w:t>
            </w:r>
            <w:r>
              <w:rPr>
                <w:rFonts w:hint="default" w:ascii="Times New Roman" w:hAnsi="Times New Roman" w:cs="Times New Roman"/>
                <w:color w:val="auto"/>
                <w:vertAlign w:val="superscript"/>
              </w:rPr>
              <w:t>2+</w:t>
            </w:r>
            <w:r>
              <w:rPr>
                <w:rFonts w:hint="default" w:ascii="Times New Roman" w:hAnsi="Times New Roman" w:cs="Times New Roman"/>
                <w:color w:val="auto"/>
              </w:rPr>
              <w:t>、K</w:t>
            </w:r>
            <w:r>
              <w:rPr>
                <w:rFonts w:hint="default" w:ascii="Times New Roman" w:hAnsi="Times New Roman" w:cs="Times New Roman"/>
                <w:color w:val="auto"/>
                <w:vertAlign w:val="superscript"/>
              </w:rPr>
              <w:t>+</w:t>
            </w:r>
            <w:r>
              <w:rPr>
                <w:rFonts w:hint="default" w:ascii="Times New Roman" w:hAnsi="Times New Roman" w:cs="Times New Roman"/>
                <w:color w:val="auto"/>
              </w:rPr>
              <w:t>、Na</w:t>
            </w:r>
            <w:r>
              <w:rPr>
                <w:rFonts w:hint="default" w:ascii="Times New Roman" w:hAnsi="Times New Roman" w:cs="Times New Roman"/>
                <w:color w:val="auto"/>
                <w:vertAlign w:val="superscript"/>
              </w:rPr>
              <w:t>+</w:t>
            </w:r>
          </w:p>
        </w:tc>
        <w:tc>
          <w:tcPr>
            <w:tcW w:w="1758" w:type="pct"/>
            <w:tcBorders>
              <w:tl2br w:val="nil"/>
              <w:tr2bl w:val="nil"/>
            </w:tcBorders>
            <w:vAlign w:val="center"/>
          </w:tcPr>
          <w:p w14:paraId="1FDDF479">
            <w:pPr>
              <w:pStyle w:val="44"/>
              <w:bidi w:val="0"/>
              <w:rPr>
                <w:rFonts w:hint="default" w:ascii="Times New Roman" w:hAnsi="Times New Roman" w:cs="Times New Roman"/>
                <w:color w:val="auto"/>
              </w:rPr>
            </w:pPr>
            <w:r>
              <w:rPr>
                <w:rFonts w:hint="default" w:ascii="Times New Roman" w:hAnsi="Times New Roman" w:cs="Times New Roman"/>
                <w:color w:val="auto"/>
              </w:rPr>
              <w:t>离子色谱仪</w:t>
            </w:r>
          </w:p>
        </w:tc>
        <w:tc>
          <w:tcPr>
            <w:tcW w:w="931" w:type="pct"/>
            <w:tcBorders>
              <w:tl2br w:val="nil"/>
              <w:tr2bl w:val="nil"/>
            </w:tcBorders>
            <w:vAlign w:val="center"/>
          </w:tcPr>
          <w:p w14:paraId="58DD6A95">
            <w:pPr>
              <w:pStyle w:val="44"/>
              <w:bidi w:val="0"/>
              <w:rPr>
                <w:rFonts w:hint="default" w:ascii="Times New Roman" w:hAnsi="Times New Roman" w:cs="Times New Roman"/>
                <w:color w:val="auto"/>
              </w:rPr>
            </w:pPr>
            <w:r>
              <w:rPr>
                <w:rFonts w:hint="default" w:ascii="Times New Roman" w:hAnsi="Times New Roman" w:cs="Times New Roman"/>
                <w:color w:val="auto"/>
              </w:rPr>
              <w:t>PIC-10</w:t>
            </w:r>
          </w:p>
        </w:tc>
        <w:tc>
          <w:tcPr>
            <w:tcW w:w="1077" w:type="pct"/>
            <w:tcBorders>
              <w:tl2br w:val="nil"/>
              <w:tr2bl w:val="nil"/>
            </w:tcBorders>
            <w:vAlign w:val="center"/>
          </w:tcPr>
          <w:p w14:paraId="4381585F">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HFYQ-1004</w:t>
            </w:r>
          </w:p>
        </w:tc>
      </w:tr>
      <w:tr w14:paraId="79B4DC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tcBorders>
              <w:tl2br w:val="nil"/>
              <w:tr2bl w:val="nil"/>
            </w:tcBorders>
            <w:vAlign w:val="center"/>
          </w:tcPr>
          <w:p w14:paraId="3BAB732D">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rPr>
              <w:t>Cl</w:t>
            </w:r>
            <w:r>
              <w:rPr>
                <w:rFonts w:hint="default" w:ascii="Times New Roman" w:hAnsi="Times New Roman" w:cs="Times New Roman"/>
                <w:color w:val="auto"/>
                <w:vertAlign w:val="superscript"/>
              </w:rPr>
              <w:t>-</w:t>
            </w:r>
            <w:r>
              <w:rPr>
                <w:rFonts w:hint="default" w:ascii="Times New Roman" w:hAnsi="Times New Roman" w:cs="Times New Roman"/>
                <w:color w:val="auto"/>
              </w:rPr>
              <w:t>、SO</w:t>
            </w:r>
            <w:r>
              <w:rPr>
                <w:rFonts w:hint="default" w:ascii="Times New Roman" w:hAnsi="Times New Roman" w:cs="Times New Roman"/>
                <w:color w:val="auto"/>
                <w:vertAlign w:val="subscript"/>
              </w:rPr>
              <w:t>4</w:t>
            </w:r>
            <w:r>
              <w:rPr>
                <w:rFonts w:hint="default" w:ascii="Times New Roman" w:hAnsi="Times New Roman" w:cs="Times New Roman"/>
                <w:color w:val="auto"/>
                <w:vertAlign w:val="superscript"/>
              </w:rPr>
              <w:t>2-</w:t>
            </w:r>
          </w:p>
        </w:tc>
        <w:tc>
          <w:tcPr>
            <w:tcW w:w="1758" w:type="pct"/>
            <w:tcBorders>
              <w:tl2br w:val="nil"/>
              <w:tr2bl w:val="nil"/>
            </w:tcBorders>
            <w:vAlign w:val="center"/>
          </w:tcPr>
          <w:p w14:paraId="54DBEBE9">
            <w:pPr>
              <w:pStyle w:val="44"/>
              <w:bidi w:val="0"/>
              <w:rPr>
                <w:rFonts w:hint="default" w:ascii="Times New Roman" w:hAnsi="Times New Roman" w:cs="Times New Roman"/>
                <w:color w:val="auto"/>
              </w:rPr>
            </w:pPr>
            <w:r>
              <w:rPr>
                <w:rFonts w:hint="default" w:ascii="Times New Roman" w:hAnsi="Times New Roman" w:cs="Times New Roman"/>
                <w:color w:val="auto"/>
              </w:rPr>
              <w:t>离子色谱仪</w:t>
            </w:r>
          </w:p>
        </w:tc>
        <w:tc>
          <w:tcPr>
            <w:tcW w:w="931" w:type="pct"/>
            <w:tcBorders>
              <w:tl2br w:val="nil"/>
              <w:tr2bl w:val="nil"/>
            </w:tcBorders>
            <w:vAlign w:val="center"/>
          </w:tcPr>
          <w:p w14:paraId="06CA83BF">
            <w:pPr>
              <w:pStyle w:val="44"/>
              <w:bidi w:val="0"/>
              <w:rPr>
                <w:rFonts w:hint="default" w:ascii="Times New Roman" w:hAnsi="Times New Roman" w:cs="Times New Roman"/>
                <w:color w:val="auto"/>
              </w:rPr>
            </w:pPr>
            <w:r>
              <w:rPr>
                <w:rFonts w:hint="default" w:ascii="Times New Roman" w:hAnsi="Times New Roman" w:cs="Times New Roman"/>
                <w:color w:val="auto"/>
              </w:rPr>
              <w:t>PIC-10</w:t>
            </w:r>
          </w:p>
        </w:tc>
        <w:tc>
          <w:tcPr>
            <w:tcW w:w="1077" w:type="pct"/>
            <w:tcBorders>
              <w:tl2br w:val="nil"/>
              <w:tr2bl w:val="nil"/>
            </w:tcBorders>
            <w:vAlign w:val="center"/>
          </w:tcPr>
          <w:p w14:paraId="56C00C23">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HFYQ-1004</w:t>
            </w:r>
          </w:p>
        </w:tc>
      </w:tr>
      <w:tr w14:paraId="4CEBFB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tcBorders>
              <w:tl2br w:val="nil"/>
              <w:tr2bl w:val="nil"/>
            </w:tcBorders>
            <w:vAlign w:val="center"/>
          </w:tcPr>
          <w:p w14:paraId="38E1C071">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rPr>
              <w:t>CO</w:t>
            </w:r>
            <w:r>
              <w:rPr>
                <w:rFonts w:hint="default" w:ascii="Times New Roman" w:hAnsi="Times New Roman" w:cs="Times New Roman"/>
                <w:color w:val="auto"/>
                <w:vertAlign w:val="subscript"/>
              </w:rPr>
              <w:t>3</w:t>
            </w:r>
            <w:r>
              <w:rPr>
                <w:rFonts w:hint="default" w:ascii="Times New Roman" w:hAnsi="Times New Roman" w:cs="Times New Roman"/>
                <w:color w:val="auto"/>
                <w:vertAlign w:val="superscript"/>
              </w:rPr>
              <w:t>2-</w:t>
            </w:r>
            <w:r>
              <w:rPr>
                <w:rFonts w:hint="default" w:ascii="Times New Roman" w:hAnsi="Times New Roman" w:cs="Times New Roman"/>
                <w:color w:val="auto"/>
              </w:rPr>
              <w:t>、HCO</w:t>
            </w:r>
            <w:r>
              <w:rPr>
                <w:rFonts w:hint="default" w:ascii="Times New Roman" w:hAnsi="Times New Roman" w:cs="Times New Roman"/>
                <w:color w:val="auto"/>
                <w:vertAlign w:val="subscript"/>
              </w:rPr>
              <w:t>3</w:t>
            </w:r>
            <w:r>
              <w:rPr>
                <w:rFonts w:hint="default" w:ascii="Times New Roman" w:hAnsi="Times New Roman" w:cs="Times New Roman"/>
                <w:color w:val="auto"/>
                <w:vertAlign w:val="superscript"/>
              </w:rPr>
              <w:t>-</w:t>
            </w:r>
          </w:p>
        </w:tc>
        <w:tc>
          <w:tcPr>
            <w:tcW w:w="1758" w:type="pct"/>
            <w:tcBorders>
              <w:tl2br w:val="nil"/>
              <w:tr2bl w:val="nil"/>
            </w:tcBorders>
            <w:vAlign w:val="center"/>
          </w:tcPr>
          <w:p w14:paraId="7AD4F0FA">
            <w:pPr>
              <w:pStyle w:val="44"/>
              <w:bidi w:val="0"/>
              <w:rPr>
                <w:rFonts w:hint="default" w:ascii="Times New Roman" w:hAnsi="Times New Roman" w:cs="Times New Roman"/>
                <w:color w:val="auto"/>
              </w:rPr>
            </w:pPr>
            <w:r>
              <w:rPr>
                <w:rFonts w:hint="default" w:ascii="Times New Roman" w:hAnsi="Times New Roman" w:cs="Times New Roman"/>
                <w:color w:val="auto"/>
              </w:rPr>
              <w:t>酸式滴定管</w:t>
            </w:r>
          </w:p>
        </w:tc>
        <w:tc>
          <w:tcPr>
            <w:tcW w:w="931" w:type="pct"/>
            <w:tcBorders>
              <w:tl2br w:val="nil"/>
              <w:tr2bl w:val="nil"/>
            </w:tcBorders>
            <w:vAlign w:val="center"/>
          </w:tcPr>
          <w:p w14:paraId="5DF31A0E">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50</w:t>
            </w:r>
            <w:r>
              <w:rPr>
                <w:rFonts w:hint="default" w:ascii="Times New Roman" w:hAnsi="Times New Roman" w:cs="Times New Roman"/>
                <w:color w:val="auto"/>
              </w:rPr>
              <w:t>m</w:t>
            </w:r>
            <w:r>
              <w:rPr>
                <w:rFonts w:hint="default" w:ascii="Times New Roman" w:hAnsi="Times New Roman" w:cs="Times New Roman"/>
                <w:color w:val="auto"/>
                <w:lang w:val="en-US" w:eastAsia="zh-CN"/>
              </w:rPr>
              <w:t>L</w:t>
            </w:r>
          </w:p>
        </w:tc>
        <w:tc>
          <w:tcPr>
            <w:tcW w:w="1077" w:type="pct"/>
            <w:tcBorders>
              <w:tl2br w:val="nil"/>
              <w:tr2bl w:val="nil"/>
            </w:tcBorders>
            <w:vAlign w:val="center"/>
          </w:tcPr>
          <w:p w14:paraId="3145E864">
            <w:pPr>
              <w:pStyle w:val="44"/>
              <w:bidi w:val="0"/>
              <w:rPr>
                <w:rFonts w:hint="default" w:ascii="Times New Roman" w:hAnsi="Times New Roman" w:cs="Times New Roman"/>
                <w:color w:val="auto"/>
              </w:rPr>
            </w:pPr>
            <w:r>
              <w:rPr>
                <w:rFonts w:hint="default" w:ascii="Times New Roman" w:hAnsi="Times New Roman" w:cs="Times New Roman"/>
                <w:color w:val="auto"/>
              </w:rPr>
              <w:t>——</w:t>
            </w:r>
          </w:p>
        </w:tc>
      </w:tr>
      <w:tr w14:paraId="2FBF73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vMerge w:val="restart"/>
            <w:tcBorders>
              <w:tl2br w:val="nil"/>
              <w:tr2bl w:val="nil"/>
            </w:tcBorders>
            <w:vAlign w:val="center"/>
          </w:tcPr>
          <w:p w14:paraId="2AE5A3EE">
            <w:pPr>
              <w:pStyle w:val="44"/>
              <w:bidi w:val="0"/>
              <w:rPr>
                <w:rFonts w:hint="default" w:ascii="Times New Roman" w:hAnsi="Times New Roman" w:cs="Times New Roman"/>
                <w:color w:val="auto"/>
              </w:rPr>
            </w:pPr>
            <w:r>
              <w:rPr>
                <w:rFonts w:hint="default" w:ascii="Times New Roman" w:hAnsi="Times New Roman" w:cs="Times New Roman"/>
                <w:color w:val="auto"/>
              </w:rPr>
              <w:t>高锰酸盐指数</w:t>
            </w:r>
          </w:p>
          <w:p w14:paraId="2037D1EA">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耗氧量</w:t>
            </w:r>
            <w:r>
              <w:rPr>
                <w:rFonts w:hint="default" w:ascii="Times New Roman" w:hAnsi="Times New Roman" w:cs="Times New Roman"/>
                <w:color w:val="auto"/>
                <w:lang w:eastAsia="zh-CN"/>
              </w:rPr>
              <w:t>）</w:t>
            </w:r>
          </w:p>
        </w:tc>
        <w:tc>
          <w:tcPr>
            <w:tcW w:w="1758" w:type="pct"/>
            <w:tcBorders>
              <w:tl2br w:val="nil"/>
              <w:tr2bl w:val="nil"/>
            </w:tcBorders>
            <w:vAlign w:val="center"/>
          </w:tcPr>
          <w:p w14:paraId="2D564A91">
            <w:pPr>
              <w:pStyle w:val="44"/>
              <w:bidi w:val="0"/>
              <w:rPr>
                <w:rFonts w:hint="default" w:ascii="Times New Roman" w:hAnsi="Times New Roman" w:cs="Times New Roman"/>
                <w:color w:val="auto"/>
              </w:rPr>
            </w:pPr>
            <w:r>
              <w:rPr>
                <w:rFonts w:hint="default" w:ascii="Times New Roman" w:hAnsi="Times New Roman" w:cs="Times New Roman"/>
                <w:color w:val="auto"/>
              </w:rPr>
              <w:t>酸式滴定管</w:t>
            </w:r>
          </w:p>
        </w:tc>
        <w:tc>
          <w:tcPr>
            <w:tcW w:w="931" w:type="pct"/>
            <w:tcBorders>
              <w:tl2br w:val="nil"/>
              <w:tr2bl w:val="nil"/>
            </w:tcBorders>
            <w:vAlign w:val="center"/>
          </w:tcPr>
          <w:p w14:paraId="46EC6BDE">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50</w:t>
            </w:r>
            <w:r>
              <w:rPr>
                <w:rFonts w:hint="default" w:ascii="Times New Roman" w:hAnsi="Times New Roman" w:cs="Times New Roman"/>
                <w:color w:val="auto"/>
              </w:rPr>
              <w:t>m</w:t>
            </w:r>
            <w:r>
              <w:rPr>
                <w:rFonts w:hint="default" w:ascii="Times New Roman" w:hAnsi="Times New Roman" w:cs="Times New Roman"/>
                <w:color w:val="auto"/>
                <w:lang w:val="en-US" w:eastAsia="zh-CN"/>
              </w:rPr>
              <w:t>L</w:t>
            </w:r>
          </w:p>
        </w:tc>
        <w:tc>
          <w:tcPr>
            <w:tcW w:w="1077" w:type="pct"/>
            <w:tcBorders>
              <w:tl2br w:val="nil"/>
              <w:tr2bl w:val="nil"/>
            </w:tcBorders>
            <w:vAlign w:val="center"/>
          </w:tcPr>
          <w:p w14:paraId="5B5DE77E">
            <w:pPr>
              <w:pStyle w:val="44"/>
              <w:bidi w:val="0"/>
              <w:rPr>
                <w:rFonts w:hint="default" w:ascii="Times New Roman" w:hAnsi="Times New Roman" w:cs="Times New Roman"/>
                <w:color w:val="auto"/>
              </w:rPr>
            </w:pPr>
            <w:r>
              <w:rPr>
                <w:rFonts w:hint="default" w:ascii="Times New Roman" w:hAnsi="Times New Roman" w:cs="Times New Roman"/>
                <w:color w:val="auto"/>
              </w:rPr>
              <w:t>——</w:t>
            </w:r>
          </w:p>
        </w:tc>
      </w:tr>
      <w:tr w14:paraId="5AABFB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vMerge w:val="continue"/>
            <w:tcBorders>
              <w:tl2br w:val="nil"/>
              <w:tr2bl w:val="nil"/>
            </w:tcBorders>
            <w:vAlign w:val="center"/>
          </w:tcPr>
          <w:p w14:paraId="179C553D">
            <w:pPr>
              <w:pStyle w:val="44"/>
              <w:bidi w:val="0"/>
              <w:ind w:firstLine="0" w:firstLineChars="0"/>
              <w:rPr>
                <w:rFonts w:hint="default" w:ascii="Times New Roman" w:hAnsi="Times New Roman" w:cs="Times New Roman"/>
                <w:color w:val="auto"/>
                <w:lang w:eastAsia="zh-CN"/>
              </w:rPr>
            </w:pPr>
          </w:p>
        </w:tc>
        <w:tc>
          <w:tcPr>
            <w:tcW w:w="1758" w:type="pct"/>
            <w:tcBorders>
              <w:tl2br w:val="nil"/>
              <w:tr2bl w:val="nil"/>
            </w:tcBorders>
            <w:vAlign w:val="center"/>
          </w:tcPr>
          <w:p w14:paraId="014FF9C1">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电热恒温水浴锅</w:t>
            </w:r>
          </w:p>
        </w:tc>
        <w:tc>
          <w:tcPr>
            <w:tcW w:w="931" w:type="pct"/>
            <w:tcBorders>
              <w:tl2br w:val="nil"/>
              <w:tr2bl w:val="nil"/>
            </w:tcBorders>
            <w:vAlign w:val="center"/>
          </w:tcPr>
          <w:p w14:paraId="3DB8A06C">
            <w:pPr>
              <w:pStyle w:val="44"/>
              <w:bidi w:val="0"/>
              <w:ind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DZKW-S4</w:t>
            </w:r>
          </w:p>
        </w:tc>
        <w:tc>
          <w:tcPr>
            <w:tcW w:w="1077" w:type="pct"/>
            <w:tcBorders>
              <w:tl2br w:val="nil"/>
              <w:tr2bl w:val="nil"/>
            </w:tcBorders>
            <w:vAlign w:val="center"/>
          </w:tcPr>
          <w:p w14:paraId="0D378C5A">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HFYQ-1033</w:t>
            </w:r>
          </w:p>
        </w:tc>
      </w:tr>
      <w:tr w14:paraId="20A4C9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tcBorders>
              <w:tl2br w:val="nil"/>
              <w:tr2bl w:val="nil"/>
            </w:tcBorders>
            <w:vAlign w:val="center"/>
          </w:tcPr>
          <w:p w14:paraId="11889C0B">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rPr>
              <w:t>氨氮</w:t>
            </w:r>
          </w:p>
        </w:tc>
        <w:tc>
          <w:tcPr>
            <w:tcW w:w="1758" w:type="pct"/>
            <w:tcBorders>
              <w:tl2br w:val="nil"/>
              <w:tr2bl w:val="nil"/>
            </w:tcBorders>
            <w:vAlign w:val="center"/>
          </w:tcPr>
          <w:p w14:paraId="18D52C24">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rPr>
              <w:t>紫外可见分光光度计</w:t>
            </w:r>
          </w:p>
        </w:tc>
        <w:tc>
          <w:tcPr>
            <w:tcW w:w="931" w:type="pct"/>
            <w:tcBorders>
              <w:tl2br w:val="nil"/>
              <w:tr2bl w:val="nil"/>
            </w:tcBorders>
            <w:vAlign w:val="center"/>
          </w:tcPr>
          <w:p w14:paraId="7E1E10E9">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eastAsia="zh-CN"/>
              </w:rPr>
              <w:t>T6新世纪</w:t>
            </w:r>
          </w:p>
        </w:tc>
        <w:tc>
          <w:tcPr>
            <w:tcW w:w="1077" w:type="pct"/>
            <w:tcBorders>
              <w:tl2br w:val="nil"/>
              <w:tr2bl w:val="nil"/>
            </w:tcBorders>
            <w:vAlign w:val="center"/>
          </w:tcPr>
          <w:p w14:paraId="7D436E6F">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eastAsia="zh-CN"/>
              </w:rPr>
              <w:t>HFYQ-1049</w:t>
            </w:r>
          </w:p>
        </w:tc>
      </w:tr>
      <w:tr w14:paraId="262317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tcBorders>
              <w:tl2br w:val="nil"/>
              <w:tr2bl w:val="nil"/>
            </w:tcBorders>
            <w:vAlign w:val="center"/>
          </w:tcPr>
          <w:p w14:paraId="4DE8A760">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rPr>
              <w:t>总硬度</w:t>
            </w:r>
          </w:p>
        </w:tc>
        <w:tc>
          <w:tcPr>
            <w:tcW w:w="1758" w:type="pct"/>
            <w:tcBorders>
              <w:tl2br w:val="nil"/>
              <w:tr2bl w:val="nil"/>
            </w:tcBorders>
            <w:vAlign w:val="center"/>
          </w:tcPr>
          <w:p w14:paraId="1FF5D1F6">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rPr>
              <w:t>酸式滴定管</w:t>
            </w:r>
          </w:p>
        </w:tc>
        <w:tc>
          <w:tcPr>
            <w:tcW w:w="931" w:type="pct"/>
            <w:tcBorders>
              <w:tl2br w:val="nil"/>
              <w:tr2bl w:val="nil"/>
            </w:tcBorders>
            <w:vAlign w:val="center"/>
          </w:tcPr>
          <w:p w14:paraId="03302C95">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50</w:t>
            </w:r>
            <w:r>
              <w:rPr>
                <w:rFonts w:hint="default" w:ascii="Times New Roman" w:hAnsi="Times New Roman" w:cs="Times New Roman"/>
                <w:color w:val="auto"/>
              </w:rPr>
              <w:t>m</w:t>
            </w:r>
            <w:r>
              <w:rPr>
                <w:rFonts w:hint="default" w:ascii="Times New Roman" w:hAnsi="Times New Roman" w:cs="Times New Roman"/>
                <w:color w:val="auto"/>
                <w:lang w:val="en-US" w:eastAsia="zh-CN"/>
              </w:rPr>
              <w:t>L</w:t>
            </w:r>
          </w:p>
        </w:tc>
        <w:tc>
          <w:tcPr>
            <w:tcW w:w="1077" w:type="pct"/>
            <w:tcBorders>
              <w:tl2br w:val="nil"/>
              <w:tr2bl w:val="nil"/>
            </w:tcBorders>
            <w:vAlign w:val="center"/>
          </w:tcPr>
          <w:p w14:paraId="4270EB6E">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rPr>
              <w:t>——</w:t>
            </w:r>
          </w:p>
        </w:tc>
      </w:tr>
      <w:tr w14:paraId="22E8D4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tcBorders>
              <w:tl2br w:val="nil"/>
              <w:tr2bl w:val="nil"/>
            </w:tcBorders>
            <w:vAlign w:val="center"/>
          </w:tcPr>
          <w:p w14:paraId="457C577C">
            <w:pPr>
              <w:pStyle w:val="44"/>
              <w:bidi w:val="0"/>
              <w:rPr>
                <w:rFonts w:hint="default" w:ascii="Times New Roman" w:hAnsi="Times New Roman" w:cs="Times New Roman"/>
                <w:color w:val="auto"/>
              </w:rPr>
            </w:pPr>
            <w:r>
              <w:rPr>
                <w:rFonts w:hint="default" w:ascii="Times New Roman" w:hAnsi="Times New Roman" w:cs="Times New Roman"/>
                <w:color w:val="auto"/>
              </w:rPr>
              <w:t>硝酸盐</w:t>
            </w:r>
          </w:p>
          <w:p w14:paraId="4483A7E9">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以N计</w:t>
            </w:r>
            <w:r>
              <w:rPr>
                <w:rFonts w:hint="default" w:ascii="Times New Roman" w:hAnsi="Times New Roman" w:cs="Times New Roman"/>
                <w:color w:val="auto"/>
                <w:lang w:eastAsia="zh-CN"/>
              </w:rPr>
              <w:t>）</w:t>
            </w:r>
          </w:p>
        </w:tc>
        <w:tc>
          <w:tcPr>
            <w:tcW w:w="1758" w:type="pct"/>
            <w:tcBorders>
              <w:tl2br w:val="nil"/>
              <w:tr2bl w:val="nil"/>
            </w:tcBorders>
            <w:vAlign w:val="center"/>
          </w:tcPr>
          <w:p w14:paraId="745D9524">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rPr>
              <w:t>紫外可见分光光度计</w:t>
            </w:r>
          </w:p>
        </w:tc>
        <w:tc>
          <w:tcPr>
            <w:tcW w:w="931" w:type="pct"/>
            <w:tcBorders>
              <w:tl2br w:val="nil"/>
              <w:tr2bl w:val="nil"/>
            </w:tcBorders>
            <w:vAlign w:val="center"/>
          </w:tcPr>
          <w:p w14:paraId="39A7618F">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eastAsia="zh-CN"/>
              </w:rPr>
              <w:t>T6新世纪</w:t>
            </w:r>
          </w:p>
        </w:tc>
        <w:tc>
          <w:tcPr>
            <w:tcW w:w="1077" w:type="pct"/>
            <w:tcBorders>
              <w:tl2br w:val="nil"/>
              <w:tr2bl w:val="nil"/>
            </w:tcBorders>
            <w:vAlign w:val="center"/>
          </w:tcPr>
          <w:p w14:paraId="765E7673">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eastAsia="zh-CN"/>
              </w:rPr>
              <w:t>HFYQ-1049</w:t>
            </w:r>
          </w:p>
        </w:tc>
      </w:tr>
      <w:tr w14:paraId="72872A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tcBorders>
              <w:tl2br w:val="nil"/>
              <w:tr2bl w:val="nil"/>
            </w:tcBorders>
            <w:vAlign w:val="center"/>
          </w:tcPr>
          <w:p w14:paraId="604665E1">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rPr>
              <w:t>亚硝酸盐</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以N计</w:t>
            </w:r>
            <w:r>
              <w:rPr>
                <w:rFonts w:hint="default" w:ascii="Times New Roman" w:hAnsi="Times New Roman" w:cs="Times New Roman"/>
                <w:color w:val="auto"/>
                <w:lang w:eastAsia="zh-CN"/>
              </w:rPr>
              <w:t>）</w:t>
            </w:r>
          </w:p>
        </w:tc>
        <w:tc>
          <w:tcPr>
            <w:tcW w:w="1758" w:type="pct"/>
            <w:tcBorders>
              <w:tl2br w:val="nil"/>
              <w:tr2bl w:val="nil"/>
            </w:tcBorders>
            <w:vAlign w:val="center"/>
          </w:tcPr>
          <w:p w14:paraId="6825FA0C">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紫外可见分光光度计</w:t>
            </w:r>
          </w:p>
        </w:tc>
        <w:tc>
          <w:tcPr>
            <w:tcW w:w="931" w:type="pct"/>
            <w:tcBorders>
              <w:tl2br w:val="nil"/>
              <w:tr2bl w:val="nil"/>
            </w:tcBorders>
            <w:vAlign w:val="center"/>
          </w:tcPr>
          <w:p w14:paraId="2D94A59B">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T6新世纪</w:t>
            </w:r>
          </w:p>
        </w:tc>
        <w:tc>
          <w:tcPr>
            <w:tcW w:w="1077" w:type="pct"/>
            <w:tcBorders>
              <w:tl2br w:val="nil"/>
              <w:tr2bl w:val="nil"/>
            </w:tcBorders>
            <w:vAlign w:val="center"/>
          </w:tcPr>
          <w:p w14:paraId="39DE7BDE">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HFYQ-1049</w:t>
            </w:r>
          </w:p>
        </w:tc>
      </w:tr>
      <w:tr w14:paraId="46919F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tcBorders>
              <w:tl2br w:val="nil"/>
              <w:tr2bl w:val="nil"/>
            </w:tcBorders>
            <w:vAlign w:val="center"/>
          </w:tcPr>
          <w:p w14:paraId="0E8D89C6">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rPr>
              <w:t>硫酸盐</w:t>
            </w:r>
          </w:p>
        </w:tc>
        <w:tc>
          <w:tcPr>
            <w:tcW w:w="1758" w:type="pct"/>
            <w:tcBorders>
              <w:tl2br w:val="nil"/>
              <w:tr2bl w:val="nil"/>
            </w:tcBorders>
            <w:vAlign w:val="center"/>
          </w:tcPr>
          <w:p w14:paraId="7EEAAB50">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紫外可见分光光度计</w:t>
            </w:r>
          </w:p>
        </w:tc>
        <w:tc>
          <w:tcPr>
            <w:tcW w:w="931" w:type="pct"/>
            <w:tcBorders>
              <w:tl2br w:val="nil"/>
              <w:tr2bl w:val="nil"/>
            </w:tcBorders>
            <w:vAlign w:val="center"/>
          </w:tcPr>
          <w:p w14:paraId="258F5179">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T6新世纪</w:t>
            </w:r>
          </w:p>
        </w:tc>
        <w:tc>
          <w:tcPr>
            <w:tcW w:w="1077" w:type="pct"/>
            <w:tcBorders>
              <w:tl2br w:val="nil"/>
              <w:tr2bl w:val="nil"/>
            </w:tcBorders>
            <w:vAlign w:val="center"/>
          </w:tcPr>
          <w:p w14:paraId="545C012A">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HFYQ-1049</w:t>
            </w:r>
          </w:p>
        </w:tc>
      </w:tr>
      <w:tr w14:paraId="504821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tcBorders>
              <w:tl2br w:val="nil"/>
              <w:tr2bl w:val="nil"/>
            </w:tcBorders>
            <w:vAlign w:val="center"/>
          </w:tcPr>
          <w:p w14:paraId="2A25BE0C">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rPr>
              <w:t>氯化物</w:t>
            </w:r>
          </w:p>
        </w:tc>
        <w:tc>
          <w:tcPr>
            <w:tcW w:w="1758" w:type="pct"/>
            <w:tcBorders>
              <w:tl2br w:val="nil"/>
              <w:tr2bl w:val="nil"/>
            </w:tcBorders>
            <w:vAlign w:val="center"/>
          </w:tcPr>
          <w:p w14:paraId="2B2B876B">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rPr>
              <w:t>酸式滴定管</w:t>
            </w:r>
          </w:p>
        </w:tc>
        <w:tc>
          <w:tcPr>
            <w:tcW w:w="931" w:type="pct"/>
            <w:tcBorders>
              <w:tl2br w:val="nil"/>
              <w:tr2bl w:val="nil"/>
            </w:tcBorders>
            <w:vAlign w:val="center"/>
          </w:tcPr>
          <w:p w14:paraId="5AB24EA7">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50</w:t>
            </w:r>
            <w:r>
              <w:rPr>
                <w:rFonts w:hint="default" w:ascii="Times New Roman" w:hAnsi="Times New Roman" w:cs="Times New Roman"/>
                <w:color w:val="auto"/>
              </w:rPr>
              <w:t>m</w:t>
            </w:r>
            <w:r>
              <w:rPr>
                <w:rFonts w:hint="default" w:ascii="Times New Roman" w:hAnsi="Times New Roman" w:cs="Times New Roman"/>
                <w:color w:val="auto"/>
                <w:lang w:val="en-US" w:eastAsia="zh-CN"/>
              </w:rPr>
              <w:t>L</w:t>
            </w:r>
          </w:p>
        </w:tc>
        <w:tc>
          <w:tcPr>
            <w:tcW w:w="1077" w:type="pct"/>
            <w:tcBorders>
              <w:tl2br w:val="nil"/>
              <w:tr2bl w:val="nil"/>
            </w:tcBorders>
            <w:vAlign w:val="center"/>
          </w:tcPr>
          <w:p w14:paraId="48C48EC0">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rPr>
              <w:t>——</w:t>
            </w:r>
          </w:p>
        </w:tc>
      </w:tr>
      <w:tr w14:paraId="19A7AF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tcBorders>
              <w:tl2br w:val="nil"/>
              <w:tr2bl w:val="nil"/>
            </w:tcBorders>
            <w:vAlign w:val="center"/>
          </w:tcPr>
          <w:p w14:paraId="659104A2">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rPr>
              <w:t>铁</w:t>
            </w:r>
            <w:r>
              <w:rPr>
                <w:rFonts w:hint="default" w:ascii="Times New Roman" w:hAnsi="Times New Roman" w:cs="Times New Roman"/>
                <w:color w:val="auto"/>
                <w:lang w:eastAsia="zh-CN"/>
              </w:rPr>
              <w:t>、</w:t>
            </w:r>
            <w:r>
              <w:rPr>
                <w:rFonts w:hint="default" w:ascii="Times New Roman" w:hAnsi="Times New Roman" w:cs="Times New Roman"/>
                <w:color w:val="auto"/>
              </w:rPr>
              <w:t>锰</w:t>
            </w:r>
          </w:p>
        </w:tc>
        <w:tc>
          <w:tcPr>
            <w:tcW w:w="1758" w:type="pct"/>
            <w:tcBorders>
              <w:tl2br w:val="nil"/>
              <w:tr2bl w:val="nil"/>
            </w:tcBorders>
            <w:vAlign w:val="center"/>
          </w:tcPr>
          <w:p w14:paraId="61E4D7E8">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原子吸收分光光度计</w:t>
            </w:r>
          </w:p>
        </w:tc>
        <w:tc>
          <w:tcPr>
            <w:tcW w:w="931" w:type="pct"/>
            <w:tcBorders>
              <w:tl2br w:val="nil"/>
              <w:tr2bl w:val="nil"/>
            </w:tcBorders>
            <w:vAlign w:val="center"/>
          </w:tcPr>
          <w:p w14:paraId="4718836B">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TAS-990AFG</w:t>
            </w:r>
          </w:p>
        </w:tc>
        <w:tc>
          <w:tcPr>
            <w:tcW w:w="1077" w:type="pct"/>
            <w:tcBorders>
              <w:tl2br w:val="nil"/>
              <w:tr2bl w:val="nil"/>
            </w:tcBorders>
            <w:vAlign w:val="center"/>
          </w:tcPr>
          <w:p w14:paraId="5AC80E6A">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HFYQ-1005</w:t>
            </w:r>
          </w:p>
        </w:tc>
      </w:tr>
      <w:tr w14:paraId="3F7C1A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vMerge w:val="restart"/>
            <w:tcBorders>
              <w:tl2br w:val="nil"/>
              <w:tr2bl w:val="nil"/>
            </w:tcBorders>
            <w:vAlign w:val="center"/>
          </w:tcPr>
          <w:p w14:paraId="7D398A9C">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rPr>
              <w:t>总大肠菌群</w:t>
            </w:r>
          </w:p>
        </w:tc>
        <w:tc>
          <w:tcPr>
            <w:tcW w:w="1758" w:type="pct"/>
            <w:tcBorders>
              <w:tl2br w:val="nil"/>
              <w:tr2bl w:val="nil"/>
            </w:tcBorders>
            <w:vAlign w:val="center"/>
          </w:tcPr>
          <w:p w14:paraId="6F18FE94">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电热恒温培养箱</w:t>
            </w:r>
          </w:p>
        </w:tc>
        <w:tc>
          <w:tcPr>
            <w:tcW w:w="931" w:type="pct"/>
            <w:tcBorders>
              <w:tl2br w:val="nil"/>
              <w:tr2bl w:val="nil"/>
            </w:tcBorders>
            <w:vAlign w:val="center"/>
          </w:tcPr>
          <w:p w14:paraId="525BEF21">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HN-36BS</w:t>
            </w:r>
          </w:p>
        </w:tc>
        <w:tc>
          <w:tcPr>
            <w:tcW w:w="1077" w:type="pct"/>
            <w:tcBorders>
              <w:tl2br w:val="nil"/>
              <w:tr2bl w:val="nil"/>
            </w:tcBorders>
            <w:vAlign w:val="center"/>
          </w:tcPr>
          <w:p w14:paraId="340BB7C2">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HFYQ-1022</w:t>
            </w:r>
          </w:p>
        </w:tc>
      </w:tr>
      <w:tr w14:paraId="502392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vMerge w:val="continue"/>
            <w:tcBorders>
              <w:tl2br w:val="nil"/>
              <w:tr2bl w:val="nil"/>
            </w:tcBorders>
            <w:vAlign w:val="center"/>
          </w:tcPr>
          <w:p w14:paraId="51B533EC">
            <w:pPr>
              <w:pStyle w:val="44"/>
              <w:bidi w:val="0"/>
              <w:ind w:firstLine="0" w:firstLineChars="0"/>
              <w:rPr>
                <w:rFonts w:hint="default" w:ascii="Times New Roman" w:hAnsi="Times New Roman" w:cs="Times New Roman"/>
                <w:color w:val="auto"/>
              </w:rPr>
            </w:pPr>
          </w:p>
        </w:tc>
        <w:tc>
          <w:tcPr>
            <w:tcW w:w="1758" w:type="pct"/>
            <w:tcBorders>
              <w:tl2br w:val="nil"/>
              <w:tr2bl w:val="nil"/>
            </w:tcBorders>
            <w:vAlign w:val="center"/>
          </w:tcPr>
          <w:p w14:paraId="570EB4E9">
            <w:pPr>
              <w:pStyle w:val="44"/>
              <w:bidi w:val="0"/>
              <w:ind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手提式压力蒸汽灭菌器</w:t>
            </w:r>
          </w:p>
        </w:tc>
        <w:tc>
          <w:tcPr>
            <w:tcW w:w="931" w:type="pct"/>
            <w:tcBorders>
              <w:tl2br w:val="nil"/>
              <w:tr2bl w:val="nil"/>
            </w:tcBorders>
            <w:vAlign w:val="center"/>
          </w:tcPr>
          <w:p w14:paraId="213C78BF">
            <w:pPr>
              <w:pStyle w:val="44"/>
              <w:bidi w:val="0"/>
              <w:ind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JSM280G-18</w:t>
            </w:r>
          </w:p>
        </w:tc>
        <w:tc>
          <w:tcPr>
            <w:tcW w:w="1077" w:type="pct"/>
            <w:tcBorders>
              <w:tl2br w:val="nil"/>
              <w:tr2bl w:val="nil"/>
            </w:tcBorders>
            <w:vAlign w:val="center"/>
          </w:tcPr>
          <w:p w14:paraId="60A5E85C">
            <w:pPr>
              <w:pStyle w:val="44"/>
              <w:bidi w:val="0"/>
              <w:ind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HFYQ-1019</w:t>
            </w:r>
          </w:p>
        </w:tc>
      </w:tr>
      <w:tr w14:paraId="7FB907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tcBorders>
              <w:tl2br w:val="nil"/>
              <w:tr2bl w:val="nil"/>
            </w:tcBorders>
            <w:vAlign w:val="center"/>
          </w:tcPr>
          <w:p w14:paraId="6984AF73">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rPr>
              <w:t>挥发酚</w:t>
            </w:r>
          </w:p>
        </w:tc>
        <w:tc>
          <w:tcPr>
            <w:tcW w:w="1758" w:type="pct"/>
            <w:tcBorders>
              <w:tl2br w:val="nil"/>
              <w:tr2bl w:val="nil"/>
            </w:tcBorders>
            <w:vAlign w:val="center"/>
          </w:tcPr>
          <w:p w14:paraId="63D0C102">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紫外可见分光光度计</w:t>
            </w:r>
          </w:p>
        </w:tc>
        <w:tc>
          <w:tcPr>
            <w:tcW w:w="931" w:type="pct"/>
            <w:tcBorders>
              <w:tl2br w:val="nil"/>
              <w:tr2bl w:val="nil"/>
            </w:tcBorders>
            <w:vAlign w:val="center"/>
          </w:tcPr>
          <w:p w14:paraId="6E2ED6DE">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T6新世纪</w:t>
            </w:r>
          </w:p>
        </w:tc>
        <w:tc>
          <w:tcPr>
            <w:tcW w:w="1077" w:type="pct"/>
            <w:tcBorders>
              <w:tl2br w:val="nil"/>
              <w:tr2bl w:val="nil"/>
            </w:tcBorders>
            <w:vAlign w:val="center"/>
          </w:tcPr>
          <w:p w14:paraId="05661D4D">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HFYQ-1049</w:t>
            </w:r>
          </w:p>
        </w:tc>
      </w:tr>
      <w:tr w14:paraId="5BF781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tcBorders>
              <w:tl2br w:val="nil"/>
              <w:tr2bl w:val="nil"/>
            </w:tcBorders>
            <w:vAlign w:val="center"/>
          </w:tcPr>
          <w:p w14:paraId="59919F3F">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rPr>
              <w:t>氰化物</w:t>
            </w:r>
          </w:p>
        </w:tc>
        <w:tc>
          <w:tcPr>
            <w:tcW w:w="1758" w:type="pct"/>
            <w:tcBorders>
              <w:tl2br w:val="nil"/>
              <w:tr2bl w:val="nil"/>
            </w:tcBorders>
            <w:vAlign w:val="center"/>
          </w:tcPr>
          <w:p w14:paraId="52953DD9">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紫外可见分光光度计</w:t>
            </w:r>
          </w:p>
        </w:tc>
        <w:tc>
          <w:tcPr>
            <w:tcW w:w="931" w:type="pct"/>
            <w:tcBorders>
              <w:tl2br w:val="nil"/>
              <w:tr2bl w:val="nil"/>
            </w:tcBorders>
            <w:vAlign w:val="center"/>
          </w:tcPr>
          <w:p w14:paraId="7E9D44EB">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T6新世纪</w:t>
            </w:r>
          </w:p>
        </w:tc>
        <w:tc>
          <w:tcPr>
            <w:tcW w:w="1077" w:type="pct"/>
            <w:tcBorders>
              <w:tl2br w:val="nil"/>
              <w:tr2bl w:val="nil"/>
            </w:tcBorders>
            <w:vAlign w:val="center"/>
          </w:tcPr>
          <w:p w14:paraId="1CBE2FA7">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HFYQ-1049</w:t>
            </w:r>
          </w:p>
        </w:tc>
      </w:tr>
      <w:tr w14:paraId="78ACF7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tcBorders>
              <w:tl2br w:val="nil"/>
              <w:tr2bl w:val="nil"/>
            </w:tcBorders>
            <w:vAlign w:val="center"/>
          </w:tcPr>
          <w:p w14:paraId="74B230A2">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rPr>
              <w:t>砷</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汞</w:t>
            </w:r>
          </w:p>
        </w:tc>
        <w:tc>
          <w:tcPr>
            <w:tcW w:w="1758" w:type="pct"/>
            <w:tcBorders>
              <w:tl2br w:val="nil"/>
              <w:tr2bl w:val="nil"/>
            </w:tcBorders>
            <w:vAlign w:val="center"/>
          </w:tcPr>
          <w:p w14:paraId="5180B106">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原子荧光光度计</w:t>
            </w:r>
          </w:p>
        </w:tc>
        <w:tc>
          <w:tcPr>
            <w:tcW w:w="931" w:type="pct"/>
            <w:tcBorders>
              <w:tl2br w:val="nil"/>
              <w:tr2bl w:val="nil"/>
            </w:tcBorders>
            <w:vAlign w:val="center"/>
          </w:tcPr>
          <w:p w14:paraId="13037C19">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AFS-2202E</w:t>
            </w:r>
          </w:p>
        </w:tc>
        <w:tc>
          <w:tcPr>
            <w:tcW w:w="1077" w:type="pct"/>
            <w:tcBorders>
              <w:tl2br w:val="nil"/>
              <w:tr2bl w:val="nil"/>
            </w:tcBorders>
            <w:vAlign w:val="center"/>
          </w:tcPr>
          <w:p w14:paraId="66EB1737">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HFYQ-1006</w:t>
            </w:r>
          </w:p>
        </w:tc>
      </w:tr>
      <w:tr w14:paraId="71C839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tcBorders>
              <w:tl2br w:val="nil"/>
              <w:tr2bl w:val="nil"/>
            </w:tcBorders>
            <w:vAlign w:val="center"/>
          </w:tcPr>
          <w:p w14:paraId="15C306E7">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rPr>
              <w:t>六价铬</w:t>
            </w:r>
          </w:p>
        </w:tc>
        <w:tc>
          <w:tcPr>
            <w:tcW w:w="1758" w:type="pct"/>
            <w:tcBorders>
              <w:tl2br w:val="nil"/>
              <w:tr2bl w:val="nil"/>
            </w:tcBorders>
            <w:vAlign w:val="center"/>
          </w:tcPr>
          <w:p w14:paraId="1BF5E3B2">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紫外可见分光光度计</w:t>
            </w:r>
          </w:p>
        </w:tc>
        <w:tc>
          <w:tcPr>
            <w:tcW w:w="931" w:type="pct"/>
            <w:tcBorders>
              <w:tl2br w:val="nil"/>
              <w:tr2bl w:val="nil"/>
            </w:tcBorders>
            <w:vAlign w:val="center"/>
          </w:tcPr>
          <w:p w14:paraId="2E16D065">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T6新世纪</w:t>
            </w:r>
          </w:p>
        </w:tc>
        <w:tc>
          <w:tcPr>
            <w:tcW w:w="1077" w:type="pct"/>
            <w:tcBorders>
              <w:tl2br w:val="nil"/>
              <w:tr2bl w:val="nil"/>
            </w:tcBorders>
            <w:vAlign w:val="center"/>
          </w:tcPr>
          <w:p w14:paraId="74B3FEF2">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HFYQ-1049</w:t>
            </w:r>
          </w:p>
        </w:tc>
      </w:tr>
      <w:tr w14:paraId="421B86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tcBorders>
              <w:tl2br w:val="nil"/>
              <w:tr2bl w:val="nil"/>
            </w:tcBorders>
            <w:vAlign w:val="center"/>
          </w:tcPr>
          <w:p w14:paraId="08052063">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rPr>
              <w:t>铅</w:t>
            </w:r>
          </w:p>
        </w:tc>
        <w:tc>
          <w:tcPr>
            <w:tcW w:w="1758" w:type="pct"/>
            <w:tcBorders>
              <w:tl2br w:val="nil"/>
              <w:tr2bl w:val="nil"/>
            </w:tcBorders>
            <w:vAlign w:val="center"/>
          </w:tcPr>
          <w:p w14:paraId="39707F3B">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原子吸收分光光度计</w:t>
            </w:r>
          </w:p>
        </w:tc>
        <w:tc>
          <w:tcPr>
            <w:tcW w:w="931" w:type="pct"/>
            <w:tcBorders>
              <w:tl2br w:val="nil"/>
              <w:tr2bl w:val="nil"/>
            </w:tcBorders>
            <w:vAlign w:val="center"/>
          </w:tcPr>
          <w:p w14:paraId="5585BB17">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TAS-990AFG</w:t>
            </w:r>
          </w:p>
        </w:tc>
        <w:tc>
          <w:tcPr>
            <w:tcW w:w="1077" w:type="pct"/>
            <w:tcBorders>
              <w:tl2br w:val="nil"/>
              <w:tr2bl w:val="nil"/>
            </w:tcBorders>
            <w:vAlign w:val="center"/>
          </w:tcPr>
          <w:p w14:paraId="04C67CD1">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HFYQ-1005</w:t>
            </w:r>
          </w:p>
        </w:tc>
      </w:tr>
      <w:tr w14:paraId="48C009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tcBorders>
              <w:tl2br w:val="nil"/>
              <w:tr2bl w:val="nil"/>
            </w:tcBorders>
            <w:vAlign w:val="center"/>
          </w:tcPr>
          <w:p w14:paraId="17CE64F9">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rPr>
              <w:t>镉</w:t>
            </w:r>
          </w:p>
        </w:tc>
        <w:tc>
          <w:tcPr>
            <w:tcW w:w="1758" w:type="pct"/>
            <w:tcBorders>
              <w:tl2br w:val="nil"/>
              <w:tr2bl w:val="nil"/>
            </w:tcBorders>
            <w:vAlign w:val="center"/>
          </w:tcPr>
          <w:p w14:paraId="712BA45C">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原子吸收分光光度计</w:t>
            </w:r>
          </w:p>
        </w:tc>
        <w:tc>
          <w:tcPr>
            <w:tcW w:w="931" w:type="pct"/>
            <w:tcBorders>
              <w:tl2br w:val="nil"/>
              <w:tr2bl w:val="nil"/>
            </w:tcBorders>
            <w:vAlign w:val="center"/>
          </w:tcPr>
          <w:p w14:paraId="78EA9262">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TAS-990AFG</w:t>
            </w:r>
          </w:p>
        </w:tc>
        <w:tc>
          <w:tcPr>
            <w:tcW w:w="1077" w:type="pct"/>
            <w:tcBorders>
              <w:tl2br w:val="nil"/>
              <w:tr2bl w:val="nil"/>
            </w:tcBorders>
            <w:vAlign w:val="center"/>
          </w:tcPr>
          <w:p w14:paraId="33B9739D">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HFYQ-1005</w:t>
            </w:r>
          </w:p>
        </w:tc>
      </w:tr>
      <w:tr w14:paraId="733870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tcBorders>
              <w:tl2br w:val="nil"/>
              <w:tr2bl w:val="nil"/>
            </w:tcBorders>
            <w:vAlign w:val="center"/>
          </w:tcPr>
          <w:p w14:paraId="3A4DA6B1">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rPr>
              <w:t>氟</w:t>
            </w:r>
            <w:r>
              <w:rPr>
                <w:rFonts w:hint="default" w:ascii="Times New Roman" w:hAnsi="Times New Roman" w:cs="Times New Roman"/>
                <w:color w:val="auto"/>
                <w:lang w:eastAsia="zh-CN"/>
              </w:rPr>
              <w:t>化物</w:t>
            </w:r>
          </w:p>
        </w:tc>
        <w:tc>
          <w:tcPr>
            <w:tcW w:w="1758" w:type="pct"/>
            <w:tcBorders>
              <w:tl2br w:val="nil"/>
              <w:tr2bl w:val="nil"/>
            </w:tcBorders>
            <w:vAlign w:val="center"/>
          </w:tcPr>
          <w:p w14:paraId="0073CA2F">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紫外可见分光光度计</w:t>
            </w:r>
          </w:p>
        </w:tc>
        <w:tc>
          <w:tcPr>
            <w:tcW w:w="931" w:type="pct"/>
            <w:tcBorders>
              <w:tl2br w:val="nil"/>
              <w:tr2bl w:val="nil"/>
            </w:tcBorders>
            <w:vAlign w:val="center"/>
          </w:tcPr>
          <w:p w14:paraId="5DA983C4">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T6新世纪</w:t>
            </w:r>
          </w:p>
        </w:tc>
        <w:tc>
          <w:tcPr>
            <w:tcW w:w="1077" w:type="pct"/>
            <w:tcBorders>
              <w:tl2br w:val="nil"/>
              <w:tr2bl w:val="nil"/>
            </w:tcBorders>
            <w:vAlign w:val="center"/>
          </w:tcPr>
          <w:p w14:paraId="3E19491C">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HFYQ-1049</w:t>
            </w:r>
          </w:p>
        </w:tc>
      </w:tr>
      <w:tr w14:paraId="04768A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tcBorders>
              <w:tl2br w:val="nil"/>
              <w:tr2bl w:val="nil"/>
            </w:tcBorders>
            <w:vAlign w:val="center"/>
          </w:tcPr>
          <w:p w14:paraId="6A58A621">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rPr>
              <w:t>溶解性总固体</w:t>
            </w:r>
          </w:p>
        </w:tc>
        <w:tc>
          <w:tcPr>
            <w:tcW w:w="1758" w:type="pct"/>
            <w:tcBorders>
              <w:tl2br w:val="nil"/>
              <w:tr2bl w:val="nil"/>
            </w:tcBorders>
            <w:vAlign w:val="center"/>
          </w:tcPr>
          <w:p w14:paraId="3C7C5CCA">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紫外可见分光光度计</w:t>
            </w:r>
          </w:p>
        </w:tc>
        <w:tc>
          <w:tcPr>
            <w:tcW w:w="931" w:type="pct"/>
            <w:tcBorders>
              <w:tl2br w:val="nil"/>
              <w:tr2bl w:val="nil"/>
            </w:tcBorders>
            <w:vAlign w:val="center"/>
          </w:tcPr>
          <w:p w14:paraId="654340E0">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T6新世纪</w:t>
            </w:r>
          </w:p>
        </w:tc>
        <w:tc>
          <w:tcPr>
            <w:tcW w:w="1077" w:type="pct"/>
            <w:tcBorders>
              <w:tl2br w:val="nil"/>
              <w:tr2bl w:val="nil"/>
            </w:tcBorders>
            <w:vAlign w:val="center"/>
          </w:tcPr>
          <w:p w14:paraId="3E743343">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HFYQ-1049</w:t>
            </w:r>
          </w:p>
        </w:tc>
      </w:tr>
      <w:tr w14:paraId="0DF436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vMerge w:val="restart"/>
            <w:tcBorders>
              <w:tl2br w:val="nil"/>
              <w:tr2bl w:val="nil"/>
            </w:tcBorders>
            <w:vAlign w:val="center"/>
          </w:tcPr>
          <w:p w14:paraId="79047D2F">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菌落总数</w:t>
            </w:r>
          </w:p>
        </w:tc>
        <w:tc>
          <w:tcPr>
            <w:tcW w:w="1758" w:type="pct"/>
            <w:tcBorders>
              <w:tl2br w:val="nil"/>
              <w:tr2bl w:val="nil"/>
            </w:tcBorders>
            <w:vAlign w:val="center"/>
          </w:tcPr>
          <w:p w14:paraId="6FF65177">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分析天平</w:t>
            </w:r>
          </w:p>
        </w:tc>
        <w:tc>
          <w:tcPr>
            <w:tcW w:w="931" w:type="pct"/>
            <w:tcBorders>
              <w:tl2br w:val="nil"/>
              <w:tr2bl w:val="nil"/>
            </w:tcBorders>
            <w:vAlign w:val="center"/>
          </w:tcPr>
          <w:p w14:paraId="1763125F">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AUW220D</w:t>
            </w:r>
          </w:p>
        </w:tc>
        <w:tc>
          <w:tcPr>
            <w:tcW w:w="1077" w:type="pct"/>
            <w:tcBorders>
              <w:tl2br w:val="nil"/>
              <w:tr2bl w:val="nil"/>
            </w:tcBorders>
            <w:vAlign w:val="center"/>
          </w:tcPr>
          <w:p w14:paraId="28AE8BD2">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HFYQ-1041</w:t>
            </w:r>
          </w:p>
        </w:tc>
      </w:tr>
      <w:tr w14:paraId="19A209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vMerge w:val="continue"/>
            <w:tcBorders>
              <w:tl2br w:val="nil"/>
              <w:tr2bl w:val="nil"/>
            </w:tcBorders>
            <w:vAlign w:val="center"/>
          </w:tcPr>
          <w:p w14:paraId="52BF2372">
            <w:pPr>
              <w:pStyle w:val="44"/>
              <w:bidi w:val="0"/>
              <w:ind w:firstLine="0" w:firstLineChars="0"/>
              <w:rPr>
                <w:rFonts w:hint="default" w:ascii="Times New Roman" w:hAnsi="Times New Roman" w:cs="Times New Roman"/>
                <w:color w:val="auto"/>
                <w:lang w:val="en-US" w:eastAsia="zh-CN"/>
              </w:rPr>
            </w:pPr>
          </w:p>
        </w:tc>
        <w:tc>
          <w:tcPr>
            <w:tcW w:w="1758" w:type="pct"/>
            <w:tcBorders>
              <w:tl2br w:val="nil"/>
              <w:tr2bl w:val="nil"/>
            </w:tcBorders>
            <w:vAlign w:val="center"/>
          </w:tcPr>
          <w:p w14:paraId="3207238B">
            <w:pPr>
              <w:pStyle w:val="44"/>
              <w:bidi w:val="0"/>
              <w:ind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真空干燥箱</w:t>
            </w:r>
          </w:p>
        </w:tc>
        <w:tc>
          <w:tcPr>
            <w:tcW w:w="931" w:type="pct"/>
            <w:tcBorders>
              <w:tl2br w:val="nil"/>
              <w:tr2bl w:val="nil"/>
            </w:tcBorders>
            <w:vAlign w:val="center"/>
          </w:tcPr>
          <w:p w14:paraId="729108F3">
            <w:pPr>
              <w:pStyle w:val="44"/>
              <w:bidi w:val="0"/>
              <w:ind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DZ-2BCⅣ</w:t>
            </w:r>
          </w:p>
        </w:tc>
        <w:tc>
          <w:tcPr>
            <w:tcW w:w="1077" w:type="pct"/>
            <w:tcBorders>
              <w:tl2br w:val="nil"/>
              <w:tr2bl w:val="nil"/>
            </w:tcBorders>
            <w:vAlign w:val="center"/>
          </w:tcPr>
          <w:p w14:paraId="63FBE095">
            <w:pPr>
              <w:pStyle w:val="44"/>
              <w:bidi w:val="0"/>
              <w:ind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HFYQ-1015</w:t>
            </w:r>
          </w:p>
        </w:tc>
      </w:tr>
    </w:tbl>
    <w:p w14:paraId="5DD63EF1">
      <w:pPr>
        <w:pStyle w:val="25"/>
        <w:bidi w:val="0"/>
        <w:rPr>
          <w:rFonts w:hint="default" w:ascii="Times New Roman" w:hAnsi="Times New Roman" w:cs="Times New Roman"/>
          <w:color w:val="auto"/>
        </w:rPr>
      </w:pPr>
      <w:r>
        <w:rPr>
          <w:rFonts w:hint="default" w:ascii="Times New Roman" w:hAnsi="Times New Roman" w:cs="Times New Roman"/>
          <w:color w:val="auto"/>
          <w:lang w:val="en-US" w:eastAsia="zh-CN"/>
        </w:rPr>
        <w:t>4.2.3.2</w:t>
      </w:r>
      <w:r>
        <w:rPr>
          <w:rFonts w:hint="default" w:ascii="Times New Roman" w:hAnsi="Times New Roman" w:cs="Times New Roman"/>
          <w:color w:val="auto"/>
        </w:rPr>
        <w:t>监测结果与评价</w:t>
      </w:r>
    </w:p>
    <w:p w14:paraId="58F09F8F">
      <w:pPr>
        <w:pStyle w:val="25"/>
        <w:bidi w:val="0"/>
        <w:rPr>
          <w:rFonts w:hint="default" w:ascii="Times New Roman" w:hAnsi="Times New Roman" w:cs="Times New Roman"/>
          <w:color w:val="auto"/>
        </w:rPr>
      </w:pPr>
      <w:r>
        <w:rPr>
          <w:rFonts w:hint="default" w:ascii="Times New Roman" w:hAnsi="Times New Roman" w:cs="Times New Roman"/>
          <w:color w:val="auto"/>
        </w:rPr>
        <w:t xml:space="preserve">地下水监测结果见下表。 </w:t>
      </w:r>
    </w:p>
    <w:p w14:paraId="342103CD">
      <w:pPr>
        <w:pStyle w:val="27"/>
        <w:bidi w:val="0"/>
        <w:rPr>
          <w:rFonts w:hint="default" w:ascii="Times New Roman" w:hAnsi="Times New Roman" w:cs="Times New Roman"/>
          <w:color w:val="auto"/>
        </w:rPr>
      </w:pPr>
      <w:r>
        <w:rPr>
          <w:rFonts w:hint="default" w:ascii="Times New Roman" w:hAnsi="Times New Roman" w:cs="Times New Roman"/>
          <w:color w:val="auto"/>
        </w:rPr>
        <w:t>表4-2-6地下水监测结果表     单位：mg/L</w:t>
      </w:r>
    </w:p>
    <w:tbl>
      <w:tblPr>
        <w:tblStyle w:val="20"/>
        <w:tblW w:w="497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61"/>
        <w:gridCol w:w="1395"/>
        <w:gridCol w:w="1512"/>
        <w:gridCol w:w="1512"/>
        <w:gridCol w:w="1522"/>
        <w:gridCol w:w="1376"/>
      </w:tblGrid>
      <w:tr w14:paraId="47B5DC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blHeader/>
          <w:jc w:val="center"/>
        </w:trPr>
        <w:tc>
          <w:tcPr>
            <w:tcW w:w="681" w:type="pct"/>
            <w:vMerge w:val="restart"/>
            <w:tcBorders>
              <w:tl2br w:val="nil"/>
              <w:tr2bl w:val="nil"/>
            </w:tcBorders>
            <w:noWrap w:val="0"/>
            <w:vAlign w:val="center"/>
          </w:tcPr>
          <w:p w14:paraId="70F81A6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采样时间</w:t>
            </w:r>
          </w:p>
        </w:tc>
        <w:tc>
          <w:tcPr>
            <w:tcW w:w="823" w:type="pct"/>
            <w:vMerge w:val="restart"/>
            <w:tcBorders>
              <w:tl2br w:val="nil"/>
              <w:tr2bl w:val="nil"/>
            </w:tcBorders>
            <w:noWrap w:val="0"/>
            <w:vAlign w:val="center"/>
          </w:tcPr>
          <w:p w14:paraId="2B763735">
            <w:pPr>
              <w:pStyle w:val="44"/>
              <w:bidi w:val="0"/>
              <w:rPr>
                <w:rFonts w:hint="default" w:ascii="Times New Roman" w:hAnsi="Times New Roman" w:cs="Times New Roman"/>
                <w:color w:val="auto"/>
              </w:rPr>
            </w:pPr>
            <w:r>
              <w:rPr>
                <w:rFonts w:hint="default" w:ascii="Times New Roman" w:hAnsi="Times New Roman" w:cs="Times New Roman"/>
                <w:color w:val="auto"/>
              </w:rPr>
              <w:t>检测项目</w:t>
            </w:r>
          </w:p>
        </w:tc>
        <w:tc>
          <w:tcPr>
            <w:tcW w:w="2682" w:type="pct"/>
            <w:gridSpan w:val="3"/>
            <w:tcBorders>
              <w:tl2br w:val="nil"/>
              <w:tr2bl w:val="nil"/>
            </w:tcBorders>
            <w:noWrap w:val="0"/>
            <w:vAlign w:val="center"/>
          </w:tcPr>
          <w:p w14:paraId="71A08407">
            <w:pPr>
              <w:pStyle w:val="44"/>
              <w:bidi w:val="0"/>
              <w:rPr>
                <w:rFonts w:hint="default" w:ascii="Times New Roman" w:hAnsi="Times New Roman" w:cs="Times New Roman"/>
                <w:color w:val="auto"/>
              </w:rPr>
            </w:pPr>
            <w:r>
              <w:rPr>
                <w:rFonts w:hint="default" w:ascii="Times New Roman" w:hAnsi="Times New Roman" w:cs="Times New Roman"/>
                <w:color w:val="auto"/>
              </w:rPr>
              <w:t>检测结果</w:t>
            </w:r>
          </w:p>
        </w:tc>
        <w:tc>
          <w:tcPr>
            <w:tcW w:w="812" w:type="pct"/>
            <w:vMerge w:val="restart"/>
            <w:tcBorders>
              <w:tl2br w:val="nil"/>
              <w:tr2bl w:val="nil"/>
            </w:tcBorders>
            <w:noWrap w:val="0"/>
            <w:vAlign w:val="center"/>
          </w:tcPr>
          <w:p w14:paraId="60C0A69F">
            <w:pPr>
              <w:pStyle w:val="44"/>
              <w:bidi w:val="0"/>
              <w:rPr>
                <w:rFonts w:hint="default" w:ascii="Times New Roman" w:hAnsi="Times New Roman" w:cs="Times New Roman"/>
                <w:color w:val="auto"/>
              </w:rPr>
            </w:pPr>
            <w:r>
              <w:rPr>
                <w:rFonts w:hint="default" w:ascii="Times New Roman" w:hAnsi="Times New Roman" w:cs="Times New Roman"/>
                <w:color w:val="auto"/>
              </w:rPr>
              <w:t>单位</w:t>
            </w:r>
          </w:p>
        </w:tc>
      </w:tr>
      <w:tr w14:paraId="315B53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3" w:hRule="atLeast"/>
          <w:tblHeader/>
          <w:jc w:val="center"/>
        </w:trPr>
        <w:tc>
          <w:tcPr>
            <w:tcW w:w="681" w:type="pct"/>
            <w:vMerge w:val="continue"/>
            <w:tcBorders>
              <w:tl2br w:val="nil"/>
              <w:tr2bl w:val="nil"/>
            </w:tcBorders>
            <w:noWrap w:val="0"/>
            <w:vAlign w:val="center"/>
          </w:tcPr>
          <w:p w14:paraId="11AD6E66">
            <w:pPr>
              <w:pStyle w:val="44"/>
              <w:bidi w:val="0"/>
              <w:rPr>
                <w:rFonts w:hint="default" w:ascii="Times New Roman" w:hAnsi="Times New Roman" w:cs="Times New Roman"/>
                <w:color w:val="auto"/>
                <w:lang w:val="en-US" w:eastAsia="zh-CN"/>
              </w:rPr>
            </w:pPr>
          </w:p>
        </w:tc>
        <w:tc>
          <w:tcPr>
            <w:tcW w:w="823" w:type="pct"/>
            <w:vMerge w:val="continue"/>
            <w:tcBorders>
              <w:tl2br w:val="nil"/>
              <w:tr2bl w:val="nil"/>
            </w:tcBorders>
            <w:noWrap w:val="0"/>
            <w:vAlign w:val="center"/>
          </w:tcPr>
          <w:p w14:paraId="27DB4D02">
            <w:pPr>
              <w:pStyle w:val="44"/>
              <w:bidi w:val="0"/>
              <w:rPr>
                <w:rFonts w:hint="default" w:ascii="Times New Roman" w:hAnsi="Times New Roman" w:cs="Times New Roman"/>
                <w:color w:val="auto"/>
              </w:rPr>
            </w:pPr>
          </w:p>
        </w:tc>
        <w:tc>
          <w:tcPr>
            <w:tcW w:w="892" w:type="pct"/>
            <w:tcBorders>
              <w:tl2br w:val="nil"/>
              <w:tr2bl w:val="nil"/>
            </w:tcBorders>
            <w:noWrap w:val="0"/>
            <w:vAlign w:val="center"/>
          </w:tcPr>
          <w:p w14:paraId="7C4B58D5">
            <w:pPr>
              <w:pStyle w:val="44"/>
              <w:bidi w:val="0"/>
              <w:rPr>
                <w:rFonts w:hint="default" w:ascii="Times New Roman" w:hAnsi="Times New Roman" w:cs="Times New Roman"/>
                <w:color w:val="auto"/>
              </w:rPr>
            </w:pPr>
            <w:r>
              <w:rPr>
                <w:rFonts w:hint="default" w:ascii="Times New Roman" w:hAnsi="Times New Roman" w:cs="Times New Roman"/>
                <w:color w:val="auto"/>
              </w:rPr>
              <w:t>★1#</w:t>
            </w:r>
            <w:r>
              <w:rPr>
                <w:rFonts w:hint="default" w:ascii="Times New Roman" w:hAnsi="Times New Roman" w:cs="Times New Roman"/>
                <w:color w:val="auto"/>
                <w:lang w:val="en-US" w:eastAsia="zh-CN"/>
              </w:rPr>
              <w:t>水质水位监测点1</w:t>
            </w:r>
          </w:p>
        </w:tc>
        <w:tc>
          <w:tcPr>
            <w:tcW w:w="892" w:type="pct"/>
            <w:tcBorders>
              <w:tl2br w:val="nil"/>
              <w:tr2bl w:val="nil"/>
            </w:tcBorders>
            <w:noWrap w:val="0"/>
            <w:vAlign w:val="center"/>
          </w:tcPr>
          <w:p w14:paraId="4027C7DB">
            <w:pPr>
              <w:pStyle w:val="44"/>
              <w:bidi w:val="0"/>
              <w:rPr>
                <w:rFonts w:hint="default" w:ascii="Times New Roman" w:hAnsi="Times New Roman" w:cs="Times New Roman"/>
                <w:color w:val="auto"/>
              </w:rPr>
            </w:pPr>
            <w:r>
              <w:rPr>
                <w:rFonts w:hint="default" w:ascii="Times New Roman" w:hAnsi="Times New Roman" w:cs="Times New Roman"/>
                <w:color w:val="auto"/>
              </w:rPr>
              <w:t>★</w:t>
            </w:r>
            <w:r>
              <w:rPr>
                <w:rFonts w:hint="default" w:ascii="Times New Roman" w:hAnsi="Times New Roman" w:cs="Times New Roman"/>
                <w:color w:val="auto"/>
                <w:lang w:val="en-US" w:eastAsia="zh-CN"/>
              </w:rPr>
              <w:t>2</w:t>
            </w:r>
            <w:r>
              <w:rPr>
                <w:rFonts w:hint="default" w:ascii="Times New Roman" w:hAnsi="Times New Roman" w:cs="Times New Roman"/>
                <w:color w:val="auto"/>
              </w:rPr>
              <w:t>#</w:t>
            </w:r>
            <w:r>
              <w:rPr>
                <w:rFonts w:hint="default" w:ascii="Times New Roman" w:hAnsi="Times New Roman" w:cs="Times New Roman"/>
                <w:color w:val="auto"/>
                <w:lang w:val="en-US" w:eastAsia="zh-CN"/>
              </w:rPr>
              <w:t>水质水位监测点2</w:t>
            </w:r>
          </w:p>
        </w:tc>
        <w:tc>
          <w:tcPr>
            <w:tcW w:w="896" w:type="pct"/>
            <w:tcBorders>
              <w:tl2br w:val="nil"/>
              <w:tr2bl w:val="nil"/>
            </w:tcBorders>
            <w:noWrap w:val="0"/>
            <w:vAlign w:val="center"/>
          </w:tcPr>
          <w:p w14:paraId="517AB00C">
            <w:pPr>
              <w:pStyle w:val="44"/>
              <w:bidi w:val="0"/>
              <w:rPr>
                <w:rFonts w:hint="default" w:ascii="Times New Roman" w:hAnsi="Times New Roman" w:cs="Times New Roman"/>
                <w:color w:val="auto"/>
              </w:rPr>
            </w:pPr>
            <w:r>
              <w:rPr>
                <w:rFonts w:hint="default" w:ascii="Times New Roman" w:hAnsi="Times New Roman" w:cs="Times New Roman"/>
                <w:color w:val="auto"/>
              </w:rPr>
              <w:t>★</w:t>
            </w:r>
            <w:r>
              <w:rPr>
                <w:rFonts w:hint="default" w:ascii="Times New Roman" w:hAnsi="Times New Roman" w:cs="Times New Roman"/>
                <w:color w:val="auto"/>
                <w:lang w:val="en-US" w:eastAsia="zh-CN"/>
              </w:rPr>
              <w:t>3</w:t>
            </w:r>
            <w:r>
              <w:rPr>
                <w:rFonts w:hint="default" w:ascii="Times New Roman" w:hAnsi="Times New Roman" w:cs="Times New Roman"/>
                <w:color w:val="auto"/>
              </w:rPr>
              <w:t>#</w:t>
            </w:r>
            <w:r>
              <w:rPr>
                <w:rFonts w:hint="default" w:ascii="Times New Roman" w:hAnsi="Times New Roman" w:cs="Times New Roman"/>
                <w:color w:val="auto"/>
                <w:lang w:val="en-US" w:eastAsia="zh-CN"/>
              </w:rPr>
              <w:t>水质水位监测点3</w:t>
            </w:r>
          </w:p>
        </w:tc>
        <w:tc>
          <w:tcPr>
            <w:tcW w:w="812" w:type="pct"/>
            <w:vMerge w:val="continue"/>
            <w:tcBorders>
              <w:tl2br w:val="nil"/>
              <w:tr2bl w:val="nil"/>
            </w:tcBorders>
            <w:noWrap w:val="0"/>
            <w:vAlign w:val="center"/>
          </w:tcPr>
          <w:p w14:paraId="32F36AC2">
            <w:pPr>
              <w:pStyle w:val="44"/>
              <w:bidi w:val="0"/>
              <w:rPr>
                <w:rFonts w:hint="default" w:ascii="Times New Roman" w:hAnsi="Times New Roman" w:cs="Times New Roman"/>
                <w:color w:val="auto"/>
              </w:rPr>
            </w:pPr>
          </w:p>
        </w:tc>
      </w:tr>
      <w:tr w14:paraId="1B5B41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681" w:type="pct"/>
            <w:vMerge w:val="restart"/>
            <w:tcBorders>
              <w:tl2br w:val="nil"/>
              <w:tr2bl w:val="nil"/>
            </w:tcBorders>
            <w:noWrap w:val="0"/>
            <w:vAlign w:val="center"/>
          </w:tcPr>
          <w:p w14:paraId="3CACACAF">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2024.08.18</w:t>
            </w:r>
          </w:p>
        </w:tc>
        <w:tc>
          <w:tcPr>
            <w:tcW w:w="823" w:type="pct"/>
            <w:tcBorders>
              <w:tl2br w:val="nil"/>
              <w:tr2bl w:val="nil"/>
            </w:tcBorders>
            <w:noWrap w:val="0"/>
            <w:vAlign w:val="center"/>
          </w:tcPr>
          <w:p w14:paraId="2E1E099D">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K</w:t>
            </w:r>
            <w:r>
              <w:rPr>
                <w:rFonts w:hint="default" w:ascii="Times New Roman" w:hAnsi="Times New Roman" w:cs="Times New Roman"/>
                <w:color w:val="auto"/>
                <w:vertAlign w:val="superscript"/>
                <w:lang w:val="en-US" w:eastAsia="zh-CN"/>
              </w:rPr>
              <w:t>+</w:t>
            </w:r>
          </w:p>
        </w:tc>
        <w:tc>
          <w:tcPr>
            <w:tcW w:w="892" w:type="pct"/>
            <w:tcBorders>
              <w:tl2br w:val="nil"/>
              <w:tr2bl w:val="nil"/>
            </w:tcBorders>
            <w:noWrap w:val="0"/>
            <w:vAlign w:val="center"/>
          </w:tcPr>
          <w:p w14:paraId="087EBDC6">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2.36</w:t>
            </w:r>
          </w:p>
        </w:tc>
        <w:tc>
          <w:tcPr>
            <w:tcW w:w="892" w:type="pct"/>
            <w:tcBorders>
              <w:tl2br w:val="nil"/>
              <w:tr2bl w:val="nil"/>
            </w:tcBorders>
            <w:noWrap w:val="0"/>
            <w:vAlign w:val="center"/>
          </w:tcPr>
          <w:p w14:paraId="0757D816">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1.97</w:t>
            </w:r>
          </w:p>
        </w:tc>
        <w:tc>
          <w:tcPr>
            <w:tcW w:w="896" w:type="pct"/>
            <w:tcBorders>
              <w:tl2br w:val="nil"/>
              <w:tr2bl w:val="nil"/>
            </w:tcBorders>
            <w:noWrap w:val="0"/>
            <w:vAlign w:val="center"/>
          </w:tcPr>
          <w:p w14:paraId="01C4B3A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2.85</w:t>
            </w:r>
          </w:p>
        </w:tc>
        <w:tc>
          <w:tcPr>
            <w:tcW w:w="812" w:type="pct"/>
            <w:tcBorders>
              <w:tl2br w:val="nil"/>
              <w:tr2bl w:val="nil"/>
            </w:tcBorders>
            <w:noWrap w:val="0"/>
            <w:vAlign w:val="center"/>
          </w:tcPr>
          <w:p w14:paraId="04FC564C">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mg/L</w:t>
            </w:r>
          </w:p>
        </w:tc>
      </w:tr>
      <w:tr w14:paraId="58803B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681" w:type="pct"/>
            <w:vMerge w:val="continue"/>
            <w:tcBorders>
              <w:tl2br w:val="nil"/>
              <w:tr2bl w:val="nil"/>
            </w:tcBorders>
            <w:noWrap w:val="0"/>
            <w:vAlign w:val="center"/>
          </w:tcPr>
          <w:p w14:paraId="007AE503">
            <w:pPr>
              <w:pStyle w:val="44"/>
              <w:bidi w:val="0"/>
              <w:rPr>
                <w:rFonts w:hint="default" w:ascii="Times New Roman" w:hAnsi="Times New Roman" w:cs="Times New Roman"/>
                <w:color w:val="auto"/>
              </w:rPr>
            </w:pPr>
          </w:p>
        </w:tc>
        <w:tc>
          <w:tcPr>
            <w:tcW w:w="823" w:type="pct"/>
            <w:tcBorders>
              <w:tl2br w:val="nil"/>
              <w:tr2bl w:val="nil"/>
            </w:tcBorders>
            <w:noWrap w:val="0"/>
            <w:vAlign w:val="center"/>
          </w:tcPr>
          <w:p w14:paraId="0360E23E">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Na</w:t>
            </w:r>
            <w:r>
              <w:rPr>
                <w:rFonts w:hint="default" w:ascii="Times New Roman" w:hAnsi="Times New Roman" w:cs="Times New Roman"/>
                <w:color w:val="auto"/>
                <w:vertAlign w:val="superscript"/>
                <w:lang w:val="en-US" w:eastAsia="zh-CN"/>
              </w:rPr>
              <w:t>+</w:t>
            </w:r>
          </w:p>
        </w:tc>
        <w:tc>
          <w:tcPr>
            <w:tcW w:w="892" w:type="pct"/>
            <w:tcBorders>
              <w:tl2br w:val="nil"/>
              <w:tr2bl w:val="nil"/>
            </w:tcBorders>
            <w:noWrap w:val="0"/>
            <w:vAlign w:val="center"/>
          </w:tcPr>
          <w:p w14:paraId="74A73A25">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7.81</w:t>
            </w:r>
          </w:p>
        </w:tc>
        <w:tc>
          <w:tcPr>
            <w:tcW w:w="892" w:type="pct"/>
            <w:tcBorders>
              <w:tl2br w:val="nil"/>
              <w:tr2bl w:val="nil"/>
            </w:tcBorders>
            <w:noWrap w:val="0"/>
            <w:vAlign w:val="center"/>
          </w:tcPr>
          <w:p w14:paraId="5A7F02B0">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6.34</w:t>
            </w:r>
          </w:p>
        </w:tc>
        <w:tc>
          <w:tcPr>
            <w:tcW w:w="896" w:type="pct"/>
            <w:tcBorders>
              <w:tl2br w:val="nil"/>
              <w:tr2bl w:val="nil"/>
            </w:tcBorders>
            <w:noWrap w:val="0"/>
            <w:vAlign w:val="center"/>
          </w:tcPr>
          <w:p w14:paraId="643AB900">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8.07</w:t>
            </w:r>
          </w:p>
        </w:tc>
        <w:tc>
          <w:tcPr>
            <w:tcW w:w="812" w:type="pct"/>
            <w:tcBorders>
              <w:tl2br w:val="nil"/>
              <w:tr2bl w:val="nil"/>
            </w:tcBorders>
            <w:noWrap w:val="0"/>
            <w:vAlign w:val="center"/>
          </w:tcPr>
          <w:p w14:paraId="22ABB559">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mg/L</w:t>
            </w:r>
          </w:p>
        </w:tc>
      </w:tr>
      <w:tr w14:paraId="2CAD6C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681" w:type="pct"/>
            <w:vMerge w:val="continue"/>
            <w:tcBorders>
              <w:tl2br w:val="nil"/>
              <w:tr2bl w:val="nil"/>
            </w:tcBorders>
            <w:noWrap w:val="0"/>
            <w:vAlign w:val="center"/>
          </w:tcPr>
          <w:p w14:paraId="3E2455E7">
            <w:pPr>
              <w:pStyle w:val="44"/>
              <w:bidi w:val="0"/>
              <w:rPr>
                <w:rFonts w:hint="default" w:ascii="Times New Roman" w:hAnsi="Times New Roman" w:cs="Times New Roman"/>
                <w:color w:val="auto"/>
              </w:rPr>
            </w:pPr>
          </w:p>
        </w:tc>
        <w:tc>
          <w:tcPr>
            <w:tcW w:w="823" w:type="pct"/>
            <w:tcBorders>
              <w:tl2br w:val="nil"/>
              <w:tr2bl w:val="nil"/>
            </w:tcBorders>
            <w:noWrap w:val="0"/>
            <w:vAlign w:val="center"/>
          </w:tcPr>
          <w:p w14:paraId="4D6B239D">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Ca</w:t>
            </w:r>
            <w:r>
              <w:rPr>
                <w:rFonts w:hint="default" w:ascii="Times New Roman" w:hAnsi="Times New Roman" w:cs="Times New Roman"/>
                <w:color w:val="auto"/>
                <w:vertAlign w:val="superscript"/>
                <w:lang w:val="en-US" w:eastAsia="zh-CN"/>
              </w:rPr>
              <w:t>2+</w:t>
            </w:r>
          </w:p>
        </w:tc>
        <w:tc>
          <w:tcPr>
            <w:tcW w:w="892" w:type="pct"/>
            <w:tcBorders>
              <w:tl2br w:val="nil"/>
              <w:tr2bl w:val="nil"/>
            </w:tcBorders>
            <w:noWrap w:val="0"/>
            <w:vAlign w:val="center"/>
          </w:tcPr>
          <w:p w14:paraId="6937871F">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47.9</w:t>
            </w:r>
          </w:p>
        </w:tc>
        <w:tc>
          <w:tcPr>
            <w:tcW w:w="892" w:type="pct"/>
            <w:tcBorders>
              <w:tl2br w:val="nil"/>
              <w:tr2bl w:val="nil"/>
            </w:tcBorders>
            <w:noWrap w:val="0"/>
            <w:vAlign w:val="center"/>
          </w:tcPr>
          <w:p w14:paraId="5763549D">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49.1</w:t>
            </w:r>
          </w:p>
        </w:tc>
        <w:tc>
          <w:tcPr>
            <w:tcW w:w="896" w:type="pct"/>
            <w:tcBorders>
              <w:tl2br w:val="nil"/>
              <w:tr2bl w:val="nil"/>
            </w:tcBorders>
            <w:noWrap w:val="0"/>
            <w:vAlign w:val="center"/>
          </w:tcPr>
          <w:p w14:paraId="6FA13C7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51.6</w:t>
            </w:r>
          </w:p>
        </w:tc>
        <w:tc>
          <w:tcPr>
            <w:tcW w:w="812" w:type="pct"/>
            <w:tcBorders>
              <w:tl2br w:val="nil"/>
              <w:tr2bl w:val="nil"/>
            </w:tcBorders>
            <w:noWrap w:val="0"/>
            <w:vAlign w:val="center"/>
          </w:tcPr>
          <w:p w14:paraId="75631F5F">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mg/L</w:t>
            </w:r>
          </w:p>
        </w:tc>
      </w:tr>
      <w:tr w14:paraId="11908D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681" w:type="pct"/>
            <w:vMerge w:val="continue"/>
            <w:tcBorders>
              <w:tl2br w:val="nil"/>
              <w:tr2bl w:val="nil"/>
            </w:tcBorders>
            <w:noWrap w:val="0"/>
            <w:vAlign w:val="center"/>
          </w:tcPr>
          <w:p w14:paraId="2C8EB93C">
            <w:pPr>
              <w:pStyle w:val="44"/>
              <w:bidi w:val="0"/>
              <w:rPr>
                <w:rFonts w:hint="default" w:ascii="Times New Roman" w:hAnsi="Times New Roman" w:cs="Times New Roman"/>
                <w:color w:val="auto"/>
              </w:rPr>
            </w:pPr>
          </w:p>
        </w:tc>
        <w:tc>
          <w:tcPr>
            <w:tcW w:w="823" w:type="pct"/>
            <w:tcBorders>
              <w:tl2br w:val="nil"/>
              <w:tr2bl w:val="nil"/>
            </w:tcBorders>
            <w:noWrap w:val="0"/>
            <w:vAlign w:val="center"/>
          </w:tcPr>
          <w:p w14:paraId="39414C56">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Mg</w:t>
            </w:r>
            <w:r>
              <w:rPr>
                <w:rFonts w:hint="default" w:ascii="Times New Roman" w:hAnsi="Times New Roman" w:cs="Times New Roman"/>
                <w:color w:val="auto"/>
                <w:vertAlign w:val="superscript"/>
                <w:lang w:val="en-US" w:eastAsia="zh-CN"/>
              </w:rPr>
              <w:t>2+</w:t>
            </w:r>
          </w:p>
        </w:tc>
        <w:tc>
          <w:tcPr>
            <w:tcW w:w="892" w:type="pct"/>
            <w:tcBorders>
              <w:tl2br w:val="nil"/>
              <w:tr2bl w:val="nil"/>
            </w:tcBorders>
            <w:noWrap w:val="0"/>
            <w:vAlign w:val="center"/>
          </w:tcPr>
          <w:p w14:paraId="074D1060">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30.2</w:t>
            </w:r>
          </w:p>
        </w:tc>
        <w:tc>
          <w:tcPr>
            <w:tcW w:w="892" w:type="pct"/>
            <w:tcBorders>
              <w:tl2br w:val="nil"/>
              <w:tr2bl w:val="nil"/>
            </w:tcBorders>
            <w:noWrap w:val="0"/>
            <w:vAlign w:val="center"/>
          </w:tcPr>
          <w:p w14:paraId="59CD663C">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27.4</w:t>
            </w:r>
          </w:p>
        </w:tc>
        <w:tc>
          <w:tcPr>
            <w:tcW w:w="896" w:type="pct"/>
            <w:tcBorders>
              <w:tl2br w:val="nil"/>
              <w:tr2bl w:val="nil"/>
            </w:tcBorders>
            <w:noWrap w:val="0"/>
            <w:vAlign w:val="center"/>
          </w:tcPr>
          <w:p w14:paraId="660D1A62">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31.1</w:t>
            </w:r>
          </w:p>
        </w:tc>
        <w:tc>
          <w:tcPr>
            <w:tcW w:w="812" w:type="pct"/>
            <w:tcBorders>
              <w:tl2br w:val="nil"/>
              <w:tr2bl w:val="nil"/>
            </w:tcBorders>
            <w:noWrap w:val="0"/>
            <w:vAlign w:val="center"/>
          </w:tcPr>
          <w:p w14:paraId="41C9FEE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mg/L</w:t>
            </w:r>
          </w:p>
        </w:tc>
      </w:tr>
      <w:tr w14:paraId="6C6931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681" w:type="pct"/>
            <w:vMerge w:val="continue"/>
            <w:tcBorders>
              <w:tl2br w:val="nil"/>
              <w:tr2bl w:val="nil"/>
            </w:tcBorders>
            <w:noWrap w:val="0"/>
            <w:vAlign w:val="center"/>
          </w:tcPr>
          <w:p w14:paraId="70E76B49">
            <w:pPr>
              <w:pStyle w:val="44"/>
              <w:bidi w:val="0"/>
              <w:rPr>
                <w:rFonts w:hint="default" w:ascii="Times New Roman" w:hAnsi="Times New Roman" w:cs="Times New Roman"/>
                <w:color w:val="auto"/>
              </w:rPr>
            </w:pPr>
          </w:p>
        </w:tc>
        <w:tc>
          <w:tcPr>
            <w:tcW w:w="823" w:type="pct"/>
            <w:tcBorders>
              <w:tl2br w:val="nil"/>
              <w:tr2bl w:val="nil"/>
            </w:tcBorders>
            <w:noWrap w:val="0"/>
            <w:vAlign w:val="center"/>
          </w:tcPr>
          <w:p w14:paraId="3EE85736">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CO</w:t>
            </w:r>
            <w:r>
              <w:rPr>
                <w:rFonts w:hint="default" w:ascii="Times New Roman" w:hAnsi="Times New Roman" w:cs="Times New Roman"/>
                <w:color w:val="auto"/>
                <w:vertAlign w:val="subscript"/>
                <w:lang w:val="en-US" w:eastAsia="zh-CN"/>
              </w:rPr>
              <w:t>3</w:t>
            </w:r>
            <w:r>
              <w:rPr>
                <w:rFonts w:hint="default" w:ascii="Times New Roman" w:hAnsi="Times New Roman" w:cs="Times New Roman"/>
                <w:color w:val="auto"/>
                <w:vertAlign w:val="superscript"/>
                <w:lang w:val="en-US" w:eastAsia="zh-CN"/>
              </w:rPr>
              <w:t>2-</w:t>
            </w:r>
          </w:p>
        </w:tc>
        <w:tc>
          <w:tcPr>
            <w:tcW w:w="892" w:type="pct"/>
            <w:tcBorders>
              <w:tl2br w:val="nil"/>
              <w:tr2bl w:val="nil"/>
            </w:tcBorders>
            <w:noWrap w:val="0"/>
            <w:vAlign w:val="center"/>
          </w:tcPr>
          <w:p w14:paraId="468545F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w:t>
            </w:r>
          </w:p>
        </w:tc>
        <w:tc>
          <w:tcPr>
            <w:tcW w:w="892" w:type="pct"/>
            <w:tcBorders>
              <w:tl2br w:val="nil"/>
              <w:tr2bl w:val="nil"/>
            </w:tcBorders>
            <w:noWrap w:val="0"/>
            <w:vAlign w:val="center"/>
          </w:tcPr>
          <w:p w14:paraId="778CB010">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w:t>
            </w:r>
          </w:p>
        </w:tc>
        <w:tc>
          <w:tcPr>
            <w:tcW w:w="896" w:type="pct"/>
            <w:tcBorders>
              <w:tl2br w:val="nil"/>
              <w:tr2bl w:val="nil"/>
            </w:tcBorders>
            <w:noWrap w:val="0"/>
            <w:vAlign w:val="center"/>
          </w:tcPr>
          <w:p w14:paraId="6FA19893">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w:t>
            </w:r>
          </w:p>
        </w:tc>
        <w:tc>
          <w:tcPr>
            <w:tcW w:w="812" w:type="pct"/>
            <w:tcBorders>
              <w:tl2br w:val="nil"/>
              <w:tr2bl w:val="nil"/>
            </w:tcBorders>
            <w:noWrap w:val="0"/>
            <w:vAlign w:val="center"/>
          </w:tcPr>
          <w:p w14:paraId="478D4CBC">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mg/L</w:t>
            </w:r>
          </w:p>
        </w:tc>
      </w:tr>
      <w:tr w14:paraId="27D042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681" w:type="pct"/>
            <w:vMerge w:val="continue"/>
            <w:tcBorders>
              <w:tl2br w:val="nil"/>
              <w:tr2bl w:val="nil"/>
            </w:tcBorders>
            <w:shd w:val="clear" w:color="auto" w:fill="FFFFFF"/>
            <w:noWrap w:val="0"/>
            <w:vAlign w:val="center"/>
          </w:tcPr>
          <w:p w14:paraId="24207414">
            <w:pPr>
              <w:pStyle w:val="44"/>
              <w:bidi w:val="0"/>
              <w:rPr>
                <w:rFonts w:hint="default" w:ascii="Times New Roman" w:hAnsi="Times New Roman" w:cs="Times New Roman"/>
                <w:color w:val="auto"/>
              </w:rPr>
            </w:pPr>
          </w:p>
        </w:tc>
        <w:tc>
          <w:tcPr>
            <w:tcW w:w="823" w:type="pct"/>
            <w:tcBorders>
              <w:tl2br w:val="nil"/>
              <w:tr2bl w:val="nil"/>
            </w:tcBorders>
            <w:shd w:val="clear" w:color="auto" w:fill="FFFFFF"/>
            <w:noWrap w:val="0"/>
            <w:vAlign w:val="center"/>
          </w:tcPr>
          <w:p w14:paraId="0BF6C5C0">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HCO</w:t>
            </w:r>
            <w:r>
              <w:rPr>
                <w:rFonts w:hint="default" w:ascii="Times New Roman" w:hAnsi="Times New Roman" w:cs="Times New Roman"/>
                <w:color w:val="auto"/>
                <w:vertAlign w:val="superscript"/>
                <w:lang w:val="en-US" w:eastAsia="zh-CN"/>
              </w:rPr>
              <w:t>3-</w:t>
            </w:r>
          </w:p>
        </w:tc>
        <w:tc>
          <w:tcPr>
            <w:tcW w:w="892" w:type="pct"/>
            <w:tcBorders>
              <w:tl2br w:val="nil"/>
              <w:tr2bl w:val="nil"/>
            </w:tcBorders>
            <w:noWrap w:val="0"/>
            <w:vAlign w:val="center"/>
          </w:tcPr>
          <w:p w14:paraId="4336CA89">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257</w:t>
            </w:r>
          </w:p>
        </w:tc>
        <w:tc>
          <w:tcPr>
            <w:tcW w:w="892" w:type="pct"/>
            <w:tcBorders>
              <w:tl2br w:val="nil"/>
              <w:tr2bl w:val="nil"/>
            </w:tcBorders>
            <w:noWrap w:val="0"/>
            <w:vAlign w:val="center"/>
          </w:tcPr>
          <w:p w14:paraId="7DD3DA05">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258</w:t>
            </w:r>
          </w:p>
        </w:tc>
        <w:tc>
          <w:tcPr>
            <w:tcW w:w="896" w:type="pct"/>
            <w:tcBorders>
              <w:tl2br w:val="nil"/>
              <w:tr2bl w:val="nil"/>
            </w:tcBorders>
            <w:noWrap w:val="0"/>
            <w:vAlign w:val="center"/>
          </w:tcPr>
          <w:p w14:paraId="2671F55D">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275</w:t>
            </w:r>
          </w:p>
        </w:tc>
        <w:tc>
          <w:tcPr>
            <w:tcW w:w="812" w:type="pct"/>
            <w:tcBorders>
              <w:tl2br w:val="nil"/>
              <w:tr2bl w:val="nil"/>
            </w:tcBorders>
            <w:noWrap w:val="0"/>
            <w:vAlign w:val="center"/>
          </w:tcPr>
          <w:p w14:paraId="3093B0CD">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mg/L</w:t>
            </w:r>
          </w:p>
        </w:tc>
      </w:tr>
      <w:tr w14:paraId="77907D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681" w:type="pct"/>
            <w:vMerge w:val="continue"/>
            <w:tcBorders>
              <w:tl2br w:val="nil"/>
              <w:tr2bl w:val="nil"/>
            </w:tcBorders>
            <w:shd w:val="clear" w:color="auto" w:fill="FFFFFF"/>
            <w:noWrap w:val="0"/>
            <w:vAlign w:val="center"/>
          </w:tcPr>
          <w:p w14:paraId="0BB90269">
            <w:pPr>
              <w:pStyle w:val="44"/>
              <w:bidi w:val="0"/>
              <w:rPr>
                <w:rFonts w:hint="default" w:ascii="Times New Roman" w:hAnsi="Times New Roman" w:cs="Times New Roman"/>
                <w:color w:val="auto"/>
              </w:rPr>
            </w:pPr>
          </w:p>
        </w:tc>
        <w:tc>
          <w:tcPr>
            <w:tcW w:w="823" w:type="pct"/>
            <w:tcBorders>
              <w:tl2br w:val="nil"/>
              <w:tr2bl w:val="nil"/>
            </w:tcBorders>
            <w:shd w:val="clear" w:color="auto" w:fill="FFFFFF"/>
            <w:noWrap w:val="0"/>
            <w:vAlign w:val="center"/>
          </w:tcPr>
          <w:p w14:paraId="3446F9D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Cl</w:t>
            </w:r>
            <w:r>
              <w:rPr>
                <w:rFonts w:hint="default" w:ascii="Times New Roman" w:hAnsi="Times New Roman" w:cs="Times New Roman"/>
                <w:color w:val="auto"/>
                <w:vertAlign w:val="superscript"/>
                <w:lang w:val="en-US" w:eastAsia="zh-CN"/>
              </w:rPr>
              <w:t>-</w:t>
            </w:r>
          </w:p>
        </w:tc>
        <w:tc>
          <w:tcPr>
            <w:tcW w:w="892" w:type="pct"/>
            <w:tcBorders>
              <w:tl2br w:val="nil"/>
              <w:tr2bl w:val="nil"/>
            </w:tcBorders>
            <w:noWrap w:val="0"/>
            <w:vAlign w:val="center"/>
          </w:tcPr>
          <w:p w14:paraId="7CC0DF72">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6.04</w:t>
            </w:r>
          </w:p>
        </w:tc>
        <w:tc>
          <w:tcPr>
            <w:tcW w:w="892" w:type="pct"/>
            <w:tcBorders>
              <w:tl2br w:val="nil"/>
              <w:tr2bl w:val="nil"/>
            </w:tcBorders>
            <w:noWrap w:val="0"/>
            <w:vAlign w:val="center"/>
          </w:tcPr>
          <w:p w14:paraId="2708BB23">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5.91</w:t>
            </w:r>
          </w:p>
        </w:tc>
        <w:tc>
          <w:tcPr>
            <w:tcW w:w="896" w:type="pct"/>
            <w:tcBorders>
              <w:tl2br w:val="nil"/>
              <w:tr2bl w:val="nil"/>
            </w:tcBorders>
            <w:noWrap w:val="0"/>
            <w:vAlign w:val="center"/>
          </w:tcPr>
          <w:p w14:paraId="5199995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6.52</w:t>
            </w:r>
          </w:p>
        </w:tc>
        <w:tc>
          <w:tcPr>
            <w:tcW w:w="812" w:type="pct"/>
            <w:tcBorders>
              <w:tl2br w:val="nil"/>
              <w:tr2bl w:val="nil"/>
            </w:tcBorders>
            <w:noWrap w:val="0"/>
            <w:vAlign w:val="center"/>
          </w:tcPr>
          <w:p w14:paraId="43B80CAA">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mg/L</w:t>
            </w:r>
          </w:p>
        </w:tc>
      </w:tr>
      <w:tr w14:paraId="01B176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681" w:type="pct"/>
            <w:vMerge w:val="continue"/>
            <w:tcBorders>
              <w:tl2br w:val="nil"/>
              <w:tr2bl w:val="nil"/>
            </w:tcBorders>
            <w:shd w:val="clear" w:color="auto" w:fill="FFFFFF"/>
            <w:noWrap w:val="0"/>
            <w:vAlign w:val="center"/>
          </w:tcPr>
          <w:p w14:paraId="46C2916F">
            <w:pPr>
              <w:pStyle w:val="44"/>
              <w:bidi w:val="0"/>
              <w:rPr>
                <w:rFonts w:hint="default" w:ascii="Times New Roman" w:hAnsi="Times New Roman" w:cs="Times New Roman"/>
                <w:color w:val="auto"/>
              </w:rPr>
            </w:pPr>
          </w:p>
        </w:tc>
        <w:tc>
          <w:tcPr>
            <w:tcW w:w="823" w:type="pct"/>
            <w:tcBorders>
              <w:tl2br w:val="nil"/>
              <w:tr2bl w:val="nil"/>
            </w:tcBorders>
            <w:shd w:val="clear" w:color="auto" w:fill="FFFFFF"/>
            <w:noWrap w:val="0"/>
            <w:vAlign w:val="center"/>
          </w:tcPr>
          <w:p w14:paraId="0E69CEFF">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SO</w:t>
            </w:r>
            <w:r>
              <w:rPr>
                <w:rFonts w:hint="default" w:ascii="Times New Roman" w:hAnsi="Times New Roman" w:cs="Times New Roman"/>
                <w:color w:val="auto"/>
                <w:vertAlign w:val="subscript"/>
                <w:lang w:val="en-US" w:eastAsia="zh-CN"/>
              </w:rPr>
              <w:t>4</w:t>
            </w:r>
            <w:r>
              <w:rPr>
                <w:rFonts w:hint="default" w:ascii="Times New Roman" w:hAnsi="Times New Roman" w:cs="Times New Roman"/>
                <w:color w:val="auto"/>
                <w:vertAlign w:val="superscript"/>
                <w:lang w:val="en-US" w:eastAsia="zh-CN"/>
              </w:rPr>
              <w:t>2-</w:t>
            </w:r>
          </w:p>
        </w:tc>
        <w:tc>
          <w:tcPr>
            <w:tcW w:w="892" w:type="pct"/>
            <w:tcBorders>
              <w:tl2br w:val="nil"/>
              <w:tr2bl w:val="nil"/>
            </w:tcBorders>
            <w:noWrap w:val="0"/>
            <w:vAlign w:val="center"/>
          </w:tcPr>
          <w:p w14:paraId="73B1A972">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29.1</w:t>
            </w:r>
          </w:p>
        </w:tc>
        <w:tc>
          <w:tcPr>
            <w:tcW w:w="892" w:type="pct"/>
            <w:tcBorders>
              <w:tl2br w:val="nil"/>
              <w:tr2bl w:val="nil"/>
            </w:tcBorders>
            <w:noWrap w:val="0"/>
            <w:vAlign w:val="center"/>
          </w:tcPr>
          <w:p w14:paraId="222DA5C4">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18.5</w:t>
            </w:r>
          </w:p>
        </w:tc>
        <w:tc>
          <w:tcPr>
            <w:tcW w:w="896" w:type="pct"/>
            <w:tcBorders>
              <w:tl2br w:val="nil"/>
              <w:tr2bl w:val="nil"/>
            </w:tcBorders>
            <w:noWrap w:val="0"/>
            <w:vAlign w:val="center"/>
          </w:tcPr>
          <w:p w14:paraId="71133A63">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26.7</w:t>
            </w:r>
          </w:p>
        </w:tc>
        <w:tc>
          <w:tcPr>
            <w:tcW w:w="812" w:type="pct"/>
            <w:tcBorders>
              <w:tl2br w:val="nil"/>
              <w:tr2bl w:val="nil"/>
            </w:tcBorders>
            <w:noWrap w:val="0"/>
            <w:vAlign w:val="center"/>
          </w:tcPr>
          <w:p w14:paraId="27DE07E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mg/L</w:t>
            </w:r>
          </w:p>
        </w:tc>
      </w:tr>
      <w:tr w14:paraId="4DA73D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681" w:type="pct"/>
            <w:vMerge w:val="continue"/>
            <w:tcBorders>
              <w:tl2br w:val="nil"/>
              <w:tr2bl w:val="nil"/>
            </w:tcBorders>
            <w:shd w:val="clear" w:color="auto" w:fill="FFFFFF"/>
            <w:noWrap w:val="0"/>
            <w:vAlign w:val="center"/>
          </w:tcPr>
          <w:p w14:paraId="28FF399A">
            <w:pPr>
              <w:pStyle w:val="44"/>
              <w:bidi w:val="0"/>
              <w:rPr>
                <w:rFonts w:hint="default" w:ascii="Times New Roman" w:hAnsi="Times New Roman" w:cs="Times New Roman"/>
                <w:color w:val="auto"/>
              </w:rPr>
            </w:pPr>
          </w:p>
        </w:tc>
        <w:tc>
          <w:tcPr>
            <w:tcW w:w="823" w:type="pct"/>
            <w:tcBorders>
              <w:tl2br w:val="nil"/>
              <w:tr2bl w:val="nil"/>
            </w:tcBorders>
            <w:shd w:val="clear" w:color="auto" w:fill="FFFFFF"/>
            <w:noWrap w:val="0"/>
            <w:vAlign w:val="center"/>
          </w:tcPr>
          <w:p w14:paraId="4DE00500">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pH</w:t>
            </w:r>
          </w:p>
        </w:tc>
        <w:tc>
          <w:tcPr>
            <w:tcW w:w="892" w:type="pct"/>
            <w:tcBorders>
              <w:tl2br w:val="nil"/>
              <w:tr2bl w:val="nil"/>
            </w:tcBorders>
            <w:noWrap w:val="0"/>
            <w:vAlign w:val="center"/>
          </w:tcPr>
          <w:p w14:paraId="362ABF49">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7.4 </w:t>
            </w:r>
          </w:p>
        </w:tc>
        <w:tc>
          <w:tcPr>
            <w:tcW w:w="892" w:type="pct"/>
            <w:tcBorders>
              <w:tl2br w:val="nil"/>
              <w:tr2bl w:val="nil"/>
            </w:tcBorders>
            <w:noWrap w:val="0"/>
            <w:vAlign w:val="center"/>
          </w:tcPr>
          <w:p w14:paraId="22B0EDB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7.5 </w:t>
            </w:r>
          </w:p>
        </w:tc>
        <w:tc>
          <w:tcPr>
            <w:tcW w:w="896" w:type="pct"/>
            <w:tcBorders>
              <w:tl2br w:val="nil"/>
              <w:tr2bl w:val="nil"/>
            </w:tcBorders>
            <w:noWrap w:val="0"/>
            <w:vAlign w:val="center"/>
          </w:tcPr>
          <w:p w14:paraId="1ED6514C">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7.4 </w:t>
            </w:r>
          </w:p>
        </w:tc>
        <w:tc>
          <w:tcPr>
            <w:tcW w:w="812" w:type="pct"/>
            <w:tcBorders>
              <w:tl2br w:val="nil"/>
              <w:tr2bl w:val="nil"/>
            </w:tcBorders>
            <w:noWrap w:val="0"/>
            <w:vAlign w:val="center"/>
          </w:tcPr>
          <w:p w14:paraId="643A5304">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无量纲</w:t>
            </w:r>
          </w:p>
        </w:tc>
      </w:tr>
      <w:tr w14:paraId="4BA3FD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681" w:type="pct"/>
            <w:vMerge w:val="continue"/>
            <w:tcBorders>
              <w:tl2br w:val="nil"/>
              <w:tr2bl w:val="nil"/>
            </w:tcBorders>
            <w:noWrap w:val="0"/>
            <w:vAlign w:val="center"/>
          </w:tcPr>
          <w:p w14:paraId="2E12DF33">
            <w:pPr>
              <w:pStyle w:val="44"/>
              <w:bidi w:val="0"/>
              <w:rPr>
                <w:rFonts w:hint="default" w:ascii="Times New Roman" w:hAnsi="Times New Roman" w:cs="Times New Roman"/>
                <w:color w:val="auto"/>
              </w:rPr>
            </w:pPr>
          </w:p>
        </w:tc>
        <w:tc>
          <w:tcPr>
            <w:tcW w:w="823" w:type="pct"/>
            <w:tcBorders>
              <w:tl2br w:val="nil"/>
              <w:tr2bl w:val="nil"/>
            </w:tcBorders>
            <w:noWrap w:val="0"/>
            <w:vAlign w:val="center"/>
          </w:tcPr>
          <w:p w14:paraId="267493AD">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氨氮</w:t>
            </w:r>
          </w:p>
        </w:tc>
        <w:tc>
          <w:tcPr>
            <w:tcW w:w="892" w:type="pct"/>
            <w:tcBorders>
              <w:tl2br w:val="nil"/>
              <w:tr2bl w:val="nil"/>
            </w:tcBorders>
            <w:noWrap w:val="0"/>
            <w:vAlign w:val="center"/>
          </w:tcPr>
          <w:p w14:paraId="5933698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0.416 </w:t>
            </w:r>
          </w:p>
        </w:tc>
        <w:tc>
          <w:tcPr>
            <w:tcW w:w="892" w:type="pct"/>
            <w:tcBorders>
              <w:tl2br w:val="nil"/>
              <w:tr2bl w:val="nil"/>
            </w:tcBorders>
            <w:noWrap w:val="0"/>
            <w:vAlign w:val="center"/>
          </w:tcPr>
          <w:p w14:paraId="4441552F">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0.297 </w:t>
            </w:r>
          </w:p>
        </w:tc>
        <w:tc>
          <w:tcPr>
            <w:tcW w:w="896" w:type="pct"/>
            <w:tcBorders>
              <w:tl2br w:val="nil"/>
              <w:tr2bl w:val="nil"/>
            </w:tcBorders>
            <w:noWrap w:val="0"/>
            <w:vAlign w:val="center"/>
          </w:tcPr>
          <w:p w14:paraId="0D923C88">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0.294 </w:t>
            </w:r>
          </w:p>
        </w:tc>
        <w:tc>
          <w:tcPr>
            <w:tcW w:w="812" w:type="pct"/>
            <w:tcBorders>
              <w:tl2br w:val="nil"/>
              <w:tr2bl w:val="nil"/>
            </w:tcBorders>
            <w:noWrap w:val="0"/>
            <w:vAlign w:val="center"/>
          </w:tcPr>
          <w:p w14:paraId="6CA2628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mg/L</w:t>
            </w:r>
          </w:p>
        </w:tc>
      </w:tr>
      <w:tr w14:paraId="16A67C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63" w:hRule="atLeast"/>
          <w:jc w:val="center"/>
        </w:trPr>
        <w:tc>
          <w:tcPr>
            <w:tcW w:w="681" w:type="pct"/>
            <w:vMerge w:val="continue"/>
            <w:tcBorders>
              <w:tl2br w:val="nil"/>
              <w:tr2bl w:val="nil"/>
            </w:tcBorders>
            <w:noWrap w:val="0"/>
            <w:vAlign w:val="center"/>
          </w:tcPr>
          <w:p w14:paraId="24E519C9">
            <w:pPr>
              <w:pStyle w:val="44"/>
              <w:bidi w:val="0"/>
              <w:rPr>
                <w:rFonts w:hint="default" w:ascii="Times New Roman" w:hAnsi="Times New Roman" w:cs="Times New Roman"/>
                <w:color w:val="auto"/>
              </w:rPr>
            </w:pPr>
          </w:p>
        </w:tc>
        <w:tc>
          <w:tcPr>
            <w:tcW w:w="823" w:type="pct"/>
            <w:tcBorders>
              <w:tl2br w:val="nil"/>
              <w:tr2bl w:val="nil"/>
            </w:tcBorders>
            <w:noWrap w:val="0"/>
            <w:vAlign w:val="center"/>
          </w:tcPr>
          <w:p w14:paraId="1617706E">
            <w:pPr>
              <w:pStyle w:val="44"/>
              <w:bidi w:val="0"/>
              <w:rPr>
                <w:rFonts w:hint="default" w:ascii="Times New Roman" w:hAnsi="Times New Roman" w:cs="Times New Roman"/>
                <w:color w:val="auto"/>
              </w:rPr>
            </w:pPr>
            <w:r>
              <w:rPr>
                <w:rFonts w:hint="default" w:ascii="Times New Roman" w:hAnsi="Times New Roman" w:cs="Times New Roman"/>
                <w:color w:val="auto"/>
              </w:rPr>
              <w:t>硝酸盐</w:t>
            </w:r>
          </w:p>
          <w:p w14:paraId="5B625352">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（以N计）</w:t>
            </w:r>
          </w:p>
        </w:tc>
        <w:tc>
          <w:tcPr>
            <w:tcW w:w="892" w:type="pct"/>
            <w:tcBorders>
              <w:tl2br w:val="nil"/>
              <w:tr2bl w:val="nil"/>
            </w:tcBorders>
            <w:noWrap w:val="0"/>
            <w:vAlign w:val="center"/>
          </w:tcPr>
          <w:p w14:paraId="153D967C">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3.70 </w:t>
            </w:r>
          </w:p>
        </w:tc>
        <w:tc>
          <w:tcPr>
            <w:tcW w:w="892" w:type="pct"/>
            <w:tcBorders>
              <w:tl2br w:val="nil"/>
              <w:tr2bl w:val="nil"/>
            </w:tcBorders>
            <w:noWrap w:val="0"/>
            <w:vAlign w:val="center"/>
          </w:tcPr>
          <w:p w14:paraId="0AADC5BC">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3.81 </w:t>
            </w:r>
          </w:p>
        </w:tc>
        <w:tc>
          <w:tcPr>
            <w:tcW w:w="896" w:type="pct"/>
            <w:tcBorders>
              <w:tl2br w:val="nil"/>
              <w:tr2bl w:val="nil"/>
            </w:tcBorders>
            <w:noWrap w:val="0"/>
            <w:vAlign w:val="center"/>
          </w:tcPr>
          <w:p w14:paraId="24A771A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3.82 </w:t>
            </w:r>
          </w:p>
        </w:tc>
        <w:tc>
          <w:tcPr>
            <w:tcW w:w="812" w:type="pct"/>
            <w:tcBorders>
              <w:tl2br w:val="nil"/>
              <w:tr2bl w:val="nil"/>
            </w:tcBorders>
            <w:noWrap w:val="0"/>
            <w:vAlign w:val="center"/>
          </w:tcPr>
          <w:p w14:paraId="5E148B04">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mg/L</w:t>
            </w:r>
          </w:p>
        </w:tc>
      </w:tr>
      <w:tr w14:paraId="285A5C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681" w:type="pct"/>
            <w:vMerge w:val="continue"/>
            <w:tcBorders>
              <w:tl2br w:val="nil"/>
              <w:tr2bl w:val="nil"/>
            </w:tcBorders>
            <w:shd w:val="clear" w:color="auto" w:fill="FFFFFF"/>
            <w:noWrap w:val="0"/>
            <w:vAlign w:val="center"/>
          </w:tcPr>
          <w:p w14:paraId="466CFA42">
            <w:pPr>
              <w:pStyle w:val="44"/>
              <w:bidi w:val="0"/>
              <w:rPr>
                <w:rFonts w:hint="default" w:ascii="Times New Roman" w:hAnsi="Times New Roman" w:cs="Times New Roman"/>
                <w:color w:val="auto"/>
              </w:rPr>
            </w:pPr>
          </w:p>
        </w:tc>
        <w:tc>
          <w:tcPr>
            <w:tcW w:w="823" w:type="pct"/>
            <w:tcBorders>
              <w:tl2br w:val="nil"/>
              <w:tr2bl w:val="nil"/>
            </w:tcBorders>
            <w:shd w:val="clear" w:color="auto" w:fill="FFFFFF"/>
            <w:noWrap w:val="0"/>
            <w:vAlign w:val="center"/>
          </w:tcPr>
          <w:p w14:paraId="3C63D322">
            <w:pPr>
              <w:pStyle w:val="44"/>
              <w:bidi w:val="0"/>
              <w:rPr>
                <w:rFonts w:hint="default" w:ascii="Times New Roman" w:hAnsi="Times New Roman" w:cs="Times New Roman"/>
                <w:color w:val="auto"/>
              </w:rPr>
            </w:pPr>
            <w:r>
              <w:rPr>
                <w:rFonts w:hint="default" w:ascii="Times New Roman" w:hAnsi="Times New Roman" w:cs="Times New Roman"/>
                <w:color w:val="auto"/>
              </w:rPr>
              <w:t>亚硝酸盐</w:t>
            </w:r>
          </w:p>
          <w:p w14:paraId="4C8E645A">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（以N计）</w:t>
            </w:r>
          </w:p>
        </w:tc>
        <w:tc>
          <w:tcPr>
            <w:tcW w:w="892" w:type="pct"/>
            <w:tcBorders>
              <w:tl2br w:val="nil"/>
              <w:tr2bl w:val="nil"/>
            </w:tcBorders>
            <w:noWrap w:val="0"/>
            <w:vAlign w:val="center"/>
          </w:tcPr>
          <w:p w14:paraId="3A5CADD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0.001L</w:t>
            </w:r>
          </w:p>
        </w:tc>
        <w:tc>
          <w:tcPr>
            <w:tcW w:w="892" w:type="pct"/>
            <w:tcBorders>
              <w:tl2br w:val="nil"/>
              <w:tr2bl w:val="nil"/>
            </w:tcBorders>
            <w:noWrap w:val="0"/>
            <w:vAlign w:val="center"/>
          </w:tcPr>
          <w:p w14:paraId="5977AB80">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0.001L</w:t>
            </w:r>
          </w:p>
        </w:tc>
        <w:tc>
          <w:tcPr>
            <w:tcW w:w="896" w:type="pct"/>
            <w:tcBorders>
              <w:tl2br w:val="nil"/>
              <w:tr2bl w:val="nil"/>
            </w:tcBorders>
            <w:noWrap w:val="0"/>
            <w:vAlign w:val="center"/>
          </w:tcPr>
          <w:p w14:paraId="70B4E853">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0.001L</w:t>
            </w:r>
          </w:p>
        </w:tc>
        <w:tc>
          <w:tcPr>
            <w:tcW w:w="812" w:type="pct"/>
            <w:tcBorders>
              <w:tl2br w:val="nil"/>
              <w:tr2bl w:val="nil"/>
            </w:tcBorders>
            <w:noWrap w:val="0"/>
            <w:vAlign w:val="center"/>
          </w:tcPr>
          <w:p w14:paraId="491968E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mg/L</w:t>
            </w:r>
          </w:p>
        </w:tc>
      </w:tr>
      <w:tr w14:paraId="22FB64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681" w:type="pct"/>
            <w:vMerge w:val="continue"/>
            <w:tcBorders>
              <w:tl2br w:val="nil"/>
              <w:tr2bl w:val="nil"/>
            </w:tcBorders>
            <w:shd w:val="clear" w:color="auto" w:fill="FFFFFF"/>
            <w:noWrap w:val="0"/>
            <w:vAlign w:val="center"/>
          </w:tcPr>
          <w:p w14:paraId="0D5D34CB">
            <w:pPr>
              <w:pStyle w:val="44"/>
              <w:bidi w:val="0"/>
              <w:rPr>
                <w:rFonts w:hint="default" w:ascii="Times New Roman" w:hAnsi="Times New Roman" w:cs="Times New Roman"/>
                <w:color w:val="auto"/>
              </w:rPr>
            </w:pPr>
          </w:p>
        </w:tc>
        <w:tc>
          <w:tcPr>
            <w:tcW w:w="823" w:type="pct"/>
            <w:tcBorders>
              <w:tl2br w:val="nil"/>
              <w:tr2bl w:val="nil"/>
            </w:tcBorders>
            <w:shd w:val="clear" w:color="auto" w:fill="FFFFFF"/>
            <w:noWrap w:val="0"/>
            <w:vAlign w:val="center"/>
          </w:tcPr>
          <w:p w14:paraId="2F69EE95">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挥发酚</w:t>
            </w:r>
          </w:p>
        </w:tc>
        <w:tc>
          <w:tcPr>
            <w:tcW w:w="892" w:type="pct"/>
            <w:tcBorders>
              <w:tl2br w:val="nil"/>
              <w:tr2bl w:val="nil"/>
            </w:tcBorders>
            <w:noWrap w:val="0"/>
            <w:vAlign w:val="center"/>
          </w:tcPr>
          <w:p w14:paraId="30B50EF8">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0.0003L</w:t>
            </w:r>
          </w:p>
        </w:tc>
        <w:tc>
          <w:tcPr>
            <w:tcW w:w="892" w:type="pct"/>
            <w:tcBorders>
              <w:tl2br w:val="nil"/>
              <w:tr2bl w:val="nil"/>
            </w:tcBorders>
            <w:noWrap w:val="0"/>
            <w:vAlign w:val="center"/>
          </w:tcPr>
          <w:p w14:paraId="000ADD90">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0.0003L</w:t>
            </w:r>
          </w:p>
        </w:tc>
        <w:tc>
          <w:tcPr>
            <w:tcW w:w="896" w:type="pct"/>
            <w:tcBorders>
              <w:tl2br w:val="nil"/>
              <w:tr2bl w:val="nil"/>
            </w:tcBorders>
            <w:noWrap w:val="0"/>
            <w:vAlign w:val="center"/>
          </w:tcPr>
          <w:p w14:paraId="5C741FFA">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0.0003L</w:t>
            </w:r>
          </w:p>
        </w:tc>
        <w:tc>
          <w:tcPr>
            <w:tcW w:w="812" w:type="pct"/>
            <w:tcBorders>
              <w:tl2br w:val="nil"/>
              <w:tr2bl w:val="nil"/>
            </w:tcBorders>
            <w:noWrap w:val="0"/>
            <w:vAlign w:val="center"/>
          </w:tcPr>
          <w:p w14:paraId="4F7052B2">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mg/L</w:t>
            </w:r>
          </w:p>
        </w:tc>
      </w:tr>
      <w:tr w14:paraId="5D47A9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681" w:type="pct"/>
            <w:vMerge w:val="continue"/>
            <w:tcBorders>
              <w:tl2br w:val="nil"/>
              <w:tr2bl w:val="nil"/>
            </w:tcBorders>
            <w:shd w:val="clear" w:color="auto" w:fill="FFFFFF"/>
            <w:noWrap w:val="0"/>
            <w:vAlign w:val="center"/>
          </w:tcPr>
          <w:p w14:paraId="51F3F00B">
            <w:pPr>
              <w:pStyle w:val="44"/>
              <w:bidi w:val="0"/>
              <w:rPr>
                <w:rFonts w:hint="default" w:ascii="Times New Roman" w:hAnsi="Times New Roman" w:cs="Times New Roman"/>
                <w:color w:val="auto"/>
                <w:lang w:val="en-US" w:eastAsia="zh-CN"/>
              </w:rPr>
            </w:pPr>
          </w:p>
        </w:tc>
        <w:tc>
          <w:tcPr>
            <w:tcW w:w="823" w:type="pct"/>
            <w:tcBorders>
              <w:tl2br w:val="nil"/>
              <w:tr2bl w:val="nil"/>
            </w:tcBorders>
            <w:shd w:val="clear" w:color="auto" w:fill="FFFFFF"/>
            <w:noWrap w:val="0"/>
            <w:vAlign w:val="center"/>
          </w:tcPr>
          <w:p w14:paraId="2E7126B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氰化物</w:t>
            </w:r>
          </w:p>
        </w:tc>
        <w:tc>
          <w:tcPr>
            <w:tcW w:w="892" w:type="pct"/>
            <w:tcBorders>
              <w:tl2br w:val="nil"/>
              <w:tr2bl w:val="nil"/>
            </w:tcBorders>
            <w:noWrap w:val="0"/>
            <w:vAlign w:val="center"/>
          </w:tcPr>
          <w:p w14:paraId="2FC1B39F">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0.002L</w:t>
            </w:r>
          </w:p>
        </w:tc>
        <w:tc>
          <w:tcPr>
            <w:tcW w:w="892" w:type="pct"/>
            <w:tcBorders>
              <w:tl2br w:val="nil"/>
              <w:tr2bl w:val="nil"/>
            </w:tcBorders>
            <w:noWrap w:val="0"/>
            <w:vAlign w:val="center"/>
          </w:tcPr>
          <w:p w14:paraId="1EEF0FEC">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0.002L</w:t>
            </w:r>
          </w:p>
        </w:tc>
        <w:tc>
          <w:tcPr>
            <w:tcW w:w="896" w:type="pct"/>
            <w:tcBorders>
              <w:tl2br w:val="nil"/>
              <w:tr2bl w:val="nil"/>
            </w:tcBorders>
            <w:noWrap w:val="0"/>
            <w:vAlign w:val="center"/>
          </w:tcPr>
          <w:p w14:paraId="46A9D88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0.002L</w:t>
            </w:r>
          </w:p>
        </w:tc>
        <w:tc>
          <w:tcPr>
            <w:tcW w:w="812" w:type="pct"/>
            <w:tcBorders>
              <w:tl2br w:val="nil"/>
              <w:tr2bl w:val="nil"/>
            </w:tcBorders>
            <w:noWrap w:val="0"/>
            <w:vAlign w:val="center"/>
          </w:tcPr>
          <w:p w14:paraId="7C0DE1C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mg/L</w:t>
            </w:r>
          </w:p>
        </w:tc>
      </w:tr>
      <w:tr w14:paraId="4A07E2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681" w:type="pct"/>
            <w:vMerge w:val="continue"/>
            <w:tcBorders>
              <w:tl2br w:val="nil"/>
              <w:tr2bl w:val="nil"/>
            </w:tcBorders>
            <w:shd w:val="clear" w:color="auto" w:fill="FFFFFF"/>
            <w:noWrap w:val="0"/>
            <w:vAlign w:val="center"/>
          </w:tcPr>
          <w:p w14:paraId="6C9128D5">
            <w:pPr>
              <w:pStyle w:val="44"/>
              <w:bidi w:val="0"/>
              <w:rPr>
                <w:rFonts w:hint="default" w:ascii="Times New Roman" w:hAnsi="Times New Roman" w:cs="Times New Roman"/>
                <w:color w:val="auto"/>
                <w:lang w:eastAsia="zh-CN"/>
              </w:rPr>
            </w:pPr>
          </w:p>
        </w:tc>
        <w:tc>
          <w:tcPr>
            <w:tcW w:w="823" w:type="pct"/>
            <w:tcBorders>
              <w:tl2br w:val="nil"/>
              <w:tr2bl w:val="nil"/>
            </w:tcBorders>
            <w:shd w:val="clear" w:color="auto" w:fill="FFFFFF"/>
            <w:noWrap w:val="0"/>
            <w:vAlign w:val="center"/>
          </w:tcPr>
          <w:p w14:paraId="3100D2FF">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砷</w:t>
            </w:r>
          </w:p>
        </w:tc>
        <w:tc>
          <w:tcPr>
            <w:tcW w:w="892" w:type="pct"/>
            <w:tcBorders>
              <w:tl2br w:val="nil"/>
              <w:tr2bl w:val="nil"/>
            </w:tcBorders>
            <w:noWrap w:val="0"/>
            <w:vAlign w:val="center"/>
          </w:tcPr>
          <w:p w14:paraId="0DF7965A">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0.0003L</w:t>
            </w:r>
          </w:p>
        </w:tc>
        <w:tc>
          <w:tcPr>
            <w:tcW w:w="892" w:type="pct"/>
            <w:tcBorders>
              <w:tl2br w:val="nil"/>
              <w:tr2bl w:val="nil"/>
            </w:tcBorders>
            <w:noWrap w:val="0"/>
            <w:vAlign w:val="center"/>
          </w:tcPr>
          <w:p w14:paraId="5E87E7C4">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0.0003L</w:t>
            </w:r>
          </w:p>
        </w:tc>
        <w:tc>
          <w:tcPr>
            <w:tcW w:w="896" w:type="pct"/>
            <w:tcBorders>
              <w:tl2br w:val="nil"/>
              <w:tr2bl w:val="nil"/>
            </w:tcBorders>
            <w:noWrap w:val="0"/>
            <w:vAlign w:val="center"/>
          </w:tcPr>
          <w:p w14:paraId="00AE03D3">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0.0003L</w:t>
            </w:r>
          </w:p>
        </w:tc>
        <w:tc>
          <w:tcPr>
            <w:tcW w:w="812" w:type="pct"/>
            <w:tcBorders>
              <w:tl2br w:val="nil"/>
              <w:tr2bl w:val="nil"/>
            </w:tcBorders>
            <w:noWrap w:val="0"/>
            <w:vAlign w:val="center"/>
          </w:tcPr>
          <w:p w14:paraId="77CC44DE">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mg/L</w:t>
            </w:r>
          </w:p>
        </w:tc>
      </w:tr>
      <w:tr w14:paraId="7D716F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681" w:type="pct"/>
            <w:vMerge w:val="continue"/>
            <w:tcBorders>
              <w:tl2br w:val="nil"/>
              <w:tr2bl w:val="nil"/>
            </w:tcBorders>
            <w:shd w:val="clear" w:color="auto" w:fill="FFFFFF"/>
            <w:noWrap w:val="0"/>
            <w:vAlign w:val="center"/>
          </w:tcPr>
          <w:p w14:paraId="1605E625">
            <w:pPr>
              <w:pStyle w:val="44"/>
              <w:bidi w:val="0"/>
              <w:rPr>
                <w:rFonts w:hint="default" w:ascii="Times New Roman" w:hAnsi="Times New Roman" w:cs="Times New Roman"/>
                <w:color w:val="auto"/>
              </w:rPr>
            </w:pPr>
          </w:p>
        </w:tc>
        <w:tc>
          <w:tcPr>
            <w:tcW w:w="823" w:type="pct"/>
            <w:tcBorders>
              <w:tl2br w:val="nil"/>
              <w:tr2bl w:val="nil"/>
            </w:tcBorders>
            <w:shd w:val="clear" w:color="auto" w:fill="FFFFFF"/>
            <w:noWrap w:val="0"/>
            <w:vAlign w:val="center"/>
          </w:tcPr>
          <w:p w14:paraId="2DEBBD60">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汞</w:t>
            </w:r>
          </w:p>
        </w:tc>
        <w:tc>
          <w:tcPr>
            <w:tcW w:w="892" w:type="pct"/>
            <w:tcBorders>
              <w:tl2br w:val="nil"/>
              <w:tr2bl w:val="nil"/>
            </w:tcBorders>
            <w:noWrap w:val="0"/>
            <w:vAlign w:val="center"/>
          </w:tcPr>
          <w:p w14:paraId="1EA9DD08">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0.00004L</w:t>
            </w:r>
          </w:p>
        </w:tc>
        <w:tc>
          <w:tcPr>
            <w:tcW w:w="892" w:type="pct"/>
            <w:tcBorders>
              <w:tl2br w:val="nil"/>
              <w:tr2bl w:val="nil"/>
            </w:tcBorders>
            <w:noWrap w:val="0"/>
            <w:vAlign w:val="center"/>
          </w:tcPr>
          <w:p w14:paraId="5DF92D84">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0.00004L</w:t>
            </w:r>
          </w:p>
        </w:tc>
        <w:tc>
          <w:tcPr>
            <w:tcW w:w="896" w:type="pct"/>
            <w:tcBorders>
              <w:tl2br w:val="nil"/>
              <w:tr2bl w:val="nil"/>
            </w:tcBorders>
            <w:noWrap w:val="0"/>
            <w:vAlign w:val="center"/>
          </w:tcPr>
          <w:p w14:paraId="337E901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0.00004L</w:t>
            </w:r>
          </w:p>
        </w:tc>
        <w:tc>
          <w:tcPr>
            <w:tcW w:w="812" w:type="pct"/>
            <w:tcBorders>
              <w:tl2br w:val="nil"/>
              <w:tr2bl w:val="nil"/>
            </w:tcBorders>
            <w:noWrap w:val="0"/>
            <w:vAlign w:val="center"/>
          </w:tcPr>
          <w:p w14:paraId="12032EAA">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mg/L</w:t>
            </w:r>
          </w:p>
        </w:tc>
      </w:tr>
      <w:tr w14:paraId="0CEF4E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681" w:type="pct"/>
            <w:vMerge w:val="continue"/>
            <w:tcBorders>
              <w:tl2br w:val="nil"/>
              <w:tr2bl w:val="nil"/>
            </w:tcBorders>
            <w:shd w:val="clear" w:color="auto" w:fill="FFFFFF"/>
            <w:noWrap w:val="0"/>
            <w:vAlign w:val="center"/>
          </w:tcPr>
          <w:p w14:paraId="18C69D8F">
            <w:pPr>
              <w:pStyle w:val="44"/>
              <w:bidi w:val="0"/>
              <w:rPr>
                <w:rFonts w:hint="default" w:ascii="Times New Roman" w:hAnsi="Times New Roman" w:cs="Times New Roman"/>
                <w:color w:val="auto"/>
              </w:rPr>
            </w:pPr>
          </w:p>
        </w:tc>
        <w:tc>
          <w:tcPr>
            <w:tcW w:w="823" w:type="pct"/>
            <w:tcBorders>
              <w:tl2br w:val="nil"/>
              <w:tr2bl w:val="nil"/>
            </w:tcBorders>
            <w:shd w:val="clear" w:color="auto" w:fill="FFFFFF"/>
            <w:noWrap w:val="0"/>
            <w:vAlign w:val="center"/>
          </w:tcPr>
          <w:p w14:paraId="4FF5210D">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六价铬</w:t>
            </w:r>
          </w:p>
        </w:tc>
        <w:tc>
          <w:tcPr>
            <w:tcW w:w="892" w:type="pct"/>
            <w:tcBorders>
              <w:tl2br w:val="nil"/>
              <w:tr2bl w:val="nil"/>
            </w:tcBorders>
            <w:noWrap w:val="0"/>
            <w:vAlign w:val="center"/>
          </w:tcPr>
          <w:p w14:paraId="48CB97EE">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0.004L</w:t>
            </w:r>
          </w:p>
        </w:tc>
        <w:tc>
          <w:tcPr>
            <w:tcW w:w="892" w:type="pct"/>
            <w:tcBorders>
              <w:tl2br w:val="nil"/>
              <w:tr2bl w:val="nil"/>
            </w:tcBorders>
            <w:noWrap w:val="0"/>
            <w:vAlign w:val="center"/>
          </w:tcPr>
          <w:p w14:paraId="278FAE73">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0.004L</w:t>
            </w:r>
          </w:p>
        </w:tc>
        <w:tc>
          <w:tcPr>
            <w:tcW w:w="896" w:type="pct"/>
            <w:tcBorders>
              <w:tl2br w:val="nil"/>
              <w:tr2bl w:val="nil"/>
            </w:tcBorders>
            <w:noWrap w:val="0"/>
            <w:vAlign w:val="center"/>
          </w:tcPr>
          <w:p w14:paraId="72DBD216">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0.004L</w:t>
            </w:r>
          </w:p>
        </w:tc>
        <w:tc>
          <w:tcPr>
            <w:tcW w:w="812" w:type="pct"/>
            <w:tcBorders>
              <w:tl2br w:val="nil"/>
              <w:tr2bl w:val="nil"/>
            </w:tcBorders>
            <w:noWrap w:val="0"/>
            <w:vAlign w:val="center"/>
          </w:tcPr>
          <w:p w14:paraId="0B300913">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mg/L</w:t>
            </w:r>
          </w:p>
        </w:tc>
      </w:tr>
      <w:tr w14:paraId="58F47B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681" w:type="pct"/>
            <w:vMerge w:val="continue"/>
            <w:tcBorders>
              <w:tl2br w:val="nil"/>
              <w:tr2bl w:val="nil"/>
            </w:tcBorders>
            <w:shd w:val="clear" w:color="auto" w:fill="FFFFFF"/>
            <w:noWrap w:val="0"/>
            <w:vAlign w:val="center"/>
          </w:tcPr>
          <w:p w14:paraId="0FEB28C2">
            <w:pPr>
              <w:pStyle w:val="44"/>
              <w:bidi w:val="0"/>
              <w:rPr>
                <w:rFonts w:hint="default" w:ascii="Times New Roman" w:hAnsi="Times New Roman" w:cs="Times New Roman"/>
                <w:color w:val="auto"/>
              </w:rPr>
            </w:pPr>
          </w:p>
        </w:tc>
        <w:tc>
          <w:tcPr>
            <w:tcW w:w="823" w:type="pct"/>
            <w:tcBorders>
              <w:tl2br w:val="nil"/>
              <w:tr2bl w:val="nil"/>
            </w:tcBorders>
            <w:shd w:val="clear" w:color="auto" w:fill="FFFFFF"/>
            <w:noWrap w:val="0"/>
            <w:vAlign w:val="center"/>
          </w:tcPr>
          <w:p w14:paraId="14FD0DA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总硬度</w:t>
            </w:r>
          </w:p>
        </w:tc>
        <w:tc>
          <w:tcPr>
            <w:tcW w:w="892" w:type="pct"/>
            <w:tcBorders>
              <w:tl2br w:val="nil"/>
              <w:tr2bl w:val="nil"/>
            </w:tcBorders>
            <w:noWrap w:val="0"/>
            <w:vAlign w:val="center"/>
          </w:tcPr>
          <w:p w14:paraId="01868474">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237</w:t>
            </w:r>
          </w:p>
        </w:tc>
        <w:tc>
          <w:tcPr>
            <w:tcW w:w="892" w:type="pct"/>
            <w:tcBorders>
              <w:tl2br w:val="nil"/>
              <w:tr2bl w:val="nil"/>
            </w:tcBorders>
            <w:noWrap w:val="0"/>
            <w:vAlign w:val="center"/>
          </w:tcPr>
          <w:p w14:paraId="236DE27A">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234</w:t>
            </w:r>
          </w:p>
        </w:tc>
        <w:tc>
          <w:tcPr>
            <w:tcW w:w="896" w:type="pct"/>
            <w:tcBorders>
              <w:tl2br w:val="nil"/>
              <w:tr2bl w:val="nil"/>
            </w:tcBorders>
            <w:noWrap w:val="0"/>
            <w:vAlign w:val="center"/>
          </w:tcPr>
          <w:p w14:paraId="1EF4068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237</w:t>
            </w:r>
          </w:p>
        </w:tc>
        <w:tc>
          <w:tcPr>
            <w:tcW w:w="812" w:type="pct"/>
            <w:tcBorders>
              <w:tl2br w:val="nil"/>
              <w:tr2bl w:val="nil"/>
            </w:tcBorders>
            <w:noWrap w:val="0"/>
            <w:vAlign w:val="center"/>
          </w:tcPr>
          <w:p w14:paraId="5FEA3FE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mg/L</w:t>
            </w:r>
          </w:p>
        </w:tc>
      </w:tr>
      <w:tr w14:paraId="0EB93F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681" w:type="pct"/>
            <w:vMerge w:val="continue"/>
            <w:tcBorders>
              <w:tl2br w:val="nil"/>
              <w:tr2bl w:val="nil"/>
            </w:tcBorders>
            <w:shd w:val="clear" w:color="auto" w:fill="FFFFFF"/>
            <w:noWrap w:val="0"/>
            <w:vAlign w:val="center"/>
          </w:tcPr>
          <w:p w14:paraId="1361B01A">
            <w:pPr>
              <w:pStyle w:val="44"/>
              <w:bidi w:val="0"/>
              <w:rPr>
                <w:rFonts w:hint="default" w:ascii="Times New Roman" w:hAnsi="Times New Roman" w:cs="Times New Roman"/>
                <w:color w:val="auto"/>
              </w:rPr>
            </w:pPr>
          </w:p>
        </w:tc>
        <w:tc>
          <w:tcPr>
            <w:tcW w:w="823" w:type="pct"/>
            <w:tcBorders>
              <w:tl2br w:val="nil"/>
              <w:tr2bl w:val="nil"/>
            </w:tcBorders>
            <w:shd w:val="clear" w:color="auto" w:fill="FFFFFF"/>
            <w:noWrap w:val="0"/>
            <w:vAlign w:val="center"/>
          </w:tcPr>
          <w:p w14:paraId="5701DC02">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氟化物</w:t>
            </w:r>
          </w:p>
        </w:tc>
        <w:tc>
          <w:tcPr>
            <w:tcW w:w="892" w:type="pct"/>
            <w:tcBorders>
              <w:tl2br w:val="nil"/>
              <w:tr2bl w:val="nil"/>
            </w:tcBorders>
            <w:noWrap w:val="0"/>
            <w:vAlign w:val="center"/>
          </w:tcPr>
          <w:p w14:paraId="473278ED">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0.14 </w:t>
            </w:r>
          </w:p>
        </w:tc>
        <w:tc>
          <w:tcPr>
            <w:tcW w:w="892" w:type="pct"/>
            <w:tcBorders>
              <w:tl2br w:val="nil"/>
              <w:tr2bl w:val="nil"/>
            </w:tcBorders>
            <w:noWrap w:val="0"/>
            <w:vAlign w:val="center"/>
          </w:tcPr>
          <w:p w14:paraId="69F2CDA0">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0.13 </w:t>
            </w:r>
          </w:p>
        </w:tc>
        <w:tc>
          <w:tcPr>
            <w:tcW w:w="896" w:type="pct"/>
            <w:tcBorders>
              <w:tl2br w:val="nil"/>
              <w:tr2bl w:val="nil"/>
            </w:tcBorders>
            <w:noWrap w:val="0"/>
            <w:vAlign w:val="center"/>
          </w:tcPr>
          <w:p w14:paraId="1728CEAA">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0.16 </w:t>
            </w:r>
          </w:p>
        </w:tc>
        <w:tc>
          <w:tcPr>
            <w:tcW w:w="812" w:type="pct"/>
            <w:tcBorders>
              <w:tl2br w:val="nil"/>
              <w:tr2bl w:val="nil"/>
            </w:tcBorders>
            <w:noWrap w:val="0"/>
            <w:vAlign w:val="center"/>
          </w:tcPr>
          <w:p w14:paraId="023A97CA">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mg/L</w:t>
            </w:r>
          </w:p>
        </w:tc>
      </w:tr>
      <w:tr w14:paraId="0C90B5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681" w:type="pct"/>
            <w:vMerge w:val="continue"/>
            <w:tcBorders>
              <w:tl2br w:val="nil"/>
              <w:tr2bl w:val="nil"/>
            </w:tcBorders>
            <w:shd w:val="clear" w:color="auto" w:fill="FFFFFF"/>
            <w:noWrap w:val="0"/>
            <w:vAlign w:val="center"/>
          </w:tcPr>
          <w:p w14:paraId="3FFB66D6">
            <w:pPr>
              <w:pStyle w:val="44"/>
              <w:bidi w:val="0"/>
              <w:rPr>
                <w:rFonts w:hint="default" w:ascii="Times New Roman" w:hAnsi="Times New Roman" w:cs="Times New Roman"/>
                <w:color w:val="auto"/>
              </w:rPr>
            </w:pPr>
          </w:p>
        </w:tc>
        <w:tc>
          <w:tcPr>
            <w:tcW w:w="823" w:type="pct"/>
            <w:tcBorders>
              <w:tl2br w:val="nil"/>
              <w:tr2bl w:val="nil"/>
            </w:tcBorders>
            <w:shd w:val="clear" w:color="auto" w:fill="FFFFFF"/>
            <w:noWrap w:val="0"/>
            <w:vAlign w:val="center"/>
          </w:tcPr>
          <w:p w14:paraId="3C96A76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铅</w:t>
            </w:r>
          </w:p>
        </w:tc>
        <w:tc>
          <w:tcPr>
            <w:tcW w:w="892" w:type="pct"/>
            <w:tcBorders>
              <w:tl2br w:val="nil"/>
              <w:tr2bl w:val="nil"/>
            </w:tcBorders>
            <w:noWrap w:val="0"/>
            <w:vAlign w:val="center"/>
          </w:tcPr>
          <w:p w14:paraId="296382BA">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0.0025L</w:t>
            </w:r>
          </w:p>
        </w:tc>
        <w:tc>
          <w:tcPr>
            <w:tcW w:w="892" w:type="pct"/>
            <w:tcBorders>
              <w:tl2br w:val="nil"/>
              <w:tr2bl w:val="nil"/>
            </w:tcBorders>
            <w:noWrap w:val="0"/>
            <w:vAlign w:val="center"/>
          </w:tcPr>
          <w:p w14:paraId="72CBEF66">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0.0025L</w:t>
            </w:r>
          </w:p>
        </w:tc>
        <w:tc>
          <w:tcPr>
            <w:tcW w:w="896" w:type="pct"/>
            <w:tcBorders>
              <w:tl2br w:val="nil"/>
              <w:tr2bl w:val="nil"/>
            </w:tcBorders>
            <w:noWrap w:val="0"/>
            <w:vAlign w:val="center"/>
          </w:tcPr>
          <w:p w14:paraId="11DB919A">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0.0039</w:t>
            </w:r>
          </w:p>
        </w:tc>
        <w:tc>
          <w:tcPr>
            <w:tcW w:w="812" w:type="pct"/>
            <w:tcBorders>
              <w:tl2br w:val="nil"/>
              <w:tr2bl w:val="nil"/>
            </w:tcBorders>
            <w:noWrap w:val="0"/>
            <w:vAlign w:val="center"/>
          </w:tcPr>
          <w:p w14:paraId="786599BE">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mg/L</w:t>
            </w:r>
          </w:p>
        </w:tc>
      </w:tr>
      <w:tr w14:paraId="5E3216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681" w:type="pct"/>
            <w:vMerge w:val="continue"/>
            <w:tcBorders>
              <w:tl2br w:val="nil"/>
              <w:tr2bl w:val="nil"/>
            </w:tcBorders>
            <w:shd w:val="clear" w:color="auto" w:fill="FFFFFF"/>
            <w:noWrap w:val="0"/>
            <w:vAlign w:val="center"/>
          </w:tcPr>
          <w:p w14:paraId="0EDB2296">
            <w:pPr>
              <w:pStyle w:val="44"/>
              <w:bidi w:val="0"/>
              <w:rPr>
                <w:rFonts w:hint="default" w:ascii="Times New Roman" w:hAnsi="Times New Roman" w:cs="Times New Roman"/>
                <w:color w:val="auto"/>
              </w:rPr>
            </w:pPr>
          </w:p>
        </w:tc>
        <w:tc>
          <w:tcPr>
            <w:tcW w:w="823" w:type="pct"/>
            <w:tcBorders>
              <w:tl2br w:val="nil"/>
              <w:tr2bl w:val="nil"/>
            </w:tcBorders>
            <w:shd w:val="clear" w:color="auto" w:fill="FFFFFF"/>
            <w:noWrap w:val="0"/>
            <w:vAlign w:val="center"/>
          </w:tcPr>
          <w:p w14:paraId="1F45F20F">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镉</w:t>
            </w:r>
          </w:p>
        </w:tc>
        <w:tc>
          <w:tcPr>
            <w:tcW w:w="892" w:type="pct"/>
            <w:tcBorders>
              <w:tl2br w:val="nil"/>
              <w:tr2bl w:val="nil"/>
            </w:tcBorders>
            <w:noWrap w:val="0"/>
            <w:vAlign w:val="center"/>
          </w:tcPr>
          <w:p w14:paraId="6297C96A">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0.0005L</w:t>
            </w:r>
          </w:p>
        </w:tc>
        <w:tc>
          <w:tcPr>
            <w:tcW w:w="892" w:type="pct"/>
            <w:tcBorders>
              <w:tl2br w:val="nil"/>
              <w:tr2bl w:val="nil"/>
            </w:tcBorders>
            <w:noWrap w:val="0"/>
            <w:vAlign w:val="center"/>
          </w:tcPr>
          <w:p w14:paraId="3ED42270">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0.0005L</w:t>
            </w:r>
          </w:p>
        </w:tc>
        <w:tc>
          <w:tcPr>
            <w:tcW w:w="896" w:type="pct"/>
            <w:tcBorders>
              <w:tl2br w:val="nil"/>
              <w:tr2bl w:val="nil"/>
            </w:tcBorders>
            <w:noWrap w:val="0"/>
            <w:vAlign w:val="center"/>
          </w:tcPr>
          <w:p w14:paraId="0CDF3630">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0.0005L</w:t>
            </w:r>
          </w:p>
        </w:tc>
        <w:tc>
          <w:tcPr>
            <w:tcW w:w="812" w:type="pct"/>
            <w:tcBorders>
              <w:tl2br w:val="nil"/>
              <w:tr2bl w:val="nil"/>
            </w:tcBorders>
            <w:noWrap w:val="0"/>
            <w:vAlign w:val="center"/>
          </w:tcPr>
          <w:p w14:paraId="541FA9F5">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mg/L</w:t>
            </w:r>
          </w:p>
        </w:tc>
      </w:tr>
      <w:tr w14:paraId="3C0314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681" w:type="pct"/>
            <w:vMerge w:val="continue"/>
            <w:tcBorders>
              <w:tl2br w:val="nil"/>
              <w:tr2bl w:val="nil"/>
            </w:tcBorders>
            <w:shd w:val="clear" w:color="auto" w:fill="FFFFFF"/>
            <w:noWrap w:val="0"/>
            <w:vAlign w:val="center"/>
          </w:tcPr>
          <w:p w14:paraId="07A565AB">
            <w:pPr>
              <w:pStyle w:val="44"/>
              <w:bidi w:val="0"/>
              <w:rPr>
                <w:rFonts w:hint="default" w:ascii="Times New Roman" w:hAnsi="Times New Roman" w:cs="Times New Roman"/>
                <w:color w:val="auto"/>
              </w:rPr>
            </w:pPr>
          </w:p>
        </w:tc>
        <w:tc>
          <w:tcPr>
            <w:tcW w:w="823" w:type="pct"/>
            <w:tcBorders>
              <w:tl2br w:val="nil"/>
              <w:tr2bl w:val="nil"/>
            </w:tcBorders>
            <w:shd w:val="clear" w:color="auto" w:fill="FFFFFF"/>
            <w:noWrap w:val="0"/>
            <w:vAlign w:val="center"/>
          </w:tcPr>
          <w:p w14:paraId="41B29D33">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铁</w:t>
            </w:r>
          </w:p>
        </w:tc>
        <w:tc>
          <w:tcPr>
            <w:tcW w:w="892" w:type="pct"/>
            <w:tcBorders>
              <w:tl2br w:val="nil"/>
              <w:tr2bl w:val="nil"/>
            </w:tcBorders>
            <w:noWrap w:val="0"/>
            <w:vAlign w:val="center"/>
          </w:tcPr>
          <w:p w14:paraId="6C08391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0.03L</w:t>
            </w:r>
          </w:p>
        </w:tc>
        <w:tc>
          <w:tcPr>
            <w:tcW w:w="892" w:type="pct"/>
            <w:tcBorders>
              <w:tl2br w:val="nil"/>
              <w:tr2bl w:val="nil"/>
            </w:tcBorders>
            <w:noWrap w:val="0"/>
            <w:vAlign w:val="center"/>
          </w:tcPr>
          <w:p w14:paraId="46BCA243">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0.03L</w:t>
            </w:r>
          </w:p>
        </w:tc>
        <w:tc>
          <w:tcPr>
            <w:tcW w:w="896" w:type="pct"/>
            <w:tcBorders>
              <w:tl2br w:val="nil"/>
              <w:tr2bl w:val="nil"/>
            </w:tcBorders>
            <w:noWrap w:val="0"/>
            <w:vAlign w:val="center"/>
          </w:tcPr>
          <w:p w14:paraId="160786A4">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0.03L</w:t>
            </w:r>
          </w:p>
        </w:tc>
        <w:tc>
          <w:tcPr>
            <w:tcW w:w="812" w:type="pct"/>
            <w:tcBorders>
              <w:tl2br w:val="nil"/>
              <w:tr2bl w:val="nil"/>
            </w:tcBorders>
            <w:noWrap w:val="0"/>
            <w:vAlign w:val="center"/>
          </w:tcPr>
          <w:p w14:paraId="48002325">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mg/L</w:t>
            </w:r>
          </w:p>
        </w:tc>
      </w:tr>
      <w:tr w14:paraId="12D462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681" w:type="pct"/>
            <w:vMerge w:val="continue"/>
            <w:tcBorders>
              <w:tl2br w:val="nil"/>
              <w:tr2bl w:val="nil"/>
            </w:tcBorders>
            <w:shd w:val="clear" w:color="auto" w:fill="FFFFFF"/>
            <w:noWrap w:val="0"/>
            <w:vAlign w:val="center"/>
          </w:tcPr>
          <w:p w14:paraId="0C74F42B">
            <w:pPr>
              <w:pStyle w:val="44"/>
              <w:bidi w:val="0"/>
              <w:rPr>
                <w:rFonts w:hint="default" w:ascii="Times New Roman" w:hAnsi="Times New Roman" w:cs="Times New Roman"/>
                <w:color w:val="auto"/>
              </w:rPr>
            </w:pPr>
          </w:p>
        </w:tc>
        <w:tc>
          <w:tcPr>
            <w:tcW w:w="823" w:type="pct"/>
            <w:tcBorders>
              <w:tl2br w:val="nil"/>
              <w:tr2bl w:val="nil"/>
            </w:tcBorders>
            <w:shd w:val="clear" w:color="auto" w:fill="FFFFFF"/>
            <w:noWrap w:val="0"/>
            <w:vAlign w:val="center"/>
          </w:tcPr>
          <w:p w14:paraId="1C9AF634">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锰</w:t>
            </w:r>
          </w:p>
        </w:tc>
        <w:tc>
          <w:tcPr>
            <w:tcW w:w="892" w:type="pct"/>
            <w:tcBorders>
              <w:tl2br w:val="nil"/>
              <w:tr2bl w:val="nil"/>
            </w:tcBorders>
            <w:noWrap w:val="0"/>
            <w:vAlign w:val="center"/>
          </w:tcPr>
          <w:p w14:paraId="5A65EA1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0.01L</w:t>
            </w:r>
          </w:p>
        </w:tc>
        <w:tc>
          <w:tcPr>
            <w:tcW w:w="892" w:type="pct"/>
            <w:tcBorders>
              <w:tl2br w:val="nil"/>
              <w:tr2bl w:val="nil"/>
            </w:tcBorders>
            <w:noWrap w:val="0"/>
            <w:vAlign w:val="center"/>
          </w:tcPr>
          <w:p w14:paraId="3A742E99">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0.01L</w:t>
            </w:r>
          </w:p>
        </w:tc>
        <w:tc>
          <w:tcPr>
            <w:tcW w:w="896" w:type="pct"/>
            <w:tcBorders>
              <w:tl2br w:val="nil"/>
              <w:tr2bl w:val="nil"/>
            </w:tcBorders>
            <w:noWrap w:val="0"/>
            <w:vAlign w:val="center"/>
          </w:tcPr>
          <w:p w14:paraId="2728DE39">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0.01L</w:t>
            </w:r>
          </w:p>
        </w:tc>
        <w:tc>
          <w:tcPr>
            <w:tcW w:w="812" w:type="pct"/>
            <w:tcBorders>
              <w:tl2br w:val="nil"/>
              <w:tr2bl w:val="nil"/>
            </w:tcBorders>
            <w:noWrap w:val="0"/>
            <w:vAlign w:val="center"/>
          </w:tcPr>
          <w:p w14:paraId="288CB61F">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mg/L</w:t>
            </w:r>
          </w:p>
        </w:tc>
      </w:tr>
      <w:tr w14:paraId="392AF1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681" w:type="pct"/>
            <w:vMerge w:val="continue"/>
            <w:tcBorders>
              <w:tl2br w:val="nil"/>
              <w:tr2bl w:val="nil"/>
            </w:tcBorders>
            <w:shd w:val="clear" w:color="auto" w:fill="FFFFFF"/>
            <w:noWrap w:val="0"/>
            <w:vAlign w:val="center"/>
          </w:tcPr>
          <w:p w14:paraId="68EFCB0B">
            <w:pPr>
              <w:pStyle w:val="44"/>
              <w:bidi w:val="0"/>
              <w:rPr>
                <w:rFonts w:hint="default" w:ascii="Times New Roman" w:hAnsi="Times New Roman" w:cs="Times New Roman"/>
                <w:color w:val="auto"/>
              </w:rPr>
            </w:pPr>
          </w:p>
        </w:tc>
        <w:tc>
          <w:tcPr>
            <w:tcW w:w="823" w:type="pct"/>
            <w:tcBorders>
              <w:tl2br w:val="nil"/>
              <w:tr2bl w:val="nil"/>
            </w:tcBorders>
            <w:shd w:val="clear" w:color="auto" w:fill="FFFFFF"/>
            <w:noWrap w:val="0"/>
            <w:vAlign w:val="center"/>
          </w:tcPr>
          <w:p w14:paraId="4C9A3806">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溶解性总固体</w:t>
            </w:r>
          </w:p>
        </w:tc>
        <w:tc>
          <w:tcPr>
            <w:tcW w:w="892" w:type="pct"/>
            <w:tcBorders>
              <w:tl2br w:val="nil"/>
              <w:tr2bl w:val="nil"/>
            </w:tcBorders>
            <w:noWrap w:val="0"/>
            <w:vAlign w:val="center"/>
          </w:tcPr>
          <w:p w14:paraId="71D45D66">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391</w:t>
            </w:r>
          </w:p>
        </w:tc>
        <w:tc>
          <w:tcPr>
            <w:tcW w:w="892" w:type="pct"/>
            <w:tcBorders>
              <w:tl2br w:val="nil"/>
              <w:tr2bl w:val="nil"/>
            </w:tcBorders>
            <w:noWrap w:val="0"/>
            <w:vAlign w:val="center"/>
          </w:tcPr>
          <w:p w14:paraId="639AC0C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383</w:t>
            </w:r>
          </w:p>
        </w:tc>
        <w:tc>
          <w:tcPr>
            <w:tcW w:w="896" w:type="pct"/>
            <w:tcBorders>
              <w:tl2br w:val="nil"/>
              <w:tr2bl w:val="nil"/>
            </w:tcBorders>
            <w:noWrap w:val="0"/>
            <w:vAlign w:val="center"/>
          </w:tcPr>
          <w:p w14:paraId="57289AC8">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385</w:t>
            </w:r>
          </w:p>
        </w:tc>
        <w:tc>
          <w:tcPr>
            <w:tcW w:w="812" w:type="pct"/>
            <w:tcBorders>
              <w:tl2br w:val="nil"/>
              <w:tr2bl w:val="nil"/>
            </w:tcBorders>
            <w:noWrap w:val="0"/>
            <w:vAlign w:val="center"/>
          </w:tcPr>
          <w:p w14:paraId="76E02C82">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mg/L</w:t>
            </w:r>
          </w:p>
        </w:tc>
      </w:tr>
      <w:tr w14:paraId="45732D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1" w:hRule="atLeast"/>
          <w:jc w:val="center"/>
        </w:trPr>
        <w:tc>
          <w:tcPr>
            <w:tcW w:w="681" w:type="pct"/>
            <w:vMerge w:val="continue"/>
            <w:tcBorders>
              <w:tl2br w:val="nil"/>
              <w:tr2bl w:val="nil"/>
            </w:tcBorders>
            <w:shd w:val="clear" w:color="auto" w:fill="FFFFFF"/>
            <w:noWrap w:val="0"/>
            <w:vAlign w:val="center"/>
          </w:tcPr>
          <w:p w14:paraId="614DD39F">
            <w:pPr>
              <w:pStyle w:val="44"/>
              <w:bidi w:val="0"/>
              <w:rPr>
                <w:rFonts w:hint="default" w:ascii="Times New Roman" w:hAnsi="Times New Roman" w:cs="Times New Roman"/>
                <w:color w:val="auto"/>
              </w:rPr>
            </w:pPr>
          </w:p>
        </w:tc>
        <w:tc>
          <w:tcPr>
            <w:tcW w:w="823" w:type="pct"/>
            <w:tcBorders>
              <w:tl2br w:val="nil"/>
              <w:tr2bl w:val="nil"/>
            </w:tcBorders>
            <w:shd w:val="clear" w:color="auto" w:fill="FFFFFF"/>
            <w:noWrap w:val="0"/>
            <w:vAlign w:val="center"/>
          </w:tcPr>
          <w:p w14:paraId="0544DF6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高锰酸盐指数</w:t>
            </w:r>
          </w:p>
          <w:p w14:paraId="077EBE1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（耗氧量）</w:t>
            </w:r>
          </w:p>
        </w:tc>
        <w:tc>
          <w:tcPr>
            <w:tcW w:w="892" w:type="pct"/>
            <w:tcBorders>
              <w:tl2br w:val="nil"/>
              <w:tr2bl w:val="nil"/>
            </w:tcBorders>
            <w:noWrap w:val="0"/>
            <w:vAlign w:val="center"/>
          </w:tcPr>
          <w:p w14:paraId="2DB0145A">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1.4 </w:t>
            </w:r>
          </w:p>
        </w:tc>
        <w:tc>
          <w:tcPr>
            <w:tcW w:w="892" w:type="pct"/>
            <w:tcBorders>
              <w:tl2br w:val="nil"/>
              <w:tr2bl w:val="nil"/>
            </w:tcBorders>
            <w:noWrap w:val="0"/>
            <w:vAlign w:val="center"/>
          </w:tcPr>
          <w:p w14:paraId="77F0093C">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1.4 </w:t>
            </w:r>
          </w:p>
        </w:tc>
        <w:tc>
          <w:tcPr>
            <w:tcW w:w="896" w:type="pct"/>
            <w:tcBorders>
              <w:tl2br w:val="nil"/>
              <w:tr2bl w:val="nil"/>
            </w:tcBorders>
            <w:noWrap w:val="0"/>
            <w:vAlign w:val="center"/>
          </w:tcPr>
          <w:p w14:paraId="11EB22D6">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1.5 </w:t>
            </w:r>
          </w:p>
        </w:tc>
        <w:tc>
          <w:tcPr>
            <w:tcW w:w="812" w:type="pct"/>
            <w:tcBorders>
              <w:tl2br w:val="nil"/>
              <w:tr2bl w:val="nil"/>
            </w:tcBorders>
            <w:noWrap w:val="0"/>
            <w:vAlign w:val="center"/>
          </w:tcPr>
          <w:p w14:paraId="11577BEC">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mg/L</w:t>
            </w:r>
          </w:p>
        </w:tc>
      </w:tr>
      <w:tr w14:paraId="11045D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681" w:type="pct"/>
            <w:vMerge w:val="continue"/>
            <w:tcBorders>
              <w:tl2br w:val="nil"/>
              <w:tr2bl w:val="nil"/>
            </w:tcBorders>
            <w:shd w:val="clear" w:color="auto" w:fill="FFFFFF"/>
            <w:noWrap w:val="0"/>
            <w:vAlign w:val="center"/>
          </w:tcPr>
          <w:p w14:paraId="688012A2">
            <w:pPr>
              <w:pStyle w:val="44"/>
              <w:bidi w:val="0"/>
              <w:rPr>
                <w:rFonts w:hint="default" w:ascii="Times New Roman" w:hAnsi="Times New Roman" w:cs="Times New Roman"/>
                <w:color w:val="auto"/>
              </w:rPr>
            </w:pPr>
          </w:p>
        </w:tc>
        <w:tc>
          <w:tcPr>
            <w:tcW w:w="823" w:type="pct"/>
            <w:tcBorders>
              <w:tl2br w:val="nil"/>
              <w:tr2bl w:val="nil"/>
            </w:tcBorders>
            <w:shd w:val="clear" w:color="auto" w:fill="FFFFFF"/>
            <w:noWrap w:val="0"/>
            <w:vAlign w:val="center"/>
          </w:tcPr>
          <w:p w14:paraId="31ACFE70">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硫酸盐</w:t>
            </w:r>
          </w:p>
        </w:tc>
        <w:tc>
          <w:tcPr>
            <w:tcW w:w="892" w:type="pct"/>
            <w:tcBorders>
              <w:tl2br w:val="nil"/>
              <w:tr2bl w:val="nil"/>
            </w:tcBorders>
            <w:noWrap w:val="0"/>
            <w:vAlign w:val="center"/>
          </w:tcPr>
          <w:p w14:paraId="3BF0FCF9">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31</w:t>
            </w:r>
          </w:p>
        </w:tc>
        <w:tc>
          <w:tcPr>
            <w:tcW w:w="892" w:type="pct"/>
            <w:tcBorders>
              <w:tl2br w:val="nil"/>
              <w:tr2bl w:val="nil"/>
            </w:tcBorders>
            <w:noWrap w:val="0"/>
            <w:vAlign w:val="center"/>
          </w:tcPr>
          <w:p w14:paraId="69780C55">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20</w:t>
            </w:r>
          </w:p>
        </w:tc>
        <w:tc>
          <w:tcPr>
            <w:tcW w:w="896" w:type="pct"/>
            <w:tcBorders>
              <w:tl2br w:val="nil"/>
              <w:tr2bl w:val="nil"/>
            </w:tcBorders>
            <w:noWrap w:val="0"/>
            <w:vAlign w:val="center"/>
          </w:tcPr>
          <w:p w14:paraId="7EFC8A42">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29</w:t>
            </w:r>
          </w:p>
        </w:tc>
        <w:tc>
          <w:tcPr>
            <w:tcW w:w="812" w:type="pct"/>
            <w:tcBorders>
              <w:tl2br w:val="nil"/>
              <w:tr2bl w:val="nil"/>
            </w:tcBorders>
            <w:noWrap w:val="0"/>
            <w:vAlign w:val="center"/>
          </w:tcPr>
          <w:p w14:paraId="4D77369A">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mg/L</w:t>
            </w:r>
          </w:p>
        </w:tc>
      </w:tr>
      <w:tr w14:paraId="7AC653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681" w:type="pct"/>
            <w:vMerge w:val="continue"/>
            <w:tcBorders>
              <w:tl2br w:val="nil"/>
              <w:tr2bl w:val="nil"/>
            </w:tcBorders>
            <w:shd w:val="clear" w:color="auto" w:fill="FFFFFF"/>
            <w:noWrap w:val="0"/>
            <w:vAlign w:val="center"/>
          </w:tcPr>
          <w:p w14:paraId="47757BAD">
            <w:pPr>
              <w:pStyle w:val="44"/>
              <w:bidi w:val="0"/>
              <w:rPr>
                <w:rFonts w:hint="default" w:ascii="Times New Roman" w:hAnsi="Times New Roman" w:cs="Times New Roman"/>
                <w:color w:val="auto"/>
              </w:rPr>
            </w:pPr>
          </w:p>
        </w:tc>
        <w:tc>
          <w:tcPr>
            <w:tcW w:w="823" w:type="pct"/>
            <w:tcBorders>
              <w:tl2br w:val="nil"/>
              <w:tr2bl w:val="nil"/>
            </w:tcBorders>
            <w:shd w:val="clear" w:color="auto" w:fill="FFFFFF"/>
            <w:noWrap w:val="0"/>
            <w:vAlign w:val="center"/>
          </w:tcPr>
          <w:p w14:paraId="67B6009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氯化物</w:t>
            </w:r>
          </w:p>
        </w:tc>
        <w:tc>
          <w:tcPr>
            <w:tcW w:w="892" w:type="pct"/>
            <w:tcBorders>
              <w:tl2br w:val="nil"/>
              <w:tr2bl w:val="nil"/>
            </w:tcBorders>
            <w:noWrap w:val="0"/>
            <w:vAlign w:val="center"/>
          </w:tcPr>
          <w:p w14:paraId="7F92119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6.8 </w:t>
            </w:r>
          </w:p>
        </w:tc>
        <w:tc>
          <w:tcPr>
            <w:tcW w:w="892" w:type="pct"/>
            <w:tcBorders>
              <w:tl2br w:val="nil"/>
              <w:tr2bl w:val="nil"/>
            </w:tcBorders>
            <w:noWrap w:val="0"/>
            <w:vAlign w:val="center"/>
          </w:tcPr>
          <w:p w14:paraId="769C60B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6.5 </w:t>
            </w:r>
          </w:p>
        </w:tc>
        <w:tc>
          <w:tcPr>
            <w:tcW w:w="896" w:type="pct"/>
            <w:tcBorders>
              <w:tl2br w:val="nil"/>
              <w:tr2bl w:val="nil"/>
            </w:tcBorders>
            <w:noWrap w:val="0"/>
            <w:vAlign w:val="center"/>
          </w:tcPr>
          <w:p w14:paraId="2513E18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7.0 </w:t>
            </w:r>
          </w:p>
        </w:tc>
        <w:tc>
          <w:tcPr>
            <w:tcW w:w="812" w:type="pct"/>
            <w:tcBorders>
              <w:tl2br w:val="nil"/>
              <w:tr2bl w:val="nil"/>
            </w:tcBorders>
            <w:noWrap w:val="0"/>
            <w:vAlign w:val="center"/>
          </w:tcPr>
          <w:p w14:paraId="52C518F9">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mg/L</w:t>
            </w:r>
          </w:p>
        </w:tc>
      </w:tr>
      <w:tr w14:paraId="79E7F1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681" w:type="pct"/>
            <w:vMerge w:val="continue"/>
            <w:tcBorders>
              <w:tl2br w:val="nil"/>
              <w:tr2bl w:val="nil"/>
            </w:tcBorders>
            <w:shd w:val="clear" w:color="auto" w:fill="FFFFFF"/>
            <w:noWrap w:val="0"/>
            <w:vAlign w:val="center"/>
          </w:tcPr>
          <w:p w14:paraId="2D67D9F8">
            <w:pPr>
              <w:pStyle w:val="44"/>
              <w:bidi w:val="0"/>
              <w:rPr>
                <w:rFonts w:hint="default" w:ascii="Times New Roman" w:hAnsi="Times New Roman" w:cs="Times New Roman"/>
                <w:color w:val="auto"/>
              </w:rPr>
            </w:pPr>
          </w:p>
        </w:tc>
        <w:tc>
          <w:tcPr>
            <w:tcW w:w="823" w:type="pct"/>
            <w:tcBorders>
              <w:tl2br w:val="nil"/>
              <w:tr2bl w:val="nil"/>
            </w:tcBorders>
            <w:shd w:val="clear" w:color="auto" w:fill="FFFFFF"/>
            <w:noWrap w:val="0"/>
            <w:vAlign w:val="center"/>
          </w:tcPr>
          <w:p w14:paraId="270BBACE">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总大肠菌群</w:t>
            </w:r>
          </w:p>
        </w:tc>
        <w:tc>
          <w:tcPr>
            <w:tcW w:w="892" w:type="pct"/>
            <w:tcBorders>
              <w:tl2br w:val="nil"/>
              <w:tr2bl w:val="nil"/>
            </w:tcBorders>
            <w:noWrap w:val="0"/>
            <w:vAlign w:val="center"/>
          </w:tcPr>
          <w:p w14:paraId="1911EB4A">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&lt;2</w:t>
            </w:r>
          </w:p>
        </w:tc>
        <w:tc>
          <w:tcPr>
            <w:tcW w:w="892" w:type="pct"/>
            <w:tcBorders>
              <w:tl2br w:val="nil"/>
              <w:tr2bl w:val="nil"/>
            </w:tcBorders>
            <w:noWrap w:val="0"/>
            <w:vAlign w:val="center"/>
          </w:tcPr>
          <w:p w14:paraId="42748F74">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&lt;2</w:t>
            </w:r>
          </w:p>
        </w:tc>
        <w:tc>
          <w:tcPr>
            <w:tcW w:w="896" w:type="pct"/>
            <w:tcBorders>
              <w:tl2br w:val="nil"/>
              <w:tr2bl w:val="nil"/>
            </w:tcBorders>
            <w:noWrap w:val="0"/>
            <w:vAlign w:val="center"/>
          </w:tcPr>
          <w:p w14:paraId="7C53DB6D">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&lt;2</w:t>
            </w:r>
          </w:p>
        </w:tc>
        <w:tc>
          <w:tcPr>
            <w:tcW w:w="812" w:type="pct"/>
            <w:tcBorders>
              <w:tl2br w:val="nil"/>
              <w:tr2bl w:val="nil"/>
            </w:tcBorders>
            <w:noWrap w:val="0"/>
            <w:vAlign w:val="center"/>
          </w:tcPr>
          <w:p w14:paraId="1690B796">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MPN/100mL</w:t>
            </w:r>
          </w:p>
        </w:tc>
      </w:tr>
      <w:tr w14:paraId="549F63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681" w:type="pct"/>
            <w:vMerge w:val="continue"/>
            <w:tcBorders>
              <w:tl2br w:val="nil"/>
              <w:tr2bl w:val="nil"/>
            </w:tcBorders>
            <w:shd w:val="clear" w:color="auto" w:fill="FFFFFF"/>
            <w:noWrap w:val="0"/>
            <w:vAlign w:val="center"/>
          </w:tcPr>
          <w:p w14:paraId="302A824C">
            <w:pPr>
              <w:pStyle w:val="44"/>
              <w:bidi w:val="0"/>
              <w:rPr>
                <w:rFonts w:hint="default" w:ascii="Times New Roman" w:hAnsi="Times New Roman" w:cs="Times New Roman"/>
                <w:color w:val="auto"/>
              </w:rPr>
            </w:pPr>
          </w:p>
        </w:tc>
        <w:tc>
          <w:tcPr>
            <w:tcW w:w="823" w:type="pct"/>
            <w:tcBorders>
              <w:tl2br w:val="nil"/>
              <w:tr2bl w:val="nil"/>
            </w:tcBorders>
            <w:shd w:val="clear" w:color="auto" w:fill="FFFFFF"/>
            <w:noWrap w:val="0"/>
            <w:vAlign w:val="center"/>
          </w:tcPr>
          <w:p w14:paraId="372DF7FD">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菌落总数</w:t>
            </w:r>
          </w:p>
        </w:tc>
        <w:tc>
          <w:tcPr>
            <w:tcW w:w="892" w:type="pct"/>
            <w:tcBorders>
              <w:tl2br w:val="nil"/>
              <w:tr2bl w:val="nil"/>
            </w:tcBorders>
            <w:noWrap w:val="0"/>
            <w:vAlign w:val="center"/>
          </w:tcPr>
          <w:p w14:paraId="543DDD0A">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75</w:t>
            </w:r>
          </w:p>
        </w:tc>
        <w:tc>
          <w:tcPr>
            <w:tcW w:w="892" w:type="pct"/>
            <w:tcBorders>
              <w:tl2br w:val="nil"/>
              <w:tr2bl w:val="nil"/>
            </w:tcBorders>
            <w:noWrap w:val="0"/>
            <w:vAlign w:val="center"/>
          </w:tcPr>
          <w:p w14:paraId="1C029DEC">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62</w:t>
            </w:r>
          </w:p>
        </w:tc>
        <w:tc>
          <w:tcPr>
            <w:tcW w:w="896" w:type="pct"/>
            <w:tcBorders>
              <w:tl2br w:val="nil"/>
              <w:tr2bl w:val="nil"/>
            </w:tcBorders>
            <w:noWrap w:val="0"/>
            <w:vAlign w:val="center"/>
          </w:tcPr>
          <w:p w14:paraId="26E6F375">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48</w:t>
            </w:r>
          </w:p>
        </w:tc>
        <w:tc>
          <w:tcPr>
            <w:tcW w:w="812" w:type="pct"/>
            <w:tcBorders>
              <w:tl2br w:val="nil"/>
              <w:tr2bl w:val="nil"/>
            </w:tcBorders>
            <w:noWrap w:val="0"/>
            <w:vAlign w:val="center"/>
          </w:tcPr>
          <w:p w14:paraId="035D041D">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CFU/mL</w:t>
            </w:r>
          </w:p>
        </w:tc>
      </w:tr>
    </w:tbl>
    <w:p w14:paraId="2141CCFF">
      <w:pPr>
        <w:spacing w:line="0" w:lineRule="atLeast"/>
        <w:jc w:val="left"/>
        <w:rPr>
          <w:rFonts w:hint="default" w:ascii="Times New Roman" w:hAnsi="Times New Roman" w:cs="Times New Roman"/>
          <w:b w:val="0"/>
          <w:bCs/>
          <w:color w:val="auto"/>
          <w:sz w:val="18"/>
        </w:rPr>
      </w:pPr>
      <w:r>
        <w:rPr>
          <w:rFonts w:hint="default" w:ascii="Times New Roman" w:hAnsi="Times New Roman" w:cs="Times New Roman"/>
          <w:b w:val="0"/>
          <w:bCs/>
          <w:color w:val="auto"/>
          <w:sz w:val="18"/>
        </w:rPr>
        <w:t>注：pH为无量纲；L表示小于方法检出限；其中菌落总数单位为CFU/ml；总大肠菌数单位MPN/100ml。</w:t>
      </w:r>
    </w:p>
    <w:p w14:paraId="3BD7BA92">
      <w:pPr>
        <w:pStyle w:val="5"/>
        <w:bidi w:val="0"/>
        <w:rPr>
          <w:rFonts w:hint="default" w:ascii="Times New Roman" w:hAnsi="Times New Roman" w:cs="Times New Roman"/>
          <w:color w:val="auto"/>
        </w:rPr>
      </w:pPr>
      <w:r>
        <w:rPr>
          <w:rFonts w:hint="default" w:ascii="Times New Roman" w:hAnsi="Times New Roman" w:eastAsia="宋体" w:cs="Times New Roman"/>
          <w:b/>
          <w:bCs/>
          <w:color w:val="auto"/>
          <w:kern w:val="2"/>
          <w:sz w:val="24"/>
          <w:szCs w:val="28"/>
          <w:lang w:val="en-US" w:eastAsia="zh-CN" w:bidi="ar-SA"/>
        </w:rPr>
        <w:t xml:space="preserve">4.2.3.2地下水环境现状评价 </w:t>
      </w:r>
      <w:r>
        <w:rPr>
          <w:rFonts w:hint="default" w:ascii="Times New Roman" w:hAnsi="Times New Roman" w:cs="Times New Roman"/>
          <w:color w:val="auto"/>
        </w:rPr>
        <w:t xml:space="preserve">  </w:t>
      </w:r>
    </w:p>
    <w:p w14:paraId="05F9897D">
      <w:pPr>
        <w:pStyle w:val="25"/>
        <w:bidi w:val="0"/>
        <w:rPr>
          <w:rFonts w:hint="default" w:ascii="Times New Roman" w:hAnsi="Times New Roman" w:cs="Times New Roman"/>
          <w:color w:val="auto"/>
        </w:rPr>
      </w:pPr>
      <w:r>
        <w:rPr>
          <w:rFonts w:hint="default" w:ascii="Times New Roman" w:hAnsi="Times New Roman" w:cs="Times New Roman"/>
          <w:color w:val="auto"/>
        </w:rPr>
        <w:t>1、评价标准</w:t>
      </w:r>
    </w:p>
    <w:p w14:paraId="344A6B29">
      <w:pPr>
        <w:pStyle w:val="25"/>
        <w:bidi w:val="0"/>
        <w:rPr>
          <w:rFonts w:hint="default" w:ascii="Times New Roman" w:hAnsi="Times New Roman" w:cs="Times New Roman"/>
          <w:color w:val="auto"/>
        </w:rPr>
      </w:pPr>
      <w:r>
        <w:rPr>
          <w:rFonts w:hint="default" w:ascii="Times New Roman" w:hAnsi="Times New Roman" w:cs="Times New Roman"/>
          <w:color w:val="auto"/>
        </w:rPr>
        <w:t>根据评价区地下水水质状况和使用功能，地下水评价执行《地下水质量标准》(GB/T14848-2017)Ⅲ类标准。</w:t>
      </w:r>
    </w:p>
    <w:p w14:paraId="13290F69">
      <w:pPr>
        <w:pStyle w:val="25"/>
        <w:bidi w:val="0"/>
        <w:rPr>
          <w:rFonts w:hint="default" w:ascii="Times New Roman" w:hAnsi="Times New Roman" w:cs="Times New Roman"/>
          <w:color w:val="auto"/>
        </w:rPr>
      </w:pPr>
      <w:r>
        <w:rPr>
          <w:rFonts w:hint="default" w:ascii="Times New Roman" w:hAnsi="Times New Roman" w:cs="Times New Roman"/>
          <w:color w:val="auto"/>
        </w:rPr>
        <w:t>2、评价方法</w:t>
      </w:r>
    </w:p>
    <w:p w14:paraId="19222775">
      <w:pPr>
        <w:pStyle w:val="25"/>
        <w:bidi w:val="0"/>
        <w:rPr>
          <w:rFonts w:hint="default" w:ascii="Times New Roman" w:hAnsi="Times New Roman" w:cs="Times New Roman"/>
          <w:color w:val="auto"/>
          <w:lang w:val="zh-CN"/>
        </w:rPr>
      </w:pPr>
      <w:r>
        <w:rPr>
          <w:rFonts w:hint="default" w:ascii="Times New Roman" w:hAnsi="Times New Roman" w:cs="Times New Roman"/>
          <w:color w:val="auto"/>
          <w:lang w:val="zh-CN"/>
        </w:rPr>
        <w:t>采用单项标准指数法对地下水现状监测结果进行评价，评价模式如下：</w:t>
      </w:r>
    </w:p>
    <w:p w14:paraId="34FCB4EE">
      <w:pPr>
        <w:pStyle w:val="25"/>
        <w:bidi w:val="0"/>
        <w:jc w:val="center"/>
        <w:rPr>
          <w:rFonts w:hint="default" w:ascii="Times New Roman" w:hAnsi="Times New Roman" w:cs="Times New Roman"/>
          <w:color w:val="auto"/>
        </w:rPr>
      </w:pPr>
      <w:r>
        <w:rPr>
          <w:rFonts w:hint="default" w:ascii="Times New Roman" w:hAnsi="Times New Roman" w:cs="Times New Roman"/>
          <w:color w:val="auto"/>
        </w:rPr>
        <w:t>Pi=Ci/Csi</w:t>
      </w:r>
    </w:p>
    <w:p w14:paraId="73320CD0">
      <w:pPr>
        <w:pStyle w:val="25"/>
        <w:bidi w:val="0"/>
        <w:rPr>
          <w:rFonts w:hint="default" w:ascii="Times New Roman" w:hAnsi="Times New Roman" w:cs="Times New Roman"/>
          <w:color w:val="auto"/>
        </w:rPr>
      </w:pPr>
      <w:r>
        <w:rPr>
          <w:rFonts w:hint="default" w:ascii="Times New Roman" w:hAnsi="Times New Roman" w:cs="Times New Roman"/>
          <w:color w:val="auto"/>
        </w:rPr>
        <w:t>式中：Pi—第i个水质因子的标准指数，无量纲；</w:t>
      </w:r>
    </w:p>
    <w:p w14:paraId="175CED15">
      <w:pPr>
        <w:pStyle w:val="25"/>
        <w:bidi w:val="0"/>
        <w:rPr>
          <w:rFonts w:hint="default" w:ascii="Times New Roman" w:hAnsi="Times New Roman" w:cs="Times New Roman"/>
          <w:color w:val="auto"/>
        </w:rPr>
      </w:pPr>
      <w:r>
        <w:rPr>
          <w:rFonts w:hint="default" w:ascii="Times New Roman" w:hAnsi="Times New Roman" w:cs="Times New Roman"/>
          <w:color w:val="auto"/>
        </w:rPr>
        <w:t xml:space="preserve">      Ci—第i个水质因子的监测质量浓度值，mg/L；</w:t>
      </w:r>
    </w:p>
    <w:p w14:paraId="7CF7939B">
      <w:pPr>
        <w:pStyle w:val="25"/>
        <w:bidi w:val="0"/>
        <w:rPr>
          <w:rFonts w:hint="default" w:ascii="Times New Roman" w:hAnsi="Times New Roman" w:cs="Times New Roman"/>
          <w:color w:val="auto"/>
        </w:rPr>
      </w:pPr>
      <w:r>
        <w:rPr>
          <w:rFonts w:hint="default" w:ascii="Times New Roman" w:hAnsi="Times New Roman" w:cs="Times New Roman"/>
          <w:color w:val="auto"/>
        </w:rPr>
        <w:t xml:space="preserve">      Csi—第i个水质因子的标准质量浓度值，mg/L。</w:t>
      </w:r>
    </w:p>
    <w:p w14:paraId="5FA2932B">
      <w:pPr>
        <w:pStyle w:val="25"/>
        <w:bidi w:val="0"/>
        <w:ind w:left="0" w:leftChars="0" w:firstLine="0" w:firstLineChars="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0" distR="0">
            <wp:extent cx="1019175" cy="419100"/>
            <wp:effectExtent l="0" t="0" r="9525" b="0"/>
            <wp:docPr id="207" name="图片 207" descr="C:\Users\Administrator\AppData\Roaming\Tencent\Users\171099826\QQ\WinTemp\RichOle\D2X1C@@Q$2E[]V86NBFWO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C:\Users\Administrator\AppData\Roaming\Tencent\Users\171099826\QQ\WinTemp\RichOle\D2X1C@@Q$2E[]V86NBFWOEE.png"/>
                    <pic:cNvPicPr>
                      <a:picLocks noChangeAspect="1" noChangeArrowheads="1"/>
                    </pic:cNvPicPr>
                  </pic:nvPicPr>
                  <pic:blipFill>
                    <a:blip r:embed="rId71">
                      <a:extLst>
                        <a:ext uri="{28A0092B-C50C-407E-A947-70E740481C1C}">
                          <a14:useLocalDpi xmlns:a14="http://schemas.microsoft.com/office/drawing/2010/main" val="0"/>
                        </a:ext>
                      </a:extLst>
                    </a:blip>
                    <a:srcRect r="1527"/>
                    <a:stretch>
                      <a:fillRect/>
                    </a:stretch>
                  </pic:blipFill>
                  <pic:spPr>
                    <a:xfrm>
                      <a:off x="0" y="0"/>
                      <a:ext cx="1019175" cy="419100"/>
                    </a:xfrm>
                    <a:prstGeom prst="rect">
                      <a:avLst/>
                    </a:prstGeom>
                    <a:noFill/>
                    <a:ln>
                      <a:noFill/>
                    </a:ln>
                  </pic:spPr>
                </pic:pic>
              </a:graphicData>
            </a:graphic>
          </wp:inline>
        </w:drawing>
      </w:r>
    </w:p>
    <w:p w14:paraId="7F4DD558">
      <w:pPr>
        <w:pStyle w:val="25"/>
        <w:bidi w:val="0"/>
        <w:ind w:left="0" w:leftChars="0" w:firstLine="0" w:firstLineChars="0"/>
        <w:jc w:val="center"/>
        <w:rPr>
          <w:rFonts w:hint="default" w:ascii="Times New Roman" w:hAnsi="Times New Roman" w:cs="Times New Roman"/>
          <w:color w:val="auto"/>
          <w:lang w:val="zh-CN"/>
        </w:rPr>
      </w:pPr>
      <w:r>
        <w:rPr>
          <w:rFonts w:hint="default" w:ascii="Times New Roman" w:hAnsi="Times New Roman" w:cs="Times New Roman"/>
          <w:color w:val="auto"/>
          <w:lang w:val="zh-CN"/>
        </w:rPr>
        <w:t>pH≤7.0时</w:t>
      </w:r>
    </w:p>
    <w:p w14:paraId="5866ED5C">
      <w:pPr>
        <w:pStyle w:val="25"/>
        <w:bidi w:val="0"/>
        <w:ind w:left="0" w:leftChars="0" w:firstLine="0" w:firstLineChars="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0" distR="0">
            <wp:extent cx="1057275" cy="438150"/>
            <wp:effectExtent l="0" t="0" r="9525" b="0"/>
            <wp:docPr id="206" name="图片 206" descr="C:\Users\Administrator\AppData\Roaming\Tencent\Users\171099826\QQ\WinTemp\RichOle\@K%@UQL46{N`PKPCZ37L}2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C:\Users\Administrator\AppData\Roaming\Tencent\Users\171099826\QQ\WinTemp\RichOle\@K%@UQL46{N`PKPCZ37L}2T.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1057275" cy="438150"/>
                    </a:xfrm>
                    <a:prstGeom prst="rect">
                      <a:avLst/>
                    </a:prstGeom>
                    <a:noFill/>
                    <a:ln>
                      <a:noFill/>
                    </a:ln>
                  </pic:spPr>
                </pic:pic>
              </a:graphicData>
            </a:graphic>
          </wp:inline>
        </w:drawing>
      </w:r>
    </w:p>
    <w:p w14:paraId="6AD3003F">
      <w:pPr>
        <w:pStyle w:val="25"/>
        <w:bidi w:val="0"/>
        <w:ind w:left="0" w:leftChars="0" w:firstLine="0" w:firstLineChars="0"/>
        <w:jc w:val="center"/>
        <w:rPr>
          <w:rFonts w:hint="default" w:ascii="Times New Roman" w:hAnsi="Times New Roman" w:cs="Times New Roman"/>
          <w:color w:val="auto"/>
          <w:lang w:val="zh-CN"/>
        </w:rPr>
      </w:pPr>
      <w:r>
        <w:rPr>
          <w:rFonts w:hint="default" w:ascii="Times New Roman" w:hAnsi="Times New Roman" w:cs="Times New Roman"/>
          <w:color w:val="auto"/>
          <w:lang w:val="zh-CN"/>
        </w:rPr>
        <w:t>pH＞7.0时</w:t>
      </w:r>
    </w:p>
    <w:p w14:paraId="69948821">
      <w:pPr>
        <w:pStyle w:val="25"/>
        <w:bidi w:val="0"/>
        <w:rPr>
          <w:rFonts w:hint="default" w:ascii="Times New Roman" w:hAnsi="Times New Roman" w:cs="Times New Roman"/>
          <w:color w:val="auto"/>
          <w:lang w:val="zh-CN"/>
        </w:rPr>
      </w:pPr>
      <w:r>
        <w:rPr>
          <w:rFonts w:hint="default" w:ascii="Times New Roman" w:hAnsi="Times New Roman" w:cs="Times New Roman"/>
          <w:color w:val="auto"/>
          <w:lang w:val="zh-CN"/>
        </w:rPr>
        <w:t>式中：P</w:t>
      </w:r>
      <w:r>
        <w:rPr>
          <w:rFonts w:hint="default" w:ascii="Times New Roman" w:hAnsi="Times New Roman" w:cs="Times New Roman"/>
          <w:color w:val="auto"/>
          <w:vertAlign w:val="subscript"/>
          <w:lang w:val="zh-CN"/>
        </w:rPr>
        <w:t>pH</w:t>
      </w:r>
      <w:r>
        <w:rPr>
          <w:rFonts w:hint="default" w:ascii="Times New Roman" w:hAnsi="Times New Roman" w:cs="Times New Roman"/>
          <w:color w:val="auto"/>
          <w:lang w:val="zh-CN"/>
        </w:rPr>
        <w:t>——pH的标准指数，无量纲；</w:t>
      </w:r>
    </w:p>
    <w:p w14:paraId="283355F3">
      <w:pPr>
        <w:pStyle w:val="25"/>
        <w:bidi w:val="0"/>
        <w:ind w:firstLine="1200" w:firstLineChars="500"/>
        <w:rPr>
          <w:rFonts w:hint="default" w:ascii="Times New Roman" w:hAnsi="Times New Roman" w:cs="Times New Roman"/>
          <w:color w:val="auto"/>
          <w:lang w:val="zh-CN"/>
        </w:rPr>
      </w:pPr>
      <w:r>
        <w:rPr>
          <w:rFonts w:hint="default" w:ascii="Times New Roman" w:hAnsi="Times New Roman" w:cs="Times New Roman"/>
          <w:color w:val="auto"/>
          <w:lang w:val="zh-CN"/>
        </w:rPr>
        <w:t>pH——pH监测值；</w:t>
      </w:r>
    </w:p>
    <w:p w14:paraId="0AF9A62A">
      <w:pPr>
        <w:pStyle w:val="25"/>
        <w:bidi w:val="0"/>
        <w:ind w:firstLine="1200" w:firstLineChars="500"/>
        <w:rPr>
          <w:rFonts w:hint="default" w:ascii="Times New Roman" w:hAnsi="Times New Roman" w:cs="Times New Roman"/>
          <w:color w:val="auto"/>
          <w:lang w:val="zh-CN"/>
        </w:rPr>
      </w:pPr>
      <w:r>
        <w:rPr>
          <w:rFonts w:hint="default" w:ascii="Times New Roman" w:hAnsi="Times New Roman" w:cs="Times New Roman"/>
          <w:color w:val="auto"/>
          <w:lang w:val="zh-CN"/>
        </w:rPr>
        <w:t>pH</w:t>
      </w:r>
      <w:r>
        <w:rPr>
          <w:rFonts w:hint="default" w:ascii="Times New Roman" w:hAnsi="Times New Roman" w:cs="Times New Roman"/>
          <w:color w:val="auto"/>
          <w:vertAlign w:val="subscript"/>
          <w:lang w:val="zh-CN"/>
        </w:rPr>
        <w:t>su</w:t>
      </w:r>
      <w:r>
        <w:rPr>
          <w:rFonts w:hint="default" w:ascii="Times New Roman" w:hAnsi="Times New Roman" w:cs="Times New Roman"/>
          <w:color w:val="auto"/>
          <w:lang w:val="zh-CN"/>
        </w:rPr>
        <w:t>——标准中pH的上限值；</w:t>
      </w:r>
    </w:p>
    <w:p w14:paraId="7E2257EF">
      <w:pPr>
        <w:pStyle w:val="25"/>
        <w:bidi w:val="0"/>
        <w:ind w:firstLine="1200" w:firstLineChars="500"/>
        <w:rPr>
          <w:rFonts w:hint="default" w:ascii="Times New Roman" w:hAnsi="Times New Roman" w:cs="Times New Roman"/>
          <w:color w:val="auto"/>
          <w:lang w:val="zh-CN"/>
        </w:rPr>
      </w:pPr>
      <w:r>
        <w:rPr>
          <w:rFonts w:hint="default" w:ascii="Times New Roman" w:hAnsi="Times New Roman" w:cs="Times New Roman"/>
          <w:color w:val="auto"/>
          <w:lang w:val="zh-CN"/>
        </w:rPr>
        <w:t>pH</w:t>
      </w:r>
      <w:r>
        <w:rPr>
          <w:rFonts w:hint="default" w:ascii="Times New Roman" w:hAnsi="Times New Roman" w:cs="Times New Roman"/>
          <w:color w:val="auto"/>
          <w:vertAlign w:val="subscript"/>
          <w:lang w:val="zh-CN"/>
        </w:rPr>
        <w:t>sd</w:t>
      </w:r>
      <w:r>
        <w:rPr>
          <w:rFonts w:hint="default" w:ascii="Times New Roman" w:hAnsi="Times New Roman" w:cs="Times New Roman"/>
          <w:color w:val="auto"/>
          <w:lang w:val="zh-CN"/>
        </w:rPr>
        <w:t>——标准中pH的下限值。</w:t>
      </w:r>
    </w:p>
    <w:p w14:paraId="3A0F79F7">
      <w:pPr>
        <w:pStyle w:val="25"/>
        <w:bidi w:val="0"/>
        <w:rPr>
          <w:rFonts w:hint="default" w:ascii="Times New Roman" w:hAnsi="Times New Roman" w:cs="Times New Roman"/>
          <w:color w:val="auto"/>
          <w:lang w:val="zh-CN"/>
        </w:rPr>
      </w:pPr>
      <w:r>
        <w:rPr>
          <w:rFonts w:hint="default" w:ascii="Times New Roman" w:hAnsi="Times New Roman" w:cs="Times New Roman"/>
          <w:color w:val="auto"/>
          <w:lang w:val="zh-CN"/>
        </w:rPr>
        <w:t>当标准指数＞1时，表示该水质参数所表征的污染物已满足不了标准要求，水体已受到污染；反之，则满足标准要求。</w:t>
      </w:r>
    </w:p>
    <w:p w14:paraId="65DF4957">
      <w:pPr>
        <w:pStyle w:val="25"/>
        <w:bidi w:val="0"/>
        <w:rPr>
          <w:rFonts w:hint="default" w:ascii="Times New Roman" w:hAnsi="Times New Roman" w:cs="Times New Roman"/>
          <w:color w:val="auto"/>
          <w:lang w:val="zh-CN"/>
        </w:rPr>
      </w:pPr>
      <w:r>
        <w:rPr>
          <w:rFonts w:hint="default" w:ascii="Times New Roman" w:hAnsi="Times New Roman" w:cs="Times New Roman"/>
          <w:color w:val="auto"/>
          <w:lang w:val="zh-CN"/>
        </w:rPr>
        <w:t>3、评价结果</w:t>
      </w:r>
    </w:p>
    <w:p w14:paraId="7CBF723E">
      <w:pPr>
        <w:pStyle w:val="27"/>
        <w:bidi w:val="0"/>
        <w:rPr>
          <w:rFonts w:hint="default" w:ascii="Times New Roman" w:hAnsi="Times New Roman" w:cs="Times New Roman"/>
          <w:color w:val="auto"/>
        </w:rPr>
      </w:pPr>
      <w:r>
        <w:rPr>
          <w:rFonts w:hint="default" w:ascii="Times New Roman" w:hAnsi="Times New Roman" w:cs="Times New Roman"/>
          <w:color w:val="auto"/>
        </w:rPr>
        <w:t>表4-2-7地下水水质现状评价统计结果</w:t>
      </w:r>
    </w:p>
    <w:tbl>
      <w:tblPr>
        <w:tblStyle w:val="2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53"/>
        <w:gridCol w:w="1247"/>
        <w:gridCol w:w="1134"/>
        <w:gridCol w:w="1045"/>
        <w:gridCol w:w="1085"/>
        <w:gridCol w:w="994"/>
        <w:gridCol w:w="1354"/>
        <w:gridCol w:w="7"/>
      </w:tblGrid>
      <w:tr w14:paraId="6CEECE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57" w:hRule="atLeast"/>
          <w:jc w:val="center"/>
        </w:trPr>
        <w:tc>
          <w:tcPr>
            <w:tcW w:w="970" w:type="pct"/>
            <w:vAlign w:val="center"/>
          </w:tcPr>
          <w:p w14:paraId="690B86C7">
            <w:pPr>
              <w:pStyle w:val="44"/>
              <w:bidi w:val="0"/>
              <w:jc w:val="center"/>
              <w:rPr>
                <w:rFonts w:hint="default" w:ascii="Times New Roman" w:hAnsi="Times New Roman" w:cs="Times New Roman"/>
                <w:color w:val="auto"/>
              </w:rPr>
            </w:pPr>
            <w:r>
              <w:rPr>
                <w:rFonts w:hint="default" w:ascii="Times New Roman" w:hAnsi="Times New Roman" w:cs="Times New Roman"/>
                <w:color w:val="auto"/>
              </w:rPr>
              <w:t>检测项目</w:t>
            </w:r>
          </w:p>
        </w:tc>
        <w:tc>
          <w:tcPr>
            <w:tcW w:w="731" w:type="pct"/>
            <w:vAlign w:val="center"/>
          </w:tcPr>
          <w:p w14:paraId="2742825B">
            <w:pPr>
              <w:pStyle w:val="44"/>
              <w:bidi w:val="0"/>
              <w:jc w:val="center"/>
              <w:rPr>
                <w:rFonts w:hint="default" w:ascii="Times New Roman" w:hAnsi="Times New Roman" w:cs="Times New Roman"/>
                <w:color w:val="auto"/>
              </w:rPr>
            </w:pPr>
            <w:r>
              <w:rPr>
                <w:rFonts w:hint="default" w:ascii="Times New Roman" w:hAnsi="Times New Roman" w:cs="Times New Roman"/>
                <w:color w:val="auto"/>
              </w:rPr>
              <w:t>最大值</w:t>
            </w:r>
          </w:p>
        </w:tc>
        <w:tc>
          <w:tcPr>
            <w:tcW w:w="665" w:type="pct"/>
            <w:vAlign w:val="center"/>
          </w:tcPr>
          <w:p w14:paraId="2B199727">
            <w:pPr>
              <w:pStyle w:val="44"/>
              <w:bidi w:val="0"/>
              <w:jc w:val="center"/>
              <w:rPr>
                <w:rFonts w:hint="default" w:ascii="Times New Roman" w:hAnsi="Times New Roman" w:cs="Times New Roman"/>
                <w:color w:val="auto"/>
              </w:rPr>
            </w:pPr>
            <w:r>
              <w:rPr>
                <w:rFonts w:hint="default" w:ascii="Times New Roman" w:hAnsi="Times New Roman" w:cs="Times New Roman"/>
                <w:color w:val="auto"/>
              </w:rPr>
              <w:t>最小值</w:t>
            </w:r>
          </w:p>
        </w:tc>
        <w:tc>
          <w:tcPr>
            <w:tcW w:w="613" w:type="pct"/>
            <w:vAlign w:val="center"/>
          </w:tcPr>
          <w:p w14:paraId="152721BA">
            <w:pPr>
              <w:pStyle w:val="44"/>
              <w:bidi w:val="0"/>
              <w:jc w:val="center"/>
              <w:rPr>
                <w:rFonts w:hint="default" w:ascii="Times New Roman" w:hAnsi="Times New Roman" w:cs="Times New Roman"/>
                <w:color w:val="auto"/>
              </w:rPr>
            </w:pPr>
            <w:r>
              <w:rPr>
                <w:rFonts w:hint="default" w:ascii="Times New Roman" w:hAnsi="Times New Roman" w:cs="Times New Roman"/>
                <w:color w:val="auto"/>
              </w:rPr>
              <w:t>均值</w:t>
            </w:r>
          </w:p>
        </w:tc>
        <w:tc>
          <w:tcPr>
            <w:tcW w:w="636" w:type="pct"/>
            <w:vAlign w:val="center"/>
          </w:tcPr>
          <w:p w14:paraId="5B18473E">
            <w:pPr>
              <w:pStyle w:val="44"/>
              <w:bidi w:val="0"/>
              <w:jc w:val="center"/>
              <w:rPr>
                <w:rFonts w:hint="default" w:ascii="Times New Roman" w:hAnsi="Times New Roman" w:cs="Times New Roman"/>
                <w:color w:val="auto"/>
              </w:rPr>
            </w:pPr>
            <w:r>
              <w:rPr>
                <w:rFonts w:hint="default" w:ascii="Times New Roman" w:hAnsi="Times New Roman" w:cs="Times New Roman"/>
                <w:color w:val="auto"/>
              </w:rPr>
              <w:t>标准差</w:t>
            </w:r>
          </w:p>
        </w:tc>
        <w:tc>
          <w:tcPr>
            <w:tcW w:w="583" w:type="pct"/>
            <w:vAlign w:val="center"/>
          </w:tcPr>
          <w:p w14:paraId="29A92B03">
            <w:pPr>
              <w:pStyle w:val="44"/>
              <w:bidi w:val="0"/>
              <w:jc w:val="center"/>
              <w:rPr>
                <w:rFonts w:hint="default" w:ascii="Times New Roman" w:hAnsi="Times New Roman" w:cs="Times New Roman"/>
                <w:color w:val="auto"/>
              </w:rPr>
            </w:pPr>
            <w:r>
              <w:rPr>
                <w:rFonts w:hint="default" w:ascii="Times New Roman" w:hAnsi="Times New Roman" w:cs="Times New Roman"/>
                <w:color w:val="auto"/>
              </w:rPr>
              <w:t>检出率</w:t>
            </w:r>
          </w:p>
        </w:tc>
        <w:tc>
          <w:tcPr>
            <w:tcW w:w="794" w:type="pct"/>
            <w:vAlign w:val="center"/>
          </w:tcPr>
          <w:p w14:paraId="736FA6A0">
            <w:pPr>
              <w:pStyle w:val="44"/>
              <w:bidi w:val="0"/>
              <w:jc w:val="center"/>
              <w:rPr>
                <w:rFonts w:hint="default" w:ascii="Times New Roman" w:hAnsi="Times New Roman" w:cs="Times New Roman"/>
                <w:color w:val="auto"/>
              </w:rPr>
            </w:pPr>
            <w:r>
              <w:rPr>
                <w:rFonts w:hint="default" w:ascii="Times New Roman" w:hAnsi="Times New Roman" w:cs="Times New Roman"/>
                <w:color w:val="auto"/>
              </w:rPr>
              <w:t>超标率</w:t>
            </w:r>
          </w:p>
        </w:tc>
      </w:tr>
      <w:tr w14:paraId="110F5D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229" w:hRule="atLeast"/>
          <w:jc w:val="center"/>
        </w:trPr>
        <w:tc>
          <w:tcPr>
            <w:tcW w:w="970" w:type="pct"/>
            <w:vAlign w:val="center"/>
          </w:tcPr>
          <w:p w14:paraId="2C3643E7">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lang w:val="en-US" w:eastAsia="zh-CN"/>
              </w:rPr>
              <w:t>K</w:t>
            </w:r>
            <w:r>
              <w:rPr>
                <w:rFonts w:hint="default" w:ascii="Times New Roman" w:hAnsi="Times New Roman" w:cs="Times New Roman"/>
                <w:color w:val="auto"/>
                <w:vertAlign w:val="superscript"/>
                <w:lang w:val="en-US" w:eastAsia="zh-CN"/>
              </w:rPr>
              <w:t>+</w:t>
            </w:r>
          </w:p>
        </w:tc>
        <w:tc>
          <w:tcPr>
            <w:tcW w:w="731" w:type="pct"/>
            <w:vAlign w:val="center"/>
          </w:tcPr>
          <w:p w14:paraId="564C48C9">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rPr>
              <w:t>2.</w:t>
            </w:r>
            <w:r>
              <w:rPr>
                <w:rFonts w:hint="default" w:ascii="Times New Roman" w:hAnsi="Times New Roman" w:cs="Times New Roman"/>
                <w:color w:val="auto"/>
                <w:lang w:val="en-US" w:eastAsia="zh-CN"/>
              </w:rPr>
              <w:t>85</w:t>
            </w:r>
          </w:p>
        </w:tc>
        <w:tc>
          <w:tcPr>
            <w:tcW w:w="665" w:type="pct"/>
            <w:vAlign w:val="center"/>
          </w:tcPr>
          <w:p w14:paraId="3548B53C">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1.97</w:t>
            </w:r>
          </w:p>
        </w:tc>
        <w:tc>
          <w:tcPr>
            <w:tcW w:w="613" w:type="pct"/>
            <w:vAlign w:val="center"/>
          </w:tcPr>
          <w:p w14:paraId="5B474A16">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rPr>
              <w:t>2.</w:t>
            </w:r>
            <w:r>
              <w:rPr>
                <w:rFonts w:hint="default" w:ascii="Times New Roman" w:hAnsi="Times New Roman" w:cs="Times New Roman"/>
                <w:color w:val="auto"/>
                <w:lang w:val="en-US" w:eastAsia="zh-CN"/>
              </w:rPr>
              <w:t>39</w:t>
            </w:r>
          </w:p>
        </w:tc>
        <w:tc>
          <w:tcPr>
            <w:tcW w:w="636" w:type="pct"/>
            <w:vAlign w:val="center"/>
          </w:tcPr>
          <w:p w14:paraId="14DAAFCF">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rPr>
              <w:t>0.3</w:t>
            </w:r>
            <w:r>
              <w:rPr>
                <w:rFonts w:hint="default" w:ascii="Times New Roman" w:hAnsi="Times New Roman" w:cs="Times New Roman"/>
                <w:color w:val="auto"/>
                <w:lang w:val="en-US" w:eastAsia="zh-CN"/>
              </w:rPr>
              <w:t>6</w:t>
            </w:r>
          </w:p>
        </w:tc>
        <w:tc>
          <w:tcPr>
            <w:tcW w:w="583" w:type="pct"/>
            <w:vAlign w:val="center"/>
          </w:tcPr>
          <w:p w14:paraId="075283EA">
            <w:pPr>
              <w:pStyle w:val="44"/>
              <w:bidi w:val="0"/>
              <w:jc w:val="center"/>
              <w:rPr>
                <w:rFonts w:hint="default" w:ascii="Times New Roman" w:hAnsi="Times New Roman" w:cs="Times New Roman"/>
                <w:color w:val="auto"/>
              </w:rPr>
            </w:pPr>
            <w:r>
              <w:rPr>
                <w:rFonts w:hint="default" w:ascii="Times New Roman" w:hAnsi="Times New Roman" w:cs="Times New Roman"/>
                <w:color w:val="auto"/>
              </w:rPr>
              <w:t>100%</w:t>
            </w:r>
          </w:p>
        </w:tc>
        <w:tc>
          <w:tcPr>
            <w:tcW w:w="794" w:type="pct"/>
            <w:vAlign w:val="center"/>
          </w:tcPr>
          <w:p w14:paraId="1AE05F9B">
            <w:pPr>
              <w:pStyle w:val="44"/>
              <w:bidi w:val="0"/>
              <w:jc w:val="center"/>
              <w:rPr>
                <w:rFonts w:hint="default" w:ascii="Times New Roman" w:hAnsi="Times New Roman" w:cs="Times New Roman"/>
                <w:color w:val="auto"/>
              </w:rPr>
            </w:pPr>
            <w:r>
              <w:rPr>
                <w:rFonts w:hint="default" w:ascii="Times New Roman" w:hAnsi="Times New Roman" w:cs="Times New Roman"/>
                <w:color w:val="auto"/>
              </w:rPr>
              <w:t>0%</w:t>
            </w:r>
          </w:p>
        </w:tc>
      </w:tr>
      <w:tr w14:paraId="2B5A98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970" w:type="pct"/>
            <w:vAlign w:val="center"/>
          </w:tcPr>
          <w:p w14:paraId="05BED618">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lang w:val="en-US" w:eastAsia="zh-CN"/>
              </w:rPr>
              <w:t>Na</w:t>
            </w:r>
            <w:r>
              <w:rPr>
                <w:rFonts w:hint="default" w:ascii="Times New Roman" w:hAnsi="Times New Roman" w:cs="Times New Roman"/>
                <w:color w:val="auto"/>
                <w:vertAlign w:val="superscript"/>
                <w:lang w:val="en-US" w:eastAsia="zh-CN"/>
              </w:rPr>
              <w:t>+</w:t>
            </w:r>
          </w:p>
        </w:tc>
        <w:tc>
          <w:tcPr>
            <w:tcW w:w="731" w:type="pct"/>
            <w:vAlign w:val="center"/>
          </w:tcPr>
          <w:p w14:paraId="31F69CCF">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8.07</w:t>
            </w:r>
          </w:p>
        </w:tc>
        <w:tc>
          <w:tcPr>
            <w:tcW w:w="665" w:type="pct"/>
            <w:vAlign w:val="center"/>
          </w:tcPr>
          <w:p w14:paraId="1DCE9CA8">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6.34</w:t>
            </w:r>
          </w:p>
        </w:tc>
        <w:tc>
          <w:tcPr>
            <w:tcW w:w="613" w:type="pct"/>
            <w:vAlign w:val="center"/>
          </w:tcPr>
          <w:p w14:paraId="7280595C">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7.41</w:t>
            </w:r>
          </w:p>
        </w:tc>
        <w:tc>
          <w:tcPr>
            <w:tcW w:w="636" w:type="pct"/>
            <w:vAlign w:val="center"/>
          </w:tcPr>
          <w:p w14:paraId="32C5123B">
            <w:pPr>
              <w:pStyle w:val="44"/>
              <w:bidi w:val="0"/>
              <w:jc w:val="center"/>
              <w:rPr>
                <w:rFonts w:hint="default" w:ascii="Times New Roman" w:hAnsi="Times New Roman" w:cs="Times New Roman"/>
                <w:color w:val="auto"/>
              </w:rPr>
            </w:pPr>
            <w:r>
              <w:rPr>
                <w:rFonts w:hint="default" w:ascii="Times New Roman" w:hAnsi="Times New Roman" w:cs="Times New Roman"/>
                <w:color w:val="auto"/>
              </w:rPr>
              <w:t>0.</w:t>
            </w:r>
            <w:r>
              <w:rPr>
                <w:rFonts w:hint="default" w:ascii="Times New Roman" w:hAnsi="Times New Roman" w:cs="Times New Roman"/>
                <w:color w:val="auto"/>
                <w:lang w:val="en-US" w:eastAsia="zh-CN"/>
              </w:rPr>
              <w:t>76</w:t>
            </w:r>
          </w:p>
        </w:tc>
        <w:tc>
          <w:tcPr>
            <w:tcW w:w="583" w:type="pct"/>
            <w:vAlign w:val="center"/>
          </w:tcPr>
          <w:p w14:paraId="35935153">
            <w:pPr>
              <w:pStyle w:val="44"/>
              <w:bidi w:val="0"/>
              <w:jc w:val="center"/>
              <w:rPr>
                <w:rFonts w:hint="default" w:ascii="Times New Roman" w:hAnsi="Times New Roman" w:cs="Times New Roman"/>
                <w:color w:val="auto"/>
              </w:rPr>
            </w:pPr>
            <w:r>
              <w:rPr>
                <w:rFonts w:hint="default" w:ascii="Times New Roman" w:hAnsi="Times New Roman" w:cs="Times New Roman"/>
                <w:color w:val="auto"/>
              </w:rPr>
              <w:t>100%</w:t>
            </w:r>
          </w:p>
        </w:tc>
        <w:tc>
          <w:tcPr>
            <w:tcW w:w="798" w:type="pct"/>
            <w:gridSpan w:val="2"/>
            <w:vAlign w:val="center"/>
          </w:tcPr>
          <w:p w14:paraId="4E1AE860">
            <w:pPr>
              <w:pStyle w:val="44"/>
              <w:bidi w:val="0"/>
              <w:jc w:val="center"/>
              <w:rPr>
                <w:rFonts w:hint="default" w:ascii="Times New Roman" w:hAnsi="Times New Roman" w:cs="Times New Roman"/>
                <w:color w:val="auto"/>
              </w:rPr>
            </w:pPr>
            <w:r>
              <w:rPr>
                <w:rFonts w:hint="default" w:ascii="Times New Roman" w:hAnsi="Times New Roman" w:cs="Times New Roman"/>
                <w:color w:val="auto"/>
              </w:rPr>
              <w:t>0%</w:t>
            </w:r>
          </w:p>
        </w:tc>
      </w:tr>
      <w:tr w14:paraId="3EE911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970" w:type="pct"/>
            <w:vAlign w:val="center"/>
          </w:tcPr>
          <w:p w14:paraId="6C2B18E7">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lang w:val="en-US" w:eastAsia="zh-CN"/>
              </w:rPr>
              <w:t>Ca2</w:t>
            </w:r>
            <w:r>
              <w:rPr>
                <w:rFonts w:hint="default" w:ascii="Times New Roman" w:hAnsi="Times New Roman" w:cs="Times New Roman"/>
                <w:color w:val="auto"/>
                <w:vertAlign w:val="superscript"/>
                <w:lang w:val="en-US" w:eastAsia="zh-CN"/>
              </w:rPr>
              <w:t>+</w:t>
            </w:r>
          </w:p>
        </w:tc>
        <w:tc>
          <w:tcPr>
            <w:tcW w:w="731" w:type="pct"/>
            <w:vAlign w:val="center"/>
          </w:tcPr>
          <w:p w14:paraId="330B5595">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51.6</w:t>
            </w:r>
          </w:p>
        </w:tc>
        <w:tc>
          <w:tcPr>
            <w:tcW w:w="665" w:type="pct"/>
            <w:vAlign w:val="center"/>
          </w:tcPr>
          <w:p w14:paraId="2BCC0496">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47.9</w:t>
            </w:r>
          </w:p>
        </w:tc>
        <w:tc>
          <w:tcPr>
            <w:tcW w:w="613" w:type="pct"/>
            <w:vAlign w:val="center"/>
          </w:tcPr>
          <w:p w14:paraId="6A42849F">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49.53</w:t>
            </w:r>
          </w:p>
        </w:tc>
        <w:tc>
          <w:tcPr>
            <w:tcW w:w="636" w:type="pct"/>
            <w:vAlign w:val="center"/>
          </w:tcPr>
          <w:p w14:paraId="5B5723AB">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1.54</w:t>
            </w:r>
          </w:p>
        </w:tc>
        <w:tc>
          <w:tcPr>
            <w:tcW w:w="583" w:type="pct"/>
            <w:vAlign w:val="center"/>
          </w:tcPr>
          <w:p w14:paraId="1F960874">
            <w:pPr>
              <w:pStyle w:val="44"/>
              <w:bidi w:val="0"/>
              <w:jc w:val="center"/>
              <w:rPr>
                <w:rFonts w:hint="default" w:ascii="Times New Roman" w:hAnsi="Times New Roman" w:cs="Times New Roman"/>
                <w:color w:val="auto"/>
              </w:rPr>
            </w:pPr>
            <w:r>
              <w:rPr>
                <w:rFonts w:hint="default" w:ascii="Times New Roman" w:hAnsi="Times New Roman" w:cs="Times New Roman"/>
                <w:color w:val="auto"/>
              </w:rPr>
              <w:t>100%</w:t>
            </w:r>
          </w:p>
        </w:tc>
        <w:tc>
          <w:tcPr>
            <w:tcW w:w="798" w:type="pct"/>
            <w:gridSpan w:val="2"/>
            <w:vAlign w:val="center"/>
          </w:tcPr>
          <w:p w14:paraId="37986DC9">
            <w:pPr>
              <w:pStyle w:val="44"/>
              <w:bidi w:val="0"/>
              <w:jc w:val="center"/>
              <w:rPr>
                <w:rFonts w:hint="default" w:ascii="Times New Roman" w:hAnsi="Times New Roman" w:cs="Times New Roman"/>
                <w:color w:val="auto"/>
              </w:rPr>
            </w:pPr>
            <w:r>
              <w:rPr>
                <w:rFonts w:hint="default" w:ascii="Times New Roman" w:hAnsi="Times New Roman" w:cs="Times New Roman"/>
                <w:color w:val="auto"/>
              </w:rPr>
              <w:t>0%</w:t>
            </w:r>
          </w:p>
        </w:tc>
      </w:tr>
      <w:tr w14:paraId="4F07A9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970" w:type="pct"/>
            <w:vAlign w:val="center"/>
          </w:tcPr>
          <w:p w14:paraId="757CF2F1">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lang w:val="en-US" w:eastAsia="zh-CN"/>
              </w:rPr>
              <w:t>Mg</w:t>
            </w:r>
            <w:r>
              <w:rPr>
                <w:rFonts w:hint="default" w:ascii="Times New Roman" w:hAnsi="Times New Roman" w:cs="Times New Roman"/>
                <w:color w:val="auto"/>
                <w:vertAlign w:val="superscript"/>
                <w:lang w:val="en-US" w:eastAsia="zh-CN"/>
              </w:rPr>
              <w:t>2+</w:t>
            </w:r>
          </w:p>
        </w:tc>
        <w:tc>
          <w:tcPr>
            <w:tcW w:w="731" w:type="pct"/>
            <w:vAlign w:val="center"/>
          </w:tcPr>
          <w:p w14:paraId="0B4A6032">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31.1</w:t>
            </w:r>
          </w:p>
        </w:tc>
        <w:tc>
          <w:tcPr>
            <w:tcW w:w="665" w:type="pct"/>
            <w:vAlign w:val="center"/>
          </w:tcPr>
          <w:p w14:paraId="7A6F5EF5">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27.4</w:t>
            </w:r>
          </w:p>
        </w:tc>
        <w:tc>
          <w:tcPr>
            <w:tcW w:w="613" w:type="pct"/>
            <w:vAlign w:val="center"/>
          </w:tcPr>
          <w:p w14:paraId="3491931C">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29.57</w:t>
            </w:r>
          </w:p>
        </w:tc>
        <w:tc>
          <w:tcPr>
            <w:tcW w:w="636" w:type="pct"/>
            <w:vAlign w:val="center"/>
          </w:tcPr>
          <w:p w14:paraId="159C3736">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1.57</w:t>
            </w:r>
          </w:p>
        </w:tc>
        <w:tc>
          <w:tcPr>
            <w:tcW w:w="583" w:type="pct"/>
            <w:vAlign w:val="center"/>
          </w:tcPr>
          <w:p w14:paraId="5BEB72B8">
            <w:pPr>
              <w:pStyle w:val="44"/>
              <w:bidi w:val="0"/>
              <w:jc w:val="center"/>
              <w:rPr>
                <w:rFonts w:hint="default" w:ascii="Times New Roman" w:hAnsi="Times New Roman" w:cs="Times New Roman"/>
                <w:color w:val="auto"/>
              </w:rPr>
            </w:pPr>
            <w:r>
              <w:rPr>
                <w:rFonts w:hint="default" w:ascii="Times New Roman" w:hAnsi="Times New Roman" w:cs="Times New Roman"/>
                <w:color w:val="auto"/>
              </w:rPr>
              <w:t>100%</w:t>
            </w:r>
          </w:p>
        </w:tc>
        <w:tc>
          <w:tcPr>
            <w:tcW w:w="798" w:type="pct"/>
            <w:gridSpan w:val="2"/>
            <w:vAlign w:val="center"/>
          </w:tcPr>
          <w:p w14:paraId="57C53A66">
            <w:pPr>
              <w:pStyle w:val="44"/>
              <w:bidi w:val="0"/>
              <w:jc w:val="center"/>
              <w:rPr>
                <w:rFonts w:hint="default" w:ascii="Times New Roman" w:hAnsi="Times New Roman" w:cs="Times New Roman"/>
                <w:color w:val="auto"/>
              </w:rPr>
            </w:pPr>
            <w:r>
              <w:rPr>
                <w:rFonts w:hint="default" w:ascii="Times New Roman" w:hAnsi="Times New Roman" w:cs="Times New Roman"/>
                <w:color w:val="auto"/>
              </w:rPr>
              <w:t>0%</w:t>
            </w:r>
          </w:p>
        </w:tc>
      </w:tr>
      <w:tr w14:paraId="5F3484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37CA302A">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lang w:val="en-US" w:eastAsia="zh-CN"/>
              </w:rPr>
              <w:t>CO</w:t>
            </w:r>
            <w:r>
              <w:rPr>
                <w:rFonts w:hint="default" w:ascii="Times New Roman" w:hAnsi="Times New Roman" w:cs="Times New Roman"/>
                <w:color w:val="auto"/>
                <w:vertAlign w:val="subscript"/>
                <w:lang w:val="en-US" w:eastAsia="zh-CN"/>
              </w:rPr>
              <w:t>3</w:t>
            </w:r>
            <w:r>
              <w:rPr>
                <w:rFonts w:hint="default" w:ascii="Times New Roman" w:hAnsi="Times New Roman" w:cs="Times New Roman"/>
                <w:color w:val="auto"/>
                <w:vertAlign w:val="superscript"/>
                <w:lang w:val="en-US" w:eastAsia="zh-CN"/>
              </w:rPr>
              <w:t>2-</w:t>
            </w:r>
          </w:p>
        </w:tc>
        <w:tc>
          <w:tcPr>
            <w:tcW w:w="731" w:type="pct"/>
            <w:vAlign w:val="center"/>
          </w:tcPr>
          <w:p w14:paraId="59CCE640">
            <w:pPr>
              <w:pStyle w:val="44"/>
              <w:bidi w:val="0"/>
              <w:jc w:val="center"/>
              <w:rPr>
                <w:rFonts w:hint="default" w:ascii="Times New Roman" w:hAnsi="Times New Roman" w:cs="Times New Roman"/>
                <w:color w:val="auto"/>
              </w:rPr>
            </w:pPr>
            <w:r>
              <w:rPr>
                <w:rFonts w:hint="default" w:ascii="Times New Roman" w:hAnsi="Times New Roman" w:cs="Times New Roman"/>
                <w:color w:val="auto"/>
              </w:rPr>
              <w:t>未检出</w:t>
            </w:r>
          </w:p>
        </w:tc>
        <w:tc>
          <w:tcPr>
            <w:tcW w:w="665" w:type="pct"/>
            <w:vAlign w:val="center"/>
          </w:tcPr>
          <w:p w14:paraId="592C0243">
            <w:pPr>
              <w:pStyle w:val="44"/>
              <w:bidi w:val="0"/>
              <w:jc w:val="center"/>
              <w:rPr>
                <w:rFonts w:hint="default" w:ascii="Times New Roman" w:hAnsi="Times New Roman" w:cs="Times New Roman"/>
                <w:color w:val="auto"/>
              </w:rPr>
            </w:pPr>
            <w:r>
              <w:rPr>
                <w:rFonts w:hint="default" w:ascii="Times New Roman" w:hAnsi="Times New Roman" w:cs="Times New Roman"/>
                <w:color w:val="auto"/>
              </w:rPr>
              <w:t>未检出</w:t>
            </w:r>
          </w:p>
        </w:tc>
        <w:tc>
          <w:tcPr>
            <w:tcW w:w="613" w:type="pct"/>
            <w:vAlign w:val="center"/>
          </w:tcPr>
          <w:p w14:paraId="4C142EFB">
            <w:pPr>
              <w:pStyle w:val="44"/>
              <w:bidi w:val="0"/>
              <w:jc w:val="center"/>
              <w:rPr>
                <w:rFonts w:hint="default" w:ascii="Times New Roman" w:hAnsi="Times New Roman" w:cs="Times New Roman"/>
                <w:color w:val="auto"/>
              </w:rPr>
            </w:pPr>
            <w:r>
              <w:rPr>
                <w:rFonts w:hint="default" w:ascii="Times New Roman" w:hAnsi="Times New Roman" w:cs="Times New Roman"/>
                <w:color w:val="auto"/>
              </w:rPr>
              <w:t>未检出</w:t>
            </w:r>
          </w:p>
        </w:tc>
        <w:tc>
          <w:tcPr>
            <w:tcW w:w="636" w:type="pct"/>
            <w:vAlign w:val="center"/>
          </w:tcPr>
          <w:p w14:paraId="2FA29C77">
            <w:pPr>
              <w:pStyle w:val="44"/>
              <w:bidi w:val="0"/>
              <w:jc w:val="center"/>
              <w:rPr>
                <w:rFonts w:hint="default" w:ascii="Times New Roman" w:hAnsi="Times New Roman" w:cs="Times New Roman"/>
                <w:color w:val="auto"/>
              </w:rPr>
            </w:pPr>
            <w:r>
              <w:rPr>
                <w:rFonts w:hint="default" w:ascii="Times New Roman" w:hAnsi="Times New Roman" w:cs="Times New Roman"/>
                <w:color w:val="auto"/>
              </w:rPr>
              <w:t>-</w:t>
            </w:r>
          </w:p>
        </w:tc>
        <w:tc>
          <w:tcPr>
            <w:tcW w:w="583" w:type="pct"/>
            <w:vAlign w:val="center"/>
          </w:tcPr>
          <w:p w14:paraId="1BD58218">
            <w:pPr>
              <w:pStyle w:val="44"/>
              <w:bidi w:val="0"/>
              <w:jc w:val="center"/>
              <w:rPr>
                <w:rFonts w:hint="default" w:ascii="Times New Roman" w:hAnsi="Times New Roman" w:cs="Times New Roman"/>
                <w:color w:val="auto"/>
              </w:rPr>
            </w:pPr>
            <w:r>
              <w:rPr>
                <w:rFonts w:hint="default" w:ascii="Times New Roman" w:hAnsi="Times New Roman" w:cs="Times New Roman"/>
                <w:color w:val="auto"/>
              </w:rPr>
              <w:t>0%</w:t>
            </w:r>
          </w:p>
        </w:tc>
        <w:tc>
          <w:tcPr>
            <w:tcW w:w="798" w:type="pct"/>
            <w:gridSpan w:val="2"/>
            <w:vAlign w:val="center"/>
          </w:tcPr>
          <w:p w14:paraId="713B4CAE">
            <w:pPr>
              <w:pStyle w:val="44"/>
              <w:bidi w:val="0"/>
              <w:jc w:val="center"/>
              <w:rPr>
                <w:rFonts w:hint="default" w:ascii="Times New Roman" w:hAnsi="Times New Roman" w:cs="Times New Roman"/>
                <w:color w:val="auto"/>
              </w:rPr>
            </w:pPr>
            <w:r>
              <w:rPr>
                <w:rFonts w:hint="default" w:ascii="Times New Roman" w:hAnsi="Times New Roman" w:cs="Times New Roman"/>
                <w:color w:val="auto"/>
              </w:rPr>
              <w:t>0%</w:t>
            </w:r>
          </w:p>
        </w:tc>
      </w:tr>
      <w:tr w14:paraId="7220F6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6C692F55">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lang w:val="en-US" w:eastAsia="zh-CN"/>
              </w:rPr>
              <w:t>HCO</w:t>
            </w:r>
            <w:r>
              <w:rPr>
                <w:rFonts w:hint="default" w:ascii="Times New Roman" w:hAnsi="Times New Roman" w:cs="Times New Roman"/>
                <w:color w:val="auto"/>
                <w:vertAlign w:val="superscript"/>
                <w:lang w:val="en-US" w:eastAsia="zh-CN"/>
              </w:rPr>
              <w:t>3-</w:t>
            </w:r>
          </w:p>
        </w:tc>
        <w:tc>
          <w:tcPr>
            <w:tcW w:w="731" w:type="pct"/>
            <w:vAlign w:val="center"/>
          </w:tcPr>
          <w:p w14:paraId="47E01411">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275</w:t>
            </w:r>
          </w:p>
        </w:tc>
        <w:tc>
          <w:tcPr>
            <w:tcW w:w="665" w:type="pct"/>
            <w:vAlign w:val="center"/>
          </w:tcPr>
          <w:p w14:paraId="2751DC8C">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rPr>
              <w:t>2</w:t>
            </w:r>
            <w:r>
              <w:rPr>
                <w:rFonts w:hint="default" w:ascii="Times New Roman" w:hAnsi="Times New Roman" w:cs="Times New Roman"/>
                <w:color w:val="auto"/>
                <w:lang w:val="en-US" w:eastAsia="zh-CN"/>
              </w:rPr>
              <w:t>57</w:t>
            </w:r>
          </w:p>
        </w:tc>
        <w:tc>
          <w:tcPr>
            <w:tcW w:w="613" w:type="pct"/>
            <w:vAlign w:val="center"/>
          </w:tcPr>
          <w:p w14:paraId="7728345C">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263.33</w:t>
            </w:r>
          </w:p>
        </w:tc>
        <w:tc>
          <w:tcPr>
            <w:tcW w:w="636" w:type="pct"/>
            <w:vAlign w:val="center"/>
          </w:tcPr>
          <w:p w14:paraId="45038EA9">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8.26</w:t>
            </w:r>
          </w:p>
        </w:tc>
        <w:tc>
          <w:tcPr>
            <w:tcW w:w="583" w:type="pct"/>
            <w:vAlign w:val="center"/>
          </w:tcPr>
          <w:p w14:paraId="7C583F2A">
            <w:pPr>
              <w:pStyle w:val="44"/>
              <w:bidi w:val="0"/>
              <w:jc w:val="center"/>
              <w:rPr>
                <w:rFonts w:hint="default" w:ascii="Times New Roman" w:hAnsi="Times New Roman" w:cs="Times New Roman"/>
                <w:color w:val="auto"/>
              </w:rPr>
            </w:pPr>
            <w:r>
              <w:rPr>
                <w:rFonts w:hint="default" w:ascii="Times New Roman" w:hAnsi="Times New Roman" w:cs="Times New Roman"/>
                <w:color w:val="auto"/>
              </w:rPr>
              <w:t>100%</w:t>
            </w:r>
          </w:p>
        </w:tc>
        <w:tc>
          <w:tcPr>
            <w:tcW w:w="798" w:type="pct"/>
            <w:gridSpan w:val="2"/>
            <w:vAlign w:val="center"/>
          </w:tcPr>
          <w:p w14:paraId="2F94A342">
            <w:pPr>
              <w:pStyle w:val="44"/>
              <w:bidi w:val="0"/>
              <w:jc w:val="center"/>
              <w:rPr>
                <w:rFonts w:hint="default" w:ascii="Times New Roman" w:hAnsi="Times New Roman" w:cs="Times New Roman"/>
                <w:color w:val="auto"/>
              </w:rPr>
            </w:pPr>
            <w:r>
              <w:rPr>
                <w:rFonts w:hint="default" w:ascii="Times New Roman" w:hAnsi="Times New Roman" w:cs="Times New Roman"/>
                <w:color w:val="auto"/>
              </w:rPr>
              <w:t>0%</w:t>
            </w:r>
          </w:p>
        </w:tc>
      </w:tr>
      <w:tr w14:paraId="45FF65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7B47F987">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lang w:val="en-US" w:eastAsia="zh-CN"/>
              </w:rPr>
              <w:t>Cl</w:t>
            </w:r>
            <w:r>
              <w:rPr>
                <w:rFonts w:hint="default" w:ascii="Times New Roman" w:hAnsi="Times New Roman" w:cs="Times New Roman"/>
                <w:color w:val="auto"/>
                <w:vertAlign w:val="superscript"/>
                <w:lang w:val="en-US" w:eastAsia="zh-CN"/>
              </w:rPr>
              <w:t>-</w:t>
            </w:r>
          </w:p>
        </w:tc>
        <w:tc>
          <w:tcPr>
            <w:tcW w:w="731" w:type="pct"/>
            <w:vAlign w:val="center"/>
          </w:tcPr>
          <w:p w14:paraId="07FF4C4D">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6.52</w:t>
            </w:r>
          </w:p>
        </w:tc>
        <w:tc>
          <w:tcPr>
            <w:tcW w:w="665" w:type="pct"/>
            <w:vAlign w:val="center"/>
          </w:tcPr>
          <w:p w14:paraId="576DB1FA">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5.91</w:t>
            </w:r>
          </w:p>
        </w:tc>
        <w:tc>
          <w:tcPr>
            <w:tcW w:w="613" w:type="pct"/>
            <w:vAlign w:val="center"/>
          </w:tcPr>
          <w:p w14:paraId="12CCAB26">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6.16</w:t>
            </w:r>
          </w:p>
        </w:tc>
        <w:tc>
          <w:tcPr>
            <w:tcW w:w="636" w:type="pct"/>
            <w:vAlign w:val="center"/>
          </w:tcPr>
          <w:p w14:paraId="37F482BF">
            <w:pPr>
              <w:pStyle w:val="44"/>
              <w:bidi w:val="0"/>
              <w:jc w:val="center"/>
              <w:rPr>
                <w:rFonts w:hint="default" w:ascii="Times New Roman" w:hAnsi="Times New Roman" w:cs="Times New Roman"/>
                <w:color w:val="auto"/>
              </w:rPr>
            </w:pPr>
            <w:r>
              <w:rPr>
                <w:rFonts w:hint="default" w:ascii="Times New Roman" w:hAnsi="Times New Roman" w:cs="Times New Roman"/>
                <w:color w:val="auto"/>
              </w:rPr>
              <w:t>0.</w:t>
            </w:r>
            <w:r>
              <w:rPr>
                <w:rFonts w:hint="default" w:ascii="Times New Roman" w:hAnsi="Times New Roman" w:cs="Times New Roman"/>
                <w:color w:val="auto"/>
                <w:lang w:val="en-US" w:eastAsia="zh-CN"/>
              </w:rPr>
              <w:t>26</w:t>
            </w:r>
          </w:p>
        </w:tc>
        <w:tc>
          <w:tcPr>
            <w:tcW w:w="583" w:type="pct"/>
            <w:vAlign w:val="center"/>
          </w:tcPr>
          <w:p w14:paraId="28A8CAEA">
            <w:pPr>
              <w:pStyle w:val="44"/>
              <w:bidi w:val="0"/>
              <w:jc w:val="center"/>
              <w:rPr>
                <w:rFonts w:hint="default" w:ascii="Times New Roman" w:hAnsi="Times New Roman" w:cs="Times New Roman"/>
                <w:color w:val="auto"/>
              </w:rPr>
            </w:pPr>
            <w:r>
              <w:rPr>
                <w:rFonts w:hint="default" w:ascii="Times New Roman" w:hAnsi="Times New Roman" w:cs="Times New Roman"/>
                <w:color w:val="auto"/>
              </w:rPr>
              <w:t>100%</w:t>
            </w:r>
          </w:p>
        </w:tc>
        <w:tc>
          <w:tcPr>
            <w:tcW w:w="798" w:type="pct"/>
            <w:gridSpan w:val="2"/>
            <w:vAlign w:val="center"/>
          </w:tcPr>
          <w:p w14:paraId="411F667E">
            <w:pPr>
              <w:pStyle w:val="44"/>
              <w:bidi w:val="0"/>
              <w:jc w:val="center"/>
              <w:rPr>
                <w:rFonts w:hint="default" w:ascii="Times New Roman" w:hAnsi="Times New Roman" w:cs="Times New Roman"/>
                <w:color w:val="auto"/>
              </w:rPr>
            </w:pPr>
            <w:r>
              <w:rPr>
                <w:rFonts w:hint="default" w:ascii="Times New Roman" w:hAnsi="Times New Roman" w:cs="Times New Roman"/>
                <w:color w:val="auto"/>
              </w:rPr>
              <w:t>0%</w:t>
            </w:r>
          </w:p>
        </w:tc>
      </w:tr>
      <w:tr w14:paraId="7A949E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173C40A2">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lang w:val="en-US" w:eastAsia="zh-CN"/>
              </w:rPr>
              <w:t>SO</w:t>
            </w:r>
            <w:r>
              <w:rPr>
                <w:rFonts w:hint="default" w:ascii="Times New Roman" w:hAnsi="Times New Roman" w:cs="Times New Roman"/>
                <w:color w:val="auto"/>
                <w:vertAlign w:val="subscript"/>
                <w:lang w:val="en-US" w:eastAsia="zh-CN"/>
              </w:rPr>
              <w:t>4</w:t>
            </w:r>
            <w:r>
              <w:rPr>
                <w:rFonts w:hint="default" w:ascii="Times New Roman" w:hAnsi="Times New Roman" w:cs="Times New Roman"/>
                <w:color w:val="auto"/>
                <w:vertAlign w:val="superscript"/>
                <w:lang w:val="en-US" w:eastAsia="zh-CN"/>
              </w:rPr>
              <w:t>2-</w:t>
            </w:r>
          </w:p>
        </w:tc>
        <w:tc>
          <w:tcPr>
            <w:tcW w:w="731" w:type="pct"/>
            <w:vAlign w:val="center"/>
          </w:tcPr>
          <w:p w14:paraId="69D84990">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29.1</w:t>
            </w:r>
          </w:p>
        </w:tc>
        <w:tc>
          <w:tcPr>
            <w:tcW w:w="665" w:type="pct"/>
            <w:vAlign w:val="center"/>
          </w:tcPr>
          <w:p w14:paraId="3B4D4ABF">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18.5</w:t>
            </w:r>
          </w:p>
        </w:tc>
        <w:tc>
          <w:tcPr>
            <w:tcW w:w="613" w:type="pct"/>
            <w:vAlign w:val="center"/>
          </w:tcPr>
          <w:p w14:paraId="5E9FE075">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rPr>
              <w:t>2</w:t>
            </w:r>
            <w:r>
              <w:rPr>
                <w:rFonts w:hint="default" w:ascii="Times New Roman" w:hAnsi="Times New Roman" w:cs="Times New Roman"/>
                <w:color w:val="auto"/>
                <w:lang w:val="en-US" w:eastAsia="zh-CN"/>
              </w:rPr>
              <w:t>4.77</w:t>
            </w:r>
          </w:p>
        </w:tc>
        <w:tc>
          <w:tcPr>
            <w:tcW w:w="636" w:type="pct"/>
            <w:vAlign w:val="center"/>
          </w:tcPr>
          <w:p w14:paraId="0F6E3740">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4.54</w:t>
            </w:r>
          </w:p>
        </w:tc>
        <w:tc>
          <w:tcPr>
            <w:tcW w:w="583" w:type="pct"/>
            <w:vAlign w:val="center"/>
          </w:tcPr>
          <w:p w14:paraId="0777A58A">
            <w:pPr>
              <w:pStyle w:val="44"/>
              <w:bidi w:val="0"/>
              <w:jc w:val="center"/>
              <w:rPr>
                <w:rFonts w:hint="default" w:ascii="Times New Roman" w:hAnsi="Times New Roman" w:cs="Times New Roman"/>
                <w:color w:val="auto"/>
              </w:rPr>
            </w:pPr>
            <w:r>
              <w:rPr>
                <w:rFonts w:hint="default" w:ascii="Times New Roman" w:hAnsi="Times New Roman" w:cs="Times New Roman"/>
                <w:color w:val="auto"/>
              </w:rPr>
              <w:t>100%</w:t>
            </w:r>
          </w:p>
        </w:tc>
        <w:tc>
          <w:tcPr>
            <w:tcW w:w="798" w:type="pct"/>
            <w:gridSpan w:val="2"/>
            <w:vAlign w:val="center"/>
          </w:tcPr>
          <w:p w14:paraId="3E763F42">
            <w:pPr>
              <w:pStyle w:val="44"/>
              <w:bidi w:val="0"/>
              <w:jc w:val="center"/>
              <w:rPr>
                <w:rFonts w:hint="default" w:ascii="Times New Roman" w:hAnsi="Times New Roman" w:cs="Times New Roman"/>
                <w:color w:val="auto"/>
              </w:rPr>
            </w:pPr>
            <w:r>
              <w:rPr>
                <w:rFonts w:hint="default" w:ascii="Times New Roman" w:hAnsi="Times New Roman" w:cs="Times New Roman"/>
                <w:color w:val="auto"/>
              </w:rPr>
              <w:t>0%</w:t>
            </w:r>
          </w:p>
        </w:tc>
      </w:tr>
      <w:tr w14:paraId="46EFEE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32F705C2">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lang w:val="en-US" w:eastAsia="zh-CN"/>
              </w:rPr>
              <w:t>pH</w:t>
            </w:r>
          </w:p>
        </w:tc>
        <w:tc>
          <w:tcPr>
            <w:tcW w:w="731" w:type="pct"/>
            <w:vAlign w:val="center"/>
          </w:tcPr>
          <w:p w14:paraId="3B072B51">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rPr>
              <w:t>7</w:t>
            </w:r>
            <w:r>
              <w:rPr>
                <w:rFonts w:hint="default" w:ascii="Times New Roman" w:hAnsi="Times New Roman" w:cs="Times New Roman"/>
                <w:color w:val="auto"/>
                <w:lang w:val="en-US" w:eastAsia="zh-CN"/>
              </w:rPr>
              <w:t>.5</w:t>
            </w:r>
          </w:p>
        </w:tc>
        <w:tc>
          <w:tcPr>
            <w:tcW w:w="665" w:type="pct"/>
            <w:vAlign w:val="center"/>
          </w:tcPr>
          <w:p w14:paraId="204C6C3E">
            <w:pPr>
              <w:pStyle w:val="44"/>
              <w:bidi w:val="0"/>
              <w:jc w:val="center"/>
              <w:rPr>
                <w:rFonts w:hint="default" w:ascii="Times New Roman" w:hAnsi="Times New Roman" w:eastAsia="宋体" w:cs="Times New Roman"/>
                <w:color w:val="auto"/>
                <w:lang w:eastAsia="zh-CN"/>
              </w:rPr>
            </w:pPr>
            <w:r>
              <w:rPr>
                <w:rFonts w:hint="default" w:ascii="Times New Roman" w:hAnsi="Times New Roman" w:cs="Times New Roman"/>
                <w:color w:val="auto"/>
              </w:rPr>
              <w:t>7.</w:t>
            </w:r>
            <w:r>
              <w:rPr>
                <w:rFonts w:hint="default" w:ascii="Times New Roman" w:hAnsi="Times New Roman" w:cs="Times New Roman"/>
                <w:color w:val="auto"/>
                <w:lang w:val="en-US" w:eastAsia="zh-CN"/>
              </w:rPr>
              <w:t>4</w:t>
            </w:r>
          </w:p>
        </w:tc>
        <w:tc>
          <w:tcPr>
            <w:tcW w:w="613" w:type="pct"/>
            <w:vAlign w:val="center"/>
          </w:tcPr>
          <w:p w14:paraId="0CC23882">
            <w:pPr>
              <w:pStyle w:val="44"/>
              <w:bidi w:val="0"/>
              <w:jc w:val="center"/>
              <w:rPr>
                <w:rFonts w:hint="default" w:ascii="Times New Roman" w:hAnsi="Times New Roman" w:cs="Times New Roman"/>
                <w:color w:val="auto"/>
              </w:rPr>
            </w:pPr>
            <w:r>
              <w:rPr>
                <w:rFonts w:hint="default" w:ascii="Times New Roman" w:hAnsi="Times New Roman" w:cs="Times New Roman"/>
                <w:color w:val="auto"/>
              </w:rPr>
              <w:t>7.4</w:t>
            </w:r>
            <w:r>
              <w:rPr>
                <w:rFonts w:hint="default" w:ascii="Times New Roman" w:hAnsi="Times New Roman" w:cs="Times New Roman"/>
                <w:color w:val="auto"/>
                <w:lang w:val="en-US" w:eastAsia="zh-CN"/>
              </w:rPr>
              <w:t>3</w:t>
            </w:r>
          </w:p>
        </w:tc>
        <w:tc>
          <w:tcPr>
            <w:tcW w:w="636" w:type="pct"/>
            <w:vAlign w:val="center"/>
          </w:tcPr>
          <w:p w14:paraId="7C369AFD">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0.05</w:t>
            </w:r>
          </w:p>
        </w:tc>
        <w:tc>
          <w:tcPr>
            <w:tcW w:w="583" w:type="pct"/>
            <w:vAlign w:val="center"/>
          </w:tcPr>
          <w:p w14:paraId="53FDA124">
            <w:pPr>
              <w:pStyle w:val="44"/>
              <w:bidi w:val="0"/>
              <w:jc w:val="center"/>
              <w:rPr>
                <w:rFonts w:hint="default" w:ascii="Times New Roman" w:hAnsi="Times New Roman" w:cs="Times New Roman"/>
                <w:color w:val="auto"/>
              </w:rPr>
            </w:pPr>
            <w:r>
              <w:rPr>
                <w:rFonts w:hint="default" w:ascii="Times New Roman" w:hAnsi="Times New Roman" w:cs="Times New Roman"/>
                <w:color w:val="auto"/>
              </w:rPr>
              <w:t>100%</w:t>
            </w:r>
          </w:p>
        </w:tc>
        <w:tc>
          <w:tcPr>
            <w:tcW w:w="798" w:type="pct"/>
            <w:gridSpan w:val="2"/>
            <w:vAlign w:val="center"/>
          </w:tcPr>
          <w:p w14:paraId="25E6EBCB">
            <w:pPr>
              <w:pStyle w:val="44"/>
              <w:bidi w:val="0"/>
              <w:jc w:val="center"/>
              <w:rPr>
                <w:rFonts w:hint="default" w:ascii="Times New Roman" w:hAnsi="Times New Roman" w:cs="Times New Roman"/>
                <w:color w:val="auto"/>
              </w:rPr>
            </w:pPr>
            <w:r>
              <w:rPr>
                <w:rFonts w:hint="default" w:ascii="Times New Roman" w:hAnsi="Times New Roman" w:cs="Times New Roman"/>
                <w:color w:val="auto"/>
              </w:rPr>
              <w:t>0%</w:t>
            </w:r>
          </w:p>
        </w:tc>
      </w:tr>
      <w:tr w14:paraId="7DB68D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7AD3D33F">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lang w:val="en-US" w:eastAsia="zh-CN"/>
              </w:rPr>
              <w:t>氨氮</w:t>
            </w:r>
          </w:p>
        </w:tc>
        <w:tc>
          <w:tcPr>
            <w:tcW w:w="731" w:type="pct"/>
            <w:vAlign w:val="center"/>
          </w:tcPr>
          <w:p w14:paraId="0F752BBD">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rPr>
              <w:t>0.</w:t>
            </w:r>
            <w:r>
              <w:rPr>
                <w:rFonts w:hint="default" w:ascii="Times New Roman" w:hAnsi="Times New Roman" w:cs="Times New Roman"/>
                <w:color w:val="auto"/>
                <w:lang w:val="en-US" w:eastAsia="zh-CN"/>
              </w:rPr>
              <w:t>416</w:t>
            </w:r>
          </w:p>
        </w:tc>
        <w:tc>
          <w:tcPr>
            <w:tcW w:w="665" w:type="pct"/>
            <w:vAlign w:val="center"/>
          </w:tcPr>
          <w:p w14:paraId="5A76805D">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rPr>
              <w:t>0.</w:t>
            </w:r>
            <w:r>
              <w:rPr>
                <w:rFonts w:hint="default" w:ascii="Times New Roman" w:hAnsi="Times New Roman" w:cs="Times New Roman"/>
                <w:color w:val="auto"/>
                <w:lang w:val="en-US" w:eastAsia="zh-CN"/>
              </w:rPr>
              <w:t>294</w:t>
            </w:r>
          </w:p>
        </w:tc>
        <w:tc>
          <w:tcPr>
            <w:tcW w:w="613" w:type="pct"/>
            <w:vAlign w:val="center"/>
          </w:tcPr>
          <w:p w14:paraId="059201B7">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0.336</w:t>
            </w:r>
          </w:p>
        </w:tc>
        <w:tc>
          <w:tcPr>
            <w:tcW w:w="636" w:type="pct"/>
            <w:vAlign w:val="center"/>
          </w:tcPr>
          <w:p w14:paraId="767A2972">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rPr>
              <w:t>0.0</w:t>
            </w:r>
            <w:r>
              <w:rPr>
                <w:rFonts w:hint="default" w:ascii="Times New Roman" w:hAnsi="Times New Roman" w:cs="Times New Roman"/>
                <w:color w:val="auto"/>
                <w:lang w:val="en-US" w:eastAsia="zh-CN"/>
              </w:rPr>
              <w:t>6</w:t>
            </w:r>
          </w:p>
        </w:tc>
        <w:tc>
          <w:tcPr>
            <w:tcW w:w="583" w:type="pct"/>
            <w:vAlign w:val="center"/>
          </w:tcPr>
          <w:p w14:paraId="6B3434F9">
            <w:pPr>
              <w:pStyle w:val="44"/>
              <w:bidi w:val="0"/>
              <w:jc w:val="center"/>
              <w:rPr>
                <w:rFonts w:hint="default" w:ascii="Times New Roman" w:hAnsi="Times New Roman" w:cs="Times New Roman"/>
                <w:color w:val="auto"/>
              </w:rPr>
            </w:pPr>
            <w:r>
              <w:rPr>
                <w:rFonts w:hint="default" w:ascii="Times New Roman" w:hAnsi="Times New Roman" w:cs="Times New Roman"/>
                <w:color w:val="auto"/>
              </w:rPr>
              <w:t>100%</w:t>
            </w:r>
          </w:p>
        </w:tc>
        <w:tc>
          <w:tcPr>
            <w:tcW w:w="798" w:type="pct"/>
            <w:gridSpan w:val="2"/>
            <w:vAlign w:val="center"/>
          </w:tcPr>
          <w:p w14:paraId="086AE8AF">
            <w:pPr>
              <w:pStyle w:val="44"/>
              <w:bidi w:val="0"/>
              <w:jc w:val="center"/>
              <w:rPr>
                <w:rFonts w:hint="default" w:ascii="Times New Roman" w:hAnsi="Times New Roman" w:cs="Times New Roman"/>
                <w:color w:val="auto"/>
              </w:rPr>
            </w:pPr>
            <w:r>
              <w:rPr>
                <w:rFonts w:hint="default" w:ascii="Times New Roman" w:hAnsi="Times New Roman" w:cs="Times New Roman"/>
                <w:color w:val="auto"/>
              </w:rPr>
              <w:t>0%</w:t>
            </w:r>
          </w:p>
        </w:tc>
      </w:tr>
      <w:tr w14:paraId="2D1A13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970" w:type="pct"/>
            <w:vAlign w:val="center"/>
          </w:tcPr>
          <w:p w14:paraId="5BFC16A7">
            <w:pPr>
              <w:pStyle w:val="44"/>
              <w:bidi w:val="0"/>
              <w:jc w:val="center"/>
              <w:rPr>
                <w:rFonts w:hint="default" w:ascii="Times New Roman" w:hAnsi="Times New Roman" w:cs="Times New Roman"/>
                <w:color w:val="auto"/>
              </w:rPr>
            </w:pPr>
            <w:r>
              <w:rPr>
                <w:rFonts w:hint="default" w:ascii="Times New Roman" w:hAnsi="Times New Roman" w:cs="Times New Roman"/>
                <w:color w:val="auto"/>
              </w:rPr>
              <w:t>硝酸盐</w:t>
            </w:r>
          </w:p>
          <w:p w14:paraId="3361DBC5">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（以N计）</w:t>
            </w:r>
          </w:p>
        </w:tc>
        <w:tc>
          <w:tcPr>
            <w:tcW w:w="731" w:type="pct"/>
            <w:vAlign w:val="center"/>
          </w:tcPr>
          <w:p w14:paraId="19E3C16C">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3.82</w:t>
            </w:r>
          </w:p>
        </w:tc>
        <w:tc>
          <w:tcPr>
            <w:tcW w:w="665" w:type="pct"/>
            <w:vAlign w:val="center"/>
          </w:tcPr>
          <w:p w14:paraId="7275B07B">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3.70</w:t>
            </w:r>
          </w:p>
        </w:tc>
        <w:tc>
          <w:tcPr>
            <w:tcW w:w="613" w:type="pct"/>
            <w:vAlign w:val="center"/>
          </w:tcPr>
          <w:p w14:paraId="1EDDADEF">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3.77</w:t>
            </w:r>
          </w:p>
        </w:tc>
        <w:tc>
          <w:tcPr>
            <w:tcW w:w="636" w:type="pct"/>
            <w:vAlign w:val="center"/>
          </w:tcPr>
          <w:p w14:paraId="6FBB1320">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0.05</w:t>
            </w:r>
          </w:p>
        </w:tc>
        <w:tc>
          <w:tcPr>
            <w:tcW w:w="583" w:type="pct"/>
            <w:vAlign w:val="center"/>
          </w:tcPr>
          <w:p w14:paraId="79EAD450">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10</w:t>
            </w:r>
            <w:r>
              <w:rPr>
                <w:rFonts w:hint="default" w:ascii="Times New Roman" w:hAnsi="Times New Roman" w:cs="Times New Roman"/>
                <w:color w:val="auto"/>
              </w:rPr>
              <w:t>0%</w:t>
            </w:r>
          </w:p>
        </w:tc>
        <w:tc>
          <w:tcPr>
            <w:tcW w:w="798" w:type="pct"/>
            <w:gridSpan w:val="2"/>
            <w:vAlign w:val="center"/>
          </w:tcPr>
          <w:p w14:paraId="5B791D27">
            <w:pPr>
              <w:pStyle w:val="44"/>
              <w:bidi w:val="0"/>
              <w:jc w:val="center"/>
              <w:rPr>
                <w:rFonts w:hint="default" w:ascii="Times New Roman" w:hAnsi="Times New Roman" w:cs="Times New Roman"/>
                <w:color w:val="auto"/>
              </w:rPr>
            </w:pPr>
            <w:r>
              <w:rPr>
                <w:rFonts w:hint="default" w:ascii="Times New Roman" w:hAnsi="Times New Roman" w:cs="Times New Roman"/>
                <w:color w:val="auto"/>
              </w:rPr>
              <w:t>0%</w:t>
            </w:r>
          </w:p>
        </w:tc>
      </w:tr>
      <w:tr w14:paraId="6B6326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3B4C8DE7">
            <w:pPr>
              <w:pStyle w:val="44"/>
              <w:bidi w:val="0"/>
              <w:jc w:val="center"/>
              <w:rPr>
                <w:rFonts w:hint="default" w:ascii="Times New Roman" w:hAnsi="Times New Roman" w:cs="Times New Roman"/>
                <w:color w:val="auto"/>
              </w:rPr>
            </w:pPr>
            <w:r>
              <w:rPr>
                <w:rFonts w:hint="default" w:ascii="Times New Roman" w:hAnsi="Times New Roman" w:cs="Times New Roman"/>
                <w:color w:val="auto"/>
              </w:rPr>
              <w:t>亚硝酸盐</w:t>
            </w:r>
          </w:p>
          <w:p w14:paraId="2DD6A777">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（以N计）</w:t>
            </w:r>
          </w:p>
        </w:tc>
        <w:tc>
          <w:tcPr>
            <w:tcW w:w="731" w:type="pct"/>
            <w:vAlign w:val="center"/>
          </w:tcPr>
          <w:p w14:paraId="3315EF92">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0.001L</w:t>
            </w:r>
          </w:p>
        </w:tc>
        <w:tc>
          <w:tcPr>
            <w:tcW w:w="665" w:type="pct"/>
            <w:vAlign w:val="center"/>
          </w:tcPr>
          <w:p w14:paraId="7A21D188">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0.001L</w:t>
            </w:r>
          </w:p>
        </w:tc>
        <w:tc>
          <w:tcPr>
            <w:tcW w:w="613" w:type="pct"/>
            <w:vAlign w:val="center"/>
          </w:tcPr>
          <w:p w14:paraId="40E2DC51">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0.001L</w:t>
            </w:r>
          </w:p>
        </w:tc>
        <w:tc>
          <w:tcPr>
            <w:tcW w:w="636" w:type="pct"/>
            <w:vAlign w:val="center"/>
          </w:tcPr>
          <w:p w14:paraId="5F6A7E9C">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583" w:type="pct"/>
            <w:vAlign w:val="center"/>
          </w:tcPr>
          <w:p w14:paraId="51DD1827">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0</w:t>
            </w:r>
            <w:r>
              <w:rPr>
                <w:rFonts w:hint="default" w:ascii="Times New Roman" w:hAnsi="Times New Roman" w:cs="Times New Roman"/>
                <w:color w:val="auto"/>
              </w:rPr>
              <w:t>%</w:t>
            </w:r>
          </w:p>
        </w:tc>
        <w:tc>
          <w:tcPr>
            <w:tcW w:w="798" w:type="pct"/>
            <w:gridSpan w:val="2"/>
            <w:vAlign w:val="center"/>
          </w:tcPr>
          <w:p w14:paraId="2E463CB5">
            <w:pPr>
              <w:pStyle w:val="44"/>
              <w:bidi w:val="0"/>
              <w:jc w:val="center"/>
              <w:rPr>
                <w:rFonts w:hint="default" w:ascii="Times New Roman" w:hAnsi="Times New Roman" w:cs="Times New Roman"/>
                <w:color w:val="auto"/>
              </w:rPr>
            </w:pPr>
            <w:r>
              <w:rPr>
                <w:rFonts w:hint="default" w:ascii="Times New Roman" w:hAnsi="Times New Roman" w:cs="Times New Roman"/>
                <w:color w:val="auto"/>
              </w:rPr>
              <w:t>0%</w:t>
            </w:r>
          </w:p>
        </w:tc>
      </w:tr>
      <w:tr w14:paraId="7C6AA3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7" w:hRule="atLeast"/>
          <w:jc w:val="center"/>
        </w:trPr>
        <w:tc>
          <w:tcPr>
            <w:tcW w:w="970" w:type="pct"/>
            <w:vAlign w:val="center"/>
          </w:tcPr>
          <w:p w14:paraId="1E58DDEA">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lang w:val="en-US" w:eastAsia="zh-CN"/>
              </w:rPr>
              <w:t>挥发酚</w:t>
            </w:r>
          </w:p>
        </w:tc>
        <w:tc>
          <w:tcPr>
            <w:tcW w:w="731" w:type="pct"/>
            <w:vAlign w:val="center"/>
          </w:tcPr>
          <w:p w14:paraId="0224B1C7">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0.0003L</w:t>
            </w:r>
          </w:p>
        </w:tc>
        <w:tc>
          <w:tcPr>
            <w:tcW w:w="665" w:type="pct"/>
            <w:vAlign w:val="center"/>
          </w:tcPr>
          <w:p w14:paraId="49C9E2F2">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0.0003L</w:t>
            </w:r>
          </w:p>
        </w:tc>
        <w:tc>
          <w:tcPr>
            <w:tcW w:w="613" w:type="pct"/>
            <w:vAlign w:val="center"/>
          </w:tcPr>
          <w:p w14:paraId="0ED3AC8C">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0.0003L</w:t>
            </w:r>
          </w:p>
        </w:tc>
        <w:tc>
          <w:tcPr>
            <w:tcW w:w="636" w:type="pct"/>
            <w:vAlign w:val="center"/>
          </w:tcPr>
          <w:p w14:paraId="1CDCAC21">
            <w:pPr>
              <w:pStyle w:val="44"/>
              <w:bidi w:val="0"/>
              <w:jc w:val="center"/>
              <w:rPr>
                <w:rFonts w:hint="default" w:ascii="Times New Roman" w:hAnsi="Times New Roman" w:cs="Times New Roman"/>
                <w:color w:val="auto"/>
              </w:rPr>
            </w:pPr>
            <w:r>
              <w:rPr>
                <w:rFonts w:hint="default" w:ascii="Times New Roman" w:hAnsi="Times New Roman" w:cs="Times New Roman"/>
                <w:color w:val="auto"/>
              </w:rPr>
              <w:t>-</w:t>
            </w:r>
          </w:p>
        </w:tc>
        <w:tc>
          <w:tcPr>
            <w:tcW w:w="583" w:type="pct"/>
            <w:vAlign w:val="center"/>
          </w:tcPr>
          <w:p w14:paraId="70031B24">
            <w:pPr>
              <w:pStyle w:val="44"/>
              <w:bidi w:val="0"/>
              <w:jc w:val="center"/>
              <w:rPr>
                <w:rFonts w:hint="default" w:ascii="Times New Roman" w:hAnsi="Times New Roman" w:cs="Times New Roman"/>
                <w:color w:val="auto"/>
              </w:rPr>
            </w:pPr>
            <w:r>
              <w:rPr>
                <w:rFonts w:hint="default" w:ascii="Times New Roman" w:hAnsi="Times New Roman" w:cs="Times New Roman"/>
                <w:color w:val="auto"/>
              </w:rPr>
              <w:t>0%</w:t>
            </w:r>
          </w:p>
        </w:tc>
        <w:tc>
          <w:tcPr>
            <w:tcW w:w="798" w:type="pct"/>
            <w:gridSpan w:val="2"/>
            <w:vAlign w:val="center"/>
          </w:tcPr>
          <w:p w14:paraId="1249369B">
            <w:pPr>
              <w:pStyle w:val="44"/>
              <w:bidi w:val="0"/>
              <w:jc w:val="center"/>
              <w:rPr>
                <w:rFonts w:hint="default" w:ascii="Times New Roman" w:hAnsi="Times New Roman" w:cs="Times New Roman"/>
                <w:color w:val="auto"/>
              </w:rPr>
            </w:pPr>
            <w:r>
              <w:rPr>
                <w:rFonts w:hint="default" w:ascii="Times New Roman" w:hAnsi="Times New Roman" w:cs="Times New Roman"/>
                <w:color w:val="auto"/>
              </w:rPr>
              <w:t>0%</w:t>
            </w:r>
          </w:p>
        </w:tc>
      </w:tr>
      <w:tr w14:paraId="4F7FC8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0B46CBFE">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lang w:val="en-US" w:eastAsia="zh-CN"/>
              </w:rPr>
              <w:t>氰化物</w:t>
            </w:r>
          </w:p>
        </w:tc>
        <w:tc>
          <w:tcPr>
            <w:tcW w:w="731" w:type="pct"/>
            <w:vAlign w:val="center"/>
          </w:tcPr>
          <w:p w14:paraId="40E5850D">
            <w:pPr>
              <w:pStyle w:val="44"/>
              <w:bidi w:val="0"/>
              <w:jc w:val="center"/>
              <w:rPr>
                <w:rFonts w:hint="default" w:ascii="Times New Roman" w:hAnsi="Times New Roman" w:cs="Times New Roman"/>
                <w:color w:val="auto"/>
              </w:rPr>
            </w:pPr>
            <w:r>
              <w:rPr>
                <w:rFonts w:hint="default" w:ascii="Times New Roman" w:hAnsi="Times New Roman" w:cs="Times New Roman"/>
                <w:color w:val="auto"/>
              </w:rPr>
              <w:t>0.002L</w:t>
            </w:r>
          </w:p>
        </w:tc>
        <w:tc>
          <w:tcPr>
            <w:tcW w:w="665" w:type="pct"/>
            <w:vAlign w:val="center"/>
          </w:tcPr>
          <w:p w14:paraId="2312787E">
            <w:pPr>
              <w:pStyle w:val="44"/>
              <w:bidi w:val="0"/>
              <w:jc w:val="center"/>
              <w:rPr>
                <w:rFonts w:hint="default" w:ascii="Times New Roman" w:hAnsi="Times New Roman" w:cs="Times New Roman"/>
                <w:color w:val="auto"/>
              </w:rPr>
            </w:pPr>
            <w:r>
              <w:rPr>
                <w:rFonts w:hint="default" w:ascii="Times New Roman" w:hAnsi="Times New Roman" w:cs="Times New Roman"/>
                <w:color w:val="auto"/>
              </w:rPr>
              <w:t>0.002L</w:t>
            </w:r>
          </w:p>
        </w:tc>
        <w:tc>
          <w:tcPr>
            <w:tcW w:w="613" w:type="pct"/>
            <w:vAlign w:val="center"/>
          </w:tcPr>
          <w:p w14:paraId="4B78A758">
            <w:pPr>
              <w:pStyle w:val="44"/>
              <w:bidi w:val="0"/>
              <w:jc w:val="center"/>
              <w:rPr>
                <w:rFonts w:hint="default" w:ascii="Times New Roman" w:hAnsi="Times New Roman" w:cs="Times New Roman"/>
                <w:color w:val="auto"/>
              </w:rPr>
            </w:pPr>
            <w:r>
              <w:rPr>
                <w:rFonts w:hint="default" w:ascii="Times New Roman" w:hAnsi="Times New Roman" w:cs="Times New Roman"/>
                <w:color w:val="auto"/>
              </w:rPr>
              <w:t>0.002L</w:t>
            </w:r>
          </w:p>
        </w:tc>
        <w:tc>
          <w:tcPr>
            <w:tcW w:w="636" w:type="pct"/>
            <w:vAlign w:val="center"/>
          </w:tcPr>
          <w:p w14:paraId="379F5DE0">
            <w:pPr>
              <w:pStyle w:val="44"/>
              <w:bidi w:val="0"/>
              <w:jc w:val="center"/>
              <w:rPr>
                <w:rFonts w:hint="default" w:ascii="Times New Roman" w:hAnsi="Times New Roman" w:cs="Times New Roman"/>
                <w:color w:val="auto"/>
              </w:rPr>
            </w:pPr>
            <w:r>
              <w:rPr>
                <w:rFonts w:hint="default" w:ascii="Times New Roman" w:hAnsi="Times New Roman" w:cs="Times New Roman"/>
                <w:color w:val="auto"/>
              </w:rPr>
              <w:t>-</w:t>
            </w:r>
          </w:p>
        </w:tc>
        <w:tc>
          <w:tcPr>
            <w:tcW w:w="583" w:type="pct"/>
            <w:vAlign w:val="center"/>
          </w:tcPr>
          <w:p w14:paraId="254B8D52">
            <w:pPr>
              <w:pStyle w:val="44"/>
              <w:bidi w:val="0"/>
              <w:jc w:val="center"/>
              <w:rPr>
                <w:rFonts w:hint="default" w:ascii="Times New Roman" w:hAnsi="Times New Roman" w:cs="Times New Roman"/>
                <w:color w:val="auto"/>
              </w:rPr>
            </w:pPr>
            <w:r>
              <w:rPr>
                <w:rFonts w:hint="default" w:ascii="Times New Roman" w:hAnsi="Times New Roman" w:cs="Times New Roman"/>
                <w:color w:val="auto"/>
              </w:rPr>
              <w:t>0%</w:t>
            </w:r>
          </w:p>
        </w:tc>
        <w:tc>
          <w:tcPr>
            <w:tcW w:w="798" w:type="pct"/>
            <w:gridSpan w:val="2"/>
            <w:vAlign w:val="center"/>
          </w:tcPr>
          <w:p w14:paraId="3BF5046B">
            <w:pPr>
              <w:pStyle w:val="44"/>
              <w:bidi w:val="0"/>
              <w:jc w:val="center"/>
              <w:rPr>
                <w:rFonts w:hint="default" w:ascii="Times New Roman" w:hAnsi="Times New Roman" w:cs="Times New Roman"/>
                <w:color w:val="auto"/>
              </w:rPr>
            </w:pPr>
            <w:r>
              <w:rPr>
                <w:rFonts w:hint="default" w:ascii="Times New Roman" w:hAnsi="Times New Roman" w:cs="Times New Roman"/>
                <w:color w:val="auto"/>
              </w:rPr>
              <w:t>0%</w:t>
            </w:r>
          </w:p>
        </w:tc>
      </w:tr>
      <w:tr w14:paraId="44EF3B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25439A21">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lang w:val="en-US" w:eastAsia="zh-CN"/>
              </w:rPr>
              <w:t>砷</w:t>
            </w:r>
          </w:p>
        </w:tc>
        <w:tc>
          <w:tcPr>
            <w:tcW w:w="731" w:type="pct"/>
            <w:vAlign w:val="center"/>
          </w:tcPr>
          <w:p w14:paraId="6CA7CE26">
            <w:pPr>
              <w:pStyle w:val="44"/>
              <w:bidi w:val="0"/>
              <w:jc w:val="center"/>
              <w:rPr>
                <w:rFonts w:hint="default" w:ascii="Times New Roman" w:hAnsi="Times New Roman" w:cs="Times New Roman"/>
                <w:color w:val="auto"/>
              </w:rPr>
            </w:pPr>
            <w:r>
              <w:rPr>
                <w:rFonts w:hint="default" w:ascii="Times New Roman" w:hAnsi="Times New Roman" w:cs="Times New Roman"/>
                <w:color w:val="auto"/>
              </w:rPr>
              <w:t>0.0003L</w:t>
            </w:r>
          </w:p>
        </w:tc>
        <w:tc>
          <w:tcPr>
            <w:tcW w:w="665" w:type="pct"/>
            <w:vAlign w:val="center"/>
          </w:tcPr>
          <w:p w14:paraId="7EBA6889">
            <w:pPr>
              <w:pStyle w:val="44"/>
              <w:bidi w:val="0"/>
              <w:jc w:val="center"/>
              <w:rPr>
                <w:rFonts w:hint="default" w:ascii="Times New Roman" w:hAnsi="Times New Roman" w:cs="Times New Roman"/>
                <w:color w:val="auto"/>
              </w:rPr>
            </w:pPr>
            <w:r>
              <w:rPr>
                <w:rFonts w:hint="default" w:ascii="Times New Roman" w:hAnsi="Times New Roman" w:cs="Times New Roman"/>
                <w:color w:val="auto"/>
              </w:rPr>
              <w:t>0.0003L</w:t>
            </w:r>
          </w:p>
        </w:tc>
        <w:tc>
          <w:tcPr>
            <w:tcW w:w="613" w:type="pct"/>
            <w:vAlign w:val="center"/>
          </w:tcPr>
          <w:p w14:paraId="7505F4EB">
            <w:pPr>
              <w:pStyle w:val="44"/>
              <w:bidi w:val="0"/>
              <w:jc w:val="center"/>
              <w:rPr>
                <w:rFonts w:hint="default" w:ascii="Times New Roman" w:hAnsi="Times New Roman" w:cs="Times New Roman"/>
                <w:color w:val="auto"/>
              </w:rPr>
            </w:pPr>
            <w:r>
              <w:rPr>
                <w:rFonts w:hint="default" w:ascii="Times New Roman" w:hAnsi="Times New Roman" w:cs="Times New Roman"/>
                <w:color w:val="auto"/>
              </w:rPr>
              <w:t>0.0003L</w:t>
            </w:r>
          </w:p>
        </w:tc>
        <w:tc>
          <w:tcPr>
            <w:tcW w:w="636" w:type="pct"/>
            <w:vAlign w:val="center"/>
          </w:tcPr>
          <w:p w14:paraId="790DA320">
            <w:pPr>
              <w:pStyle w:val="44"/>
              <w:bidi w:val="0"/>
              <w:jc w:val="center"/>
              <w:rPr>
                <w:rFonts w:hint="default" w:ascii="Times New Roman" w:hAnsi="Times New Roman" w:cs="Times New Roman"/>
                <w:color w:val="auto"/>
              </w:rPr>
            </w:pPr>
            <w:r>
              <w:rPr>
                <w:rFonts w:hint="default" w:ascii="Times New Roman" w:hAnsi="Times New Roman" w:cs="Times New Roman"/>
                <w:color w:val="auto"/>
              </w:rPr>
              <w:t>-</w:t>
            </w:r>
          </w:p>
        </w:tc>
        <w:tc>
          <w:tcPr>
            <w:tcW w:w="583" w:type="pct"/>
            <w:vAlign w:val="center"/>
          </w:tcPr>
          <w:p w14:paraId="7FF17ECD">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0</w:t>
            </w:r>
            <w:r>
              <w:rPr>
                <w:rFonts w:hint="default" w:ascii="Times New Roman" w:hAnsi="Times New Roman" w:cs="Times New Roman"/>
                <w:color w:val="auto"/>
              </w:rPr>
              <w:t>%</w:t>
            </w:r>
          </w:p>
        </w:tc>
        <w:tc>
          <w:tcPr>
            <w:tcW w:w="798" w:type="pct"/>
            <w:gridSpan w:val="2"/>
            <w:vAlign w:val="center"/>
          </w:tcPr>
          <w:p w14:paraId="4C8CAF9F">
            <w:pPr>
              <w:pStyle w:val="44"/>
              <w:bidi w:val="0"/>
              <w:jc w:val="center"/>
              <w:rPr>
                <w:rFonts w:hint="default" w:ascii="Times New Roman" w:hAnsi="Times New Roman" w:cs="Times New Roman"/>
                <w:color w:val="auto"/>
              </w:rPr>
            </w:pPr>
            <w:r>
              <w:rPr>
                <w:rFonts w:hint="default" w:ascii="Times New Roman" w:hAnsi="Times New Roman" w:cs="Times New Roman"/>
                <w:color w:val="auto"/>
              </w:rPr>
              <w:t>0%</w:t>
            </w:r>
          </w:p>
        </w:tc>
      </w:tr>
      <w:tr w14:paraId="68A10C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5CE98BF4">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lang w:val="en-US" w:eastAsia="zh-CN"/>
              </w:rPr>
              <w:t>汞</w:t>
            </w:r>
          </w:p>
        </w:tc>
        <w:tc>
          <w:tcPr>
            <w:tcW w:w="731" w:type="pct"/>
            <w:vAlign w:val="center"/>
          </w:tcPr>
          <w:p w14:paraId="448CA1EE">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0.00004L</w:t>
            </w:r>
          </w:p>
        </w:tc>
        <w:tc>
          <w:tcPr>
            <w:tcW w:w="665" w:type="pct"/>
            <w:vAlign w:val="center"/>
          </w:tcPr>
          <w:p w14:paraId="645154A2">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0.00004L</w:t>
            </w:r>
          </w:p>
        </w:tc>
        <w:tc>
          <w:tcPr>
            <w:tcW w:w="613" w:type="pct"/>
            <w:vAlign w:val="center"/>
          </w:tcPr>
          <w:p w14:paraId="689F03F9">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0.00004L</w:t>
            </w:r>
          </w:p>
        </w:tc>
        <w:tc>
          <w:tcPr>
            <w:tcW w:w="636" w:type="pct"/>
            <w:vAlign w:val="center"/>
          </w:tcPr>
          <w:p w14:paraId="7E94B6B5">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583" w:type="pct"/>
            <w:vAlign w:val="center"/>
          </w:tcPr>
          <w:p w14:paraId="619ABEB9">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0</w:t>
            </w:r>
            <w:r>
              <w:rPr>
                <w:rFonts w:hint="default" w:ascii="Times New Roman" w:hAnsi="Times New Roman" w:cs="Times New Roman"/>
                <w:color w:val="auto"/>
              </w:rPr>
              <w:t>%</w:t>
            </w:r>
          </w:p>
        </w:tc>
        <w:tc>
          <w:tcPr>
            <w:tcW w:w="798" w:type="pct"/>
            <w:gridSpan w:val="2"/>
            <w:vAlign w:val="center"/>
          </w:tcPr>
          <w:p w14:paraId="6E8EDEB1">
            <w:pPr>
              <w:pStyle w:val="44"/>
              <w:bidi w:val="0"/>
              <w:jc w:val="center"/>
              <w:rPr>
                <w:rFonts w:hint="default" w:ascii="Times New Roman" w:hAnsi="Times New Roman" w:cs="Times New Roman"/>
                <w:color w:val="auto"/>
              </w:rPr>
            </w:pPr>
            <w:r>
              <w:rPr>
                <w:rFonts w:hint="default" w:ascii="Times New Roman" w:hAnsi="Times New Roman" w:cs="Times New Roman"/>
                <w:color w:val="auto"/>
              </w:rPr>
              <w:t>0%</w:t>
            </w:r>
          </w:p>
        </w:tc>
      </w:tr>
      <w:tr w14:paraId="1B313D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34A79430">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lang w:val="en-US" w:eastAsia="zh-CN"/>
              </w:rPr>
              <w:t>六价铬</w:t>
            </w:r>
          </w:p>
        </w:tc>
        <w:tc>
          <w:tcPr>
            <w:tcW w:w="731" w:type="pct"/>
            <w:vAlign w:val="center"/>
          </w:tcPr>
          <w:p w14:paraId="7F52AADB">
            <w:pPr>
              <w:pStyle w:val="44"/>
              <w:bidi w:val="0"/>
              <w:jc w:val="center"/>
              <w:rPr>
                <w:rFonts w:hint="default" w:ascii="Times New Roman" w:hAnsi="Times New Roman" w:cs="Times New Roman"/>
                <w:color w:val="auto"/>
              </w:rPr>
            </w:pPr>
            <w:r>
              <w:rPr>
                <w:rFonts w:hint="default" w:ascii="Times New Roman" w:hAnsi="Times New Roman" w:cs="Times New Roman"/>
                <w:color w:val="auto"/>
              </w:rPr>
              <w:t>0.004L</w:t>
            </w:r>
          </w:p>
        </w:tc>
        <w:tc>
          <w:tcPr>
            <w:tcW w:w="665" w:type="pct"/>
            <w:vAlign w:val="center"/>
          </w:tcPr>
          <w:p w14:paraId="2C62909D">
            <w:pPr>
              <w:pStyle w:val="44"/>
              <w:bidi w:val="0"/>
              <w:jc w:val="center"/>
              <w:rPr>
                <w:rFonts w:hint="default" w:ascii="Times New Roman" w:hAnsi="Times New Roman" w:cs="Times New Roman"/>
                <w:color w:val="auto"/>
              </w:rPr>
            </w:pPr>
            <w:r>
              <w:rPr>
                <w:rFonts w:hint="default" w:ascii="Times New Roman" w:hAnsi="Times New Roman" w:cs="Times New Roman"/>
                <w:color w:val="auto"/>
              </w:rPr>
              <w:t>0.004L</w:t>
            </w:r>
          </w:p>
        </w:tc>
        <w:tc>
          <w:tcPr>
            <w:tcW w:w="613" w:type="pct"/>
            <w:vAlign w:val="center"/>
          </w:tcPr>
          <w:p w14:paraId="0115475B">
            <w:pPr>
              <w:pStyle w:val="44"/>
              <w:bidi w:val="0"/>
              <w:jc w:val="center"/>
              <w:rPr>
                <w:rFonts w:hint="default" w:ascii="Times New Roman" w:hAnsi="Times New Roman" w:cs="Times New Roman"/>
                <w:color w:val="auto"/>
              </w:rPr>
            </w:pPr>
            <w:r>
              <w:rPr>
                <w:rFonts w:hint="default" w:ascii="Times New Roman" w:hAnsi="Times New Roman" w:cs="Times New Roman"/>
                <w:color w:val="auto"/>
              </w:rPr>
              <w:t>0.004L</w:t>
            </w:r>
          </w:p>
        </w:tc>
        <w:tc>
          <w:tcPr>
            <w:tcW w:w="636" w:type="pct"/>
            <w:vAlign w:val="center"/>
          </w:tcPr>
          <w:p w14:paraId="3C767F39">
            <w:pPr>
              <w:pStyle w:val="44"/>
              <w:bidi w:val="0"/>
              <w:jc w:val="center"/>
              <w:rPr>
                <w:rFonts w:hint="default" w:ascii="Times New Roman" w:hAnsi="Times New Roman" w:cs="Times New Roman"/>
                <w:color w:val="auto"/>
              </w:rPr>
            </w:pPr>
            <w:r>
              <w:rPr>
                <w:rFonts w:hint="default" w:ascii="Times New Roman" w:hAnsi="Times New Roman" w:cs="Times New Roman"/>
                <w:color w:val="auto"/>
              </w:rPr>
              <w:t>-</w:t>
            </w:r>
          </w:p>
        </w:tc>
        <w:tc>
          <w:tcPr>
            <w:tcW w:w="583" w:type="pct"/>
            <w:vAlign w:val="center"/>
          </w:tcPr>
          <w:p w14:paraId="709BB969">
            <w:pPr>
              <w:pStyle w:val="44"/>
              <w:bidi w:val="0"/>
              <w:jc w:val="center"/>
              <w:rPr>
                <w:rFonts w:hint="default" w:ascii="Times New Roman" w:hAnsi="Times New Roman" w:cs="Times New Roman"/>
                <w:color w:val="auto"/>
              </w:rPr>
            </w:pPr>
            <w:r>
              <w:rPr>
                <w:rFonts w:hint="default" w:ascii="Times New Roman" w:hAnsi="Times New Roman" w:cs="Times New Roman"/>
                <w:color w:val="auto"/>
              </w:rPr>
              <w:t>0%</w:t>
            </w:r>
          </w:p>
        </w:tc>
        <w:tc>
          <w:tcPr>
            <w:tcW w:w="798" w:type="pct"/>
            <w:gridSpan w:val="2"/>
            <w:vAlign w:val="center"/>
          </w:tcPr>
          <w:p w14:paraId="62507C81">
            <w:pPr>
              <w:pStyle w:val="44"/>
              <w:bidi w:val="0"/>
              <w:jc w:val="center"/>
              <w:rPr>
                <w:rFonts w:hint="default" w:ascii="Times New Roman" w:hAnsi="Times New Roman" w:cs="Times New Roman"/>
                <w:color w:val="auto"/>
              </w:rPr>
            </w:pPr>
            <w:r>
              <w:rPr>
                <w:rFonts w:hint="default" w:ascii="Times New Roman" w:hAnsi="Times New Roman" w:cs="Times New Roman"/>
                <w:color w:val="auto"/>
              </w:rPr>
              <w:t>0%</w:t>
            </w:r>
          </w:p>
        </w:tc>
      </w:tr>
      <w:tr w14:paraId="25E1EE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3BA98DFE">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lang w:val="en-US" w:eastAsia="zh-CN"/>
              </w:rPr>
              <w:t>总硬度</w:t>
            </w:r>
          </w:p>
        </w:tc>
        <w:tc>
          <w:tcPr>
            <w:tcW w:w="731" w:type="pct"/>
            <w:vAlign w:val="center"/>
          </w:tcPr>
          <w:p w14:paraId="338440E7">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237</w:t>
            </w:r>
          </w:p>
        </w:tc>
        <w:tc>
          <w:tcPr>
            <w:tcW w:w="665" w:type="pct"/>
            <w:vAlign w:val="center"/>
          </w:tcPr>
          <w:p w14:paraId="20B6634A">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234</w:t>
            </w:r>
          </w:p>
        </w:tc>
        <w:tc>
          <w:tcPr>
            <w:tcW w:w="613" w:type="pct"/>
            <w:vAlign w:val="center"/>
          </w:tcPr>
          <w:p w14:paraId="36C3467F">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236</w:t>
            </w:r>
          </w:p>
        </w:tc>
        <w:tc>
          <w:tcPr>
            <w:tcW w:w="636" w:type="pct"/>
            <w:vAlign w:val="center"/>
          </w:tcPr>
          <w:p w14:paraId="233B07FE">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1.41</w:t>
            </w:r>
          </w:p>
        </w:tc>
        <w:tc>
          <w:tcPr>
            <w:tcW w:w="583" w:type="pct"/>
            <w:vAlign w:val="center"/>
          </w:tcPr>
          <w:p w14:paraId="1C2CF164">
            <w:pPr>
              <w:pStyle w:val="44"/>
              <w:bidi w:val="0"/>
              <w:jc w:val="center"/>
              <w:rPr>
                <w:rFonts w:hint="default" w:ascii="Times New Roman" w:hAnsi="Times New Roman" w:cs="Times New Roman"/>
                <w:color w:val="auto"/>
              </w:rPr>
            </w:pPr>
            <w:r>
              <w:rPr>
                <w:rFonts w:hint="default" w:ascii="Times New Roman" w:hAnsi="Times New Roman" w:cs="Times New Roman"/>
                <w:color w:val="auto"/>
              </w:rPr>
              <w:t>100%</w:t>
            </w:r>
          </w:p>
        </w:tc>
        <w:tc>
          <w:tcPr>
            <w:tcW w:w="798" w:type="pct"/>
            <w:gridSpan w:val="2"/>
            <w:vAlign w:val="center"/>
          </w:tcPr>
          <w:p w14:paraId="2A636BD6">
            <w:pPr>
              <w:pStyle w:val="44"/>
              <w:bidi w:val="0"/>
              <w:jc w:val="center"/>
              <w:rPr>
                <w:rFonts w:hint="default" w:ascii="Times New Roman" w:hAnsi="Times New Roman" w:cs="Times New Roman"/>
                <w:color w:val="auto"/>
              </w:rPr>
            </w:pPr>
            <w:r>
              <w:rPr>
                <w:rFonts w:hint="default" w:ascii="Times New Roman" w:hAnsi="Times New Roman" w:cs="Times New Roman"/>
                <w:color w:val="auto"/>
              </w:rPr>
              <w:t>0%</w:t>
            </w:r>
          </w:p>
        </w:tc>
      </w:tr>
      <w:tr w14:paraId="275A06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69858666">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lang w:val="en-US" w:eastAsia="zh-CN"/>
              </w:rPr>
              <w:t>氟化物</w:t>
            </w:r>
          </w:p>
        </w:tc>
        <w:tc>
          <w:tcPr>
            <w:tcW w:w="731" w:type="pct"/>
            <w:vAlign w:val="center"/>
          </w:tcPr>
          <w:p w14:paraId="1D76D4B9">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0.16</w:t>
            </w:r>
          </w:p>
        </w:tc>
        <w:tc>
          <w:tcPr>
            <w:tcW w:w="665" w:type="pct"/>
            <w:vAlign w:val="center"/>
          </w:tcPr>
          <w:p w14:paraId="4FB9AD41">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rPr>
              <w:t>0.</w:t>
            </w:r>
            <w:r>
              <w:rPr>
                <w:rFonts w:hint="default" w:ascii="Times New Roman" w:hAnsi="Times New Roman" w:cs="Times New Roman"/>
                <w:color w:val="auto"/>
                <w:lang w:val="en-US" w:eastAsia="zh-CN"/>
              </w:rPr>
              <w:t>14</w:t>
            </w:r>
          </w:p>
        </w:tc>
        <w:tc>
          <w:tcPr>
            <w:tcW w:w="613" w:type="pct"/>
            <w:vAlign w:val="center"/>
          </w:tcPr>
          <w:p w14:paraId="226E18AF">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rPr>
              <w:t>0.</w:t>
            </w:r>
            <w:r>
              <w:rPr>
                <w:rFonts w:hint="default" w:ascii="Times New Roman" w:hAnsi="Times New Roman" w:cs="Times New Roman"/>
                <w:color w:val="auto"/>
                <w:lang w:val="en-US" w:eastAsia="zh-CN"/>
              </w:rPr>
              <w:t>143</w:t>
            </w:r>
          </w:p>
        </w:tc>
        <w:tc>
          <w:tcPr>
            <w:tcW w:w="636" w:type="pct"/>
            <w:vAlign w:val="center"/>
          </w:tcPr>
          <w:p w14:paraId="27DDBA6C">
            <w:pPr>
              <w:pStyle w:val="44"/>
              <w:bidi w:val="0"/>
              <w:jc w:val="center"/>
              <w:rPr>
                <w:rFonts w:hint="default" w:ascii="Times New Roman" w:hAnsi="Times New Roman" w:eastAsia="宋体" w:cs="Times New Roman"/>
                <w:color w:val="auto"/>
                <w:lang w:eastAsia="zh-CN"/>
              </w:rPr>
            </w:pPr>
            <w:r>
              <w:rPr>
                <w:rFonts w:hint="default" w:ascii="Times New Roman" w:hAnsi="Times New Roman" w:cs="Times New Roman"/>
                <w:color w:val="auto"/>
              </w:rPr>
              <w:t>0.0</w:t>
            </w:r>
            <w:r>
              <w:rPr>
                <w:rFonts w:hint="default" w:ascii="Times New Roman" w:hAnsi="Times New Roman" w:cs="Times New Roman"/>
                <w:color w:val="auto"/>
                <w:lang w:val="en-US" w:eastAsia="zh-CN"/>
              </w:rPr>
              <w:t>1</w:t>
            </w:r>
          </w:p>
        </w:tc>
        <w:tc>
          <w:tcPr>
            <w:tcW w:w="583" w:type="pct"/>
            <w:vAlign w:val="center"/>
          </w:tcPr>
          <w:p w14:paraId="7B394B4A">
            <w:pPr>
              <w:pStyle w:val="44"/>
              <w:bidi w:val="0"/>
              <w:jc w:val="center"/>
              <w:rPr>
                <w:rFonts w:hint="default" w:ascii="Times New Roman" w:hAnsi="Times New Roman" w:cs="Times New Roman"/>
                <w:color w:val="auto"/>
              </w:rPr>
            </w:pPr>
            <w:r>
              <w:rPr>
                <w:rFonts w:hint="default" w:ascii="Times New Roman" w:hAnsi="Times New Roman" w:cs="Times New Roman"/>
                <w:color w:val="auto"/>
              </w:rPr>
              <w:t>100%</w:t>
            </w:r>
          </w:p>
        </w:tc>
        <w:tc>
          <w:tcPr>
            <w:tcW w:w="798" w:type="pct"/>
            <w:gridSpan w:val="2"/>
            <w:vAlign w:val="center"/>
          </w:tcPr>
          <w:p w14:paraId="6187D109">
            <w:pPr>
              <w:pStyle w:val="44"/>
              <w:bidi w:val="0"/>
              <w:jc w:val="center"/>
              <w:rPr>
                <w:rFonts w:hint="default" w:ascii="Times New Roman" w:hAnsi="Times New Roman" w:cs="Times New Roman"/>
                <w:color w:val="auto"/>
              </w:rPr>
            </w:pPr>
            <w:r>
              <w:rPr>
                <w:rFonts w:hint="default" w:ascii="Times New Roman" w:hAnsi="Times New Roman" w:cs="Times New Roman"/>
                <w:color w:val="auto"/>
              </w:rPr>
              <w:t>0%</w:t>
            </w:r>
          </w:p>
        </w:tc>
      </w:tr>
      <w:tr w14:paraId="642086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79BCDF38">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lang w:val="en-US" w:eastAsia="zh-CN"/>
              </w:rPr>
              <w:t>铅</w:t>
            </w:r>
          </w:p>
        </w:tc>
        <w:tc>
          <w:tcPr>
            <w:tcW w:w="731" w:type="pct"/>
            <w:vAlign w:val="center"/>
          </w:tcPr>
          <w:p w14:paraId="4C342FA3">
            <w:pPr>
              <w:pStyle w:val="44"/>
              <w:bidi w:val="0"/>
              <w:jc w:val="center"/>
              <w:rPr>
                <w:rFonts w:hint="default" w:ascii="Times New Roman" w:hAnsi="Times New Roman" w:cs="Times New Roman"/>
                <w:color w:val="auto"/>
                <w:lang w:val="en-US"/>
              </w:rPr>
            </w:pPr>
            <w:r>
              <w:rPr>
                <w:rFonts w:hint="default" w:ascii="Times New Roman" w:hAnsi="Times New Roman" w:cs="Times New Roman"/>
                <w:color w:val="auto"/>
                <w:lang w:val="en-US" w:eastAsia="zh-CN"/>
              </w:rPr>
              <w:t>0.0039</w:t>
            </w:r>
          </w:p>
        </w:tc>
        <w:tc>
          <w:tcPr>
            <w:tcW w:w="665" w:type="pct"/>
            <w:vAlign w:val="center"/>
          </w:tcPr>
          <w:p w14:paraId="5BF26115">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0.0025L</w:t>
            </w:r>
          </w:p>
        </w:tc>
        <w:tc>
          <w:tcPr>
            <w:tcW w:w="613" w:type="pct"/>
            <w:vAlign w:val="center"/>
          </w:tcPr>
          <w:p w14:paraId="08FFDA62">
            <w:pPr>
              <w:pStyle w:val="44"/>
              <w:bidi w:val="0"/>
              <w:jc w:val="center"/>
              <w:rPr>
                <w:rFonts w:hint="default" w:ascii="Times New Roman" w:hAnsi="Times New Roman" w:cs="Times New Roman"/>
                <w:color w:val="auto"/>
              </w:rPr>
            </w:pPr>
            <w:r>
              <w:rPr>
                <w:rFonts w:hint="default" w:ascii="Times New Roman" w:hAnsi="Times New Roman" w:cs="Times New Roman"/>
                <w:color w:val="auto"/>
              </w:rPr>
              <w:t>0.0</w:t>
            </w:r>
            <w:r>
              <w:rPr>
                <w:rFonts w:hint="default" w:ascii="Times New Roman" w:hAnsi="Times New Roman" w:cs="Times New Roman"/>
                <w:color w:val="auto"/>
                <w:lang w:val="en-US" w:eastAsia="zh-CN"/>
              </w:rPr>
              <w:t>013</w:t>
            </w:r>
          </w:p>
        </w:tc>
        <w:tc>
          <w:tcPr>
            <w:tcW w:w="636" w:type="pct"/>
            <w:vAlign w:val="center"/>
          </w:tcPr>
          <w:p w14:paraId="0893CFA6">
            <w:pPr>
              <w:pStyle w:val="44"/>
              <w:bidi w:val="0"/>
              <w:jc w:val="center"/>
              <w:rPr>
                <w:rFonts w:hint="default" w:ascii="Times New Roman" w:hAnsi="Times New Roman" w:eastAsia="宋体" w:cs="Times New Roman"/>
                <w:color w:val="auto"/>
                <w:lang w:eastAsia="zh-CN"/>
              </w:rPr>
            </w:pPr>
            <w:r>
              <w:rPr>
                <w:rFonts w:hint="default" w:ascii="Times New Roman" w:hAnsi="Times New Roman" w:cs="Times New Roman"/>
                <w:color w:val="auto"/>
                <w:lang w:val="en-US" w:eastAsia="zh-CN"/>
              </w:rPr>
              <w:t>-</w:t>
            </w:r>
          </w:p>
        </w:tc>
        <w:tc>
          <w:tcPr>
            <w:tcW w:w="583" w:type="pct"/>
            <w:vAlign w:val="center"/>
          </w:tcPr>
          <w:p w14:paraId="042E5652">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33</w:t>
            </w:r>
            <w:r>
              <w:rPr>
                <w:rFonts w:hint="default" w:ascii="Times New Roman" w:hAnsi="Times New Roman" w:cs="Times New Roman"/>
                <w:color w:val="auto"/>
              </w:rPr>
              <w:t>%</w:t>
            </w:r>
          </w:p>
        </w:tc>
        <w:tc>
          <w:tcPr>
            <w:tcW w:w="798" w:type="pct"/>
            <w:gridSpan w:val="2"/>
            <w:vAlign w:val="center"/>
          </w:tcPr>
          <w:p w14:paraId="4AAAE646">
            <w:pPr>
              <w:pStyle w:val="44"/>
              <w:bidi w:val="0"/>
              <w:jc w:val="center"/>
              <w:rPr>
                <w:rFonts w:hint="default" w:ascii="Times New Roman" w:hAnsi="Times New Roman" w:cs="Times New Roman"/>
                <w:color w:val="auto"/>
              </w:rPr>
            </w:pPr>
            <w:r>
              <w:rPr>
                <w:rFonts w:hint="default" w:ascii="Times New Roman" w:hAnsi="Times New Roman" w:cs="Times New Roman"/>
                <w:color w:val="auto"/>
              </w:rPr>
              <w:t>0%</w:t>
            </w:r>
          </w:p>
        </w:tc>
      </w:tr>
      <w:tr w14:paraId="4E447E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727EA9BE">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lang w:val="en-US" w:eastAsia="zh-CN"/>
              </w:rPr>
              <w:t>镉</w:t>
            </w:r>
          </w:p>
        </w:tc>
        <w:tc>
          <w:tcPr>
            <w:tcW w:w="731" w:type="pct"/>
            <w:vAlign w:val="center"/>
          </w:tcPr>
          <w:p w14:paraId="139E52D9">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0.0005L</w:t>
            </w:r>
          </w:p>
        </w:tc>
        <w:tc>
          <w:tcPr>
            <w:tcW w:w="665" w:type="pct"/>
            <w:vAlign w:val="center"/>
          </w:tcPr>
          <w:p w14:paraId="3F29F20D">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0.0005L</w:t>
            </w:r>
          </w:p>
        </w:tc>
        <w:tc>
          <w:tcPr>
            <w:tcW w:w="613" w:type="pct"/>
            <w:vAlign w:val="center"/>
          </w:tcPr>
          <w:p w14:paraId="3B2312D1">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0.0005L</w:t>
            </w:r>
          </w:p>
        </w:tc>
        <w:tc>
          <w:tcPr>
            <w:tcW w:w="636" w:type="pct"/>
            <w:vAlign w:val="center"/>
          </w:tcPr>
          <w:p w14:paraId="27CE2ABC">
            <w:pPr>
              <w:pStyle w:val="44"/>
              <w:bidi w:val="0"/>
              <w:jc w:val="center"/>
              <w:rPr>
                <w:rFonts w:hint="default" w:ascii="Times New Roman" w:hAnsi="Times New Roman" w:eastAsia="宋体" w:cs="Times New Roman"/>
                <w:color w:val="auto"/>
                <w:lang w:eastAsia="zh-CN"/>
              </w:rPr>
            </w:pPr>
            <w:r>
              <w:rPr>
                <w:rFonts w:hint="default" w:ascii="Times New Roman" w:hAnsi="Times New Roman" w:cs="Times New Roman"/>
                <w:color w:val="auto"/>
                <w:lang w:val="en-US" w:eastAsia="zh-CN"/>
              </w:rPr>
              <w:t>-</w:t>
            </w:r>
          </w:p>
        </w:tc>
        <w:tc>
          <w:tcPr>
            <w:tcW w:w="583" w:type="pct"/>
            <w:vAlign w:val="center"/>
          </w:tcPr>
          <w:p w14:paraId="2190E0F9">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0</w:t>
            </w:r>
            <w:r>
              <w:rPr>
                <w:rFonts w:hint="default" w:ascii="Times New Roman" w:hAnsi="Times New Roman" w:cs="Times New Roman"/>
                <w:color w:val="auto"/>
              </w:rPr>
              <w:t>%</w:t>
            </w:r>
          </w:p>
        </w:tc>
        <w:tc>
          <w:tcPr>
            <w:tcW w:w="798" w:type="pct"/>
            <w:gridSpan w:val="2"/>
            <w:vAlign w:val="center"/>
          </w:tcPr>
          <w:p w14:paraId="6C258F5C">
            <w:pPr>
              <w:pStyle w:val="44"/>
              <w:bidi w:val="0"/>
              <w:jc w:val="center"/>
              <w:rPr>
                <w:rFonts w:hint="default" w:ascii="Times New Roman" w:hAnsi="Times New Roman" w:cs="Times New Roman"/>
                <w:color w:val="auto"/>
              </w:rPr>
            </w:pPr>
            <w:r>
              <w:rPr>
                <w:rFonts w:hint="default" w:ascii="Times New Roman" w:hAnsi="Times New Roman" w:cs="Times New Roman"/>
                <w:color w:val="auto"/>
              </w:rPr>
              <w:t>0%</w:t>
            </w:r>
          </w:p>
        </w:tc>
      </w:tr>
      <w:tr w14:paraId="141EBA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970" w:type="pct"/>
            <w:vAlign w:val="center"/>
          </w:tcPr>
          <w:p w14:paraId="0EA33499">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lang w:val="en-US" w:eastAsia="zh-CN"/>
              </w:rPr>
              <w:t>铁</w:t>
            </w:r>
          </w:p>
        </w:tc>
        <w:tc>
          <w:tcPr>
            <w:tcW w:w="731" w:type="pct"/>
            <w:vAlign w:val="center"/>
          </w:tcPr>
          <w:p w14:paraId="0B8224AD">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0.03L</w:t>
            </w:r>
          </w:p>
        </w:tc>
        <w:tc>
          <w:tcPr>
            <w:tcW w:w="1134" w:type="dxa"/>
            <w:vAlign w:val="center"/>
          </w:tcPr>
          <w:p w14:paraId="6A3E86CA">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lang w:val="en-US" w:eastAsia="zh-CN"/>
              </w:rPr>
              <w:t>0.03L</w:t>
            </w:r>
          </w:p>
        </w:tc>
        <w:tc>
          <w:tcPr>
            <w:tcW w:w="1045" w:type="dxa"/>
            <w:vAlign w:val="center"/>
          </w:tcPr>
          <w:p w14:paraId="652096C4">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lang w:val="en-US" w:eastAsia="zh-CN"/>
              </w:rPr>
              <w:t>0.03L</w:t>
            </w:r>
          </w:p>
        </w:tc>
        <w:tc>
          <w:tcPr>
            <w:tcW w:w="636" w:type="pct"/>
            <w:vAlign w:val="center"/>
          </w:tcPr>
          <w:p w14:paraId="1E31E7D7">
            <w:pPr>
              <w:pStyle w:val="44"/>
              <w:bidi w:val="0"/>
              <w:jc w:val="center"/>
              <w:rPr>
                <w:rFonts w:hint="default" w:ascii="Times New Roman" w:hAnsi="Times New Roman" w:cs="Times New Roman"/>
                <w:color w:val="auto"/>
              </w:rPr>
            </w:pPr>
            <w:r>
              <w:rPr>
                <w:rFonts w:hint="default" w:ascii="Times New Roman" w:hAnsi="Times New Roman" w:cs="Times New Roman"/>
                <w:color w:val="auto"/>
              </w:rPr>
              <w:t>-</w:t>
            </w:r>
          </w:p>
        </w:tc>
        <w:tc>
          <w:tcPr>
            <w:tcW w:w="583" w:type="pct"/>
            <w:vAlign w:val="center"/>
          </w:tcPr>
          <w:p w14:paraId="723807C4">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0</w:t>
            </w:r>
            <w:r>
              <w:rPr>
                <w:rFonts w:hint="default" w:ascii="Times New Roman" w:hAnsi="Times New Roman" w:cs="Times New Roman"/>
                <w:color w:val="auto"/>
              </w:rPr>
              <w:t>%</w:t>
            </w:r>
          </w:p>
        </w:tc>
        <w:tc>
          <w:tcPr>
            <w:tcW w:w="798" w:type="pct"/>
            <w:gridSpan w:val="2"/>
            <w:vAlign w:val="center"/>
          </w:tcPr>
          <w:p w14:paraId="1320BE33">
            <w:pPr>
              <w:pStyle w:val="44"/>
              <w:bidi w:val="0"/>
              <w:jc w:val="center"/>
              <w:rPr>
                <w:rFonts w:hint="default" w:ascii="Times New Roman" w:hAnsi="Times New Roman" w:cs="Times New Roman"/>
                <w:color w:val="auto"/>
              </w:rPr>
            </w:pPr>
            <w:r>
              <w:rPr>
                <w:rFonts w:hint="default" w:ascii="Times New Roman" w:hAnsi="Times New Roman" w:cs="Times New Roman"/>
                <w:color w:val="auto"/>
              </w:rPr>
              <w:t>0%</w:t>
            </w:r>
          </w:p>
        </w:tc>
      </w:tr>
      <w:tr w14:paraId="194D1E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49C1925E">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lang w:val="en-US" w:eastAsia="zh-CN"/>
              </w:rPr>
              <w:t>锰</w:t>
            </w:r>
          </w:p>
        </w:tc>
        <w:tc>
          <w:tcPr>
            <w:tcW w:w="731" w:type="pct"/>
            <w:vAlign w:val="center"/>
          </w:tcPr>
          <w:p w14:paraId="334712DC">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0.01L</w:t>
            </w:r>
          </w:p>
        </w:tc>
        <w:tc>
          <w:tcPr>
            <w:tcW w:w="1134" w:type="dxa"/>
            <w:vAlign w:val="center"/>
          </w:tcPr>
          <w:p w14:paraId="07E410A3">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lang w:val="en-US" w:eastAsia="zh-CN"/>
              </w:rPr>
              <w:t>0.01L</w:t>
            </w:r>
          </w:p>
        </w:tc>
        <w:tc>
          <w:tcPr>
            <w:tcW w:w="1045" w:type="dxa"/>
            <w:vAlign w:val="center"/>
          </w:tcPr>
          <w:p w14:paraId="5C5DEDDC">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lang w:val="en-US" w:eastAsia="zh-CN"/>
              </w:rPr>
              <w:t>0.01L</w:t>
            </w:r>
          </w:p>
        </w:tc>
        <w:tc>
          <w:tcPr>
            <w:tcW w:w="636" w:type="pct"/>
            <w:vAlign w:val="center"/>
          </w:tcPr>
          <w:p w14:paraId="0E3DD268">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583" w:type="pct"/>
            <w:vAlign w:val="center"/>
          </w:tcPr>
          <w:p w14:paraId="3B54FB34">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0</w:t>
            </w:r>
            <w:r>
              <w:rPr>
                <w:rFonts w:hint="default" w:ascii="Times New Roman" w:hAnsi="Times New Roman" w:cs="Times New Roman"/>
                <w:color w:val="auto"/>
              </w:rPr>
              <w:t>%</w:t>
            </w:r>
          </w:p>
        </w:tc>
        <w:tc>
          <w:tcPr>
            <w:tcW w:w="798" w:type="pct"/>
            <w:gridSpan w:val="2"/>
            <w:vAlign w:val="center"/>
          </w:tcPr>
          <w:p w14:paraId="1357FE51">
            <w:pPr>
              <w:pStyle w:val="44"/>
              <w:bidi w:val="0"/>
              <w:jc w:val="center"/>
              <w:rPr>
                <w:rFonts w:hint="default" w:ascii="Times New Roman" w:hAnsi="Times New Roman" w:cs="Times New Roman"/>
                <w:color w:val="auto"/>
              </w:rPr>
            </w:pPr>
            <w:r>
              <w:rPr>
                <w:rFonts w:hint="default" w:ascii="Times New Roman" w:hAnsi="Times New Roman" w:cs="Times New Roman"/>
                <w:color w:val="auto"/>
              </w:rPr>
              <w:t>0%</w:t>
            </w:r>
          </w:p>
        </w:tc>
      </w:tr>
      <w:tr w14:paraId="17F168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77751FCB">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lang w:val="en-US" w:eastAsia="zh-CN"/>
              </w:rPr>
              <w:t>溶解性总固体</w:t>
            </w:r>
          </w:p>
        </w:tc>
        <w:tc>
          <w:tcPr>
            <w:tcW w:w="731" w:type="pct"/>
            <w:vAlign w:val="center"/>
          </w:tcPr>
          <w:p w14:paraId="34121207">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391</w:t>
            </w:r>
          </w:p>
        </w:tc>
        <w:tc>
          <w:tcPr>
            <w:tcW w:w="665" w:type="pct"/>
            <w:vAlign w:val="center"/>
          </w:tcPr>
          <w:p w14:paraId="7A3DB291">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383</w:t>
            </w:r>
          </w:p>
        </w:tc>
        <w:tc>
          <w:tcPr>
            <w:tcW w:w="613" w:type="pct"/>
            <w:vAlign w:val="center"/>
          </w:tcPr>
          <w:p w14:paraId="0DADB957">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386.33</w:t>
            </w:r>
          </w:p>
        </w:tc>
        <w:tc>
          <w:tcPr>
            <w:tcW w:w="636" w:type="pct"/>
            <w:vAlign w:val="center"/>
          </w:tcPr>
          <w:p w14:paraId="2351F269">
            <w:pPr>
              <w:pStyle w:val="44"/>
              <w:bidi w:val="0"/>
              <w:jc w:val="center"/>
              <w:rPr>
                <w:rFonts w:hint="default" w:ascii="Times New Roman" w:hAnsi="Times New Roman" w:cs="Times New Roman"/>
                <w:color w:val="auto"/>
                <w:lang w:val="en-US"/>
              </w:rPr>
            </w:pPr>
            <w:r>
              <w:rPr>
                <w:rFonts w:hint="default" w:ascii="Times New Roman" w:hAnsi="Times New Roman" w:cs="Times New Roman"/>
                <w:color w:val="auto"/>
                <w:lang w:val="en-US" w:eastAsia="zh-CN"/>
              </w:rPr>
              <w:t>3.40</w:t>
            </w:r>
          </w:p>
        </w:tc>
        <w:tc>
          <w:tcPr>
            <w:tcW w:w="583" w:type="pct"/>
            <w:vAlign w:val="center"/>
          </w:tcPr>
          <w:p w14:paraId="54322826">
            <w:pPr>
              <w:pStyle w:val="44"/>
              <w:bidi w:val="0"/>
              <w:jc w:val="center"/>
              <w:rPr>
                <w:rFonts w:hint="default" w:ascii="Times New Roman" w:hAnsi="Times New Roman" w:cs="Times New Roman"/>
                <w:color w:val="auto"/>
              </w:rPr>
            </w:pPr>
            <w:r>
              <w:rPr>
                <w:rFonts w:hint="default" w:ascii="Times New Roman" w:hAnsi="Times New Roman" w:cs="Times New Roman"/>
                <w:color w:val="auto"/>
              </w:rPr>
              <w:t>100%</w:t>
            </w:r>
          </w:p>
        </w:tc>
        <w:tc>
          <w:tcPr>
            <w:tcW w:w="798" w:type="pct"/>
            <w:gridSpan w:val="2"/>
            <w:vAlign w:val="center"/>
          </w:tcPr>
          <w:p w14:paraId="2CB58B76">
            <w:pPr>
              <w:pStyle w:val="44"/>
              <w:bidi w:val="0"/>
              <w:jc w:val="center"/>
              <w:rPr>
                <w:rFonts w:hint="default" w:ascii="Times New Roman" w:hAnsi="Times New Roman" w:cs="Times New Roman"/>
                <w:color w:val="auto"/>
              </w:rPr>
            </w:pPr>
            <w:r>
              <w:rPr>
                <w:rFonts w:hint="default" w:ascii="Times New Roman" w:hAnsi="Times New Roman" w:cs="Times New Roman"/>
                <w:color w:val="auto"/>
              </w:rPr>
              <w:t>0%</w:t>
            </w:r>
          </w:p>
        </w:tc>
      </w:tr>
      <w:tr w14:paraId="64BE4E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1B17A01A">
            <w:pPr>
              <w:pStyle w:val="44"/>
              <w:bidi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高锰酸盐指数</w:t>
            </w:r>
          </w:p>
          <w:p w14:paraId="0AE63694">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lang w:val="en-US" w:eastAsia="zh-CN"/>
              </w:rPr>
              <w:t>（耗氧量）</w:t>
            </w:r>
          </w:p>
        </w:tc>
        <w:tc>
          <w:tcPr>
            <w:tcW w:w="1247" w:type="dxa"/>
            <w:vAlign w:val="center"/>
          </w:tcPr>
          <w:p w14:paraId="634A5CD1">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lang w:val="en-US" w:eastAsia="zh-CN"/>
              </w:rPr>
              <w:t>1.5</w:t>
            </w:r>
          </w:p>
        </w:tc>
        <w:tc>
          <w:tcPr>
            <w:tcW w:w="1134" w:type="dxa"/>
            <w:vAlign w:val="center"/>
          </w:tcPr>
          <w:p w14:paraId="1014868A">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lang w:val="en-US" w:eastAsia="zh-CN"/>
              </w:rPr>
              <w:t>1.4</w:t>
            </w:r>
          </w:p>
        </w:tc>
        <w:tc>
          <w:tcPr>
            <w:tcW w:w="1045" w:type="dxa"/>
            <w:vAlign w:val="center"/>
          </w:tcPr>
          <w:p w14:paraId="7FCCFB79">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lang w:val="en-US" w:eastAsia="zh-CN"/>
              </w:rPr>
              <w:t>1.4</w:t>
            </w:r>
          </w:p>
        </w:tc>
        <w:tc>
          <w:tcPr>
            <w:tcW w:w="1085" w:type="dxa"/>
            <w:vAlign w:val="center"/>
          </w:tcPr>
          <w:p w14:paraId="3CAAF532">
            <w:pPr>
              <w:pStyle w:val="44"/>
              <w:bidi w:val="0"/>
              <w:ind w:firstLine="0" w:firstLineChars="0"/>
              <w:jc w:val="center"/>
              <w:rPr>
                <w:rFonts w:hint="default" w:ascii="Times New Roman" w:hAnsi="Times New Roman" w:cs="Times New Roman"/>
                <w:color w:val="auto"/>
                <w:lang w:val="en-US"/>
              </w:rPr>
            </w:pPr>
            <w:r>
              <w:rPr>
                <w:rFonts w:hint="default" w:ascii="Times New Roman" w:hAnsi="Times New Roman" w:cs="Times New Roman"/>
                <w:color w:val="auto"/>
                <w:lang w:val="en-US" w:eastAsia="zh-CN"/>
              </w:rPr>
              <w:t>0.05</w:t>
            </w:r>
          </w:p>
        </w:tc>
        <w:tc>
          <w:tcPr>
            <w:tcW w:w="583" w:type="pct"/>
            <w:vAlign w:val="center"/>
          </w:tcPr>
          <w:p w14:paraId="57453FDB">
            <w:pPr>
              <w:pStyle w:val="44"/>
              <w:bidi w:val="0"/>
              <w:jc w:val="center"/>
              <w:rPr>
                <w:rFonts w:hint="default" w:ascii="Times New Roman" w:hAnsi="Times New Roman" w:cs="Times New Roman"/>
                <w:color w:val="auto"/>
              </w:rPr>
            </w:pPr>
            <w:r>
              <w:rPr>
                <w:rFonts w:hint="default" w:ascii="Times New Roman" w:hAnsi="Times New Roman" w:cs="Times New Roman"/>
                <w:color w:val="auto"/>
              </w:rPr>
              <w:t>100%</w:t>
            </w:r>
          </w:p>
        </w:tc>
        <w:tc>
          <w:tcPr>
            <w:tcW w:w="798" w:type="pct"/>
            <w:gridSpan w:val="2"/>
            <w:vAlign w:val="center"/>
          </w:tcPr>
          <w:p w14:paraId="65C2DD70">
            <w:pPr>
              <w:pStyle w:val="44"/>
              <w:bidi w:val="0"/>
              <w:jc w:val="center"/>
              <w:rPr>
                <w:rFonts w:hint="default" w:ascii="Times New Roman" w:hAnsi="Times New Roman" w:cs="Times New Roman"/>
                <w:color w:val="auto"/>
              </w:rPr>
            </w:pPr>
            <w:r>
              <w:rPr>
                <w:rFonts w:hint="default" w:ascii="Times New Roman" w:hAnsi="Times New Roman" w:cs="Times New Roman"/>
                <w:color w:val="auto"/>
              </w:rPr>
              <w:t>0%</w:t>
            </w:r>
          </w:p>
        </w:tc>
      </w:tr>
      <w:tr w14:paraId="3D4C9F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75CF7A3C">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lang w:val="en-US" w:eastAsia="zh-CN"/>
              </w:rPr>
              <w:t>硫酸盐</w:t>
            </w:r>
          </w:p>
        </w:tc>
        <w:tc>
          <w:tcPr>
            <w:tcW w:w="731" w:type="pct"/>
            <w:vAlign w:val="center"/>
          </w:tcPr>
          <w:p w14:paraId="1B760A4A">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31</w:t>
            </w:r>
          </w:p>
        </w:tc>
        <w:tc>
          <w:tcPr>
            <w:tcW w:w="665" w:type="pct"/>
            <w:vAlign w:val="center"/>
          </w:tcPr>
          <w:p w14:paraId="57A0804A">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20</w:t>
            </w:r>
          </w:p>
        </w:tc>
        <w:tc>
          <w:tcPr>
            <w:tcW w:w="613" w:type="pct"/>
            <w:vAlign w:val="center"/>
          </w:tcPr>
          <w:p w14:paraId="4EA0B8F6">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26.67</w:t>
            </w:r>
          </w:p>
        </w:tc>
        <w:tc>
          <w:tcPr>
            <w:tcW w:w="636" w:type="pct"/>
            <w:vAlign w:val="center"/>
          </w:tcPr>
          <w:p w14:paraId="2171240B">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4.78</w:t>
            </w:r>
          </w:p>
        </w:tc>
        <w:tc>
          <w:tcPr>
            <w:tcW w:w="583" w:type="pct"/>
            <w:vAlign w:val="center"/>
          </w:tcPr>
          <w:p w14:paraId="73B6F88E">
            <w:pPr>
              <w:pStyle w:val="44"/>
              <w:bidi w:val="0"/>
              <w:jc w:val="center"/>
              <w:rPr>
                <w:rFonts w:hint="default" w:ascii="Times New Roman" w:hAnsi="Times New Roman" w:cs="Times New Roman"/>
                <w:color w:val="auto"/>
              </w:rPr>
            </w:pPr>
            <w:r>
              <w:rPr>
                <w:rFonts w:hint="default" w:ascii="Times New Roman" w:hAnsi="Times New Roman" w:cs="Times New Roman"/>
                <w:color w:val="auto"/>
              </w:rPr>
              <w:t>100%</w:t>
            </w:r>
          </w:p>
        </w:tc>
        <w:tc>
          <w:tcPr>
            <w:tcW w:w="798" w:type="pct"/>
            <w:gridSpan w:val="2"/>
            <w:vAlign w:val="center"/>
          </w:tcPr>
          <w:p w14:paraId="331E4A74">
            <w:pPr>
              <w:pStyle w:val="44"/>
              <w:bidi w:val="0"/>
              <w:jc w:val="center"/>
              <w:rPr>
                <w:rFonts w:hint="default" w:ascii="Times New Roman" w:hAnsi="Times New Roman" w:cs="Times New Roman"/>
                <w:color w:val="auto"/>
              </w:rPr>
            </w:pPr>
            <w:r>
              <w:rPr>
                <w:rFonts w:hint="default" w:ascii="Times New Roman" w:hAnsi="Times New Roman" w:cs="Times New Roman"/>
                <w:color w:val="auto"/>
              </w:rPr>
              <w:t>0%</w:t>
            </w:r>
          </w:p>
        </w:tc>
      </w:tr>
      <w:tr w14:paraId="29F6C2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491E3BFA">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lang w:val="en-US" w:eastAsia="zh-CN"/>
              </w:rPr>
              <w:t>氯化物</w:t>
            </w:r>
          </w:p>
        </w:tc>
        <w:tc>
          <w:tcPr>
            <w:tcW w:w="731" w:type="pct"/>
            <w:vAlign w:val="center"/>
          </w:tcPr>
          <w:p w14:paraId="7B2D5F04">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7.0</w:t>
            </w:r>
          </w:p>
        </w:tc>
        <w:tc>
          <w:tcPr>
            <w:tcW w:w="665" w:type="pct"/>
            <w:vAlign w:val="center"/>
          </w:tcPr>
          <w:p w14:paraId="1E6A74F5">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6.5</w:t>
            </w:r>
          </w:p>
        </w:tc>
        <w:tc>
          <w:tcPr>
            <w:tcW w:w="613" w:type="pct"/>
            <w:vAlign w:val="center"/>
          </w:tcPr>
          <w:p w14:paraId="7B396BB3">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6.77</w:t>
            </w:r>
          </w:p>
        </w:tc>
        <w:tc>
          <w:tcPr>
            <w:tcW w:w="636" w:type="pct"/>
            <w:vAlign w:val="center"/>
          </w:tcPr>
          <w:p w14:paraId="54ECA3E2">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0.21</w:t>
            </w:r>
          </w:p>
        </w:tc>
        <w:tc>
          <w:tcPr>
            <w:tcW w:w="583" w:type="pct"/>
            <w:vAlign w:val="center"/>
          </w:tcPr>
          <w:p w14:paraId="390E3C5B">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10</w:t>
            </w:r>
            <w:r>
              <w:rPr>
                <w:rFonts w:hint="default" w:ascii="Times New Roman" w:hAnsi="Times New Roman" w:cs="Times New Roman"/>
                <w:color w:val="auto"/>
              </w:rPr>
              <w:t>0%</w:t>
            </w:r>
          </w:p>
        </w:tc>
        <w:tc>
          <w:tcPr>
            <w:tcW w:w="798" w:type="pct"/>
            <w:gridSpan w:val="2"/>
            <w:vAlign w:val="center"/>
          </w:tcPr>
          <w:p w14:paraId="6F2B0794">
            <w:pPr>
              <w:pStyle w:val="44"/>
              <w:bidi w:val="0"/>
              <w:jc w:val="center"/>
              <w:rPr>
                <w:rFonts w:hint="default" w:ascii="Times New Roman" w:hAnsi="Times New Roman" w:cs="Times New Roman"/>
                <w:color w:val="auto"/>
              </w:rPr>
            </w:pPr>
            <w:r>
              <w:rPr>
                <w:rFonts w:hint="default" w:ascii="Times New Roman" w:hAnsi="Times New Roman" w:cs="Times New Roman"/>
                <w:color w:val="auto"/>
              </w:rPr>
              <w:t>0%</w:t>
            </w:r>
          </w:p>
        </w:tc>
      </w:tr>
      <w:tr w14:paraId="2C481B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4C69F9C0">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lang w:val="en-US" w:eastAsia="zh-CN"/>
              </w:rPr>
              <w:t>总大肠菌群</w:t>
            </w:r>
          </w:p>
        </w:tc>
        <w:tc>
          <w:tcPr>
            <w:tcW w:w="1247" w:type="dxa"/>
            <w:vAlign w:val="center"/>
          </w:tcPr>
          <w:p w14:paraId="7AF76010">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﹤2</w:t>
            </w:r>
          </w:p>
        </w:tc>
        <w:tc>
          <w:tcPr>
            <w:tcW w:w="1134" w:type="dxa"/>
            <w:vAlign w:val="center"/>
          </w:tcPr>
          <w:p w14:paraId="132BD6E3">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﹤2</w:t>
            </w:r>
          </w:p>
        </w:tc>
        <w:tc>
          <w:tcPr>
            <w:tcW w:w="1045" w:type="dxa"/>
            <w:vAlign w:val="center"/>
          </w:tcPr>
          <w:p w14:paraId="10977B93">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﹤2</w:t>
            </w:r>
          </w:p>
        </w:tc>
        <w:tc>
          <w:tcPr>
            <w:tcW w:w="636" w:type="pct"/>
            <w:vAlign w:val="center"/>
          </w:tcPr>
          <w:p w14:paraId="0D1BA2C8">
            <w:pPr>
              <w:pStyle w:val="44"/>
              <w:bidi w:val="0"/>
              <w:jc w:val="center"/>
              <w:rPr>
                <w:rFonts w:hint="default" w:ascii="Times New Roman" w:hAnsi="Times New Roman" w:cs="Times New Roman"/>
                <w:color w:val="auto"/>
              </w:rPr>
            </w:pPr>
            <w:r>
              <w:rPr>
                <w:rFonts w:hint="default" w:ascii="Times New Roman" w:hAnsi="Times New Roman" w:cs="Times New Roman"/>
                <w:color w:val="auto"/>
              </w:rPr>
              <w:t>1.25</w:t>
            </w:r>
          </w:p>
        </w:tc>
        <w:tc>
          <w:tcPr>
            <w:tcW w:w="583" w:type="pct"/>
            <w:vAlign w:val="center"/>
          </w:tcPr>
          <w:p w14:paraId="678F5E66">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100</w:t>
            </w:r>
            <w:r>
              <w:rPr>
                <w:rFonts w:hint="default" w:ascii="Times New Roman" w:hAnsi="Times New Roman" w:cs="Times New Roman"/>
                <w:color w:val="auto"/>
              </w:rPr>
              <w:t>%</w:t>
            </w:r>
          </w:p>
        </w:tc>
        <w:tc>
          <w:tcPr>
            <w:tcW w:w="798" w:type="pct"/>
            <w:gridSpan w:val="2"/>
            <w:vAlign w:val="center"/>
          </w:tcPr>
          <w:p w14:paraId="57C4B96A">
            <w:pPr>
              <w:pStyle w:val="44"/>
              <w:bidi w:val="0"/>
              <w:jc w:val="center"/>
              <w:rPr>
                <w:rFonts w:hint="default" w:ascii="Times New Roman" w:hAnsi="Times New Roman" w:cs="Times New Roman"/>
                <w:color w:val="auto"/>
              </w:rPr>
            </w:pPr>
            <w:r>
              <w:rPr>
                <w:rFonts w:hint="default" w:ascii="Times New Roman" w:hAnsi="Times New Roman" w:cs="Times New Roman"/>
                <w:color w:val="auto"/>
              </w:rPr>
              <w:t>0%</w:t>
            </w:r>
          </w:p>
        </w:tc>
      </w:tr>
      <w:tr w14:paraId="1C5665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78A53C9A">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lang w:val="en-US" w:eastAsia="zh-CN"/>
              </w:rPr>
              <w:t>菌落总数</w:t>
            </w:r>
          </w:p>
        </w:tc>
        <w:tc>
          <w:tcPr>
            <w:tcW w:w="731" w:type="pct"/>
            <w:vAlign w:val="center"/>
          </w:tcPr>
          <w:p w14:paraId="1ABC1F8C">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75</w:t>
            </w:r>
          </w:p>
        </w:tc>
        <w:tc>
          <w:tcPr>
            <w:tcW w:w="665" w:type="pct"/>
            <w:vAlign w:val="center"/>
          </w:tcPr>
          <w:p w14:paraId="1989303B">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48</w:t>
            </w:r>
          </w:p>
        </w:tc>
        <w:tc>
          <w:tcPr>
            <w:tcW w:w="613" w:type="pct"/>
            <w:vAlign w:val="center"/>
          </w:tcPr>
          <w:p w14:paraId="43E028BB">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61.67</w:t>
            </w:r>
          </w:p>
        </w:tc>
        <w:tc>
          <w:tcPr>
            <w:tcW w:w="636" w:type="pct"/>
            <w:vAlign w:val="center"/>
          </w:tcPr>
          <w:p w14:paraId="5D9CE4D0">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11.03</w:t>
            </w:r>
          </w:p>
        </w:tc>
        <w:tc>
          <w:tcPr>
            <w:tcW w:w="583" w:type="pct"/>
            <w:vAlign w:val="center"/>
          </w:tcPr>
          <w:p w14:paraId="2BC16BE7">
            <w:pPr>
              <w:pStyle w:val="44"/>
              <w:bidi w:val="0"/>
              <w:jc w:val="center"/>
              <w:rPr>
                <w:rFonts w:hint="default" w:ascii="Times New Roman" w:hAnsi="Times New Roman" w:cs="Times New Roman"/>
                <w:color w:val="auto"/>
              </w:rPr>
            </w:pPr>
            <w:r>
              <w:rPr>
                <w:rFonts w:hint="default" w:ascii="Times New Roman" w:hAnsi="Times New Roman" w:cs="Times New Roman"/>
                <w:color w:val="auto"/>
              </w:rPr>
              <w:t>100%</w:t>
            </w:r>
          </w:p>
        </w:tc>
        <w:tc>
          <w:tcPr>
            <w:tcW w:w="798" w:type="pct"/>
            <w:gridSpan w:val="2"/>
            <w:vAlign w:val="center"/>
          </w:tcPr>
          <w:p w14:paraId="37FA5BEA">
            <w:pPr>
              <w:pStyle w:val="44"/>
              <w:bidi w:val="0"/>
              <w:jc w:val="center"/>
              <w:rPr>
                <w:rFonts w:hint="default" w:ascii="Times New Roman" w:hAnsi="Times New Roman" w:cs="Times New Roman"/>
                <w:color w:val="auto"/>
              </w:rPr>
            </w:pPr>
            <w:r>
              <w:rPr>
                <w:rFonts w:hint="default" w:ascii="Times New Roman" w:hAnsi="Times New Roman" w:cs="Times New Roman"/>
                <w:color w:val="auto"/>
              </w:rPr>
              <w:t>100%</w:t>
            </w:r>
          </w:p>
        </w:tc>
      </w:tr>
    </w:tbl>
    <w:p w14:paraId="0003DF7D">
      <w:pPr>
        <w:pStyle w:val="27"/>
        <w:bidi w:val="0"/>
        <w:rPr>
          <w:rFonts w:hint="default" w:ascii="Times New Roman" w:hAnsi="Times New Roman" w:cs="Times New Roman"/>
          <w:color w:val="auto"/>
        </w:rPr>
      </w:pPr>
      <w:r>
        <w:rPr>
          <w:rFonts w:hint="default" w:ascii="Times New Roman" w:hAnsi="Times New Roman" w:cs="Times New Roman"/>
          <w:color w:val="auto"/>
        </w:rPr>
        <w:t>表4-2-8地下水监测评价成果表（p值）</w:t>
      </w:r>
    </w:p>
    <w:tbl>
      <w:tblPr>
        <w:tblStyle w:val="20"/>
        <w:tblW w:w="4998"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0" w:type="dxa"/>
          <w:bottom w:w="0" w:type="dxa"/>
          <w:right w:w="0" w:type="dxa"/>
        </w:tblCellMar>
      </w:tblPr>
      <w:tblGrid>
        <w:gridCol w:w="1575"/>
        <w:gridCol w:w="1568"/>
        <w:gridCol w:w="1573"/>
        <w:gridCol w:w="1725"/>
        <w:gridCol w:w="1862"/>
      </w:tblGrid>
      <w:tr w14:paraId="5A9D56F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19" w:hRule="atLeast"/>
          <w:jc w:val="center"/>
        </w:trPr>
        <w:tc>
          <w:tcPr>
            <w:tcW w:w="949" w:type="pct"/>
            <w:vMerge w:val="restart"/>
            <w:vAlign w:val="center"/>
          </w:tcPr>
          <w:p w14:paraId="0768C608">
            <w:pPr>
              <w:pStyle w:val="44"/>
              <w:bidi w:val="0"/>
              <w:rPr>
                <w:rFonts w:hint="default" w:ascii="Times New Roman" w:hAnsi="Times New Roman" w:cs="Times New Roman"/>
                <w:color w:val="auto"/>
              </w:rPr>
            </w:pPr>
            <w:r>
              <w:rPr>
                <w:rFonts w:hint="default" w:ascii="Times New Roman" w:hAnsi="Times New Roman" w:cs="Times New Roman"/>
                <w:color w:val="auto"/>
              </w:rPr>
              <w:t>评价因子</w:t>
            </w:r>
          </w:p>
        </w:tc>
        <w:tc>
          <w:tcPr>
            <w:tcW w:w="2930" w:type="pct"/>
            <w:gridSpan w:val="3"/>
            <w:vAlign w:val="center"/>
          </w:tcPr>
          <w:p w14:paraId="3E9A7CBB">
            <w:pPr>
              <w:pStyle w:val="44"/>
              <w:bidi w:val="0"/>
              <w:rPr>
                <w:rFonts w:hint="default" w:ascii="Times New Roman" w:hAnsi="Times New Roman" w:cs="Times New Roman"/>
                <w:color w:val="auto"/>
              </w:rPr>
            </w:pPr>
            <w:r>
              <w:rPr>
                <w:rFonts w:hint="default" w:ascii="Times New Roman" w:hAnsi="Times New Roman" w:cs="Times New Roman"/>
                <w:color w:val="auto"/>
              </w:rPr>
              <w:t>监测点位</w:t>
            </w:r>
          </w:p>
        </w:tc>
        <w:tc>
          <w:tcPr>
            <w:tcW w:w="1120" w:type="pct"/>
            <w:vMerge w:val="restart"/>
            <w:vAlign w:val="center"/>
          </w:tcPr>
          <w:p w14:paraId="41E832BD">
            <w:pPr>
              <w:pStyle w:val="44"/>
              <w:bidi w:val="0"/>
              <w:rPr>
                <w:rFonts w:hint="default" w:ascii="Times New Roman" w:hAnsi="Times New Roman" w:cs="Times New Roman"/>
                <w:color w:val="auto"/>
              </w:rPr>
            </w:pPr>
            <w:r>
              <w:rPr>
                <w:rFonts w:hint="default" w:ascii="Times New Roman" w:hAnsi="Times New Roman" w:cs="Times New Roman"/>
                <w:color w:val="auto"/>
              </w:rPr>
              <w:t>标准值（mg/L）</w:t>
            </w:r>
          </w:p>
        </w:tc>
      </w:tr>
      <w:tr w14:paraId="2CC16BB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141" w:hRule="atLeast"/>
          <w:jc w:val="center"/>
        </w:trPr>
        <w:tc>
          <w:tcPr>
            <w:tcW w:w="949" w:type="pct"/>
            <w:vMerge w:val="continue"/>
            <w:vAlign w:val="center"/>
          </w:tcPr>
          <w:p w14:paraId="2E12C8D5">
            <w:pPr>
              <w:pStyle w:val="44"/>
              <w:bidi w:val="0"/>
              <w:rPr>
                <w:rFonts w:hint="default" w:ascii="Times New Roman" w:hAnsi="Times New Roman" w:cs="Times New Roman"/>
                <w:color w:val="auto"/>
              </w:rPr>
            </w:pPr>
          </w:p>
        </w:tc>
        <w:tc>
          <w:tcPr>
            <w:tcW w:w="944" w:type="pct"/>
            <w:vAlign w:val="center"/>
          </w:tcPr>
          <w:p w14:paraId="25E847A6">
            <w:pPr>
              <w:pStyle w:val="44"/>
              <w:bidi w:val="0"/>
              <w:rPr>
                <w:rFonts w:hint="default" w:ascii="Times New Roman" w:hAnsi="Times New Roman" w:cs="Times New Roman"/>
                <w:color w:val="auto"/>
              </w:rPr>
            </w:pPr>
            <w:r>
              <w:rPr>
                <w:rFonts w:hint="default" w:ascii="Times New Roman" w:hAnsi="Times New Roman" w:cs="Times New Roman"/>
                <w:color w:val="auto"/>
              </w:rPr>
              <w:t>★01</w:t>
            </w:r>
          </w:p>
        </w:tc>
        <w:tc>
          <w:tcPr>
            <w:tcW w:w="947" w:type="pct"/>
            <w:vAlign w:val="center"/>
          </w:tcPr>
          <w:p w14:paraId="5182A295">
            <w:pPr>
              <w:pStyle w:val="44"/>
              <w:bidi w:val="0"/>
              <w:rPr>
                <w:rFonts w:hint="default" w:ascii="Times New Roman" w:hAnsi="Times New Roman" w:cs="Times New Roman"/>
                <w:color w:val="auto"/>
              </w:rPr>
            </w:pPr>
            <w:r>
              <w:rPr>
                <w:rFonts w:hint="default" w:ascii="Times New Roman" w:hAnsi="Times New Roman" w:cs="Times New Roman"/>
                <w:color w:val="auto"/>
              </w:rPr>
              <w:t>★02</w:t>
            </w:r>
          </w:p>
        </w:tc>
        <w:tc>
          <w:tcPr>
            <w:tcW w:w="1038" w:type="pct"/>
            <w:vAlign w:val="center"/>
          </w:tcPr>
          <w:p w14:paraId="2AB8FE09">
            <w:pPr>
              <w:pStyle w:val="44"/>
              <w:bidi w:val="0"/>
              <w:rPr>
                <w:rFonts w:hint="default" w:ascii="Times New Roman" w:hAnsi="Times New Roman" w:cs="Times New Roman"/>
                <w:color w:val="auto"/>
              </w:rPr>
            </w:pPr>
            <w:r>
              <w:rPr>
                <w:rFonts w:hint="default" w:ascii="Times New Roman" w:hAnsi="Times New Roman" w:cs="Times New Roman"/>
                <w:color w:val="auto"/>
              </w:rPr>
              <w:t>★03</w:t>
            </w:r>
          </w:p>
        </w:tc>
        <w:tc>
          <w:tcPr>
            <w:tcW w:w="1120" w:type="pct"/>
            <w:vMerge w:val="continue"/>
            <w:vAlign w:val="center"/>
          </w:tcPr>
          <w:p w14:paraId="2C56FADF">
            <w:pPr>
              <w:pStyle w:val="44"/>
              <w:bidi w:val="0"/>
              <w:rPr>
                <w:rFonts w:hint="default" w:ascii="Times New Roman" w:hAnsi="Times New Roman" w:cs="Times New Roman"/>
                <w:color w:val="auto"/>
              </w:rPr>
            </w:pPr>
          </w:p>
        </w:tc>
      </w:tr>
      <w:tr w14:paraId="166CB0C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141" w:hRule="atLeast"/>
          <w:jc w:val="center"/>
        </w:trPr>
        <w:tc>
          <w:tcPr>
            <w:tcW w:w="949" w:type="pct"/>
            <w:vAlign w:val="center"/>
          </w:tcPr>
          <w:p w14:paraId="3E6A79E8">
            <w:pPr>
              <w:pStyle w:val="44"/>
              <w:bidi w:val="0"/>
              <w:rPr>
                <w:rFonts w:hint="default" w:ascii="Times New Roman" w:hAnsi="Times New Roman" w:cs="Times New Roman"/>
                <w:color w:val="auto"/>
              </w:rPr>
            </w:pPr>
            <w:r>
              <w:rPr>
                <w:rFonts w:hint="default" w:ascii="Times New Roman" w:hAnsi="Times New Roman" w:cs="Times New Roman"/>
                <w:color w:val="auto"/>
              </w:rPr>
              <w:t>pH（无量纲）</w:t>
            </w:r>
          </w:p>
        </w:tc>
        <w:tc>
          <w:tcPr>
            <w:tcW w:w="944" w:type="pct"/>
            <w:vAlign w:val="bottom"/>
          </w:tcPr>
          <w:p w14:paraId="4E112033">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0.</w:t>
            </w:r>
            <w:r>
              <w:rPr>
                <w:rFonts w:hint="default" w:ascii="Times New Roman" w:hAnsi="Times New Roman" w:cs="Times New Roman"/>
                <w:color w:val="auto"/>
                <w:lang w:val="en-US" w:eastAsia="zh-CN"/>
              </w:rPr>
              <w:t>27</w:t>
            </w:r>
          </w:p>
        </w:tc>
        <w:tc>
          <w:tcPr>
            <w:tcW w:w="947" w:type="pct"/>
            <w:vAlign w:val="bottom"/>
          </w:tcPr>
          <w:p w14:paraId="1277A9D2">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0.</w:t>
            </w:r>
            <w:r>
              <w:rPr>
                <w:rFonts w:hint="default" w:ascii="Times New Roman" w:hAnsi="Times New Roman" w:cs="Times New Roman"/>
                <w:color w:val="auto"/>
                <w:lang w:val="en-US" w:eastAsia="zh-CN"/>
              </w:rPr>
              <w:t>33</w:t>
            </w:r>
          </w:p>
        </w:tc>
        <w:tc>
          <w:tcPr>
            <w:tcW w:w="1038" w:type="pct"/>
            <w:vAlign w:val="bottom"/>
          </w:tcPr>
          <w:p w14:paraId="0E6DF2BD">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0.</w:t>
            </w:r>
            <w:r>
              <w:rPr>
                <w:rFonts w:hint="default" w:ascii="Times New Roman" w:hAnsi="Times New Roman" w:cs="Times New Roman"/>
                <w:color w:val="auto"/>
                <w:lang w:val="en-US" w:eastAsia="zh-CN"/>
              </w:rPr>
              <w:t>27</w:t>
            </w:r>
          </w:p>
        </w:tc>
        <w:tc>
          <w:tcPr>
            <w:tcW w:w="1120" w:type="pct"/>
            <w:vAlign w:val="center"/>
          </w:tcPr>
          <w:p w14:paraId="33FE80F1">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6.5-8.5</w:t>
            </w:r>
          </w:p>
        </w:tc>
      </w:tr>
      <w:tr w14:paraId="41EBD22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5" w:hRule="atLeast"/>
          <w:jc w:val="center"/>
        </w:trPr>
        <w:tc>
          <w:tcPr>
            <w:tcW w:w="949" w:type="pct"/>
            <w:vAlign w:val="center"/>
          </w:tcPr>
          <w:p w14:paraId="4B9DDD84">
            <w:pPr>
              <w:pStyle w:val="44"/>
              <w:bidi w:val="0"/>
              <w:rPr>
                <w:rFonts w:hint="default" w:ascii="Times New Roman" w:hAnsi="Times New Roman" w:cs="Times New Roman"/>
                <w:color w:val="auto"/>
              </w:rPr>
            </w:pPr>
            <w:r>
              <w:rPr>
                <w:rFonts w:hint="default" w:ascii="Times New Roman" w:hAnsi="Times New Roman" w:cs="Times New Roman"/>
                <w:color w:val="auto"/>
              </w:rPr>
              <w:t>氨氮</w:t>
            </w:r>
          </w:p>
        </w:tc>
        <w:tc>
          <w:tcPr>
            <w:tcW w:w="944" w:type="pct"/>
            <w:vAlign w:val="center"/>
          </w:tcPr>
          <w:p w14:paraId="2207759B">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0.832</w:t>
            </w:r>
          </w:p>
        </w:tc>
        <w:tc>
          <w:tcPr>
            <w:tcW w:w="947" w:type="pct"/>
            <w:vAlign w:val="center"/>
          </w:tcPr>
          <w:p w14:paraId="2A5D7E6C">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0.594</w:t>
            </w:r>
          </w:p>
        </w:tc>
        <w:tc>
          <w:tcPr>
            <w:tcW w:w="1038" w:type="pct"/>
            <w:vAlign w:val="center"/>
          </w:tcPr>
          <w:p w14:paraId="1C349FE0">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0.588</w:t>
            </w:r>
            <w:r>
              <w:rPr>
                <w:rFonts w:hint="default" w:ascii="Times New Roman" w:hAnsi="Times New Roman" w:cs="Times New Roman"/>
                <w:color w:val="auto"/>
              </w:rPr>
              <w:t xml:space="preserve"> </w:t>
            </w:r>
          </w:p>
        </w:tc>
        <w:tc>
          <w:tcPr>
            <w:tcW w:w="1120" w:type="pct"/>
            <w:vAlign w:val="center"/>
          </w:tcPr>
          <w:p w14:paraId="3E558306">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0.</w:t>
            </w:r>
            <w:r>
              <w:rPr>
                <w:rFonts w:hint="default" w:ascii="Times New Roman" w:hAnsi="Times New Roman" w:cs="Times New Roman"/>
                <w:color w:val="auto"/>
                <w:lang w:val="en-US" w:eastAsia="zh-CN"/>
              </w:rPr>
              <w:t>5</w:t>
            </w:r>
          </w:p>
        </w:tc>
      </w:tr>
      <w:tr w14:paraId="56F39E7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174" w:hRule="atLeast"/>
          <w:jc w:val="center"/>
        </w:trPr>
        <w:tc>
          <w:tcPr>
            <w:tcW w:w="949" w:type="pct"/>
            <w:vAlign w:val="top"/>
          </w:tcPr>
          <w:p w14:paraId="4F89F444">
            <w:pPr>
              <w:pStyle w:val="44"/>
              <w:bidi w:val="0"/>
              <w:rPr>
                <w:rFonts w:hint="default" w:ascii="Times New Roman" w:hAnsi="Times New Roman" w:cs="Times New Roman"/>
                <w:color w:val="auto"/>
              </w:rPr>
            </w:pPr>
            <w:r>
              <w:rPr>
                <w:rFonts w:hint="default" w:ascii="Times New Roman" w:hAnsi="Times New Roman" w:cs="Times New Roman"/>
                <w:color w:val="auto"/>
              </w:rPr>
              <w:t>挥发酚</w:t>
            </w:r>
          </w:p>
        </w:tc>
        <w:tc>
          <w:tcPr>
            <w:tcW w:w="1569" w:type="dxa"/>
            <w:vAlign w:val="center"/>
          </w:tcPr>
          <w:p w14:paraId="415F4FC5">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0.0003L</w:t>
            </w:r>
          </w:p>
        </w:tc>
        <w:tc>
          <w:tcPr>
            <w:tcW w:w="1573" w:type="dxa"/>
            <w:vAlign w:val="center"/>
          </w:tcPr>
          <w:p w14:paraId="07A083F1">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0.0003L</w:t>
            </w:r>
          </w:p>
        </w:tc>
        <w:tc>
          <w:tcPr>
            <w:tcW w:w="1725" w:type="dxa"/>
            <w:vAlign w:val="center"/>
          </w:tcPr>
          <w:p w14:paraId="631110D5">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0.0003L</w:t>
            </w:r>
          </w:p>
        </w:tc>
        <w:tc>
          <w:tcPr>
            <w:tcW w:w="1120" w:type="pct"/>
            <w:vAlign w:val="center"/>
          </w:tcPr>
          <w:p w14:paraId="4AFEA7BB">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0.</w:t>
            </w:r>
            <w:r>
              <w:rPr>
                <w:rFonts w:hint="default" w:ascii="Times New Roman" w:hAnsi="Times New Roman" w:cs="Times New Roman"/>
                <w:color w:val="auto"/>
                <w:lang w:val="en-US" w:eastAsia="zh-CN"/>
              </w:rPr>
              <w:t>002</w:t>
            </w:r>
          </w:p>
        </w:tc>
      </w:tr>
      <w:tr w14:paraId="5399A18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0" w:hRule="atLeast"/>
          <w:jc w:val="center"/>
        </w:trPr>
        <w:tc>
          <w:tcPr>
            <w:tcW w:w="949" w:type="pct"/>
            <w:vAlign w:val="top"/>
          </w:tcPr>
          <w:p w14:paraId="501DB093">
            <w:pPr>
              <w:pStyle w:val="44"/>
              <w:bidi w:val="0"/>
              <w:rPr>
                <w:rFonts w:hint="default" w:ascii="Times New Roman" w:hAnsi="Times New Roman" w:cs="Times New Roman"/>
                <w:color w:val="auto"/>
              </w:rPr>
            </w:pPr>
            <w:r>
              <w:rPr>
                <w:rFonts w:hint="default" w:ascii="Times New Roman" w:hAnsi="Times New Roman" w:cs="Times New Roman"/>
                <w:color w:val="auto"/>
              </w:rPr>
              <w:t>硝酸盐</w:t>
            </w:r>
          </w:p>
        </w:tc>
        <w:tc>
          <w:tcPr>
            <w:tcW w:w="944" w:type="pct"/>
            <w:vAlign w:val="center"/>
          </w:tcPr>
          <w:p w14:paraId="57342595">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0.</w:t>
            </w:r>
            <w:r>
              <w:rPr>
                <w:rFonts w:hint="default" w:ascii="Times New Roman" w:hAnsi="Times New Roman" w:cs="Times New Roman"/>
                <w:color w:val="auto"/>
                <w:lang w:val="en-US" w:eastAsia="zh-CN"/>
              </w:rPr>
              <w:t>185</w:t>
            </w:r>
          </w:p>
        </w:tc>
        <w:tc>
          <w:tcPr>
            <w:tcW w:w="947" w:type="pct"/>
            <w:vAlign w:val="center"/>
          </w:tcPr>
          <w:p w14:paraId="73B751E5">
            <w:pPr>
              <w:pStyle w:val="44"/>
              <w:bidi w:val="0"/>
              <w:rPr>
                <w:rFonts w:hint="default" w:ascii="Times New Roman" w:hAnsi="Times New Roman" w:cs="Times New Roman"/>
                <w:color w:val="auto"/>
              </w:rPr>
            </w:pPr>
            <w:r>
              <w:rPr>
                <w:rFonts w:hint="default" w:ascii="Times New Roman" w:hAnsi="Times New Roman" w:cs="Times New Roman"/>
                <w:color w:val="auto"/>
              </w:rPr>
              <w:t>0.</w:t>
            </w:r>
            <w:r>
              <w:rPr>
                <w:rFonts w:hint="default" w:ascii="Times New Roman" w:hAnsi="Times New Roman" w:cs="Times New Roman"/>
                <w:color w:val="auto"/>
                <w:lang w:val="en-US" w:eastAsia="zh-CN"/>
              </w:rPr>
              <w:t>19</w:t>
            </w:r>
            <w:r>
              <w:rPr>
                <w:rFonts w:hint="default" w:ascii="Times New Roman" w:hAnsi="Times New Roman" w:cs="Times New Roman"/>
                <w:color w:val="auto"/>
              </w:rPr>
              <w:t xml:space="preserve"> </w:t>
            </w:r>
          </w:p>
        </w:tc>
        <w:tc>
          <w:tcPr>
            <w:tcW w:w="1038" w:type="pct"/>
            <w:vAlign w:val="center"/>
          </w:tcPr>
          <w:p w14:paraId="2C588CDD">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0.</w:t>
            </w:r>
            <w:r>
              <w:rPr>
                <w:rFonts w:hint="default" w:ascii="Times New Roman" w:hAnsi="Times New Roman" w:cs="Times New Roman"/>
                <w:color w:val="auto"/>
                <w:lang w:val="en-US" w:eastAsia="zh-CN"/>
              </w:rPr>
              <w:t>191</w:t>
            </w:r>
          </w:p>
        </w:tc>
        <w:tc>
          <w:tcPr>
            <w:tcW w:w="1120" w:type="pct"/>
            <w:vAlign w:val="center"/>
          </w:tcPr>
          <w:p w14:paraId="4BBA9486">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20</w:t>
            </w:r>
          </w:p>
        </w:tc>
      </w:tr>
      <w:tr w14:paraId="6016729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56" w:hRule="atLeast"/>
          <w:jc w:val="center"/>
        </w:trPr>
        <w:tc>
          <w:tcPr>
            <w:tcW w:w="949" w:type="pct"/>
            <w:vAlign w:val="top"/>
          </w:tcPr>
          <w:p w14:paraId="57DA068B">
            <w:pPr>
              <w:pStyle w:val="44"/>
              <w:bidi w:val="0"/>
              <w:rPr>
                <w:rFonts w:hint="default" w:ascii="Times New Roman" w:hAnsi="Times New Roman" w:cs="Times New Roman"/>
                <w:color w:val="auto"/>
              </w:rPr>
            </w:pPr>
            <w:r>
              <w:rPr>
                <w:rFonts w:hint="default" w:ascii="Times New Roman" w:hAnsi="Times New Roman" w:cs="Times New Roman"/>
                <w:color w:val="auto"/>
              </w:rPr>
              <w:t>亚硝酸盐</w:t>
            </w:r>
          </w:p>
        </w:tc>
        <w:tc>
          <w:tcPr>
            <w:tcW w:w="1569" w:type="dxa"/>
            <w:vAlign w:val="center"/>
          </w:tcPr>
          <w:p w14:paraId="48A7828A">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0.001L</w:t>
            </w:r>
          </w:p>
        </w:tc>
        <w:tc>
          <w:tcPr>
            <w:tcW w:w="1573" w:type="dxa"/>
            <w:vAlign w:val="center"/>
          </w:tcPr>
          <w:p w14:paraId="54EF758B">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0.001L</w:t>
            </w:r>
          </w:p>
        </w:tc>
        <w:tc>
          <w:tcPr>
            <w:tcW w:w="1725" w:type="dxa"/>
            <w:vAlign w:val="center"/>
          </w:tcPr>
          <w:p w14:paraId="05F3642E">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0.001L</w:t>
            </w:r>
          </w:p>
        </w:tc>
        <w:tc>
          <w:tcPr>
            <w:tcW w:w="1120" w:type="pct"/>
            <w:vAlign w:val="center"/>
          </w:tcPr>
          <w:p w14:paraId="75079C42">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1.0</w:t>
            </w:r>
          </w:p>
        </w:tc>
      </w:tr>
      <w:tr w14:paraId="02A761A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201" w:hRule="atLeast"/>
          <w:jc w:val="center"/>
        </w:trPr>
        <w:tc>
          <w:tcPr>
            <w:tcW w:w="949" w:type="pct"/>
            <w:vAlign w:val="top"/>
          </w:tcPr>
          <w:p w14:paraId="00938157">
            <w:pPr>
              <w:pStyle w:val="44"/>
              <w:bidi w:val="0"/>
              <w:rPr>
                <w:rFonts w:hint="default" w:ascii="Times New Roman" w:hAnsi="Times New Roman" w:cs="Times New Roman"/>
                <w:color w:val="auto"/>
              </w:rPr>
            </w:pPr>
            <w:r>
              <w:rPr>
                <w:rFonts w:hint="default" w:ascii="Times New Roman" w:hAnsi="Times New Roman" w:cs="Times New Roman"/>
                <w:color w:val="auto"/>
              </w:rPr>
              <w:t>氰化物</w:t>
            </w:r>
          </w:p>
        </w:tc>
        <w:tc>
          <w:tcPr>
            <w:tcW w:w="1569" w:type="dxa"/>
            <w:vAlign w:val="center"/>
          </w:tcPr>
          <w:p w14:paraId="2D24F2DD">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0.002L</w:t>
            </w:r>
          </w:p>
        </w:tc>
        <w:tc>
          <w:tcPr>
            <w:tcW w:w="1573" w:type="dxa"/>
            <w:vAlign w:val="center"/>
          </w:tcPr>
          <w:p w14:paraId="4AB94C3A">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0.002L</w:t>
            </w:r>
          </w:p>
        </w:tc>
        <w:tc>
          <w:tcPr>
            <w:tcW w:w="1725" w:type="dxa"/>
            <w:vAlign w:val="center"/>
          </w:tcPr>
          <w:p w14:paraId="409A71B0">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0.002L</w:t>
            </w:r>
          </w:p>
        </w:tc>
        <w:tc>
          <w:tcPr>
            <w:tcW w:w="1120" w:type="pct"/>
            <w:vAlign w:val="center"/>
          </w:tcPr>
          <w:p w14:paraId="3FEBE730">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0.05</w:t>
            </w:r>
          </w:p>
        </w:tc>
      </w:tr>
      <w:tr w14:paraId="7AFDD93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182" w:hRule="atLeast"/>
          <w:jc w:val="center"/>
        </w:trPr>
        <w:tc>
          <w:tcPr>
            <w:tcW w:w="949" w:type="pct"/>
            <w:vAlign w:val="top"/>
          </w:tcPr>
          <w:p w14:paraId="007D4F94">
            <w:pPr>
              <w:pStyle w:val="44"/>
              <w:bidi w:val="0"/>
              <w:rPr>
                <w:rFonts w:hint="default" w:ascii="Times New Roman" w:hAnsi="Times New Roman" w:cs="Times New Roman"/>
                <w:color w:val="auto"/>
              </w:rPr>
            </w:pPr>
            <w:r>
              <w:rPr>
                <w:rFonts w:hint="default" w:ascii="Times New Roman" w:hAnsi="Times New Roman" w:cs="Times New Roman"/>
                <w:color w:val="auto"/>
              </w:rPr>
              <w:t>砷</w:t>
            </w:r>
          </w:p>
        </w:tc>
        <w:tc>
          <w:tcPr>
            <w:tcW w:w="1569" w:type="dxa"/>
            <w:vAlign w:val="center"/>
          </w:tcPr>
          <w:p w14:paraId="6B069CFF">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0.0003L</w:t>
            </w:r>
          </w:p>
        </w:tc>
        <w:tc>
          <w:tcPr>
            <w:tcW w:w="1573" w:type="dxa"/>
            <w:vAlign w:val="center"/>
          </w:tcPr>
          <w:p w14:paraId="20B89CDF">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0.0003L</w:t>
            </w:r>
          </w:p>
        </w:tc>
        <w:tc>
          <w:tcPr>
            <w:tcW w:w="1725" w:type="dxa"/>
            <w:vAlign w:val="center"/>
          </w:tcPr>
          <w:p w14:paraId="7DEAE699">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0.0003L</w:t>
            </w:r>
          </w:p>
        </w:tc>
        <w:tc>
          <w:tcPr>
            <w:tcW w:w="1120" w:type="pct"/>
            <w:vAlign w:val="center"/>
          </w:tcPr>
          <w:p w14:paraId="10136958">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0.01</w:t>
            </w:r>
          </w:p>
        </w:tc>
      </w:tr>
      <w:tr w14:paraId="184FD71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130" w:hRule="atLeast"/>
          <w:jc w:val="center"/>
        </w:trPr>
        <w:tc>
          <w:tcPr>
            <w:tcW w:w="949" w:type="pct"/>
            <w:vAlign w:val="top"/>
          </w:tcPr>
          <w:p w14:paraId="2BC0177A">
            <w:pPr>
              <w:pStyle w:val="44"/>
              <w:bidi w:val="0"/>
              <w:rPr>
                <w:rFonts w:hint="default" w:ascii="Times New Roman" w:hAnsi="Times New Roman" w:cs="Times New Roman"/>
                <w:color w:val="auto"/>
              </w:rPr>
            </w:pPr>
            <w:r>
              <w:rPr>
                <w:rFonts w:hint="default" w:ascii="Times New Roman" w:hAnsi="Times New Roman" w:cs="Times New Roman"/>
                <w:color w:val="auto"/>
              </w:rPr>
              <w:t>汞</w:t>
            </w:r>
          </w:p>
        </w:tc>
        <w:tc>
          <w:tcPr>
            <w:tcW w:w="1569" w:type="dxa"/>
            <w:vAlign w:val="center"/>
          </w:tcPr>
          <w:p w14:paraId="0E7B315B">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0.00004L</w:t>
            </w:r>
          </w:p>
        </w:tc>
        <w:tc>
          <w:tcPr>
            <w:tcW w:w="1573" w:type="dxa"/>
            <w:vAlign w:val="center"/>
          </w:tcPr>
          <w:p w14:paraId="560991E1">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0.00004L</w:t>
            </w:r>
          </w:p>
        </w:tc>
        <w:tc>
          <w:tcPr>
            <w:tcW w:w="1725" w:type="dxa"/>
            <w:vAlign w:val="center"/>
          </w:tcPr>
          <w:p w14:paraId="542F3A7B">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0.00004L</w:t>
            </w:r>
          </w:p>
        </w:tc>
        <w:tc>
          <w:tcPr>
            <w:tcW w:w="1120" w:type="pct"/>
            <w:vAlign w:val="center"/>
          </w:tcPr>
          <w:p w14:paraId="3DADDBBD">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0.00</w:t>
            </w:r>
            <w:r>
              <w:rPr>
                <w:rFonts w:hint="default" w:ascii="Times New Roman" w:hAnsi="Times New Roman" w:cs="Times New Roman"/>
                <w:color w:val="auto"/>
                <w:lang w:val="en-US" w:eastAsia="zh-CN"/>
              </w:rPr>
              <w:t>1</w:t>
            </w:r>
          </w:p>
        </w:tc>
      </w:tr>
      <w:tr w14:paraId="2E8F5C8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0" w:hRule="atLeast"/>
          <w:jc w:val="center"/>
        </w:trPr>
        <w:tc>
          <w:tcPr>
            <w:tcW w:w="949" w:type="pct"/>
            <w:vAlign w:val="top"/>
          </w:tcPr>
          <w:p w14:paraId="2780D62C">
            <w:pPr>
              <w:pStyle w:val="44"/>
              <w:bidi w:val="0"/>
              <w:rPr>
                <w:rFonts w:hint="default" w:ascii="Times New Roman" w:hAnsi="Times New Roman" w:cs="Times New Roman"/>
                <w:color w:val="auto"/>
              </w:rPr>
            </w:pPr>
            <w:r>
              <w:rPr>
                <w:rFonts w:hint="default" w:ascii="Times New Roman" w:hAnsi="Times New Roman" w:cs="Times New Roman"/>
                <w:color w:val="auto"/>
              </w:rPr>
              <w:t>六价铬</w:t>
            </w:r>
          </w:p>
        </w:tc>
        <w:tc>
          <w:tcPr>
            <w:tcW w:w="1569" w:type="dxa"/>
            <w:vAlign w:val="center"/>
          </w:tcPr>
          <w:p w14:paraId="52BE2633">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0.004L</w:t>
            </w:r>
          </w:p>
        </w:tc>
        <w:tc>
          <w:tcPr>
            <w:tcW w:w="1573" w:type="dxa"/>
            <w:vAlign w:val="center"/>
          </w:tcPr>
          <w:p w14:paraId="18C6C35C">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0.004L</w:t>
            </w:r>
          </w:p>
        </w:tc>
        <w:tc>
          <w:tcPr>
            <w:tcW w:w="1725" w:type="dxa"/>
            <w:vAlign w:val="center"/>
          </w:tcPr>
          <w:p w14:paraId="4FAC39D9">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0.004L</w:t>
            </w:r>
          </w:p>
        </w:tc>
        <w:tc>
          <w:tcPr>
            <w:tcW w:w="1120" w:type="pct"/>
            <w:vAlign w:val="center"/>
          </w:tcPr>
          <w:p w14:paraId="509DBC45">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0.05</w:t>
            </w:r>
          </w:p>
        </w:tc>
      </w:tr>
      <w:tr w14:paraId="2038BCB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59" w:hRule="atLeast"/>
          <w:jc w:val="center"/>
        </w:trPr>
        <w:tc>
          <w:tcPr>
            <w:tcW w:w="949" w:type="pct"/>
            <w:vAlign w:val="bottom"/>
          </w:tcPr>
          <w:p w14:paraId="015345FD">
            <w:pPr>
              <w:pStyle w:val="44"/>
              <w:bidi w:val="0"/>
              <w:rPr>
                <w:rFonts w:hint="default" w:ascii="Times New Roman" w:hAnsi="Times New Roman" w:cs="Times New Roman"/>
                <w:color w:val="auto"/>
              </w:rPr>
            </w:pPr>
            <w:r>
              <w:rPr>
                <w:rFonts w:hint="default" w:ascii="Times New Roman" w:hAnsi="Times New Roman" w:cs="Times New Roman"/>
                <w:color w:val="auto"/>
              </w:rPr>
              <w:t>总硬度</w:t>
            </w:r>
          </w:p>
        </w:tc>
        <w:tc>
          <w:tcPr>
            <w:tcW w:w="944" w:type="pct"/>
            <w:vAlign w:val="center"/>
          </w:tcPr>
          <w:p w14:paraId="5AE5690C">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0.</w:t>
            </w:r>
            <w:r>
              <w:rPr>
                <w:rFonts w:hint="default" w:ascii="Times New Roman" w:hAnsi="Times New Roman" w:cs="Times New Roman"/>
                <w:color w:val="auto"/>
                <w:lang w:val="en-US" w:eastAsia="zh-CN"/>
              </w:rPr>
              <w:t>53</w:t>
            </w:r>
          </w:p>
        </w:tc>
        <w:tc>
          <w:tcPr>
            <w:tcW w:w="947" w:type="pct"/>
            <w:vAlign w:val="center"/>
          </w:tcPr>
          <w:p w14:paraId="0DD00C5D">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0.</w:t>
            </w:r>
            <w:r>
              <w:rPr>
                <w:rFonts w:hint="default" w:ascii="Times New Roman" w:hAnsi="Times New Roman" w:cs="Times New Roman"/>
                <w:color w:val="auto"/>
                <w:lang w:val="en-US" w:eastAsia="zh-CN"/>
              </w:rPr>
              <w:t>52</w:t>
            </w:r>
          </w:p>
        </w:tc>
        <w:tc>
          <w:tcPr>
            <w:tcW w:w="1038" w:type="pct"/>
            <w:vAlign w:val="center"/>
          </w:tcPr>
          <w:p w14:paraId="63260DDE">
            <w:pPr>
              <w:pStyle w:val="44"/>
              <w:bidi w:val="0"/>
              <w:rPr>
                <w:rFonts w:hint="default" w:ascii="Times New Roman" w:hAnsi="Times New Roman" w:cs="Times New Roman"/>
                <w:color w:val="auto"/>
              </w:rPr>
            </w:pPr>
            <w:r>
              <w:rPr>
                <w:rFonts w:hint="default" w:ascii="Times New Roman" w:hAnsi="Times New Roman" w:cs="Times New Roman"/>
                <w:color w:val="auto"/>
              </w:rPr>
              <w:t>0.</w:t>
            </w:r>
            <w:r>
              <w:rPr>
                <w:rFonts w:hint="default" w:ascii="Times New Roman" w:hAnsi="Times New Roman" w:cs="Times New Roman"/>
                <w:color w:val="auto"/>
                <w:lang w:val="en-US" w:eastAsia="zh-CN"/>
              </w:rPr>
              <w:t>53</w:t>
            </w:r>
            <w:r>
              <w:rPr>
                <w:rFonts w:hint="default" w:ascii="Times New Roman" w:hAnsi="Times New Roman" w:cs="Times New Roman"/>
                <w:color w:val="auto"/>
              </w:rPr>
              <w:t xml:space="preserve"> </w:t>
            </w:r>
          </w:p>
        </w:tc>
        <w:tc>
          <w:tcPr>
            <w:tcW w:w="1120" w:type="pct"/>
            <w:vAlign w:val="center"/>
          </w:tcPr>
          <w:p w14:paraId="6BF7DCD0">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450</w:t>
            </w:r>
          </w:p>
        </w:tc>
      </w:tr>
      <w:tr w14:paraId="55000A9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0" w:hRule="atLeast"/>
          <w:jc w:val="center"/>
        </w:trPr>
        <w:tc>
          <w:tcPr>
            <w:tcW w:w="949" w:type="pct"/>
            <w:vAlign w:val="bottom"/>
          </w:tcPr>
          <w:p w14:paraId="22DF8CF4">
            <w:pPr>
              <w:pStyle w:val="44"/>
              <w:bidi w:val="0"/>
              <w:rPr>
                <w:rFonts w:hint="default" w:ascii="Times New Roman" w:hAnsi="Times New Roman" w:cs="Times New Roman"/>
                <w:color w:val="auto"/>
              </w:rPr>
            </w:pPr>
            <w:r>
              <w:rPr>
                <w:rFonts w:hint="default" w:ascii="Times New Roman" w:hAnsi="Times New Roman" w:cs="Times New Roman"/>
                <w:color w:val="auto"/>
              </w:rPr>
              <w:t>铅</w:t>
            </w:r>
          </w:p>
        </w:tc>
        <w:tc>
          <w:tcPr>
            <w:tcW w:w="944" w:type="pct"/>
            <w:vAlign w:val="center"/>
          </w:tcPr>
          <w:p w14:paraId="3CA07D12">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0.0025L</w:t>
            </w:r>
            <w:r>
              <w:rPr>
                <w:rFonts w:hint="default" w:ascii="Times New Roman" w:hAnsi="Times New Roman" w:cs="Times New Roman"/>
                <w:color w:val="auto"/>
              </w:rPr>
              <w:t xml:space="preserve"> </w:t>
            </w:r>
          </w:p>
        </w:tc>
        <w:tc>
          <w:tcPr>
            <w:tcW w:w="947" w:type="pct"/>
            <w:vAlign w:val="center"/>
          </w:tcPr>
          <w:p w14:paraId="6858EEC4">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0.0025L</w:t>
            </w:r>
          </w:p>
        </w:tc>
        <w:tc>
          <w:tcPr>
            <w:tcW w:w="1038" w:type="pct"/>
            <w:vAlign w:val="center"/>
          </w:tcPr>
          <w:p w14:paraId="4B689988">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0.</w:t>
            </w:r>
            <w:r>
              <w:rPr>
                <w:rFonts w:hint="default" w:ascii="Times New Roman" w:hAnsi="Times New Roman" w:cs="Times New Roman"/>
                <w:color w:val="auto"/>
                <w:lang w:val="en-US" w:eastAsia="zh-CN"/>
              </w:rPr>
              <w:t>39</w:t>
            </w:r>
          </w:p>
        </w:tc>
        <w:tc>
          <w:tcPr>
            <w:tcW w:w="1120" w:type="pct"/>
            <w:vAlign w:val="center"/>
          </w:tcPr>
          <w:p w14:paraId="4555C29D">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0.01</w:t>
            </w:r>
          </w:p>
        </w:tc>
      </w:tr>
      <w:tr w14:paraId="07B6585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0" w:hRule="atLeast"/>
          <w:jc w:val="center"/>
        </w:trPr>
        <w:tc>
          <w:tcPr>
            <w:tcW w:w="949" w:type="pct"/>
            <w:vAlign w:val="bottom"/>
          </w:tcPr>
          <w:p w14:paraId="38E696B0">
            <w:pPr>
              <w:pStyle w:val="44"/>
              <w:bidi w:val="0"/>
              <w:rPr>
                <w:rFonts w:hint="default" w:ascii="Times New Roman" w:hAnsi="Times New Roman" w:cs="Times New Roman"/>
                <w:color w:val="auto"/>
              </w:rPr>
            </w:pPr>
            <w:r>
              <w:rPr>
                <w:rFonts w:hint="default" w:ascii="Times New Roman" w:hAnsi="Times New Roman" w:cs="Times New Roman"/>
                <w:color w:val="auto"/>
              </w:rPr>
              <w:t>氟化物</w:t>
            </w:r>
          </w:p>
        </w:tc>
        <w:tc>
          <w:tcPr>
            <w:tcW w:w="1569" w:type="dxa"/>
            <w:vAlign w:val="center"/>
          </w:tcPr>
          <w:p w14:paraId="21BB0CCB">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 xml:space="preserve">0.14 </w:t>
            </w:r>
          </w:p>
        </w:tc>
        <w:tc>
          <w:tcPr>
            <w:tcW w:w="1573" w:type="dxa"/>
            <w:vAlign w:val="center"/>
          </w:tcPr>
          <w:p w14:paraId="49AC32BF">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 xml:space="preserve">0.13 </w:t>
            </w:r>
          </w:p>
        </w:tc>
        <w:tc>
          <w:tcPr>
            <w:tcW w:w="1725" w:type="dxa"/>
            <w:vAlign w:val="center"/>
          </w:tcPr>
          <w:p w14:paraId="23A304AB">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 xml:space="preserve">0.16 </w:t>
            </w:r>
          </w:p>
        </w:tc>
        <w:tc>
          <w:tcPr>
            <w:tcW w:w="1120" w:type="pct"/>
            <w:vAlign w:val="center"/>
          </w:tcPr>
          <w:p w14:paraId="219BA4BD">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1.0</w:t>
            </w:r>
          </w:p>
        </w:tc>
      </w:tr>
      <w:tr w14:paraId="63356F9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0" w:hRule="atLeast"/>
          <w:jc w:val="center"/>
        </w:trPr>
        <w:tc>
          <w:tcPr>
            <w:tcW w:w="949" w:type="pct"/>
            <w:vAlign w:val="bottom"/>
          </w:tcPr>
          <w:p w14:paraId="66DAC837">
            <w:pPr>
              <w:pStyle w:val="44"/>
              <w:bidi w:val="0"/>
              <w:rPr>
                <w:rFonts w:hint="default" w:ascii="Times New Roman" w:hAnsi="Times New Roman" w:cs="Times New Roman"/>
                <w:color w:val="auto"/>
              </w:rPr>
            </w:pPr>
            <w:r>
              <w:rPr>
                <w:rFonts w:hint="default" w:ascii="Times New Roman" w:hAnsi="Times New Roman" w:cs="Times New Roman"/>
                <w:color w:val="auto"/>
              </w:rPr>
              <w:t>镉</w:t>
            </w:r>
          </w:p>
        </w:tc>
        <w:tc>
          <w:tcPr>
            <w:tcW w:w="944" w:type="pct"/>
            <w:vAlign w:val="center"/>
          </w:tcPr>
          <w:p w14:paraId="35D4D636">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0.0005L</w:t>
            </w:r>
          </w:p>
        </w:tc>
        <w:tc>
          <w:tcPr>
            <w:tcW w:w="947" w:type="pct"/>
          </w:tcPr>
          <w:p w14:paraId="740F21DD">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0.0005L</w:t>
            </w:r>
          </w:p>
        </w:tc>
        <w:tc>
          <w:tcPr>
            <w:tcW w:w="1038" w:type="pct"/>
          </w:tcPr>
          <w:p w14:paraId="25653D36">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0.0005L</w:t>
            </w:r>
          </w:p>
        </w:tc>
        <w:tc>
          <w:tcPr>
            <w:tcW w:w="1120" w:type="pct"/>
            <w:vAlign w:val="center"/>
          </w:tcPr>
          <w:p w14:paraId="092514FF">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0.005</w:t>
            </w:r>
          </w:p>
        </w:tc>
      </w:tr>
      <w:tr w14:paraId="0ABE355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0" w:hRule="atLeast"/>
          <w:jc w:val="center"/>
        </w:trPr>
        <w:tc>
          <w:tcPr>
            <w:tcW w:w="5000" w:type="pct"/>
            <w:gridSpan w:val="5"/>
            <w:vAlign w:val="center"/>
          </w:tcPr>
          <w:p w14:paraId="51079260">
            <w:pPr>
              <w:pStyle w:val="44"/>
              <w:bidi w:val="0"/>
              <w:rPr>
                <w:rFonts w:hint="default" w:ascii="Times New Roman" w:hAnsi="Times New Roman" w:cs="Times New Roman"/>
                <w:color w:val="auto"/>
              </w:rPr>
            </w:pPr>
            <w:r>
              <w:rPr>
                <w:rFonts w:hint="default" w:ascii="Times New Roman" w:hAnsi="Times New Roman" w:cs="Times New Roman"/>
                <w:color w:val="auto"/>
              </w:rPr>
              <w:t>备注：“—”表示未检出，检测结果小于检出限值最低检出限值加L。</w:t>
            </w:r>
          </w:p>
        </w:tc>
      </w:tr>
    </w:tbl>
    <w:p w14:paraId="4263B2C1">
      <w:pPr>
        <w:pStyle w:val="25"/>
        <w:bidi w:val="0"/>
        <w:rPr>
          <w:rFonts w:hint="default" w:ascii="Times New Roman" w:hAnsi="Times New Roman" w:cs="Times New Roman"/>
          <w:color w:val="auto"/>
        </w:rPr>
      </w:pPr>
      <w:r>
        <w:rPr>
          <w:rFonts w:hint="default" w:ascii="Times New Roman" w:hAnsi="Times New Roman" w:cs="Times New Roman"/>
          <w:color w:val="auto"/>
        </w:rPr>
        <w:t>由以上地下水标准指数分析可知，</w:t>
      </w:r>
      <w:bookmarkStart w:id="252" w:name="_Hlk134695475"/>
      <w:r>
        <w:rPr>
          <w:rFonts w:hint="default" w:ascii="Times New Roman" w:hAnsi="Times New Roman" w:cs="Times New Roman"/>
          <w:color w:val="auto"/>
        </w:rPr>
        <w:t>各监测点位的监测因子指标均满足《地下水质量标准》（GB/T14848-2017）中的</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 3 \* ROMAN </w:instrText>
      </w:r>
      <w:r>
        <w:rPr>
          <w:rFonts w:hint="default" w:ascii="Times New Roman" w:hAnsi="Times New Roman" w:cs="Times New Roman"/>
          <w:color w:val="auto"/>
        </w:rPr>
        <w:fldChar w:fldCharType="separate"/>
      </w:r>
      <w:r>
        <w:rPr>
          <w:rFonts w:hint="default" w:ascii="Times New Roman" w:hAnsi="Times New Roman" w:cs="Times New Roman"/>
          <w:color w:val="auto"/>
        </w:rPr>
        <w:t>III</w:t>
      </w:r>
      <w:r>
        <w:rPr>
          <w:rFonts w:hint="default" w:ascii="Times New Roman" w:hAnsi="Times New Roman" w:cs="Times New Roman"/>
          <w:color w:val="auto"/>
        </w:rPr>
        <w:fldChar w:fldCharType="end"/>
      </w:r>
      <w:r>
        <w:rPr>
          <w:rFonts w:hint="default" w:ascii="Times New Roman" w:hAnsi="Times New Roman" w:cs="Times New Roman"/>
          <w:color w:val="auto"/>
        </w:rPr>
        <w:t>类标准要求</w:t>
      </w:r>
      <w:r>
        <w:rPr>
          <w:rFonts w:hint="eastAsia" w:cs="Times New Roman"/>
          <w:color w:val="auto"/>
          <w:lang w:eastAsia="zh-CN"/>
        </w:rPr>
        <w:t>，区域地下水环境质量良好</w:t>
      </w:r>
      <w:r>
        <w:rPr>
          <w:rFonts w:hint="default" w:ascii="Times New Roman" w:hAnsi="Times New Roman" w:cs="Times New Roman"/>
          <w:color w:val="auto"/>
        </w:rPr>
        <w:t>。</w:t>
      </w:r>
      <w:bookmarkEnd w:id="252"/>
    </w:p>
    <w:p w14:paraId="6601CF6E">
      <w:pPr>
        <w:pStyle w:val="25"/>
        <w:bidi w:val="0"/>
        <w:rPr>
          <w:rFonts w:hint="default" w:ascii="Times New Roman" w:hAnsi="Times New Roman" w:cs="Times New Roman"/>
          <w:color w:val="auto"/>
        </w:rPr>
      </w:pPr>
      <w:r>
        <w:rPr>
          <w:rFonts w:hint="default" w:ascii="Times New Roman" w:hAnsi="Times New Roman" w:cs="Times New Roman"/>
          <w:color w:val="auto"/>
        </w:rPr>
        <w:t>4、地下水化学类型</w:t>
      </w:r>
    </w:p>
    <w:p w14:paraId="16E8F37A">
      <w:pPr>
        <w:spacing w:line="360" w:lineRule="auto"/>
        <w:ind w:firstLine="480" w:firstLineChars="200"/>
        <w:rPr>
          <w:rFonts w:hint="default" w:ascii="Times New Roman" w:hAnsi="Times New Roman" w:cs="Times New Roman"/>
          <w:b/>
          <w:snapToGrid w:val="0"/>
          <w:color w:val="auto"/>
          <w:sz w:val="24"/>
        </w:rPr>
      </w:pPr>
      <w:r>
        <w:rPr>
          <w:rFonts w:hint="default" w:ascii="Times New Roman" w:hAnsi="Times New Roman" w:cs="Times New Roman"/>
          <w:color w:val="auto"/>
        </w:rPr>
        <w:t>用舒卡列夫分类法对地下水化学类型进行评价。评价区范围内地下水阴离子以重碳酸根离子为主，硝酸根离子次之；阳离子则以钙离子为主，镁离子次之。按舒卡列夫分类，地下水水化学类型多HCO</w:t>
      </w:r>
      <w:r>
        <w:rPr>
          <w:rFonts w:hint="default" w:ascii="Times New Roman" w:hAnsi="Times New Roman" w:cs="Times New Roman"/>
          <w:color w:val="auto"/>
          <w:vertAlign w:val="subscript"/>
        </w:rPr>
        <w:t>3</w:t>
      </w:r>
      <w:r>
        <w:rPr>
          <w:rFonts w:hint="default" w:ascii="Times New Roman" w:hAnsi="Times New Roman" w:cs="Times New Roman"/>
          <w:color w:val="auto"/>
        </w:rPr>
        <w:t>-Ca（重碳酸钙）型。</w:t>
      </w:r>
    </w:p>
    <w:p w14:paraId="01D144AD">
      <w:pPr>
        <w:pStyle w:val="27"/>
        <w:bidi w:val="0"/>
        <w:rPr>
          <w:rFonts w:hint="default" w:ascii="Times New Roman" w:hAnsi="Times New Roman" w:cs="Times New Roman"/>
          <w:color w:val="auto"/>
        </w:rPr>
      </w:pPr>
      <w:r>
        <w:rPr>
          <w:rFonts w:hint="default" w:ascii="Times New Roman" w:hAnsi="Times New Roman" w:cs="Times New Roman"/>
          <w:color w:val="auto"/>
        </w:rPr>
        <w:t>表4-2-</w:t>
      </w:r>
      <w:r>
        <w:rPr>
          <w:rFonts w:hint="default" w:ascii="Times New Roman" w:hAnsi="Times New Roman" w:cs="Times New Roman"/>
          <w:color w:val="auto"/>
          <w:lang w:val="en-US" w:eastAsia="zh-CN"/>
        </w:rPr>
        <w:t>9</w:t>
      </w:r>
      <w:r>
        <w:rPr>
          <w:rFonts w:hint="default" w:ascii="Times New Roman" w:hAnsi="Times New Roman" w:cs="Times New Roman"/>
          <w:color w:val="auto"/>
        </w:rPr>
        <w:t>八大离子的检测结果统计表</w:t>
      </w:r>
    </w:p>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63"/>
        <w:gridCol w:w="1726"/>
        <w:gridCol w:w="1701"/>
        <w:gridCol w:w="1715"/>
        <w:gridCol w:w="1717"/>
      </w:tblGrid>
      <w:tr w14:paraId="7E880F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trPr>
        <w:tc>
          <w:tcPr>
            <w:tcW w:w="3389" w:type="dxa"/>
            <w:gridSpan w:val="2"/>
            <w:tcBorders>
              <w:tl2br w:val="nil"/>
              <w:tr2bl w:val="nil"/>
            </w:tcBorders>
            <w:vAlign w:val="center"/>
          </w:tcPr>
          <w:p w14:paraId="5444460C">
            <w:pPr>
              <w:pStyle w:val="44"/>
              <w:bidi w:val="0"/>
              <w:jc w:val="center"/>
              <w:rPr>
                <w:rFonts w:hint="default" w:ascii="Times New Roman" w:hAnsi="Times New Roman" w:cs="Times New Roman"/>
                <w:color w:val="auto"/>
              </w:rPr>
            </w:pPr>
            <w:r>
              <w:rPr>
                <w:rFonts w:hint="default" w:ascii="Times New Roman" w:hAnsi="Times New Roman" w:cs="Times New Roman"/>
                <w:color w:val="auto"/>
              </w:rPr>
              <w:t>☆01离子</w:t>
            </w:r>
          </w:p>
        </w:tc>
        <w:tc>
          <w:tcPr>
            <w:tcW w:w="1701" w:type="dxa"/>
            <w:tcBorders>
              <w:tl2br w:val="nil"/>
              <w:tr2bl w:val="nil"/>
            </w:tcBorders>
            <w:vAlign w:val="center"/>
          </w:tcPr>
          <w:p w14:paraId="5A402E76">
            <w:pPr>
              <w:pStyle w:val="44"/>
              <w:bidi w:val="0"/>
              <w:jc w:val="center"/>
              <w:rPr>
                <w:rFonts w:hint="default" w:ascii="Times New Roman" w:hAnsi="Times New Roman" w:cs="Times New Roman"/>
                <w:color w:val="auto"/>
              </w:rPr>
            </w:pPr>
            <w:r>
              <w:rPr>
                <w:rFonts w:hint="default" w:ascii="Times New Roman" w:hAnsi="Times New Roman" w:cs="Times New Roman"/>
                <w:color w:val="auto"/>
              </w:rPr>
              <w:t>mg/L</w:t>
            </w:r>
          </w:p>
        </w:tc>
        <w:tc>
          <w:tcPr>
            <w:tcW w:w="1715" w:type="dxa"/>
            <w:tcBorders>
              <w:tl2br w:val="nil"/>
              <w:tr2bl w:val="nil"/>
            </w:tcBorders>
            <w:vAlign w:val="center"/>
          </w:tcPr>
          <w:p w14:paraId="6B4353D5">
            <w:pPr>
              <w:pStyle w:val="44"/>
              <w:bidi w:val="0"/>
              <w:jc w:val="center"/>
              <w:rPr>
                <w:rFonts w:hint="default" w:ascii="Times New Roman" w:hAnsi="Times New Roman" w:cs="Times New Roman"/>
                <w:color w:val="auto"/>
              </w:rPr>
            </w:pPr>
            <w:r>
              <w:rPr>
                <w:rFonts w:hint="default" w:ascii="Times New Roman" w:hAnsi="Times New Roman" w:cs="Times New Roman"/>
                <w:color w:val="auto"/>
              </w:rPr>
              <w:t>meq/L</w:t>
            </w:r>
          </w:p>
        </w:tc>
        <w:tc>
          <w:tcPr>
            <w:tcW w:w="1717" w:type="dxa"/>
            <w:tcBorders>
              <w:tl2br w:val="nil"/>
              <w:tr2bl w:val="nil"/>
            </w:tcBorders>
            <w:vAlign w:val="center"/>
          </w:tcPr>
          <w:p w14:paraId="10F412F6">
            <w:pPr>
              <w:pStyle w:val="44"/>
              <w:bidi w:val="0"/>
              <w:jc w:val="center"/>
              <w:rPr>
                <w:rFonts w:hint="default" w:ascii="Times New Roman" w:hAnsi="Times New Roman" w:cs="Times New Roman"/>
                <w:color w:val="auto"/>
              </w:rPr>
            </w:pPr>
            <w:r>
              <w:rPr>
                <w:rFonts w:hint="default" w:ascii="Times New Roman" w:hAnsi="Times New Roman" w:cs="Times New Roman"/>
                <w:color w:val="auto"/>
              </w:rPr>
              <w:t>meq%</w:t>
            </w:r>
          </w:p>
        </w:tc>
      </w:tr>
      <w:tr w14:paraId="72F23D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1663" w:type="dxa"/>
            <w:vMerge w:val="restart"/>
            <w:tcBorders>
              <w:tl2br w:val="nil"/>
              <w:tr2bl w:val="nil"/>
            </w:tcBorders>
            <w:vAlign w:val="center"/>
          </w:tcPr>
          <w:p w14:paraId="44BA3651">
            <w:pPr>
              <w:pStyle w:val="44"/>
              <w:bidi w:val="0"/>
              <w:jc w:val="center"/>
              <w:rPr>
                <w:rFonts w:hint="default" w:ascii="Times New Roman" w:hAnsi="Times New Roman" w:cs="Times New Roman"/>
                <w:color w:val="auto"/>
              </w:rPr>
            </w:pPr>
            <w:r>
              <w:rPr>
                <w:rFonts w:hint="default" w:ascii="Times New Roman" w:hAnsi="Times New Roman" w:cs="Times New Roman"/>
                <w:color w:val="auto"/>
              </w:rPr>
              <w:t>阳</w:t>
            </w:r>
          </w:p>
          <w:p w14:paraId="36C291AD">
            <w:pPr>
              <w:pStyle w:val="44"/>
              <w:bidi w:val="0"/>
              <w:jc w:val="center"/>
              <w:rPr>
                <w:rFonts w:hint="default" w:ascii="Times New Roman" w:hAnsi="Times New Roman" w:cs="Times New Roman"/>
                <w:color w:val="auto"/>
              </w:rPr>
            </w:pPr>
            <w:r>
              <w:rPr>
                <w:rFonts w:hint="default" w:ascii="Times New Roman" w:hAnsi="Times New Roman" w:cs="Times New Roman"/>
                <w:color w:val="auto"/>
              </w:rPr>
              <w:t>离</w:t>
            </w:r>
          </w:p>
          <w:p w14:paraId="615B61ED">
            <w:pPr>
              <w:pStyle w:val="44"/>
              <w:bidi w:val="0"/>
              <w:jc w:val="center"/>
              <w:rPr>
                <w:rFonts w:hint="default" w:ascii="Times New Roman" w:hAnsi="Times New Roman" w:cs="Times New Roman"/>
                <w:color w:val="auto"/>
              </w:rPr>
            </w:pPr>
            <w:r>
              <w:rPr>
                <w:rFonts w:hint="default" w:ascii="Times New Roman" w:hAnsi="Times New Roman" w:cs="Times New Roman"/>
                <w:color w:val="auto"/>
              </w:rPr>
              <w:t>子</w:t>
            </w:r>
          </w:p>
        </w:tc>
        <w:tc>
          <w:tcPr>
            <w:tcW w:w="1726" w:type="dxa"/>
            <w:tcBorders>
              <w:tl2br w:val="nil"/>
              <w:tr2bl w:val="nil"/>
            </w:tcBorders>
            <w:vAlign w:val="center"/>
          </w:tcPr>
          <w:p w14:paraId="09C8B743">
            <w:pPr>
              <w:pStyle w:val="44"/>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K</w:t>
            </w:r>
            <w:r>
              <w:rPr>
                <w:rFonts w:hint="default" w:ascii="Times New Roman" w:hAnsi="Times New Roman" w:eastAsia="宋体" w:cs="Times New Roman"/>
                <w:color w:val="auto"/>
                <w:vertAlign w:val="superscript"/>
              </w:rPr>
              <w:t>+</w:t>
            </w:r>
          </w:p>
        </w:tc>
        <w:tc>
          <w:tcPr>
            <w:tcW w:w="1701" w:type="dxa"/>
            <w:tcBorders>
              <w:tl2br w:val="nil"/>
              <w:tr2bl w:val="nil"/>
            </w:tcBorders>
            <w:vAlign w:val="center"/>
          </w:tcPr>
          <w:p w14:paraId="742B49F9">
            <w:pPr>
              <w:pStyle w:val="44"/>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2.36</w:t>
            </w:r>
          </w:p>
        </w:tc>
        <w:tc>
          <w:tcPr>
            <w:tcW w:w="1715" w:type="dxa"/>
            <w:tcBorders>
              <w:tl2br w:val="nil"/>
              <w:tr2bl w:val="nil"/>
            </w:tcBorders>
            <w:vAlign w:val="center"/>
          </w:tcPr>
          <w:p w14:paraId="3BC1BDFC">
            <w:pPr>
              <w:pStyle w:val="44"/>
              <w:bidi w:val="0"/>
              <w:jc w:val="center"/>
              <w:rPr>
                <w:rFonts w:hint="default" w:ascii="Times New Roman" w:hAnsi="Times New Roman" w:eastAsia="宋体" w:cs="Times New Roman"/>
                <w:color w:val="auto"/>
                <w:lang w:val="en-US"/>
              </w:rPr>
            </w:pPr>
            <w:r>
              <w:rPr>
                <w:rFonts w:hint="default" w:ascii="Times New Roman" w:hAnsi="Times New Roman" w:eastAsia="宋体" w:cs="Times New Roman"/>
                <w:color w:val="auto"/>
                <w:lang w:val="en-US" w:eastAsia="zh-CN"/>
              </w:rPr>
              <w:t>0.06</w:t>
            </w:r>
          </w:p>
        </w:tc>
        <w:tc>
          <w:tcPr>
            <w:tcW w:w="1717" w:type="dxa"/>
            <w:vMerge w:val="restart"/>
            <w:tcBorders>
              <w:tl2br w:val="nil"/>
              <w:tr2bl w:val="nil"/>
            </w:tcBorders>
            <w:vAlign w:val="center"/>
          </w:tcPr>
          <w:p w14:paraId="12A22F03">
            <w:pPr>
              <w:pStyle w:val="44"/>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7.58</w:t>
            </w:r>
          </w:p>
        </w:tc>
      </w:tr>
      <w:tr w14:paraId="6F424D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1663" w:type="dxa"/>
            <w:vMerge w:val="continue"/>
            <w:tcBorders>
              <w:tl2br w:val="nil"/>
              <w:tr2bl w:val="nil"/>
            </w:tcBorders>
            <w:vAlign w:val="center"/>
          </w:tcPr>
          <w:p w14:paraId="01D06BEF">
            <w:pPr>
              <w:pStyle w:val="44"/>
              <w:bidi w:val="0"/>
              <w:jc w:val="center"/>
              <w:rPr>
                <w:rFonts w:hint="default" w:ascii="Times New Roman" w:hAnsi="Times New Roman" w:cs="Times New Roman"/>
                <w:color w:val="auto"/>
              </w:rPr>
            </w:pPr>
          </w:p>
        </w:tc>
        <w:tc>
          <w:tcPr>
            <w:tcW w:w="1726" w:type="dxa"/>
            <w:tcBorders>
              <w:tl2br w:val="nil"/>
              <w:tr2bl w:val="nil"/>
            </w:tcBorders>
            <w:vAlign w:val="center"/>
          </w:tcPr>
          <w:p w14:paraId="0151AE20">
            <w:pPr>
              <w:pStyle w:val="44"/>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Na</w:t>
            </w:r>
            <w:r>
              <w:rPr>
                <w:rFonts w:hint="default" w:ascii="Times New Roman" w:hAnsi="Times New Roman" w:eastAsia="宋体" w:cs="Times New Roman"/>
                <w:color w:val="auto"/>
                <w:vertAlign w:val="superscript"/>
              </w:rPr>
              <w:t>+</w:t>
            </w:r>
          </w:p>
        </w:tc>
        <w:tc>
          <w:tcPr>
            <w:tcW w:w="1701" w:type="dxa"/>
            <w:tcBorders>
              <w:tl2br w:val="nil"/>
              <w:tr2bl w:val="nil"/>
            </w:tcBorders>
            <w:vAlign w:val="center"/>
          </w:tcPr>
          <w:p w14:paraId="0257FF10">
            <w:pPr>
              <w:pStyle w:val="44"/>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7.81</w:t>
            </w:r>
          </w:p>
        </w:tc>
        <w:tc>
          <w:tcPr>
            <w:tcW w:w="1715" w:type="dxa"/>
            <w:tcBorders>
              <w:tl2br w:val="nil"/>
              <w:tr2bl w:val="nil"/>
            </w:tcBorders>
            <w:vAlign w:val="center"/>
          </w:tcPr>
          <w:p w14:paraId="4386D942">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0.34</w:t>
            </w:r>
          </w:p>
        </w:tc>
        <w:tc>
          <w:tcPr>
            <w:tcW w:w="1717" w:type="dxa"/>
            <w:vMerge w:val="continue"/>
            <w:tcBorders>
              <w:tl2br w:val="nil"/>
              <w:tr2bl w:val="nil"/>
            </w:tcBorders>
            <w:vAlign w:val="center"/>
          </w:tcPr>
          <w:p w14:paraId="26ADC1D2">
            <w:pPr>
              <w:pStyle w:val="44"/>
              <w:bidi w:val="0"/>
              <w:jc w:val="center"/>
              <w:rPr>
                <w:rFonts w:hint="default" w:ascii="Times New Roman" w:hAnsi="Times New Roman" w:eastAsia="宋体" w:cs="Times New Roman"/>
                <w:color w:val="auto"/>
              </w:rPr>
            </w:pPr>
          </w:p>
        </w:tc>
      </w:tr>
      <w:tr w14:paraId="0CFE98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1" w:hRule="atLeast"/>
        </w:trPr>
        <w:tc>
          <w:tcPr>
            <w:tcW w:w="1663" w:type="dxa"/>
            <w:vMerge w:val="continue"/>
            <w:tcBorders>
              <w:tl2br w:val="nil"/>
              <w:tr2bl w:val="nil"/>
            </w:tcBorders>
            <w:vAlign w:val="center"/>
          </w:tcPr>
          <w:p w14:paraId="2DBB6416">
            <w:pPr>
              <w:pStyle w:val="44"/>
              <w:bidi w:val="0"/>
              <w:jc w:val="center"/>
              <w:rPr>
                <w:rFonts w:hint="default" w:ascii="Times New Roman" w:hAnsi="Times New Roman" w:cs="Times New Roman"/>
                <w:color w:val="auto"/>
              </w:rPr>
            </w:pPr>
          </w:p>
        </w:tc>
        <w:tc>
          <w:tcPr>
            <w:tcW w:w="1726" w:type="dxa"/>
            <w:tcBorders>
              <w:tl2br w:val="nil"/>
              <w:tr2bl w:val="nil"/>
            </w:tcBorders>
            <w:vAlign w:val="center"/>
          </w:tcPr>
          <w:p w14:paraId="1CED3459">
            <w:pPr>
              <w:pStyle w:val="44"/>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Ca</w:t>
            </w:r>
            <w:r>
              <w:rPr>
                <w:rFonts w:hint="default" w:ascii="Times New Roman" w:hAnsi="Times New Roman" w:eastAsia="宋体" w:cs="Times New Roman"/>
                <w:color w:val="auto"/>
                <w:vertAlign w:val="superscript"/>
              </w:rPr>
              <w:t>2+</w:t>
            </w:r>
          </w:p>
        </w:tc>
        <w:tc>
          <w:tcPr>
            <w:tcW w:w="1701" w:type="dxa"/>
            <w:tcBorders>
              <w:tl2br w:val="nil"/>
              <w:tr2bl w:val="nil"/>
            </w:tcBorders>
            <w:vAlign w:val="center"/>
          </w:tcPr>
          <w:p w14:paraId="52FDFF44">
            <w:pPr>
              <w:pStyle w:val="44"/>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47.9</w:t>
            </w:r>
          </w:p>
        </w:tc>
        <w:tc>
          <w:tcPr>
            <w:tcW w:w="1715" w:type="dxa"/>
            <w:tcBorders>
              <w:tl2br w:val="nil"/>
              <w:tr2bl w:val="nil"/>
            </w:tcBorders>
            <w:vAlign w:val="center"/>
          </w:tcPr>
          <w:p w14:paraId="7536B1BC">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2.39</w:t>
            </w:r>
          </w:p>
        </w:tc>
        <w:tc>
          <w:tcPr>
            <w:tcW w:w="1717" w:type="dxa"/>
            <w:tcBorders>
              <w:tl2br w:val="nil"/>
              <w:tr2bl w:val="nil"/>
            </w:tcBorders>
            <w:vAlign w:val="center"/>
          </w:tcPr>
          <w:p w14:paraId="4E4D77ED">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45.31</w:t>
            </w:r>
          </w:p>
        </w:tc>
      </w:tr>
      <w:tr w14:paraId="3CA9F5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1" w:hRule="atLeast"/>
        </w:trPr>
        <w:tc>
          <w:tcPr>
            <w:tcW w:w="1663" w:type="dxa"/>
            <w:vMerge w:val="continue"/>
            <w:tcBorders>
              <w:tl2br w:val="nil"/>
              <w:tr2bl w:val="nil"/>
            </w:tcBorders>
            <w:vAlign w:val="center"/>
          </w:tcPr>
          <w:p w14:paraId="1E1B826A">
            <w:pPr>
              <w:pStyle w:val="44"/>
              <w:bidi w:val="0"/>
              <w:jc w:val="center"/>
              <w:rPr>
                <w:rFonts w:hint="default" w:ascii="Times New Roman" w:hAnsi="Times New Roman" w:cs="Times New Roman"/>
                <w:color w:val="auto"/>
              </w:rPr>
            </w:pPr>
          </w:p>
        </w:tc>
        <w:tc>
          <w:tcPr>
            <w:tcW w:w="1726" w:type="dxa"/>
            <w:tcBorders>
              <w:tl2br w:val="nil"/>
              <w:tr2bl w:val="nil"/>
            </w:tcBorders>
            <w:vAlign w:val="center"/>
          </w:tcPr>
          <w:p w14:paraId="2066DAA0">
            <w:pPr>
              <w:pStyle w:val="44"/>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Mg</w:t>
            </w:r>
            <w:r>
              <w:rPr>
                <w:rFonts w:hint="default" w:ascii="Times New Roman" w:hAnsi="Times New Roman" w:eastAsia="宋体" w:cs="Times New Roman"/>
                <w:color w:val="auto"/>
                <w:vertAlign w:val="superscript"/>
              </w:rPr>
              <w:t>2+</w:t>
            </w:r>
          </w:p>
        </w:tc>
        <w:tc>
          <w:tcPr>
            <w:tcW w:w="1701" w:type="dxa"/>
            <w:tcBorders>
              <w:tl2br w:val="nil"/>
              <w:tr2bl w:val="nil"/>
            </w:tcBorders>
            <w:vAlign w:val="center"/>
          </w:tcPr>
          <w:p w14:paraId="24DDF5DB">
            <w:pPr>
              <w:pStyle w:val="44"/>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30.2</w:t>
            </w:r>
          </w:p>
        </w:tc>
        <w:tc>
          <w:tcPr>
            <w:tcW w:w="1715" w:type="dxa"/>
            <w:tcBorders>
              <w:tl2br w:val="nil"/>
              <w:tr2bl w:val="nil"/>
            </w:tcBorders>
            <w:vAlign w:val="center"/>
          </w:tcPr>
          <w:p w14:paraId="722DA234">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2.48</w:t>
            </w:r>
          </w:p>
        </w:tc>
        <w:tc>
          <w:tcPr>
            <w:tcW w:w="1717" w:type="dxa"/>
            <w:tcBorders>
              <w:tl2br w:val="nil"/>
              <w:tr2bl w:val="nil"/>
            </w:tcBorders>
            <w:vAlign w:val="center"/>
          </w:tcPr>
          <w:p w14:paraId="5BB4A850">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47.10</w:t>
            </w:r>
          </w:p>
        </w:tc>
      </w:tr>
      <w:tr w14:paraId="147FAC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3" w:type="dxa"/>
            <w:vMerge w:val="continue"/>
            <w:tcBorders>
              <w:tl2br w:val="nil"/>
              <w:tr2bl w:val="nil"/>
            </w:tcBorders>
            <w:vAlign w:val="center"/>
          </w:tcPr>
          <w:p w14:paraId="5F4E6DC1">
            <w:pPr>
              <w:pStyle w:val="44"/>
              <w:bidi w:val="0"/>
              <w:jc w:val="center"/>
              <w:rPr>
                <w:rFonts w:hint="default" w:ascii="Times New Roman" w:hAnsi="Times New Roman" w:cs="Times New Roman"/>
                <w:color w:val="auto"/>
              </w:rPr>
            </w:pPr>
          </w:p>
        </w:tc>
        <w:tc>
          <w:tcPr>
            <w:tcW w:w="1726" w:type="dxa"/>
            <w:tcBorders>
              <w:tl2br w:val="nil"/>
              <w:tr2bl w:val="nil"/>
            </w:tcBorders>
            <w:vAlign w:val="center"/>
          </w:tcPr>
          <w:p w14:paraId="5ED58191">
            <w:pPr>
              <w:pStyle w:val="44"/>
              <w:bidi w:val="0"/>
              <w:jc w:val="center"/>
              <w:rPr>
                <w:rFonts w:hint="default" w:ascii="Times New Roman" w:hAnsi="Times New Roman" w:cs="Times New Roman"/>
                <w:color w:val="auto"/>
              </w:rPr>
            </w:pPr>
            <w:r>
              <w:rPr>
                <w:rFonts w:hint="default" w:ascii="Times New Roman" w:hAnsi="Times New Roman" w:cs="Times New Roman"/>
                <w:color w:val="auto"/>
              </w:rPr>
              <w:t>总计</w:t>
            </w:r>
          </w:p>
        </w:tc>
        <w:tc>
          <w:tcPr>
            <w:tcW w:w="1701" w:type="dxa"/>
            <w:tcBorders>
              <w:tl2br w:val="nil"/>
              <w:tr2bl w:val="nil"/>
            </w:tcBorders>
            <w:vAlign w:val="center"/>
          </w:tcPr>
          <w:p w14:paraId="3FD88C90">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88.28</w:t>
            </w:r>
          </w:p>
        </w:tc>
        <w:tc>
          <w:tcPr>
            <w:tcW w:w="1715" w:type="dxa"/>
            <w:tcBorders>
              <w:tl2br w:val="nil"/>
              <w:tr2bl w:val="nil"/>
            </w:tcBorders>
            <w:vAlign w:val="center"/>
          </w:tcPr>
          <w:p w14:paraId="719557F0">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5.27</w:t>
            </w:r>
          </w:p>
        </w:tc>
        <w:tc>
          <w:tcPr>
            <w:tcW w:w="1717" w:type="dxa"/>
            <w:tcBorders>
              <w:tl2br w:val="nil"/>
              <w:tr2bl w:val="nil"/>
            </w:tcBorders>
            <w:vAlign w:val="center"/>
          </w:tcPr>
          <w:p w14:paraId="095B740C">
            <w:pPr>
              <w:pStyle w:val="44"/>
              <w:bidi w:val="0"/>
              <w:jc w:val="center"/>
              <w:rPr>
                <w:rFonts w:hint="default" w:ascii="Times New Roman" w:hAnsi="Times New Roman" w:cs="Times New Roman"/>
                <w:color w:val="auto"/>
              </w:rPr>
            </w:pPr>
            <w:r>
              <w:rPr>
                <w:rFonts w:hint="default" w:ascii="Times New Roman" w:hAnsi="Times New Roman" w:cs="Times New Roman"/>
                <w:color w:val="auto"/>
              </w:rPr>
              <w:t>100.00</w:t>
            </w:r>
          </w:p>
        </w:tc>
      </w:tr>
      <w:tr w14:paraId="677CA1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1663" w:type="dxa"/>
            <w:vMerge w:val="restart"/>
            <w:tcBorders>
              <w:tl2br w:val="nil"/>
              <w:tr2bl w:val="nil"/>
            </w:tcBorders>
            <w:vAlign w:val="center"/>
          </w:tcPr>
          <w:p w14:paraId="010A8B6B">
            <w:pPr>
              <w:pStyle w:val="44"/>
              <w:bidi w:val="0"/>
              <w:jc w:val="center"/>
              <w:rPr>
                <w:rFonts w:hint="default" w:ascii="Times New Roman" w:hAnsi="Times New Roman" w:cs="Times New Roman"/>
                <w:color w:val="auto"/>
              </w:rPr>
            </w:pPr>
            <w:r>
              <w:rPr>
                <w:rFonts w:hint="default" w:ascii="Times New Roman" w:hAnsi="Times New Roman" w:cs="Times New Roman"/>
                <w:color w:val="auto"/>
              </w:rPr>
              <w:t>阴</w:t>
            </w:r>
          </w:p>
          <w:p w14:paraId="0C932938">
            <w:pPr>
              <w:pStyle w:val="44"/>
              <w:bidi w:val="0"/>
              <w:jc w:val="center"/>
              <w:rPr>
                <w:rFonts w:hint="default" w:ascii="Times New Roman" w:hAnsi="Times New Roman" w:cs="Times New Roman"/>
                <w:color w:val="auto"/>
              </w:rPr>
            </w:pPr>
            <w:r>
              <w:rPr>
                <w:rFonts w:hint="default" w:ascii="Times New Roman" w:hAnsi="Times New Roman" w:cs="Times New Roman"/>
                <w:color w:val="auto"/>
              </w:rPr>
              <w:t>离</w:t>
            </w:r>
          </w:p>
          <w:p w14:paraId="04A0F64E">
            <w:pPr>
              <w:pStyle w:val="44"/>
              <w:bidi w:val="0"/>
              <w:jc w:val="center"/>
              <w:rPr>
                <w:rFonts w:hint="default" w:ascii="Times New Roman" w:hAnsi="Times New Roman" w:cs="Times New Roman"/>
                <w:color w:val="auto"/>
              </w:rPr>
            </w:pPr>
            <w:r>
              <w:rPr>
                <w:rFonts w:hint="default" w:ascii="Times New Roman" w:hAnsi="Times New Roman" w:cs="Times New Roman"/>
                <w:color w:val="auto"/>
              </w:rPr>
              <w:t>子</w:t>
            </w:r>
          </w:p>
        </w:tc>
        <w:tc>
          <w:tcPr>
            <w:tcW w:w="1726" w:type="dxa"/>
            <w:tcBorders>
              <w:tl2br w:val="nil"/>
              <w:tr2bl w:val="nil"/>
            </w:tcBorders>
            <w:vAlign w:val="center"/>
          </w:tcPr>
          <w:p w14:paraId="2E15CCB7">
            <w:pPr>
              <w:pStyle w:val="44"/>
              <w:bidi w:val="0"/>
              <w:jc w:val="center"/>
              <w:rPr>
                <w:rFonts w:hint="default" w:ascii="Times New Roman" w:hAnsi="Times New Roman" w:cs="Times New Roman"/>
                <w:color w:val="auto"/>
              </w:rPr>
            </w:pPr>
            <w:r>
              <w:rPr>
                <w:rFonts w:hint="default" w:ascii="Times New Roman" w:hAnsi="Times New Roman" w:cs="Times New Roman"/>
                <w:color w:val="auto"/>
              </w:rPr>
              <w:t>HCO</w:t>
            </w:r>
            <w:r>
              <w:rPr>
                <w:rFonts w:hint="default" w:ascii="Times New Roman" w:hAnsi="Times New Roman" w:cs="Times New Roman"/>
                <w:color w:val="auto"/>
                <w:vertAlign w:val="subscript"/>
              </w:rPr>
              <w:t>3</w:t>
            </w:r>
            <w:r>
              <w:rPr>
                <w:rFonts w:hint="default" w:ascii="Times New Roman" w:hAnsi="Times New Roman" w:cs="Times New Roman"/>
                <w:color w:val="auto"/>
                <w:vertAlign w:val="superscript"/>
              </w:rPr>
              <w:t>-</w:t>
            </w:r>
          </w:p>
        </w:tc>
        <w:tc>
          <w:tcPr>
            <w:tcW w:w="1701" w:type="dxa"/>
            <w:tcBorders>
              <w:tl2br w:val="nil"/>
              <w:tr2bl w:val="nil"/>
            </w:tcBorders>
            <w:vAlign w:val="center"/>
          </w:tcPr>
          <w:p w14:paraId="155B576C">
            <w:pPr>
              <w:pStyle w:val="44"/>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257</w:t>
            </w:r>
          </w:p>
        </w:tc>
        <w:tc>
          <w:tcPr>
            <w:tcW w:w="1715" w:type="dxa"/>
            <w:tcBorders>
              <w:tl2br w:val="nil"/>
              <w:tr2bl w:val="nil"/>
            </w:tcBorders>
            <w:vAlign w:val="center"/>
          </w:tcPr>
          <w:p w14:paraId="6C357847">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4.21</w:t>
            </w:r>
          </w:p>
        </w:tc>
        <w:tc>
          <w:tcPr>
            <w:tcW w:w="1717" w:type="dxa"/>
            <w:tcBorders>
              <w:tl2br w:val="nil"/>
              <w:tr2bl w:val="nil"/>
            </w:tcBorders>
            <w:vAlign w:val="center"/>
          </w:tcPr>
          <w:p w14:paraId="5A541A2A">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84.44</w:t>
            </w:r>
          </w:p>
        </w:tc>
      </w:tr>
      <w:tr w14:paraId="0FCE83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1663" w:type="dxa"/>
            <w:vMerge w:val="continue"/>
            <w:tcBorders>
              <w:tl2br w:val="nil"/>
              <w:tr2bl w:val="nil"/>
            </w:tcBorders>
            <w:vAlign w:val="center"/>
          </w:tcPr>
          <w:p w14:paraId="33559964">
            <w:pPr>
              <w:pStyle w:val="44"/>
              <w:bidi w:val="0"/>
              <w:jc w:val="center"/>
              <w:rPr>
                <w:rFonts w:hint="default" w:ascii="Times New Roman" w:hAnsi="Times New Roman" w:cs="Times New Roman"/>
                <w:color w:val="auto"/>
              </w:rPr>
            </w:pPr>
          </w:p>
        </w:tc>
        <w:tc>
          <w:tcPr>
            <w:tcW w:w="1726" w:type="dxa"/>
            <w:tcBorders>
              <w:tl2br w:val="nil"/>
              <w:tr2bl w:val="nil"/>
            </w:tcBorders>
            <w:vAlign w:val="center"/>
          </w:tcPr>
          <w:p w14:paraId="75EA60F9">
            <w:pPr>
              <w:pStyle w:val="44"/>
              <w:bidi w:val="0"/>
              <w:jc w:val="center"/>
              <w:rPr>
                <w:rFonts w:hint="default" w:ascii="Times New Roman" w:hAnsi="Times New Roman" w:cs="Times New Roman"/>
                <w:color w:val="auto"/>
              </w:rPr>
            </w:pPr>
            <w:r>
              <w:rPr>
                <w:rFonts w:hint="default" w:ascii="Times New Roman" w:hAnsi="Times New Roman" w:cs="Times New Roman"/>
                <w:color w:val="auto"/>
              </w:rPr>
              <w:t>C</w:t>
            </w:r>
            <w:r>
              <w:rPr>
                <w:rFonts w:hint="default" w:ascii="Times New Roman" w:hAnsi="Times New Roman" w:cs="Times New Roman"/>
                <w:color w:val="auto"/>
                <w:vertAlign w:val="baseline"/>
              </w:rPr>
              <w:t>l</w:t>
            </w:r>
            <w:r>
              <w:rPr>
                <w:rFonts w:hint="default" w:ascii="Times New Roman" w:hAnsi="Times New Roman" w:cs="Times New Roman"/>
                <w:color w:val="auto"/>
                <w:vertAlign w:val="superscript"/>
              </w:rPr>
              <w:t>-</w:t>
            </w:r>
          </w:p>
        </w:tc>
        <w:tc>
          <w:tcPr>
            <w:tcW w:w="1701" w:type="dxa"/>
            <w:tcBorders>
              <w:tl2br w:val="nil"/>
              <w:tr2bl w:val="nil"/>
            </w:tcBorders>
            <w:vAlign w:val="center"/>
          </w:tcPr>
          <w:p w14:paraId="3B9733E2">
            <w:pPr>
              <w:pStyle w:val="44"/>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6.04</w:t>
            </w:r>
          </w:p>
        </w:tc>
        <w:tc>
          <w:tcPr>
            <w:tcW w:w="1715" w:type="dxa"/>
            <w:tcBorders>
              <w:tl2br w:val="nil"/>
              <w:tr2bl w:val="nil"/>
            </w:tcBorders>
            <w:vAlign w:val="center"/>
          </w:tcPr>
          <w:p w14:paraId="32AE2FA8">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0.17</w:t>
            </w:r>
          </w:p>
        </w:tc>
        <w:tc>
          <w:tcPr>
            <w:tcW w:w="1717" w:type="dxa"/>
            <w:tcBorders>
              <w:tl2br w:val="nil"/>
              <w:tr2bl w:val="nil"/>
            </w:tcBorders>
            <w:vAlign w:val="center"/>
          </w:tcPr>
          <w:p w14:paraId="5F670F9A">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3.42</w:t>
            </w:r>
          </w:p>
        </w:tc>
      </w:tr>
      <w:tr w14:paraId="6192DC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1" w:hRule="atLeast"/>
        </w:trPr>
        <w:tc>
          <w:tcPr>
            <w:tcW w:w="1663" w:type="dxa"/>
            <w:vMerge w:val="continue"/>
            <w:tcBorders>
              <w:tl2br w:val="nil"/>
              <w:tr2bl w:val="nil"/>
            </w:tcBorders>
            <w:vAlign w:val="center"/>
          </w:tcPr>
          <w:p w14:paraId="0093D4F2">
            <w:pPr>
              <w:pStyle w:val="44"/>
              <w:bidi w:val="0"/>
              <w:jc w:val="center"/>
              <w:rPr>
                <w:rFonts w:hint="default" w:ascii="Times New Roman" w:hAnsi="Times New Roman" w:cs="Times New Roman"/>
                <w:color w:val="auto"/>
              </w:rPr>
            </w:pPr>
          </w:p>
        </w:tc>
        <w:tc>
          <w:tcPr>
            <w:tcW w:w="1726" w:type="dxa"/>
            <w:tcBorders>
              <w:tl2br w:val="nil"/>
              <w:tr2bl w:val="nil"/>
            </w:tcBorders>
            <w:vAlign w:val="center"/>
          </w:tcPr>
          <w:p w14:paraId="425D092D">
            <w:pPr>
              <w:pStyle w:val="44"/>
              <w:bidi w:val="0"/>
              <w:jc w:val="center"/>
              <w:rPr>
                <w:rFonts w:hint="default" w:ascii="Times New Roman" w:hAnsi="Times New Roman" w:cs="Times New Roman"/>
                <w:color w:val="auto"/>
              </w:rPr>
            </w:pPr>
            <w:r>
              <w:rPr>
                <w:rFonts w:hint="default" w:ascii="Times New Roman" w:hAnsi="Times New Roman" w:cs="Times New Roman"/>
                <w:color w:val="auto"/>
              </w:rPr>
              <w:t>SO</w:t>
            </w:r>
            <w:r>
              <w:rPr>
                <w:rFonts w:hint="default" w:ascii="Times New Roman" w:hAnsi="Times New Roman" w:cs="Times New Roman"/>
                <w:color w:val="auto"/>
                <w:vertAlign w:val="subscript"/>
              </w:rPr>
              <w:t>4</w:t>
            </w:r>
            <w:r>
              <w:rPr>
                <w:rFonts w:hint="default" w:ascii="Times New Roman" w:hAnsi="Times New Roman" w:cs="Times New Roman"/>
                <w:color w:val="auto"/>
                <w:vertAlign w:val="superscript"/>
              </w:rPr>
              <w:t>2-</w:t>
            </w:r>
          </w:p>
        </w:tc>
        <w:tc>
          <w:tcPr>
            <w:tcW w:w="1701" w:type="dxa"/>
            <w:tcBorders>
              <w:tl2br w:val="nil"/>
              <w:tr2bl w:val="nil"/>
            </w:tcBorders>
            <w:vAlign w:val="center"/>
          </w:tcPr>
          <w:p w14:paraId="0635E536">
            <w:pPr>
              <w:pStyle w:val="44"/>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29.1</w:t>
            </w:r>
          </w:p>
        </w:tc>
        <w:tc>
          <w:tcPr>
            <w:tcW w:w="1715" w:type="dxa"/>
            <w:tcBorders>
              <w:tl2br w:val="nil"/>
              <w:tr2bl w:val="nil"/>
            </w:tcBorders>
            <w:vAlign w:val="center"/>
          </w:tcPr>
          <w:p w14:paraId="5CA6E9BC">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0.61</w:t>
            </w:r>
          </w:p>
        </w:tc>
        <w:tc>
          <w:tcPr>
            <w:tcW w:w="1717" w:type="dxa"/>
            <w:tcBorders>
              <w:tl2br w:val="nil"/>
              <w:tr2bl w:val="nil"/>
            </w:tcBorders>
            <w:vAlign w:val="center"/>
          </w:tcPr>
          <w:p w14:paraId="0A61B614">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12.15</w:t>
            </w:r>
          </w:p>
        </w:tc>
      </w:tr>
      <w:tr w14:paraId="417CEC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3" w:type="dxa"/>
            <w:vMerge w:val="continue"/>
            <w:tcBorders>
              <w:tl2br w:val="nil"/>
              <w:tr2bl w:val="nil"/>
            </w:tcBorders>
            <w:vAlign w:val="center"/>
          </w:tcPr>
          <w:p w14:paraId="5A222664">
            <w:pPr>
              <w:pStyle w:val="44"/>
              <w:bidi w:val="0"/>
              <w:jc w:val="center"/>
              <w:rPr>
                <w:rFonts w:hint="default" w:ascii="Times New Roman" w:hAnsi="Times New Roman" w:cs="Times New Roman"/>
                <w:color w:val="auto"/>
              </w:rPr>
            </w:pPr>
          </w:p>
        </w:tc>
        <w:tc>
          <w:tcPr>
            <w:tcW w:w="1726" w:type="dxa"/>
            <w:tcBorders>
              <w:tl2br w:val="nil"/>
              <w:tr2bl w:val="nil"/>
            </w:tcBorders>
            <w:vAlign w:val="center"/>
          </w:tcPr>
          <w:p w14:paraId="6B27A8E3">
            <w:pPr>
              <w:pStyle w:val="44"/>
              <w:bidi w:val="0"/>
              <w:jc w:val="center"/>
              <w:rPr>
                <w:rFonts w:hint="default" w:ascii="Times New Roman" w:hAnsi="Times New Roman" w:cs="Times New Roman"/>
                <w:color w:val="auto"/>
              </w:rPr>
            </w:pPr>
            <w:r>
              <w:rPr>
                <w:rFonts w:hint="default" w:ascii="Times New Roman" w:hAnsi="Times New Roman" w:cs="Times New Roman"/>
                <w:color w:val="auto"/>
              </w:rPr>
              <w:t>总计</w:t>
            </w:r>
          </w:p>
        </w:tc>
        <w:tc>
          <w:tcPr>
            <w:tcW w:w="1701" w:type="dxa"/>
            <w:tcBorders>
              <w:tl2br w:val="nil"/>
              <w:tr2bl w:val="nil"/>
            </w:tcBorders>
            <w:vAlign w:val="center"/>
          </w:tcPr>
          <w:p w14:paraId="6B86EF25">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292.14</w:t>
            </w:r>
          </w:p>
        </w:tc>
        <w:tc>
          <w:tcPr>
            <w:tcW w:w="1715" w:type="dxa"/>
            <w:tcBorders>
              <w:tl2br w:val="nil"/>
              <w:tr2bl w:val="nil"/>
            </w:tcBorders>
            <w:vAlign w:val="center"/>
          </w:tcPr>
          <w:p w14:paraId="329140D3">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4.99</w:t>
            </w:r>
          </w:p>
        </w:tc>
        <w:tc>
          <w:tcPr>
            <w:tcW w:w="1717" w:type="dxa"/>
            <w:tcBorders>
              <w:tl2br w:val="nil"/>
              <w:tr2bl w:val="nil"/>
            </w:tcBorders>
            <w:vAlign w:val="center"/>
          </w:tcPr>
          <w:p w14:paraId="0970A52A">
            <w:pPr>
              <w:pStyle w:val="44"/>
              <w:bidi w:val="0"/>
              <w:jc w:val="center"/>
              <w:rPr>
                <w:rFonts w:hint="default" w:ascii="Times New Roman" w:hAnsi="Times New Roman" w:cs="Times New Roman"/>
                <w:color w:val="auto"/>
              </w:rPr>
            </w:pPr>
            <w:r>
              <w:rPr>
                <w:rFonts w:hint="default" w:ascii="Times New Roman" w:hAnsi="Times New Roman" w:cs="Times New Roman"/>
                <w:color w:val="auto"/>
              </w:rPr>
              <w:t>100.00</w:t>
            </w:r>
          </w:p>
        </w:tc>
      </w:tr>
      <w:tr w14:paraId="40D498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89" w:type="dxa"/>
            <w:gridSpan w:val="2"/>
            <w:tcBorders>
              <w:tl2br w:val="nil"/>
              <w:tr2bl w:val="nil"/>
            </w:tcBorders>
            <w:vAlign w:val="center"/>
          </w:tcPr>
          <w:p w14:paraId="7095B603">
            <w:pPr>
              <w:pStyle w:val="44"/>
              <w:bidi w:val="0"/>
              <w:jc w:val="center"/>
              <w:rPr>
                <w:rFonts w:hint="default" w:ascii="Times New Roman" w:hAnsi="Times New Roman" w:cs="Times New Roman"/>
                <w:color w:val="auto"/>
              </w:rPr>
            </w:pPr>
            <w:r>
              <w:rPr>
                <w:rFonts w:hint="default" w:ascii="Times New Roman" w:hAnsi="Times New Roman" w:cs="Times New Roman"/>
                <w:color w:val="auto"/>
              </w:rPr>
              <w:t>☆02离子</w:t>
            </w:r>
          </w:p>
        </w:tc>
        <w:tc>
          <w:tcPr>
            <w:tcW w:w="1701" w:type="dxa"/>
            <w:tcBorders>
              <w:tl2br w:val="nil"/>
              <w:tr2bl w:val="nil"/>
            </w:tcBorders>
            <w:vAlign w:val="center"/>
          </w:tcPr>
          <w:p w14:paraId="3A7471BF">
            <w:pPr>
              <w:pStyle w:val="44"/>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mg/L</w:t>
            </w:r>
          </w:p>
        </w:tc>
        <w:tc>
          <w:tcPr>
            <w:tcW w:w="1715" w:type="dxa"/>
            <w:tcBorders>
              <w:tl2br w:val="nil"/>
              <w:tr2bl w:val="nil"/>
            </w:tcBorders>
            <w:vAlign w:val="center"/>
          </w:tcPr>
          <w:p w14:paraId="203C9284">
            <w:pPr>
              <w:pStyle w:val="44"/>
              <w:bidi w:val="0"/>
              <w:jc w:val="center"/>
              <w:rPr>
                <w:rFonts w:hint="default" w:ascii="Times New Roman" w:hAnsi="Times New Roman" w:cs="Times New Roman"/>
                <w:color w:val="auto"/>
              </w:rPr>
            </w:pPr>
            <w:r>
              <w:rPr>
                <w:rFonts w:hint="default" w:ascii="Times New Roman" w:hAnsi="Times New Roman" w:cs="Times New Roman"/>
                <w:color w:val="auto"/>
              </w:rPr>
              <w:t>meq/L</w:t>
            </w:r>
          </w:p>
        </w:tc>
        <w:tc>
          <w:tcPr>
            <w:tcW w:w="1717" w:type="dxa"/>
            <w:tcBorders>
              <w:tl2br w:val="nil"/>
              <w:tr2bl w:val="nil"/>
            </w:tcBorders>
            <w:vAlign w:val="center"/>
          </w:tcPr>
          <w:p w14:paraId="4ECD9B88">
            <w:pPr>
              <w:pStyle w:val="44"/>
              <w:bidi w:val="0"/>
              <w:jc w:val="center"/>
              <w:rPr>
                <w:rFonts w:hint="default" w:ascii="Times New Roman" w:hAnsi="Times New Roman" w:cs="Times New Roman"/>
                <w:color w:val="auto"/>
              </w:rPr>
            </w:pPr>
            <w:r>
              <w:rPr>
                <w:rFonts w:hint="default" w:ascii="Times New Roman" w:hAnsi="Times New Roman" w:cs="Times New Roman"/>
                <w:color w:val="auto"/>
              </w:rPr>
              <w:t>meq%</w:t>
            </w:r>
          </w:p>
        </w:tc>
      </w:tr>
      <w:tr w14:paraId="5180BB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0" w:hRule="atLeast"/>
        </w:trPr>
        <w:tc>
          <w:tcPr>
            <w:tcW w:w="1663" w:type="dxa"/>
            <w:vMerge w:val="restart"/>
            <w:tcBorders>
              <w:tl2br w:val="nil"/>
              <w:tr2bl w:val="nil"/>
            </w:tcBorders>
            <w:vAlign w:val="center"/>
          </w:tcPr>
          <w:p w14:paraId="36EA8BFD">
            <w:pPr>
              <w:pStyle w:val="44"/>
              <w:bidi w:val="0"/>
              <w:jc w:val="center"/>
              <w:rPr>
                <w:rFonts w:hint="default" w:ascii="Times New Roman" w:hAnsi="Times New Roman" w:cs="Times New Roman"/>
                <w:color w:val="auto"/>
              </w:rPr>
            </w:pPr>
            <w:r>
              <w:rPr>
                <w:rFonts w:hint="default" w:ascii="Times New Roman" w:hAnsi="Times New Roman" w:cs="Times New Roman"/>
                <w:color w:val="auto"/>
              </w:rPr>
              <w:t>阳</w:t>
            </w:r>
          </w:p>
          <w:p w14:paraId="5F093290">
            <w:pPr>
              <w:pStyle w:val="44"/>
              <w:bidi w:val="0"/>
              <w:jc w:val="center"/>
              <w:rPr>
                <w:rFonts w:hint="default" w:ascii="Times New Roman" w:hAnsi="Times New Roman" w:cs="Times New Roman"/>
                <w:color w:val="auto"/>
              </w:rPr>
            </w:pPr>
            <w:r>
              <w:rPr>
                <w:rFonts w:hint="default" w:ascii="Times New Roman" w:hAnsi="Times New Roman" w:cs="Times New Roman"/>
                <w:color w:val="auto"/>
              </w:rPr>
              <w:t>离</w:t>
            </w:r>
          </w:p>
          <w:p w14:paraId="7EE5AD5A">
            <w:pPr>
              <w:pStyle w:val="44"/>
              <w:bidi w:val="0"/>
              <w:jc w:val="center"/>
              <w:rPr>
                <w:rFonts w:hint="default" w:ascii="Times New Roman" w:hAnsi="Times New Roman" w:cs="Times New Roman"/>
                <w:color w:val="auto"/>
              </w:rPr>
            </w:pPr>
            <w:r>
              <w:rPr>
                <w:rFonts w:hint="default" w:ascii="Times New Roman" w:hAnsi="Times New Roman" w:cs="Times New Roman"/>
                <w:color w:val="auto"/>
              </w:rPr>
              <w:t>子</w:t>
            </w:r>
          </w:p>
        </w:tc>
        <w:tc>
          <w:tcPr>
            <w:tcW w:w="1726" w:type="dxa"/>
            <w:tcBorders>
              <w:tl2br w:val="nil"/>
              <w:tr2bl w:val="nil"/>
            </w:tcBorders>
            <w:vAlign w:val="center"/>
          </w:tcPr>
          <w:p w14:paraId="4C385D3D">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K</w:t>
            </w:r>
            <w:r>
              <w:rPr>
                <w:rFonts w:hint="default" w:ascii="Times New Roman" w:hAnsi="Times New Roman" w:cs="Times New Roman"/>
                <w:color w:val="auto"/>
                <w:vertAlign w:val="superscript"/>
              </w:rPr>
              <w:t>+</w:t>
            </w:r>
          </w:p>
        </w:tc>
        <w:tc>
          <w:tcPr>
            <w:tcW w:w="1701" w:type="dxa"/>
            <w:tcBorders>
              <w:tl2br w:val="nil"/>
              <w:tr2bl w:val="nil"/>
            </w:tcBorders>
            <w:vAlign w:val="center"/>
          </w:tcPr>
          <w:p w14:paraId="295DDDA1">
            <w:pPr>
              <w:pStyle w:val="44"/>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1.97</w:t>
            </w:r>
          </w:p>
        </w:tc>
        <w:tc>
          <w:tcPr>
            <w:tcW w:w="1715" w:type="dxa"/>
            <w:tcBorders>
              <w:tl2br w:val="nil"/>
              <w:tr2bl w:val="nil"/>
            </w:tcBorders>
            <w:vAlign w:val="center"/>
          </w:tcPr>
          <w:p w14:paraId="110C359E">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0.51</w:t>
            </w:r>
          </w:p>
        </w:tc>
        <w:tc>
          <w:tcPr>
            <w:tcW w:w="1717" w:type="dxa"/>
            <w:vMerge w:val="restart"/>
            <w:tcBorders>
              <w:tl2br w:val="nil"/>
              <w:tr2bl w:val="nil"/>
            </w:tcBorders>
            <w:vAlign w:val="center"/>
          </w:tcPr>
          <w:p w14:paraId="42C98691">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6.48</w:t>
            </w:r>
          </w:p>
        </w:tc>
      </w:tr>
      <w:tr w14:paraId="296176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 w:hRule="atLeast"/>
        </w:trPr>
        <w:tc>
          <w:tcPr>
            <w:tcW w:w="1663" w:type="dxa"/>
            <w:vMerge w:val="continue"/>
            <w:tcBorders>
              <w:tl2br w:val="nil"/>
              <w:tr2bl w:val="nil"/>
            </w:tcBorders>
            <w:vAlign w:val="center"/>
          </w:tcPr>
          <w:p w14:paraId="52B2D722">
            <w:pPr>
              <w:pStyle w:val="44"/>
              <w:bidi w:val="0"/>
              <w:jc w:val="center"/>
              <w:rPr>
                <w:rFonts w:hint="default" w:ascii="Times New Roman" w:hAnsi="Times New Roman" w:cs="Times New Roman"/>
                <w:color w:val="auto"/>
              </w:rPr>
            </w:pPr>
          </w:p>
        </w:tc>
        <w:tc>
          <w:tcPr>
            <w:tcW w:w="1726" w:type="dxa"/>
            <w:tcBorders>
              <w:tl2br w:val="nil"/>
              <w:tr2bl w:val="nil"/>
            </w:tcBorders>
            <w:vAlign w:val="center"/>
          </w:tcPr>
          <w:p w14:paraId="31F41DC0">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Na</w:t>
            </w:r>
            <w:r>
              <w:rPr>
                <w:rFonts w:hint="default" w:ascii="Times New Roman" w:hAnsi="Times New Roman" w:cs="Times New Roman"/>
                <w:color w:val="auto"/>
                <w:vertAlign w:val="superscript"/>
              </w:rPr>
              <w:t>+</w:t>
            </w:r>
          </w:p>
        </w:tc>
        <w:tc>
          <w:tcPr>
            <w:tcW w:w="1701" w:type="dxa"/>
            <w:tcBorders>
              <w:tl2br w:val="nil"/>
              <w:tr2bl w:val="nil"/>
            </w:tcBorders>
            <w:vAlign w:val="center"/>
          </w:tcPr>
          <w:p w14:paraId="7D2625E3">
            <w:pPr>
              <w:pStyle w:val="44"/>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6.34</w:t>
            </w:r>
          </w:p>
        </w:tc>
        <w:tc>
          <w:tcPr>
            <w:tcW w:w="1715" w:type="dxa"/>
            <w:tcBorders>
              <w:tl2br w:val="nil"/>
              <w:tr2bl w:val="nil"/>
            </w:tcBorders>
            <w:vAlign w:val="center"/>
          </w:tcPr>
          <w:p w14:paraId="3B887F2F">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0.28</w:t>
            </w:r>
          </w:p>
        </w:tc>
        <w:tc>
          <w:tcPr>
            <w:tcW w:w="1717" w:type="dxa"/>
            <w:vMerge w:val="continue"/>
            <w:tcBorders>
              <w:tl2br w:val="nil"/>
              <w:tr2bl w:val="nil"/>
            </w:tcBorders>
            <w:vAlign w:val="center"/>
          </w:tcPr>
          <w:p w14:paraId="7E840284">
            <w:pPr>
              <w:pStyle w:val="44"/>
              <w:bidi w:val="0"/>
              <w:jc w:val="center"/>
              <w:rPr>
                <w:rFonts w:hint="default" w:ascii="Times New Roman" w:hAnsi="Times New Roman" w:cs="Times New Roman"/>
                <w:color w:val="auto"/>
              </w:rPr>
            </w:pPr>
          </w:p>
        </w:tc>
      </w:tr>
      <w:tr w14:paraId="79406C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0" w:hRule="atLeast"/>
        </w:trPr>
        <w:tc>
          <w:tcPr>
            <w:tcW w:w="1663" w:type="dxa"/>
            <w:vMerge w:val="continue"/>
            <w:tcBorders>
              <w:tl2br w:val="nil"/>
              <w:tr2bl w:val="nil"/>
            </w:tcBorders>
            <w:vAlign w:val="center"/>
          </w:tcPr>
          <w:p w14:paraId="0E7BEBC3">
            <w:pPr>
              <w:pStyle w:val="44"/>
              <w:bidi w:val="0"/>
              <w:jc w:val="center"/>
              <w:rPr>
                <w:rFonts w:hint="default" w:ascii="Times New Roman" w:hAnsi="Times New Roman" w:cs="Times New Roman"/>
                <w:color w:val="auto"/>
              </w:rPr>
            </w:pPr>
          </w:p>
        </w:tc>
        <w:tc>
          <w:tcPr>
            <w:tcW w:w="1726" w:type="dxa"/>
            <w:tcBorders>
              <w:tl2br w:val="nil"/>
              <w:tr2bl w:val="nil"/>
            </w:tcBorders>
            <w:vAlign w:val="center"/>
          </w:tcPr>
          <w:p w14:paraId="51809F0E">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Ca</w:t>
            </w:r>
            <w:r>
              <w:rPr>
                <w:rFonts w:hint="default" w:ascii="Times New Roman" w:hAnsi="Times New Roman" w:cs="Times New Roman"/>
                <w:color w:val="auto"/>
                <w:vertAlign w:val="superscript"/>
              </w:rPr>
              <w:t>2+</w:t>
            </w:r>
          </w:p>
        </w:tc>
        <w:tc>
          <w:tcPr>
            <w:tcW w:w="1701" w:type="dxa"/>
            <w:tcBorders>
              <w:tl2br w:val="nil"/>
              <w:tr2bl w:val="nil"/>
            </w:tcBorders>
            <w:vAlign w:val="center"/>
          </w:tcPr>
          <w:p w14:paraId="69F9BF09">
            <w:pPr>
              <w:pStyle w:val="44"/>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49.1</w:t>
            </w:r>
          </w:p>
        </w:tc>
        <w:tc>
          <w:tcPr>
            <w:tcW w:w="1715" w:type="dxa"/>
            <w:tcBorders>
              <w:tl2br w:val="nil"/>
              <w:tr2bl w:val="nil"/>
            </w:tcBorders>
            <w:vAlign w:val="center"/>
          </w:tcPr>
          <w:p w14:paraId="60F7E33E">
            <w:pPr>
              <w:pStyle w:val="44"/>
              <w:bidi w:val="0"/>
              <w:ind w:firstLine="0" w:firstLineChars="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2.45</w:t>
            </w:r>
          </w:p>
        </w:tc>
        <w:tc>
          <w:tcPr>
            <w:tcW w:w="1717" w:type="dxa"/>
            <w:tcBorders>
              <w:tl2br w:val="nil"/>
              <w:tr2bl w:val="nil"/>
            </w:tcBorders>
            <w:vAlign w:val="center"/>
          </w:tcPr>
          <w:p w14:paraId="63A12E3F">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lang w:val="en-US" w:eastAsia="zh-CN"/>
              </w:rPr>
              <w:t>48.71</w:t>
            </w:r>
          </w:p>
        </w:tc>
      </w:tr>
      <w:tr w14:paraId="5C99EC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 w:hRule="atLeast"/>
        </w:trPr>
        <w:tc>
          <w:tcPr>
            <w:tcW w:w="1663" w:type="dxa"/>
            <w:vMerge w:val="continue"/>
            <w:tcBorders>
              <w:tl2br w:val="nil"/>
              <w:tr2bl w:val="nil"/>
            </w:tcBorders>
            <w:vAlign w:val="center"/>
          </w:tcPr>
          <w:p w14:paraId="0CDA4250">
            <w:pPr>
              <w:pStyle w:val="44"/>
              <w:bidi w:val="0"/>
              <w:jc w:val="center"/>
              <w:rPr>
                <w:rFonts w:hint="default" w:ascii="Times New Roman" w:hAnsi="Times New Roman" w:cs="Times New Roman"/>
                <w:color w:val="auto"/>
              </w:rPr>
            </w:pPr>
          </w:p>
        </w:tc>
        <w:tc>
          <w:tcPr>
            <w:tcW w:w="1726" w:type="dxa"/>
            <w:tcBorders>
              <w:tl2br w:val="nil"/>
              <w:tr2bl w:val="nil"/>
            </w:tcBorders>
            <w:vAlign w:val="center"/>
          </w:tcPr>
          <w:p w14:paraId="055D6451">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Mg</w:t>
            </w:r>
            <w:r>
              <w:rPr>
                <w:rFonts w:hint="default" w:ascii="Times New Roman" w:hAnsi="Times New Roman" w:cs="Times New Roman"/>
                <w:color w:val="auto"/>
                <w:vertAlign w:val="superscript"/>
              </w:rPr>
              <w:t>2+</w:t>
            </w:r>
          </w:p>
        </w:tc>
        <w:tc>
          <w:tcPr>
            <w:tcW w:w="1701" w:type="dxa"/>
            <w:tcBorders>
              <w:tl2br w:val="nil"/>
              <w:tr2bl w:val="nil"/>
            </w:tcBorders>
            <w:vAlign w:val="center"/>
          </w:tcPr>
          <w:p w14:paraId="6ADE2BF3">
            <w:pPr>
              <w:pStyle w:val="44"/>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27.4</w:t>
            </w:r>
          </w:p>
        </w:tc>
        <w:tc>
          <w:tcPr>
            <w:tcW w:w="1715" w:type="dxa"/>
            <w:tcBorders>
              <w:tl2br w:val="nil"/>
              <w:tr2bl w:val="nil"/>
            </w:tcBorders>
            <w:vAlign w:val="center"/>
          </w:tcPr>
          <w:p w14:paraId="6848EFC7">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2.25</w:t>
            </w:r>
          </w:p>
        </w:tc>
        <w:tc>
          <w:tcPr>
            <w:tcW w:w="1717" w:type="dxa"/>
            <w:tcBorders>
              <w:tl2br w:val="nil"/>
              <w:tr2bl w:val="nil"/>
            </w:tcBorders>
            <w:vAlign w:val="center"/>
          </w:tcPr>
          <w:p w14:paraId="512391B7">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44.81</w:t>
            </w:r>
          </w:p>
        </w:tc>
      </w:tr>
      <w:tr w14:paraId="30449E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trPr>
        <w:tc>
          <w:tcPr>
            <w:tcW w:w="1663" w:type="dxa"/>
            <w:vMerge w:val="continue"/>
            <w:tcBorders>
              <w:tl2br w:val="nil"/>
              <w:tr2bl w:val="nil"/>
            </w:tcBorders>
            <w:vAlign w:val="center"/>
          </w:tcPr>
          <w:p w14:paraId="18240D75">
            <w:pPr>
              <w:pStyle w:val="44"/>
              <w:bidi w:val="0"/>
              <w:jc w:val="center"/>
              <w:rPr>
                <w:rFonts w:hint="default" w:ascii="Times New Roman" w:hAnsi="Times New Roman" w:cs="Times New Roman"/>
                <w:color w:val="auto"/>
              </w:rPr>
            </w:pPr>
          </w:p>
        </w:tc>
        <w:tc>
          <w:tcPr>
            <w:tcW w:w="1726" w:type="dxa"/>
            <w:tcBorders>
              <w:tl2br w:val="nil"/>
              <w:tr2bl w:val="nil"/>
            </w:tcBorders>
            <w:vAlign w:val="center"/>
          </w:tcPr>
          <w:p w14:paraId="3A24F98D">
            <w:pPr>
              <w:pStyle w:val="44"/>
              <w:bidi w:val="0"/>
              <w:jc w:val="center"/>
              <w:rPr>
                <w:rFonts w:hint="default" w:ascii="Times New Roman" w:hAnsi="Times New Roman" w:cs="Times New Roman"/>
                <w:color w:val="auto"/>
              </w:rPr>
            </w:pPr>
            <w:r>
              <w:rPr>
                <w:rFonts w:hint="default" w:ascii="Times New Roman" w:hAnsi="Times New Roman" w:cs="Times New Roman"/>
                <w:color w:val="auto"/>
              </w:rPr>
              <w:t>总计</w:t>
            </w:r>
          </w:p>
        </w:tc>
        <w:tc>
          <w:tcPr>
            <w:tcW w:w="1701" w:type="dxa"/>
            <w:tcBorders>
              <w:tl2br w:val="nil"/>
              <w:tr2bl w:val="nil"/>
            </w:tcBorders>
            <w:vAlign w:val="center"/>
          </w:tcPr>
          <w:p w14:paraId="37866AF8">
            <w:pPr>
              <w:pStyle w:val="44"/>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84.81</w:t>
            </w:r>
          </w:p>
        </w:tc>
        <w:tc>
          <w:tcPr>
            <w:tcW w:w="1715" w:type="dxa"/>
            <w:tcBorders>
              <w:tl2br w:val="nil"/>
              <w:tr2bl w:val="nil"/>
            </w:tcBorders>
            <w:vAlign w:val="center"/>
          </w:tcPr>
          <w:p w14:paraId="3AC27047">
            <w:pPr>
              <w:pStyle w:val="44"/>
              <w:bidi w:val="0"/>
              <w:jc w:val="center"/>
              <w:rPr>
                <w:rFonts w:hint="default" w:ascii="Times New Roman" w:hAnsi="Times New Roman" w:cs="Times New Roman"/>
                <w:color w:val="auto"/>
              </w:rPr>
            </w:pPr>
            <w:r>
              <w:rPr>
                <w:rFonts w:hint="default" w:ascii="Times New Roman" w:hAnsi="Times New Roman" w:cs="Times New Roman"/>
                <w:color w:val="auto"/>
              </w:rPr>
              <w:t>5.</w:t>
            </w:r>
            <w:r>
              <w:rPr>
                <w:rFonts w:hint="default" w:ascii="Times New Roman" w:hAnsi="Times New Roman" w:cs="Times New Roman"/>
                <w:color w:val="auto"/>
                <w:lang w:val="en-US" w:eastAsia="zh-CN"/>
              </w:rPr>
              <w:t>03</w:t>
            </w:r>
          </w:p>
        </w:tc>
        <w:tc>
          <w:tcPr>
            <w:tcW w:w="1717" w:type="dxa"/>
            <w:tcBorders>
              <w:tl2br w:val="nil"/>
              <w:tr2bl w:val="nil"/>
            </w:tcBorders>
            <w:vAlign w:val="center"/>
          </w:tcPr>
          <w:p w14:paraId="505A38DF">
            <w:pPr>
              <w:pStyle w:val="44"/>
              <w:bidi w:val="0"/>
              <w:jc w:val="center"/>
              <w:rPr>
                <w:rFonts w:hint="default" w:ascii="Times New Roman" w:hAnsi="Times New Roman" w:cs="Times New Roman"/>
                <w:color w:val="auto"/>
              </w:rPr>
            </w:pPr>
            <w:r>
              <w:rPr>
                <w:rFonts w:hint="default" w:ascii="Times New Roman" w:hAnsi="Times New Roman" w:cs="Times New Roman"/>
                <w:color w:val="auto"/>
              </w:rPr>
              <w:t>100.00</w:t>
            </w:r>
          </w:p>
        </w:tc>
      </w:tr>
      <w:tr w14:paraId="401F73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trPr>
        <w:tc>
          <w:tcPr>
            <w:tcW w:w="1663" w:type="dxa"/>
            <w:vMerge w:val="restart"/>
            <w:tcBorders>
              <w:tl2br w:val="nil"/>
              <w:tr2bl w:val="nil"/>
            </w:tcBorders>
            <w:vAlign w:val="center"/>
          </w:tcPr>
          <w:p w14:paraId="537306AB">
            <w:pPr>
              <w:pStyle w:val="44"/>
              <w:bidi w:val="0"/>
              <w:jc w:val="center"/>
              <w:rPr>
                <w:rFonts w:hint="default" w:ascii="Times New Roman" w:hAnsi="Times New Roman" w:cs="Times New Roman"/>
                <w:color w:val="auto"/>
              </w:rPr>
            </w:pPr>
            <w:r>
              <w:rPr>
                <w:rFonts w:hint="default" w:ascii="Times New Roman" w:hAnsi="Times New Roman" w:cs="Times New Roman"/>
                <w:color w:val="auto"/>
              </w:rPr>
              <w:t>阴</w:t>
            </w:r>
          </w:p>
          <w:p w14:paraId="7ED3AE2D">
            <w:pPr>
              <w:pStyle w:val="44"/>
              <w:bidi w:val="0"/>
              <w:jc w:val="center"/>
              <w:rPr>
                <w:rFonts w:hint="default" w:ascii="Times New Roman" w:hAnsi="Times New Roman" w:cs="Times New Roman"/>
                <w:color w:val="auto"/>
              </w:rPr>
            </w:pPr>
            <w:r>
              <w:rPr>
                <w:rFonts w:hint="default" w:ascii="Times New Roman" w:hAnsi="Times New Roman" w:cs="Times New Roman"/>
                <w:color w:val="auto"/>
              </w:rPr>
              <w:t>离</w:t>
            </w:r>
          </w:p>
          <w:p w14:paraId="19CDEF4F">
            <w:pPr>
              <w:pStyle w:val="44"/>
              <w:bidi w:val="0"/>
              <w:jc w:val="center"/>
              <w:rPr>
                <w:rFonts w:hint="default" w:ascii="Times New Roman" w:hAnsi="Times New Roman" w:cs="Times New Roman"/>
                <w:color w:val="auto"/>
              </w:rPr>
            </w:pPr>
            <w:r>
              <w:rPr>
                <w:rFonts w:hint="default" w:ascii="Times New Roman" w:hAnsi="Times New Roman" w:cs="Times New Roman"/>
                <w:color w:val="auto"/>
              </w:rPr>
              <w:t>子</w:t>
            </w:r>
          </w:p>
        </w:tc>
        <w:tc>
          <w:tcPr>
            <w:tcW w:w="1726" w:type="dxa"/>
            <w:tcBorders>
              <w:tl2br w:val="nil"/>
              <w:tr2bl w:val="nil"/>
            </w:tcBorders>
            <w:vAlign w:val="center"/>
          </w:tcPr>
          <w:p w14:paraId="0C626007">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HCO</w:t>
            </w:r>
            <w:r>
              <w:rPr>
                <w:rFonts w:hint="default" w:ascii="Times New Roman" w:hAnsi="Times New Roman" w:cs="Times New Roman"/>
                <w:color w:val="auto"/>
                <w:vertAlign w:val="subscript"/>
              </w:rPr>
              <w:t>3</w:t>
            </w:r>
            <w:r>
              <w:rPr>
                <w:rFonts w:hint="default" w:ascii="Times New Roman" w:hAnsi="Times New Roman" w:cs="Times New Roman"/>
                <w:color w:val="auto"/>
                <w:vertAlign w:val="superscript"/>
              </w:rPr>
              <w:t>-</w:t>
            </w:r>
          </w:p>
        </w:tc>
        <w:tc>
          <w:tcPr>
            <w:tcW w:w="1701" w:type="dxa"/>
            <w:tcBorders>
              <w:tl2br w:val="nil"/>
              <w:tr2bl w:val="nil"/>
            </w:tcBorders>
            <w:vAlign w:val="center"/>
          </w:tcPr>
          <w:p w14:paraId="350A941B">
            <w:pPr>
              <w:pStyle w:val="44"/>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258</w:t>
            </w:r>
          </w:p>
        </w:tc>
        <w:tc>
          <w:tcPr>
            <w:tcW w:w="1715" w:type="dxa"/>
            <w:tcBorders>
              <w:tl2br w:val="nil"/>
              <w:tr2bl w:val="nil"/>
            </w:tcBorders>
            <w:vAlign w:val="center"/>
          </w:tcPr>
          <w:p w14:paraId="71E0A60C">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4.23</w:t>
            </w:r>
          </w:p>
        </w:tc>
        <w:tc>
          <w:tcPr>
            <w:tcW w:w="1717" w:type="dxa"/>
            <w:tcBorders>
              <w:tl2br w:val="nil"/>
              <w:tr2bl w:val="nil"/>
            </w:tcBorders>
            <w:vAlign w:val="center"/>
          </w:tcPr>
          <w:p w14:paraId="524F1D2F">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88.42</w:t>
            </w:r>
          </w:p>
        </w:tc>
      </w:tr>
      <w:tr w14:paraId="14EDEF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trPr>
        <w:tc>
          <w:tcPr>
            <w:tcW w:w="1663" w:type="dxa"/>
            <w:vMerge w:val="continue"/>
            <w:tcBorders>
              <w:tl2br w:val="nil"/>
              <w:tr2bl w:val="nil"/>
            </w:tcBorders>
            <w:vAlign w:val="center"/>
          </w:tcPr>
          <w:p w14:paraId="11A2F1DB">
            <w:pPr>
              <w:pStyle w:val="44"/>
              <w:bidi w:val="0"/>
              <w:jc w:val="center"/>
              <w:rPr>
                <w:rFonts w:hint="default" w:ascii="Times New Roman" w:hAnsi="Times New Roman" w:cs="Times New Roman"/>
                <w:color w:val="auto"/>
              </w:rPr>
            </w:pPr>
          </w:p>
        </w:tc>
        <w:tc>
          <w:tcPr>
            <w:tcW w:w="1726" w:type="dxa"/>
            <w:tcBorders>
              <w:tl2br w:val="nil"/>
              <w:tr2bl w:val="nil"/>
            </w:tcBorders>
            <w:vAlign w:val="center"/>
          </w:tcPr>
          <w:p w14:paraId="33250B4B">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C</w:t>
            </w:r>
            <w:r>
              <w:rPr>
                <w:rFonts w:hint="default" w:ascii="Times New Roman" w:hAnsi="Times New Roman" w:cs="Times New Roman"/>
                <w:color w:val="auto"/>
                <w:vertAlign w:val="baseline"/>
              </w:rPr>
              <w:t>l</w:t>
            </w:r>
            <w:r>
              <w:rPr>
                <w:rFonts w:hint="default" w:ascii="Times New Roman" w:hAnsi="Times New Roman" w:cs="Times New Roman"/>
                <w:color w:val="auto"/>
                <w:vertAlign w:val="superscript"/>
              </w:rPr>
              <w:t>-</w:t>
            </w:r>
          </w:p>
        </w:tc>
        <w:tc>
          <w:tcPr>
            <w:tcW w:w="1701" w:type="dxa"/>
            <w:tcBorders>
              <w:tl2br w:val="nil"/>
              <w:tr2bl w:val="nil"/>
            </w:tcBorders>
            <w:vAlign w:val="center"/>
          </w:tcPr>
          <w:p w14:paraId="2F2F0095">
            <w:pPr>
              <w:pStyle w:val="44"/>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5.91</w:t>
            </w:r>
          </w:p>
        </w:tc>
        <w:tc>
          <w:tcPr>
            <w:tcW w:w="1715" w:type="dxa"/>
            <w:tcBorders>
              <w:tl2br w:val="nil"/>
              <w:tr2bl w:val="nil"/>
            </w:tcBorders>
            <w:vAlign w:val="center"/>
          </w:tcPr>
          <w:p w14:paraId="393620C8">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0.17</w:t>
            </w:r>
          </w:p>
        </w:tc>
        <w:tc>
          <w:tcPr>
            <w:tcW w:w="1717" w:type="dxa"/>
            <w:tcBorders>
              <w:tl2br w:val="nil"/>
              <w:tr2bl w:val="nil"/>
            </w:tcBorders>
            <w:vAlign w:val="center"/>
          </w:tcPr>
          <w:p w14:paraId="6C946B86">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3.52</w:t>
            </w:r>
          </w:p>
        </w:tc>
      </w:tr>
      <w:tr w14:paraId="2BACF3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trPr>
        <w:tc>
          <w:tcPr>
            <w:tcW w:w="1663" w:type="dxa"/>
            <w:vMerge w:val="continue"/>
            <w:tcBorders>
              <w:tl2br w:val="nil"/>
              <w:tr2bl w:val="nil"/>
            </w:tcBorders>
            <w:vAlign w:val="center"/>
          </w:tcPr>
          <w:p w14:paraId="0716BDD6">
            <w:pPr>
              <w:pStyle w:val="44"/>
              <w:bidi w:val="0"/>
              <w:jc w:val="center"/>
              <w:rPr>
                <w:rFonts w:hint="default" w:ascii="Times New Roman" w:hAnsi="Times New Roman" w:cs="Times New Roman"/>
                <w:color w:val="auto"/>
              </w:rPr>
            </w:pPr>
          </w:p>
        </w:tc>
        <w:tc>
          <w:tcPr>
            <w:tcW w:w="1726" w:type="dxa"/>
            <w:tcBorders>
              <w:tl2br w:val="nil"/>
              <w:tr2bl w:val="nil"/>
            </w:tcBorders>
            <w:vAlign w:val="center"/>
          </w:tcPr>
          <w:p w14:paraId="0E7D6D19">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SO</w:t>
            </w:r>
            <w:r>
              <w:rPr>
                <w:rFonts w:hint="default" w:ascii="Times New Roman" w:hAnsi="Times New Roman" w:cs="Times New Roman"/>
                <w:color w:val="auto"/>
                <w:vertAlign w:val="subscript"/>
              </w:rPr>
              <w:t>4</w:t>
            </w:r>
            <w:r>
              <w:rPr>
                <w:rFonts w:hint="default" w:ascii="Times New Roman" w:hAnsi="Times New Roman" w:cs="Times New Roman"/>
                <w:color w:val="auto"/>
                <w:vertAlign w:val="superscript"/>
              </w:rPr>
              <w:t>2-</w:t>
            </w:r>
          </w:p>
        </w:tc>
        <w:tc>
          <w:tcPr>
            <w:tcW w:w="1701" w:type="dxa"/>
            <w:tcBorders>
              <w:tl2br w:val="nil"/>
              <w:tr2bl w:val="nil"/>
            </w:tcBorders>
            <w:vAlign w:val="center"/>
          </w:tcPr>
          <w:p w14:paraId="7CCF0DF4">
            <w:pPr>
              <w:pStyle w:val="44"/>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18.5</w:t>
            </w:r>
          </w:p>
        </w:tc>
        <w:tc>
          <w:tcPr>
            <w:tcW w:w="1715" w:type="dxa"/>
            <w:tcBorders>
              <w:tl2br w:val="nil"/>
              <w:tr2bl w:val="nil"/>
            </w:tcBorders>
            <w:vAlign w:val="center"/>
          </w:tcPr>
          <w:p w14:paraId="2E573A7C">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rPr>
              <w:t>0.</w:t>
            </w:r>
            <w:r>
              <w:rPr>
                <w:rFonts w:hint="default" w:ascii="Times New Roman" w:hAnsi="Times New Roman" w:cs="Times New Roman"/>
                <w:color w:val="auto"/>
                <w:lang w:val="en-US" w:eastAsia="zh-CN"/>
              </w:rPr>
              <w:t>39</w:t>
            </w:r>
          </w:p>
        </w:tc>
        <w:tc>
          <w:tcPr>
            <w:tcW w:w="1717" w:type="dxa"/>
            <w:tcBorders>
              <w:tl2br w:val="nil"/>
              <w:tr2bl w:val="nil"/>
            </w:tcBorders>
            <w:vAlign w:val="center"/>
          </w:tcPr>
          <w:p w14:paraId="636B6FCD">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8.06</w:t>
            </w:r>
          </w:p>
        </w:tc>
      </w:tr>
      <w:tr w14:paraId="21178A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trPr>
        <w:tc>
          <w:tcPr>
            <w:tcW w:w="1663" w:type="dxa"/>
            <w:vMerge w:val="continue"/>
            <w:tcBorders>
              <w:tl2br w:val="nil"/>
              <w:tr2bl w:val="nil"/>
            </w:tcBorders>
            <w:vAlign w:val="center"/>
          </w:tcPr>
          <w:p w14:paraId="250B0709">
            <w:pPr>
              <w:pStyle w:val="44"/>
              <w:bidi w:val="0"/>
              <w:jc w:val="center"/>
              <w:rPr>
                <w:rFonts w:hint="default" w:ascii="Times New Roman" w:hAnsi="Times New Roman" w:cs="Times New Roman"/>
                <w:color w:val="auto"/>
              </w:rPr>
            </w:pPr>
          </w:p>
        </w:tc>
        <w:tc>
          <w:tcPr>
            <w:tcW w:w="1726" w:type="dxa"/>
            <w:tcBorders>
              <w:tl2br w:val="nil"/>
              <w:tr2bl w:val="nil"/>
            </w:tcBorders>
            <w:vAlign w:val="center"/>
          </w:tcPr>
          <w:p w14:paraId="3319A9CE">
            <w:pPr>
              <w:pStyle w:val="44"/>
              <w:bidi w:val="0"/>
              <w:jc w:val="center"/>
              <w:rPr>
                <w:rFonts w:hint="default" w:ascii="Times New Roman" w:hAnsi="Times New Roman" w:cs="Times New Roman"/>
                <w:color w:val="auto"/>
              </w:rPr>
            </w:pPr>
            <w:r>
              <w:rPr>
                <w:rFonts w:hint="default" w:ascii="Times New Roman" w:hAnsi="Times New Roman" w:cs="Times New Roman"/>
                <w:color w:val="auto"/>
              </w:rPr>
              <w:t>总计</w:t>
            </w:r>
          </w:p>
        </w:tc>
        <w:tc>
          <w:tcPr>
            <w:tcW w:w="1701" w:type="dxa"/>
            <w:tcBorders>
              <w:tl2br w:val="nil"/>
              <w:tr2bl w:val="nil"/>
            </w:tcBorders>
            <w:vAlign w:val="center"/>
          </w:tcPr>
          <w:p w14:paraId="7A940CE3">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282.41</w:t>
            </w:r>
          </w:p>
        </w:tc>
        <w:tc>
          <w:tcPr>
            <w:tcW w:w="1715" w:type="dxa"/>
            <w:tcBorders>
              <w:tl2br w:val="nil"/>
              <w:tr2bl w:val="nil"/>
            </w:tcBorders>
            <w:vAlign w:val="center"/>
          </w:tcPr>
          <w:p w14:paraId="1CBF647E">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4.78</w:t>
            </w:r>
          </w:p>
        </w:tc>
        <w:tc>
          <w:tcPr>
            <w:tcW w:w="1717" w:type="dxa"/>
            <w:tcBorders>
              <w:tl2br w:val="nil"/>
              <w:tr2bl w:val="nil"/>
            </w:tcBorders>
            <w:vAlign w:val="center"/>
          </w:tcPr>
          <w:p w14:paraId="757EEB58">
            <w:pPr>
              <w:pStyle w:val="44"/>
              <w:bidi w:val="0"/>
              <w:jc w:val="center"/>
              <w:rPr>
                <w:rFonts w:hint="default" w:ascii="Times New Roman" w:hAnsi="Times New Roman" w:cs="Times New Roman"/>
                <w:color w:val="auto"/>
              </w:rPr>
            </w:pPr>
            <w:r>
              <w:rPr>
                <w:rFonts w:hint="default" w:ascii="Times New Roman" w:hAnsi="Times New Roman" w:cs="Times New Roman"/>
                <w:color w:val="auto"/>
              </w:rPr>
              <w:t>100.00</w:t>
            </w:r>
          </w:p>
        </w:tc>
      </w:tr>
      <w:tr w14:paraId="748282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trPr>
        <w:tc>
          <w:tcPr>
            <w:tcW w:w="3389" w:type="dxa"/>
            <w:gridSpan w:val="2"/>
            <w:tcBorders>
              <w:tl2br w:val="nil"/>
              <w:tr2bl w:val="nil"/>
            </w:tcBorders>
            <w:vAlign w:val="center"/>
          </w:tcPr>
          <w:p w14:paraId="1F218537">
            <w:pPr>
              <w:pStyle w:val="44"/>
              <w:bidi w:val="0"/>
              <w:jc w:val="center"/>
              <w:rPr>
                <w:rFonts w:hint="default" w:ascii="Times New Roman" w:hAnsi="Times New Roman" w:cs="Times New Roman"/>
                <w:color w:val="auto"/>
              </w:rPr>
            </w:pPr>
            <w:r>
              <w:rPr>
                <w:rFonts w:hint="default" w:ascii="Times New Roman" w:hAnsi="Times New Roman" w:cs="Times New Roman"/>
                <w:color w:val="auto"/>
              </w:rPr>
              <w:t>☆03离子</w:t>
            </w:r>
          </w:p>
        </w:tc>
        <w:tc>
          <w:tcPr>
            <w:tcW w:w="1701" w:type="dxa"/>
            <w:tcBorders>
              <w:tl2br w:val="nil"/>
              <w:tr2bl w:val="nil"/>
            </w:tcBorders>
            <w:vAlign w:val="center"/>
          </w:tcPr>
          <w:p w14:paraId="64004F44">
            <w:pPr>
              <w:pStyle w:val="44"/>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mg/L</w:t>
            </w:r>
          </w:p>
        </w:tc>
        <w:tc>
          <w:tcPr>
            <w:tcW w:w="1715" w:type="dxa"/>
            <w:tcBorders>
              <w:tl2br w:val="nil"/>
              <w:tr2bl w:val="nil"/>
            </w:tcBorders>
            <w:vAlign w:val="center"/>
          </w:tcPr>
          <w:p w14:paraId="7AEDDE0F">
            <w:pPr>
              <w:pStyle w:val="44"/>
              <w:bidi w:val="0"/>
              <w:jc w:val="center"/>
              <w:rPr>
                <w:rFonts w:hint="default" w:ascii="Times New Roman" w:hAnsi="Times New Roman" w:cs="Times New Roman"/>
                <w:color w:val="auto"/>
              </w:rPr>
            </w:pPr>
            <w:r>
              <w:rPr>
                <w:rFonts w:hint="default" w:ascii="Times New Roman" w:hAnsi="Times New Roman" w:cs="Times New Roman"/>
                <w:color w:val="auto"/>
              </w:rPr>
              <w:t>meq/L</w:t>
            </w:r>
          </w:p>
        </w:tc>
        <w:tc>
          <w:tcPr>
            <w:tcW w:w="1717" w:type="dxa"/>
            <w:tcBorders>
              <w:tl2br w:val="nil"/>
              <w:tr2bl w:val="nil"/>
            </w:tcBorders>
            <w:vAlign w:val="center"/>
          </w:tcPr>
          <w:p w14:paraId="126CD70B">
            <w:pPr>
              <w:pStyle w:val="44"/>
              <w:bidi w:val="0"/>
              <w:jc w:val="center"/>
              <w:rPr>
                <w:rFonts w:hint="default" w:ascii="Times New Roman" w:hAnsi="Times New Roman" w:cs="Times New Roman"/>
                <w:color w:val="auto"/>
              </w:rPr>
            </w:pPr>
            <w:r>
              <w:rPr>
                <w:rFonts w:hint="default" w:ascii="Times New Roman" w:hAnsi="Times New Roman" w:cs="Times New Roman"/>
                <w:color w:val="auto"/>
              </w:rPr>
              <w:t>meq%</w:t>
            </w:r>
          </w:p>
        </w:tc>
      </w:tr>
      <w:tr w14:paraId="45CF5E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trPr>
        <w:tc>
          <w:tcPr>
            <w:tcW w:w="1663" w:type="dxa"/>
            <w:vMerge w:val="restart"/>
            <w:tcBorders>
              <w:tl2br w:val="nil"/>
              <w:tr2bl w:val="nil"/>
            </w:tcBorders>
            <w:vAlign w:val="center"/>
          </w:tcPr>
          <w:p w14:paraId="4DD77F51">
            <w:pPr>
              <w:pStyle w:val="44"/>
              <w:bidi w:val="0"/>
              <w:jc w:val="center"/>
              <w:rPr>
                <w:rFonts w:hint="default" w:ascii="Times New Roman" w:hAnsi="Times New Roman" w:cs="Times New Roman"/>
                <w:color w:val="auto"/>
              </w:rPr>
            </w:pPr>
            <w:r>
              <w:rPr>
                <w:rFonts w:hint="default" w:ascii="Times New Roman" w:hAnsi="Times New Roman" w:cs="Times New Roman"/>
                <w:color w:val="auto"/>
              </w:rPr>
              <w:t>阳</w:t>
            </w:r>
          </w:p>
          <w:p w14:paraId="5F3C1878">
            <w:pPr>
              <w:pStyle w:val="44"/>
              <w:bidi w:val="0"/>
              <w:jc w:val="center"/>
              <w:rPr>
                <w:rFonts w:hint="default" w:ascii="Times New Roman" w:hAnsi="Times New Roman" w:cs="Times New Roman"/>
                <w:color w:val="auto"/>
              </w:rPr>
            </w:pPr>
            <w:r>
              <w:rPr>
                <w:rFonts w:hint="default" w:ascii="Times New Roman" w:hAnsi="Times New Roman" w:cs="Times New Roman"/>
                <w:color w:val="auto"/>
              </w:rPr>
              <w:t>离</w:t>
            </w:r>
          </w:p>
          <w:p w14:paraId="1F83AFD4">
            <w:pPr>
              <w:pStyle w:val="44"/>
              <w:bidi w:val="0"/>
              <w:jc w:val="center"/>
              <w:rPr>
                <w:rFonts w:hint="default" w:ascii="Times New Roman" w:hAnsi="Times New Roman" w:cs="Times New Roman"/>
                <w:color w:val="auto"/>
              </w:rPr>
            </w:pPr>
            <w:r>
              <w:rPr>
                <w:rFonts w:hint="default" w:ascii="Times New Roman" w:hAnsi="Times New Roman" w:cs="Times New Roman"/>
                <w:color w:val="auto"/>
              </w:rPr>
              <w:t>子</w:t>
            </w:r>
          </w:p>
        </w:tc>
        <w:tc>
          <w:tcPr>
            <w:tcW w:w="1726" w:type="dxa"/>
            <w:tcBorders>
              <w:tl2br w:val="nil"/>
              <w:tr2bl w:val="nil"/>
            </w:tcBorders>
            <w:vAlign w:val="center"/>
          </w:tcPr>
          <w:p w14:paraId="19FD11A3">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K</w:t>
            </w:r>
            <w:r>
              <w:rPr>
                <w:rFonts w:hint="default" w:ascii="Times New Roman" w:hAnsi="Times New Roman" w:cs="Times New Roman"/>
                <w:color w:val="auto"/>
                <w:vertAlign w:val="superscript"/>
              </w:rPr>
              <w:t>+</w:t>
            </w:r>
          </w:p>
        </w:tc>
        <w:tc>
          <w:tcPr>
            <w:tcW w:w="1701" w:type="dxa"/>
            <w:tcBorders>
              <w:tl2br w:val="nil"/>
              <w:tr2bl w:val="nil"/>
            </w:tcBorders>
            <w:vAlign w:val="center"/>
          </w:tcPr>
          <w:p w14:paraId="1C9A67D8">
            <w:pPr>
              <w:pStyle w:val="44"/>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2.85</w:t>
            </w:r>
          </w:p>
        </w:tc>
        <w:tc>
          <w:tcPr>
            <w:tcW w:w="1715" w:type="dxa"/>
            <w:tcBorders>
              <w:tl2br w:val="nil"/>
              <w:tr2bl w:val="nil"/>
            </w:tcBorders>
            <w:vAlign w:val="center"/>
          </w:tcPr>
          <w:p w14:paraId="6A8E83D6">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0.07</w:t>
            </w:r>
          </w:p>
        </w:tc>
        <w:tc>
          <w:tcPr>
            <w:tcW w:w="1717" w:type="dxa"/>
            <w:vMerge w:val="restart"/>
            <w:tcBorders>
              <w:tl2br w:val="nil"/>
              <w:tr2bl w:val="nil"/>
            </w:tcBorders>
            <w:vAlign w:val="center"/>
          </w:tcPr>
          <w:p w14:paraId="35367F91">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7.63</w:t>
            </w:r>
          </w:p>
        </w:tc>
      </w:tr>
      <w:tr w14:paraId="730420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trPr>
        <w:tc>
          <w:tcPr>
            <w:tcW w:w="1663" w:type="dxa"/>
            <w:vMerge w:val="continue"/>
            <w:tcBorders>
              <w:tl2br w:val="nil"/>
              <w:tr2bl w:val="nil"/>
            </w:tcBorders>
            <w:vAlign w:val="center"/>
          </w:tcPr>
          <w:p w14:paraId="3F758F0E">
            <w:pPr>
              <w:pStyle w:val="44"/>
              <w:bidi w:val="0"/>
              <w:jc w:val="center"/>
              <w:rPr>
                <w:rFonts w:hint="default" w:ascii="Times New Roman" w:hAnsi="Times New Roman" w:cs="Times New Roman"/>
                <w:color w:val="auto"/>
              </w:rPr>
            </w:pPr>
          </w:p>
        </w:tc>
        <w:tc>
          <w:tcPr>
            <w:tcW w:w="1726" w:type="dxa"/>
            <w:tcBorders>
              <w:tl2br w:val="nil"/>
              <w:tr2bl w:val="nil"/>
            </w:tcBorders>
            <w:vAlign w:val="center"/>
          </w:tcPr>
          <w:p w14:paraId="1BFDF417">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Na</w:t>
            </w:r>
            <w:r>
              <w:rPr>
                <w:rFonts w:hint="default" w:ascii="Times New Roman" w:hAnsi="Times New Roman" w:cs="Times New Roman"/>
                <w:color w:val="auto"/>
                <w:vertAlign w:val="superscript"/>
              </w:rPr>
              <w:t>+</w:t>
            </w:r>
          </w:p>
        </w:tc>
        <w:tc>
          <w:tcPr>
            <w:tcW w:w="1701" w:type="dxa"/>
            <w:tcBorders>
              <w:tl2br w:val="nil"/>
              <w:tr2bl w:val="nil"/>
            </w:tcBorders>
            <w:vAlign w:val="center"/>
          </w:tcPr>
          <w:p w14:paraId="7889CE53">
            <w:pPr>
              <w:pStyle w:val="44"/>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8.07</w:t>
            </w:r>
          </w:p>
        </w:tc>
        <w:tc>
          <w:tcPr>
            <w:tcW w:w="1715" w:type="dxa"/>
            <w:tcBorders>
              <w:tl2br w:val="nil"/>
              <w:tr2bl w:val="nil"/>
            </w:tcBorders>
            <w:vAlign w:val="center"/>
          </w:tcPr>
          <w:p w14:paraId="59BD3A4A">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0.35</w:t>
            </w:r>
          </w:p>
        </w:tc>
        <w:tc>
          <w:tcPr>
            <w:tcW w:w="1717" w:type="dxa"/>
            <w:vMerge w:val="continue"/>
            <w:tcBorders>
              <w:tl2br w:val="nil"/>
              <w:tr2bl w:val="nil"/>
            </w:tcBorders>
            <w:vAlign w:val="center"/>
          </w:tcPr>
          <w:p w14:paraId="4B7217B4">
            <w:pPr>
              <w:pStyle w:val="44"/>
              <w:bidi w:val="0"/>
              <w:jc w:val="center"/>
              <w:rPr>
                <w:rFonts w:hint="default" w:ascii="Times New Roman" w:hAnsi="Times New Roman" w:cs="Times New Roman"/>
                <w:color w:val="auto"/>
              </w:rPr>
            </w:pPr>
          </w:p>
        </w:tc>
      </w:tr>
      <w:tr w14:paraId="1467DA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trPr>
        <w:tc>
          <w:tcPr>
            <w:tcW w:w="1663" w:type="dxa"/>
            <w:vMerge w:val="continue"/>
            <w:tcBorders>
              <w:tl2br w:val="nil"/>
              <w:tr2bl w:val="nil"/>
            </w:tcBorders>
            <w:vAlign w:val="center"/>
          </w:tcPr>
          <w:p w14:paraId="09B1F223">
            <w:pPr>
              <w:pStyle w:val="44"/>
              <w:bidi w:val="0"/>
              <w:jc w:val="center"/>
              <w:rPr>
                <w:rFonts w:hint="default" w:ascii="Times New Roman" w:hAnsi="Times New Roman" w:cs="Times New Roman"/>
                <w:color w:val="auto"/>
              </w:rPr>
            </w:pPr>
          </w:p>
        </w:tc>
        <w:tc>
          <w:tcPr>
            <w:tcW w:w="1726" w:type="dxa"/>
            <w:tcBorders>
              <w:tl2br w:val="nil"/>
              <w:tr2bl w:val="nil"/>
            </w:tcBorders>
            <w:vAlign w:val="center"/>
          </w:tcPr>
          <w:p w14:paraId="57372F74">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Ca</w:t>
            </w:r>
            <w:r>
              <w:rPr>
                <w:rFonts w:hint="default" w:ascii="Times New Roman" w:hAnsi="Times New Roman" w:cs="Times New Roman"/>
                <w:color w:val="auto"/>
                <w:vertAlign w:val="superscript"/>
              </w:rPr>
              <w:t>2+</w:t>
            </w:r>
          </w:p>
        </w:tc>
        <w:tc>
          <w:tcPr>
            <w:tcW w:w="1701" w:type="dxa"/>
            <w:tcBorders>
              <w:tl2br w:val="nil"/>
              <w:tr2bl w:val="nil"/>
            </w:tcBorders>
            <w:vAlign w:val="center"/>
          </w:tcPr>
          <w:p w14:paraId="2C1DAF5D">
            <w:pPr>
              <w:pStyle w:val="44"/>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51.6</w:t>
            </w:r>
          </w:p>
        </w:tc>
        <w:tc>
          <w:tcPr>
            <w:tcW w:w="1715" w:type="dxa"/>
            <w:tcBorders>
              <w:tl2br w:val="nil"/>
              <w:tr2bl w:val="nil"/>
            </w:tcBorders>
            <w:vAlign w:val="center"/>
          </w:tcPr>
          <w:p w14:paraId="1EC92102">
            <w:pPr>
              <w:pStyle w:val="44"/>
              <w:bidi w:val="0"/>
              <w:ind w:firstLine="0" w:firstLineChars="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2.57</w:t>
            </w:r>
          </w:p>
        </w:tc>
        <w:tc>
          <w:tcPr>
            <w:tcW w:w="1717" w:type="dxa"/>
            <w:tcBorders>
              <w:tl2br w:val="nil"/>
              <w:tr2bl w:val="nil"/>
            </w:tcBorders>
            <w:vAlign w:val="center"/>
          </w:tcPr>
          <w:p w14:paraId="041ADA14">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68.02</w:t>
            </w:r>
          </w:p>
        </w:tc>
      </w:tr>
      <w:tr w14:paraId="0B36E2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trPr>
        <w:tc>
          <w:tcPr>
            <w:tcW w:w="1663" w:type="dxa"/>
            <w:vMerge w:val="continue"/>
            <w:tcBorders>
              <w:tl2br w:val="nil"/>
              <w:tr2bl w:val="nil"/>
            </w:tcBorders>
            <w:vAlign w:val="center"/>
          </w:tcPr>
          <w:p w14:paraId="4DD2ACED">
            <w:pPr>
              <w:pStyle w:val="44"/>
              <w:bidi w:val="0"/>
              <w:jc w:val="center"/>
              <w:rPr>
                <w:rFonts w:hint="default" w:ascii="Times New Roman" w:hAnsi="Times New Roman" w:cs="Times New Roman"/>
                <w:color w:val="auto"/>
              </w:rPr>
            </w:pPr>
          </w:p>
        </w:tc>
        <w:tc>
          <w:tcPr>
            <w:tcW w:w="1726" w:type="dxa"/>
            <w:tcBorders>
              <w:tl2br w:val="nil"/>
              <w:tr2bl w:val="nil"/>
            </w:tcBorders>
            <w:vAlign w:val="center"/>
          </w:tcPr>
          <w:p w14:paraId="677A8A10">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Mg</w:t>
            </w:r>
            <w:r>
              <w:rPr>
                <w:rFonts w:hint="default" w:ascii="Times New Roman" w:hAnsi="Times New Roman" w:cs="Times New Roman"/>
                <w:color w:val="auto"/>
                <w:vertAlign w:val="superscript"/>
              </w:rPr>
              <w:t>2+</w:t>
            </w:r>
          </w:p>
        </w:tc>
        <w:tc>
          <w:tcPr>
            <w:tcW w:w="1701" w:type="dxa"/>
            <w:tcBorders>
              <w:tl2br w:val="nil"/>
              <w:tr2bl w:val="nil"/>
            </w:tcBorders>
            <w:vAlign w:val="center"/>
          </w:tcPr>
          <w:p w14:paraId="630F65EC">
            <w:pPr>
              <w:pStyle w:val="44"/>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31.1</w:t>
            </w:r>
          </w:p>
        </w:tc>
        <w:tc>
          <w:tcPr>
            <w:tcW w:w="1715" w:type="dxa"/>
            <w:tcBorders>
              <w:tl2br w:val="nil"/>
              <w:tr2bl w:val="nil"/>
            </w:tcBorders>
            <w:vAlign w:val="center"/>
          </w:tcPr>
          <w:p w14:paraId="60C5FC5A">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2.56</w:t>
            </w:r>
          </w:p>
        </w:tc>
        <w:tc>
          <w:tcPr>
            <w:tcW w:w="1717" w:type="dxa"/>
            <w:tcBorders>
              <w:tl2br w:val="nil"/>
              <w:tr2bl w:val="nil"/>
            </w:tcBorders>
            <w:vAlign w:val="center"/>
          </w:tcPr>
          <w:p w14:paraId="266EFEEF">
            <w:pPr>
              <w:pStyle w:val="44"/>
              <w:bidi w:val="0"/>
              <w:jc w:val="center"/>
              <w:rPr>
                <w:rFonts w:hint="default" w:ascii="Times New Roman" w:hAnsi="Times New Roman" w:cs="Times New Roman"/>
                <w:color w:val="auto"/>
              </w:rPr>
            </w:pPr>
            <w:r>
              <w:rPr>
                <w:rFonts w:hint="default" w:ascii="Times New Roman" w:hAnsi="Times New Roman" w:cs="Times New Roman"/>
                <w:color w:val="auto"/>
              </w:rPr>
              <w:t>12.60</w:t>
            </w:r>
          </w:p>
        </w:tc>
      </w:tr>
      <w:tr w14:paraId="0EA60B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trPr>
        <w:tc>
          <w:tcPr>
            <w:tcW w:w="1663" w:type="dxa"/>
            <w:vMerge w:val="continue"/>
            <w:tcBorders>
              <w:tl2br w:val="nil"/>
              <w:tr2bl w:val="nil"/>
            </w:tcBorders>
            <w:vAlign w:val="center"/>
          </w:tcPr>
          <w:p w14:paraId="53995400">
            <w:pPr>
              <w:pStyle w:val="44"/>
              <w:bidi w:val="0"/>
              <w:jc w:val="center"/>
              <w:rPr>
                <w:rFonts w:hint="default" w:ascii="Times New Roman" w:hAnsi="Times New Roman" w:cs="Times New Roman"/>
                <w:color w:val="auto"/>
              </w:rPr>
            </w:pPr>
          </w:p>
        </w:tc>
        <w:tc>
          <w:tcPr>
            <w:tcW w:w="1726" w:type="dxa"/>
            <w:tcBorders>
              <w:tl2br w:val="nil"/>
              <w:tr2bl w:val="nil"/>
            </w:tcBorders>
            <w:vAlign w:val="center"/>
          </w:tcPr>
          <w:p w14:paraId="3C386D20">
            <w:pPr>
              <w:pStyle w:val="44"/>
              <w:bidi w:val="0"/>
              <w:jc w:val="center"/>
              <w:rPr>
                <w:rFonts w:hint="default" w:ascii="Times New Roman" w:hAnsi="Times New Roman" w:cs="Times New Roman"/>
                <w:color w:val="auto"/>
              </w:rPr>
            </w:pPr>
            <w:r>
              <w:rPr>
                <w:rFonts w:hint="default" w:ascii="Times New Roman" w:hAnsi="Times New Roman" w:cs="Times New Roman"/>
                <w:color w:val="auto"/>
              </w:rPr>
              <w:t>总计</w:t>
            </w:r>
          </w:p>
        </w:tc>
        <w:tc>
          <w:tcPr>
            <w:tcW w:w="1701" w:type="dxa"/>
            <w:tcBorders>
              <w:tl2br w:val="nil"/>
              <w:tr2bl w:val="nil"/>
            </w:tcBorders>
            <w:vAlign w:val="center"/>
          </w:tcPr>
          <w:p w14:paraId="5BBF3865">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93.62</w:t>
            </w:r>
          </w:p>
        </w:tc>
        <w:tc>
          <w:tcPr>
            <w:tcW w:w="1715" w:type="dxa"/>
            <w:tcBorders>
              <w:tl2br w:val="nil"/>
              <w:tr2bl w:val="nil"/>
            </w:tcBorders>
            <w:vAlign w:val="center"/>
          </w:tcPr>
          <w:p w14:paraId="51E35760">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rPr>
              <w:t>5.</w:t>
            </w:r>
            <w:r>
              <w:rPr>
                <w:rFonts w:hint="default" w:ascii="Times New Roman" w:hAnsi="Times New Roman" w:cs="Times New Roman"/>
                <w:color w:val="auto"/>
                <w:lang w:val="en-US" w:eastAsia="zh-CN"/>
              </w:rPr>
              <w:t>56</w:t>
            </w:r>
          </w:p>
        </w:tc>
        <w:tc>
          <w:tcPr>
            <w:tcW w:w="1717" w:type="dxa"/>
            <w:tcBorders>
              <w:tl2br w:val="nil"/>
              <w:tr2bl w:val="nil"/>
            </w:tcBorders>
            <w:vAlign w:val="center"/>
          </w:tcPr>
          <w:p w14:paraId="199BF22B">
            <w:pPr>
              <w:pStyle w:val="44"/>
              <w:bidi w:val="0"/>
              <w:jc w:val="center"/>
              <w:rPr>
                <w:rFonts w:hint="default" w:ascii="Times New Roman" w:hAnsi="Times New Roman" w:cs="Times New Roman"/>
                <w:color w:val="auto"/>
              </w:rPr>
            </w:pPr>
            <w:r>
              <w:rPr>
                <w:rFonts w:hint="default" w:ascii="Times New Roman" w:hAnsi="Times New Roman" w:cs="Times New Roman"/>
                <w:color w:val="auto"/>
              </w:rPr>
              <w:t>100.00</w:t>
            </w:r>
          </w:p>
        </w:tc>
      </w:tr>
      <w:tr w14:paraId="5947DC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trPr>
        <w:tc>
          <w:tcPr>
            <w:tcW w:w="1663" w:type="dxa"/>
            <w:vMerge w:val="restart"/>
            <w:tcBorders>
              <w:tl2br w:val="nil"/>
              <w:tr2bl w:val="nil"/>
            </w:tcBorders>
            <w:vAlign w:val="center"/>
          </w:tcPr>
          <w:p w14:paraId="131409F7">
            <w:pPr>
              <w:pStyle w:val="44"/>
              <w:bidi w:val="0"/>
              <w:jc w:val="center"/>
              <w:rPr>
                <w:rFonts w:hint="default" w:ascii="Times New Roman" w:hAnsi="Times New Roman" w:cs="Times New Roman"/>
                <w:color w:val="auto"/>
              </w:rPr>
            </w:pPr>
            <w:r>
              <w:rPr>
                <w:rFonts w:hint="default" w:ascii="Times New Roman" w:hAnsi="Times New Roman" w:cs="Times New Roman"/>
                <w:color w:val="auto"/>
              </w:rPr>
              <w:t>阴</w:t>
            </w:r>
          </w:p>
          <w:p w14:paraId="02CF01C1">
            <w:pPr>
              <w:pStyle w:val="44"/>
              <w:bidi w:val="0"/>
              <w:jc w:val="center"/>
              <w:rPr>
                <w:rFonts w:hint="default" w:ascii="Times New Roman" w:hAnsi="Times New Roman" w:cs="Times New Roman"/>
                <w:color w:val="auto"/>
              </w:rPr>
            </w:pPr>
            <w:r>
              <w:rPr>
                <w:rFonts w:hint="default" w:ascii="Times New Roman" w:hAnsi="Times New Roman" w:cs="Times New Roman"/>
                <w:color w:val="auto"/>
              </w:rPr>
              <w:t>离</w:t>
            </w:r>
          </w:p>
          <w:p w14:paraId="5A83055B">
            <w:pPr>
              <w:pStyle w:val="44"/>
              <w:bidi w:val="0"/>
              <w:jc w:val="center"/>
              <w:rPr>
                <w:rFonts w:hint="default" w:ascii="Times New Roman" w:hAnsi="Times New Roman" w:cs="Times New Roman"/>
                <w:color w:val="auto"/>
              </w:rPr>
            </w:pPr>
            <w:r>
              <w:rPr>
                <w:rFonts w:hint="default" w:ascii="Times New Roman" w:hAnsi="Times New Roman" w:cs="Times New Roman"/>
                <w:color w:val="auto"/>
              </w:rPr>
              <w:t>子</w:t>
            </w:r>
          </w:p>
        </w:tc>
        <w:tc>
          <w:tcPr>
            <w:tcW w:w="1726" w:type="dxa"/>
            <w:tcBorders>
              <w:tl2br w:val="nil"/>
              <w:tr2bl w:val="nil"/>
            </w:tcBorders>
            <w:vAlign w:val="center"/>
          </w:tcPr>
          <w:p w14:paraId="6F714F65">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HCO</w:t>
            </w:r>
            <w:r>
              <w:rPr>
                <w:rFonts w:hint="default" w:ascii="Times New Roman" w:hAnsi="Times New Roman" w:cs="Times New Roman"/>
                <w:color w:val="auto"/>
                <w:vertAlign w:val="subscript"/>
              </w:rPr>
              <w:t>3</w:t>
            </w:r>
            <w:r>
              <w:rPr>
                <w:rFonts w:hint="default" w:ascii="Times New Roman" w:hAnsi="Times New Roman" w:cs="Times New Roman"/>
                <w:color w:val="auto"/>
                <w:vertAlign w:val="superscript"/>
              </w:rPr>
              <w:t>-</w:t>
            </w:r>
          </w:p>
        </w:tc>
        <w:tc>
          <w:tcPr>
            <w:tcW w:w="1701" w:type="dxa"/>
            <w:tcBorders>
              <w:tl2br w:val="nil"/>
              <w:tr2bl w:val="nil"/>
            </w:tcBorders>
            <w:vAlign w:val="center"/>
          </w:tcPr>
          <w:p w14:paraId="68FFD6A4">
            <w:pPr>
              <w:pStyle w:val="44"/>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275</w:t>
            </w:r>
          </w:p>
        </w:tc>
        <w:tc>
          <w:tcPr>
            <w:tcW w:w="1715" w:type="dxa"/>
            <w:tcBorders>
              <w:tl2br w:val="nil"/>
              <w:tr2bl w:val="nil"/>
            </w:tcBorders>
            <w:vAlign w:val="center"/>
          </w:tcPr>
          <w:p w14:paraId="39DA42A5">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4.51</w:t>
            </w:r>
          </w:p>
        </w:tc>
        <w:tc>
          <w:tcPr>
            <w:tcW w:w="1717" w:type="dxa"/>
            <w:tcBorders>
              <w:tl2br w:val="nil"/>
              <w:tr2bl w:val="nil"/>
            </w:tcBorders>
            <w:vAlign w:val="center"/>
          </w:tcPr>
          <w:p w14:paraId="053B9175">
            <w:pPr>
              <w:pStyle w:val="44"/>
              <w:bidi w:val="0"/>
              <w:jc w:val="center"/>
              <w:rPr>
                <w:rFonts w:hint="default" w:ascii="Times New Roman" w:hAnsi="Times New Roman" w:cs="Times New Roman"/>
                <w:color w:val="auto"/>
              </w:rPr>
            </w:pPr>
            <w:r>
              <w:rPr>
                <w:rFonts w:hint="default" w:ascii="Times New Roman" w:hAnsi="Times New Roman" w:cs="Times New Roman"/>
                <w:color w:val="auto"/>
              </w:rPr>
              <w:t>76.52</w:t>
            </w:r>
          </w:p>
        </w:tc>
      </w:tr>
      <w:tr w14:paraId="72967F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trPr>
        <w:tc>
          <w:tcPr>
            <w:tcW w:w="1663" w:type="dxa"/>
            <w:vMerge w:val="continue"/>
            <w:tcBorders>
              <w:tl2br w:val="nil"/>
              <w:tr2bl w:val="nil"/>
            </w:tcBorders>
            <w:vAlign w:val="center"/>
          </w:tcPr>
          <w:p w14:paraId="34F5CB8C">
            <w:pPr>
              <w:pStyle w:val="44"/>
              <w:bidi w:val="0"/>
              <w:jc w:val="center"/>
              <w:rPr>
                <w:rFonts w:hint="default" w:ascii="Times New Roman" w:hAnsi="Times New Roman" w:cs="Times New Roman"/>
                <w:color w:val="auto"/>
              </w:rPr>
            </w:pPr>
          </w:p>
        </w:tc>
        <w:tc>
          <w:tcPr>
            <w:tcW w:w="1726" w:type="dxa"/>
            <w:tcBorders>
              <w:tl2br w:val="nil"/>
              <w:tr2bl w:val="nil"/>
            </w:tcBorders>
            <w:vAlign w:val="center"/>
          </w:tcPr>
          <w:p w14:paraId="548E9A71">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C</w:t>
            </w:r>
            <w:r>
              <w:rPr>
                <w:rFonts w:hint="default" w:ascii="Times New Roman" w:hAnsi="Times New Roman" w:cs="Times New Roman"/>
                <w:color w:val="auto"/>
                <w:vertAlign w:val="baseline"/>
              </w:rPr>
              <w:t>l</w:t>
            </w:r>
            <w:r>
              <w:rPr>
                <w:rFonts w:hint="default" w:ascii="Times New Roman" w:hAnsi="Times New Roman" w:cs="Times New Roman"/>
                <w:color w:val="auto"/>
                <w:vertAlign w:val="superscript"/>
              </w:rPr>
              <w:t>-</w:t>
            </w:r>
          </w:p>
        </w:tc>
        <w:tc>
          <w:tcPr>
            <w:tcW w:w="1701" w:type="dxa"/>
            <w:tcBorders>
              <w:tl2br w:val="nil"/>
              <w:tr2bl w:val="nil"/>
            </w:tcBorders>
            <w:vAlign w:val="center"/>
          </w:tcPr>
          <w:p w14:paraId="7DC7C00E">
            <w:pPr>
              <w:pStyle w:val="44"/>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6.52</w:t>
            </w:r>
          </w:p>
        </w:tc>
        <w:tc>
          <w:tcPr>
            <w:tcW w:w="1715" w:type="dxa"/>
            <w:tcBorders>
              <w:tl2br w:val="nil"/>
              <w:tr2bl w:val="nil"/>
            </w:tcBorders>
            <w:vAlign w:val="center"/>
          </w:tcPr>
          <w:p w14:paraId="731FE593">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0.18</w:t>
            </w:r>
          </w:p>
        </w:tc>
        <w:tc>
          <w:tcPr>
            <w:tcW w:w="1717" w:type="dxa"/>
            <w:tcBorders>
              <w:tl2br w:val="nil"/>
              <w:tr2bl w:val="nil"/>
            </w:tcBorders>
            <w:vAlign w:val="center"/>
          </w:tcPr>
          <w:p w14:paraId="29B7286C">
            <w:pPr>
              <w:pStyle w:val="44"/>
              <w:bidi w:val="0"/>
              <w:jc w:val="center"/>
              <w:rPr>
                <w:rFonts w:hint="default" w:ascii="Times New Roman" w:hAnsi="Times New Roman" w:cs="Times New Roman"/>
                <w:color w:val="auto"/>
              </w:rPr>
            </w:pPr>
            <w:r>
              <w:rPr>
                <w:rFonts w:hint="default" w:ascii="Times New Roman" w:hAnsi="Times New Roman" w:cs="Times New Roman"/>
                <w:color w:val="auto"/>
              </w:rPr>
              <w:t>13.65</w:t>
            </w:r>
          </w:p>
        </w:tc>
      </w:tr>
      <w:tr w14:paraId="240C2E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trPr>
        <w:tc>
          <w:tcPr>
            <w:tcW w:w="1663" w:type="dxa"/>
            <w:vMerge w:val="continue"/>
            <w:tcBorders>
              <w:tl2br w:val="nil"/>
              <w:tr2bl w:val="nil"/>
            </w:tcBorders>
            <w:vAlign w:val="center"/>
          </w:tcPr>
          <w:p w14:paraId="12B8F510">
            <w:pPr>
              <w:pStyle w:val="44"/>
              <w:bidi w:val="0"/>
              <w:jc w:val="center"/>
              <w:rPr>
                <w:rFonts w:hint="default" w:ascii="Times New Roman" w:hAnsi="Times New Roman" w:cs="Times New Roman"/>
                <w:color w:val="auto"/>
              </w:rPr>
            </w:pPr>
          </w:p>
        </w:tc>
        <w:tc>
          <w:tcPr>
            <w:tcW w:w="1726" w:type="dxa"/>
            <w:tcBorders>
              <w:tl2br w:val="nil"/>
              <w:tr2bl w:val="nil"/>
            </w:tcBorders>
            <w:vAlign w:val="center"/>
          </w:tcPr>
          <w:p w14:paraId="5C9E2CDE">
            <w:pPr>
              <w:pStyle w:val="44"/>
              <w:bidi w:val="0"/>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SO</w:t>
            </w:r>
            <w:r>
              <w:rPr>
                <w:rFonts w:hint="default" w:ascii="Times New Roman" w:hAnsi="Times New Roman" w:cs="Times New Roman"/>
                <w:color w:val="auto"/>
                <w:vertAlign w:val="subscript"/>
              </w:rPr>
              <w:t>4</w:t>
            </w:r>
            <w:r>
              <w:rPr>
                <w:rFonts w:hint="default" w:ascii="Times New Roman" w:hAnsi="Times New Roman" w:cs="Times New Roman"/>
                <w:color w:val="auto"/>
                <w:vertAlign w:val="superscript"/>
              </w:rPr>
              <w:t>2-</w:t>
            </w:r>
          </w:p>
        </w:tc>
        <w:tc>
          <w:tcPr>
            <w:tcW w:w="1701" w:type="dxa"/>
            <w:tcBorders>
              <w:tl2br w:val="nil"/>
              <w:tr2bl w:val="nil"/>
            </w:tcBorders>
            <w:vAlign w:val="center"/>
          </w:tcPr>
          <w:p w14:paraId="3B2C3A7C">
            <w:pPr>
              <w:pStyle w:val="44"/>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26.7</w:t>
            </w:r>
          </w:p>
        </w:tc>
        <w:tc>
          <w:tcPr>
            <w:tcW w:w="1715" w:type="dxa"/>
            <w:tcBorders>
              <w:tl2br w:val="nil"/>
              <w:tr2bl w:val="nil"/>
            </w:tcBorders>
            <w:vAlign w:val="center"/>
          </w:tcPr>
          <w:p w14:paraId="2ACC67DD">
            <w:pPr>
              <w:pStyle w:val="44"/>
              <w:bidi w:val="0"/>
              <w:jc w:val="center"/>
              <w:rPr>
                <w:rFonts w:hint="default" w:ascii="Times New Roman" w:hAnsi="Times New Roman" w:cs="Times New Roman"/>
                <w:color w:val="auto"/>
              </w:rPr>
            </w:pPr>
            <w:r>
              <w:rPr>
                <w:rFonts w:hint="default" w:ascii="Times New Roman" w:hAnsi="Times New Roman" w:cs="Times New Roman"/>
                <w:color w:val="auto"/>
              </w:rPr>
              <w:t>0.5</w:t>
            </w:r>
            <w:r>
              <w:rPr>
                <w:rFonts w:hint="default" w:ascii="Times New Roman" w:hAnsi="Times New Roman" w:cs="Times New Roman"/>
                <w:color w:val="auto"/>
                <w:lang w:val="en-US" w:eastAsia="zh-CN"/>
              </w:rPr>
              <w:t>6</w:t>
            </w:r>
          </w:p>
        </w:tc>
        <w:tc>
          <w:tcPr>
            <w:tcW w:w="1717" w:type="dxa"/>
            <w:tcBorders>
              <w:tl2br w:val="nil"/>
              <w:tr2bl w:val="nil"/>
            </w:tcBorders>
            <w:vAlign w:val="center"/>
          </w:tcPr>
          <w:p w14:paraId="7EB94154">
            <w:pPr>
              <w:pStyle w:val="44"/>
              <w:bidi w:val="0"/>
              <w:jc w:val="center"/>
              <w:rPr>
                <w:rFonts w:hint="default" w:ascii="Times New Roman" w:hAnsi="Times New Roman" w:cs="Times New Roman"/>
                <w:color w:val="auto"/>
              </w:rPr>
            </w:pPr>
            <w:r>
              <w:rPr>
                <w:rFonts w:hint="default" w:ascii="Times New Roman" w:hAnsi="Times New Roman" w:cs="Times New Roman"/>
                <w:color w:val="auto"/>
              </w:rPr>
              <w:t>9.83</w:t>
            </w:r>
          </w:p>
        </w:tc>
      </w:tr>
      <w:tr w14:paraId="612BE8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trPr>
        <w:tc>
          <w:tcPr>
            <w:tcW w:w="1663" w:type="dxa"/>
            <w:vMerge w:val="continue"/>
            <w:tcBorders>
              <w:tl2br w:val="nil"/>
              <w:tr2bl w:val="nil"/>
            </w:tcBorders>
            <w:vAlign w:val="center"/>
          </w:tcPr>
          <w:p w14:paraId="02657464">
            <w:pPr>
              <w:pStyle w:val="44"/>
              <w:bidi w:val="0"/>
              <w:jc w:val="center"/>
              <w:rPr>
                <w:rFonts w:hint="default" w:ascii="Times New Roman" w:hAnsi="Times New Roman" w:cs="Times New Roman"/>
                <w:color w:val="auto"/>
              </w:rPr>
            </w:pPr>
          </w:p>
        </w:tc>
        <w:tc>
          <w:tcPr>
            <w:tcW w:w="1726" w:type="dxa"/>
            <w:tcBorders>
              <w:tl2br w:val="nil"/>
              <w:tr2bl w:val="nil"/>
            </w:tcBorders>
            <w:vAlign w:val="center"/>
          </w:tcPr>
          <w:p w14:paraId="092EBFA7">
            <w:pPr>
              <w:pStyle w:val="44"/>
              <w:bidi w:val="0"/>
              <w:jc w:val="center"/>
              <w:rPr>
                <w:rFonts w:hint="default" w:ascii="Times New Roman" w:hAnsi="Times New Roman" w:cs="Times New Roman"/>
                <w:color w:val="auto"/>
              </w:rPr>
            </w:pPr>
            <w:r>
              <w:rPr>
                <w:rFonts w:hint="default" w:ascii="Times New Roman" w:hAnsi="Times New Roman" w:cs="Times New Roman"/>
                <w:color w:val="auto"/>
              </w:rPr>
              <w:t>总计</w:t>
            </w:r>
          </w:p>
        </w:tc>
        <w:tc>
          <w:tcPr>
            <w:tcW w:w="1701" w:type="dxa"/>
            <w:tcBorders>
              <w:tl2br w:val="nil"/>
              <w:tr2bl w:val="nil"/>
            </w:tcBorders>
            <w:vAlign w:val="center"/>
          </w:tcPr>
          <w:p w14:paraId="617B1A4C">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308.22</w:t>
            </w:r>
          </w:p>
        </w:tc>
        <w:tc>
          <w:tcPr>
            <w:tcW w:w="1715" w:type="dxa"/>
            <w:tcBorders>
              <w:tl2br w:val="nil"/>
              <w:tr2bl w:val="nil"/>
            </w:tcBorders>
            <w:vAlign w:val="center"/>
          </w:tcPr>
          <w:p w14:paraId="4AACC205">
            <w:pPr>
              <w:pStyle w:val="44"/>
              <w:bidi w:val="0"/>
              <w:jc w:val="center"/>
              <w:rPr>
                <w:rFonts w:hint="default" w:ascii="Times New Roman" w:hAnsi="Times New Roman" w:cs="Times New Roman"/>
                <w:color w:val="auto"/>
              </w:rPr>
            </w:pPr>
            <w:r>
              <w:rPr>
                <w:rFonts w:hint="default" w:ascii="Times New Roman" w:hAnsi="Times New Roman" w:cs="Times New Roman"/>
                <w:color w:val="auto"/>
              </w:rPr>
              <w:t>5.</w:t>
            </w:r>
            <w:r>
              <w:rPr>
                <w:rFonts w:hint="default" w:ascii="Times New Roman" w:hAnsi="Times New Roman" w:cs="Times New Roman"/>
                <w:color w:val="auto"/>
                <w:lang w:val="en-US" w:eastAsia="zh-CN"/>
              </w:rPr>
              <w:t>25</w:t>
            </w:r>
          </w:p>
        </w:tc>
        <w:tc>
          <w:tcPr>
            <w:tcW w:w="1717" w:type="dxa"/>
            <w:tcBorders>
              <w:tl2br w:val="nil"/>
              <w:tr2bl w:val="nil"/>
            </w:tcBorders>
            <w:vAlign w:val="center"/>
          </w:tcPr>
          <w:p w14:paraId="609C245D">
            <w:pPr>
              <w:pStyle w:val="44"/>
              <w:bidi w:val="0"/>
              <w:jc w:val="center"/>
              <w:rPr>
                <w:rFonts w:hint="default" w:ascii="Times New Roman" w:hAnsi="Times New Roman" w:cs="Times New Roman"/>
                <w:color w:val="auto"/>
              </w:rPr>
            </w:pPr>
            <w:r>
              <w:rPr>
                <w:rFonts w:hint="default" w:ascii="Times New Roman" w:hAnsi="Times New Roman" w:cs="Times New Roman"/>
                <w:color w:val="auto"/>
              </w:rPr>
              <w:t>100.00</w:t>
            </w:r>
          </w:p>
        </w:tc>
      </w:tr>
    </w:tbl>
    <w:p w14:paraId="7E16DA60">
      <w:pPr>
        <w:pStyle w:val="25"/>
        <w:bidi w:val="0"/>
        <w:rPr>
          <w:rFonts w:hint="default" w:ascii="Times New Roman" w:hAnsi="Times New Roman" w:cs="Times New Roman"/>
          <w:color w:val="auto"/>
        </w:rPr>
      </w:pPr>
      <w:bookmarkStart w:id="253" w:name="_Toc477954567"/>
      <w:bookmarkStart w:id="254" w:name="_Toc32747"/>
      <w:r>
        <w:rPr>
          <w:rFonts w:hint="default" w:ascii="Times New Roman" w:hAnsi="Times New Roman" w:cs="Times New Roman"/>
          <w:color w:val="auto"/>
        </w:rPr>
        <w:t>5、阴阳离子平衡</w:t>
      </w:r>
    </w:p>
    <w:p w14:paraId="4DC48771">
      <w:pPr>
        <w:pStyle w:val="25"/>
        <w:spacing w:line="240" w:lineRule="auto"/>
        <w:ind w:firstLine="320"/>
        <w:jc w:val="center"/>
        <w:rPr>
          <w:rFonts w:hint="default" w:ascii="Times New Roman" w:hAnsi="Times New Roman" w:cs="Times New Roman"/>
          <w:color w:val="auto"/>
        </w:rPr>
      </w:pPr>
      <w:r>
        <w:rPr>
          <w:rFonts w:hint="default" w:ascii="Times New Roman" w:hAnsi="Times New Roman" w:cs="Times New Roman"/>
          <w:color w:val="auto"/>
          <w:sz w:val="16"/>
          <w:szCs w:val="16"/>
        </w:rPr>
        <w:drawing>
          <wp:inline distT="0" distB="0" distL="0" distR="0">
            <wp:extent cx="1628775" cy="544830"/>
            <wp:effectExtent l="0" t="0" r="9525" b="7620"/>
            <wp:docPr id="1110091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09127" name="图片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1635193" cy="547289"/>
                    </a:xfrm>
                    <a:prstGeom prst="rect">
                      <a:avLst/>
                    </a:prstGeom>
                    <a:noFill/>
                    <a:ln>
                      <a:noFill/>
                    </a:ln>
                  </pic:spPr>
                </pic:pic>
              </a:graphicData>
            </a:graphic>
          </wp:inline>
        </w:drawing>
      </w:r>
    </w:p>
    <w:p w14:paraId="078CC98E">
      <w:pPr>
        <w:pStyle w:val="25"/>
        <w:bidi w:val="0"/>
        <w:rPr>
          <w:rFonts w:hint="default" w:ascii="Times New Roman" w:hAnsi="Times New Roman" w:cs="Times New Roman"/>
          <w:color w:val="auto"/>
        </w:rPr>
      </w:pPr>
      <w:r>
        <w:rPr>
          <w:rFonts w:hint="default" w:ascii="Times New Roman" w:hAnsi="Times New Roman" w:cs="Times New Roman"/>
          <w:color w:val="auto"/>
        </w:rPr>
        <w:t>其中：E为相对误差，mc和ma分别是阴阳离子的毫克当量浓度（meq/L)。E应小于正负5%，一般情况下，检测结果为质量浓度ρ(C)mg/L，阴阳离子的相对误差，根据上式，须将质量浓度除以其分子量转化为摩尔浓度c (mmol/L)，然后乘以各自带的电荷数，计算得到毫克当量浓度。阴阳离子各取毫克当量浓度总和，代入上式进行计算，得出相对误差。</w:t>
      </w:r>
    </w:p>
    <w:p w14:paraId="3F1CF559">
      <w:pPr>
        <w:pStyle w:val="27"/>
        <w:bidi w:val="0"/>
        <w:rPr>
          <w:rFonts w:hint="default" w:ascii="Times New Roman" w:hAnsi="Times New Roman" w:cs="Times New Roman"/>
          <w:color w:val="auto"/>
        </w:rPr>
      </w:pPr>
      <w:r>
        <w:rPr>
          <w:rFonts w:hint="default" w:ascii="Times New Roman" w:hAnsi="Times New Roman" w:cs="Times New Roman"/>
          <w:color w:val="auto"/>
        </w:rPr>
        <w:t>表4-2-1</w:t>
      </w:r>
      <w:r>
        <w:rPr>
          <w:rFonts w:hint="default" w:ascii="Times New Roman" w:hAnsi="Times New Roman" w:cs="Times New Roman"/>
          <w:color w:val="auto"/>
          <w:lang w:val="en-US" w:eastAsia="zh-CN"/>
        </w:rPr>
        <w:t>0</w:t>
      </w:r>
      <w:r>
        <w:rPr>
          <w:rFonts w:hint="default" w:ascii="Times New Roman" w:hAnsi="Times New Roman" w:cs="Times New Roman"/>
          <w:color w:val="auto"/>
        </w:rPr>
        <w:t>阴阳离子平衡表</w:t>
      </w:r>
    </w:p>
    <w:tbl>
      <w:tblPr>
        <w:tblStyle w:val="20"/>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56"/>
        <w:gridCol w:w="818"/>
        <w:gridCol w:w="822"/>
        <w:gridCol w:w="888"/>
        <w:gridCol w:w="989"/>
        <w:gridCol w:w="1105"/>
        <w:gridCol w:w="848"/>
        <w:gridCol w:w="850"/>
        <w:gridCol w:w="935"/>
      </w:tblGrid>
      <w:tr w14:paraId="48AF33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tcBorders>
              <w:tl2br w:val="nil"/>
              <w:tr2bl w:val="nil"/>
            </w:tcBorders>
            <w:noWrap/>
            <w:vAlign w:val="center"/>
          </w:tcPr>
          <w:p w14:paraId="54FD29FA">
            <w:pPr>
              <w:pStyle w:val="44"/>
              <w:bidi w:val="0"/>
              <w:jc w:val="center"/>
              <w:rPr>
                <w:rFonts w:hint="default" w:ascii="Times New Roman" w:hAnsi="Times New Roman" w:cs="Times New Roman"/>
                <w:color w:val="auto"/>
              </w:rPr>
            </w:pPr>
            <w:r>
              <w:rPr>
                <w:rFonts w:hint="default" w:ascii="Times New Roman" w:hAnsi="Times New Roman" w:cs="Times New Roman"/>
                <w:color w:val="auto"/>
              </w:rPr>
              <w:t>mc</w:t>
            </w:r>
          </w:p>
        </w:tc>
        <w:tc>
          <w:tcPr>
            <w:tcW w:w="818" w:type="dxa"/>
            <w:tcBorders>
              <w:tl2br w:val="nil"/>
              <w:tr2bl w:val="nil"/>
            </w:tcBorders>
            <w:noWrap/>
            <w:vAlign w:val="center"/>
          </w:tcPr>
          <w:p w14:paraId="0F404313">
            <w:pPr>
              <w:pStyle w:val="44"/>
              <w:bidi w:val="0"/>
              <w:jc w:val="center"/>
              <w:rPr>
                <w:rFonts w:hint="default" w:ascii="Times New Roman" w:hAnsi="Times New Roman" w:cs="Times New Roman"/>
                <w:color w:val="auto"/>
              </w:rPr>
            </w:pPr>
            <w:r>
              <w:rPr>
                <w:rFonts w:hint="default" w:ascii="Times New Roman" w:hAnsi="Times New Roman" w:cs="Times New Roman"/>
                <w:color w:val="auto"/>
              </w:rPr>
              <w:t>毫克当量meq/L</w:t>
            </w:r>
          </w:p>
        </w:tc>
        <w:tc>
          <w:tcPr>
            <w:tcW w:w="822" w:type="dxa"/>
            <w:tcBorders>
              <w:tl2br w:val="nil"/>
              <w:tr2bl w:val="nil"/>
            </w:tcBorders>
            <w:noWrap/>
            <w:vAlign w:val="center"/>
          </w:tcPr>
          <w:p w14:paraId="2F59EEEB">
            <w:pPr>
              <w:pStyle w:val="44"/>
              <w:bidi w:val="0"/>
              <w:jc w:val="center"/>
              <w:rPr>
                <w:rFonts w:hint="default" w:ascii="Times New Roman" w:hAnsi="Times New Roman" w:cs="Times New Roman"/>
                <w:color w:val="auto"/>
              </w:rPr>
            </w:pPr>
            <w:r>
              <w:rPr>
                <w:rFonts w:hint="default" w:ascii="Times New Roman" w:hAnsi="Times New Roman" w:cs="Times New Roman"/>
                <w:color w:val="auto"/>
              </w:rPr>
              <w:t>ma</w:t>
            </w:r>
          </w:p>
        </w:tc>
        <w:tc>
          <w:tcPr>
            <w:tcW w:w="888" w:type="dxa"/>
            <w:tcBorders>
              <w:tl2br w:val="nil"/>
              <w:tr2bl w:val="nil"/>
            </w:tcBorders>
            <w:noWrap/>
            <w:vAlign w:val="center"/>
          </w:tcPr>
          <w:p w14:paraId="282F7DFF">
            <w:pPr>
              <w:pStyle w:val="44"/>
              <w:bidi w:val="0"/>
              <w:jc w:val="center"/>
              <w:rPr>
                <w:rFonts w:hint="default" w:ascii="Times New Roman" w:hAnsi="Times New Roman" w:cs="Times New Roman"/>
                <w:color w:val="auto"/>
              </w:rPr>
            </w:pPr>
            <w:r>
              <w:rPr>
                <w:rFonts w:hint="default" w:ascii="Times New Roman" w:hAnsi="Times New Roman" w:cs="Times New Roman"/>
                <w:color w:val="auto"/>
              </w:rPr>
              <w:t>毫克当量meq/L</w:t>
            </w:r>
          </w:p>
        </w:tc>
        <w:tc>
          <w:tcPr>
            <w:tcW w:w="989" w:type="dxa"/>
            <w:tcBorders>
              <w:tl2br w:val="nil"/>
              <w:tr2bl w:val="nil"/>
            </w:tcBorders>
            <w:noWrap/>
            <w:vAlign w:val="center"/>
          </w:tcPr>
          <w:p w14:paraId="41016432">
            <w:pPr>
              <w:pStyle w:val="44"/>
              <w:bidi w:val="0"/>
              <w:jc w:val="center"/>
              <w:rPr>
                <w:rFonts w:hint="default" w:ascii="Times New Roman" w:hAnsi="Times New Roman" w:cs="Times New Roman"/>
                <w:color w:val="auto"/>
              </w:rPr>
            </w:pPr>
            <w:r>
              <w:rPr>
                <w:rFonts w:hint="default" w:ascii="Times New Roman" w:hAnsi="Times New Roman" w:cs="Times New Roman"/>
                <w:color w:val="auto"/>
              </w:rPr>
              <w:t>mc-ma</w:t>
            </w:r>
          </w:p>
        </w:tc>
        <w:tc>
          <w:tcPr>
            <w:tcW w:w="1105" w:type="dxa"/>
            <w:tcBorders>
              <w:tl2br w:val="nil"/>
              <w:tr2bl w:val="nil"/>
            </w:tcBorders>
            <w:noWrap/>
            <w:vAlign w:val="center"/>
          </w:tcPr>
          <w:p w14:paraId="6D6DB3B8">
            <w:pPr>
              <w:pStyle w:val="44"/>
              <w:bidi w:val="0"/>
              <w:jc w:val="center"/>
              <w:rPr>
                <w:rFonts w:hint="default" w:ascii="Times New Roman" w:hAnsi="Times New Roman" w:cs="Times New Roman"/>
                <w:color w:val="auto"/>
              </w:rPr>
            </w:pPr>
            <w:r>
              <w:rPr>
                <w:rFonts w:hint="default" w:ascii="Times New Roman" w:hAnsi="Times New Roman" w:cs="Times New Roman"/>
                <w:color w:val="auto"/>
              </w:rPr>
              <w:t>毫克当量meq/L</w:t>
            </w:r>
          </w:p>
        </w:tc>
        <w:tc>
          <w:tcPr>
            <w:tcW w:w="844" w:type="dxa"/>
            <w:tcBorders>
              <w:tl2br w:val="nil"/>
              <w:tr2bl w:val="nil"/>
            </w:tcBorders>
            <w:noWrap/>
            <w:vAlign w:val="center"/>
          </w:tcPr>
          <w:p w14:paraId="249486B7">
            <w:pPr>
              <w:pStyle w:val="44"/>
              <w:bidi w:val="0"/>
              <w:jc w:val="center"/>
              <w:rPr>
                <w:rFonts w:hint="default" w:ascii="Times New Roman" w:hAnsi="Times New Roman" w:cs="Times New Roman"/>
                <w:color w:val="auto"/>
              </w:rPr>
            </w:pPr>
            <w:r>
              <w:rPr>
                <w:rFonts w:hint="default" w:ascii="Times New Roman" w:hAnsi="Times New Roman" w:cs="Times New Roman"/>
                <w:color w:val="auto"/>
              </w:rPr>
              <w:t>mc+ma</w:t>
            </w:r>
          </w:p>
        </w:tc>
        <w:tc>
          <w:tcPr>
            <w:tcW w:w="850" w:type="dxa"/>
            <w:tcBorders>
              <w:tl2br w:val="nil"/>
              <w:tr2bl w:val="nil"/>
            </w:tcBorders>
            <w:noWrap/>
            <w:vAlign w:val="center"/>
          </w:tcPr>
          <w:p w14:paraId="7100F178">
            <w:pPr>
              <w:pStyle w:val="44"/>
              <w:bidi w:val="0"/>
              <w:jc w:val="center"/>
              <w:rPr>
                <w:rFonts w:hint="default" w:ascii="Times New Roman" w:hAnsi="Times New Roman" w:cs="Times New Roman"/>
                <w:color w:val="auto"/>
              </w:rPr>
            </w:pPr>
            <w:r>
              <w:rPr>
                <w:rFonts w:hint="default" w:ascii="Times New Roman" w:hAnsi="Times New Roman" w:cs="Times New Roman"/>
                <w:color w:val="auto"/>
              </w:rPr>
              <w:t>毫克当量meq/L</w:t>
            </w:r>
          </w:p>
        </w:tc>
        <w:tc>
          <w:tcPr>
            <w:tcW w:w="935" w:type="dxa"/>
            <w:tcBorders>
              <w:tl2br w:val="nil"/>
              <w:tr2bl w:val="nil"/>
            </w:tcBorders>
            <w:noWrap/>
            <w:vAlign w:val="center"/>
          </w:tcPr>
          <w:p w14:paraId="4C3C8460">
            <w:pPr>
              <w:pStyle w:val="44"/>
              <w:bidi w:val="0"/>
              <w:jc w:val="center"/>
              <w:rPr>
                <w:rFonts w:hint="default" w:ascii="Times New Roman" w:hAnsi="Times New Roman" w:cs="Times New Roman"/>
                <w:color w:val="auto"/>
              </w:rPr>
            </w:pPr>
            <w:r>
              <w:rPr>
                <w:rFonts w:hint="default" w:ascii="Times New Roman" w:hAnsi="Times New Roman" w:cs="Times New Roman"/>
                <w:color w:val="auto"/>
              </w:rPr>
              <w:t>相对差值E%</w:t>
            </w:r>
          </w:p>
        </w:tc>
      </w:tr>
      <w:tr w14:paraId="45DE2D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tcBorders>
              <w:tl2br w:val="nil"/>
              <w:tr2bl w:val="nil"/>
            </w:tcBorders>
            <w:noWrap/>
            <w:vAlign w:val="center"/>
          </w:tcPr>
          <w:p w14:paraId="04542980">
            <w:pPr>
              <w:pStyle w:val="44"/>
              <w:bidi w:val="0"/>
              <w:jc w:val="center"/>
              <w:rPr>
                <w:rFonts w:hint="default" w:ascii="Times New Roman" w:hAnsi="Times New Roman" w:cs="Times New Roman"/>
                <w:color w:val="auto"/>
              </w:rPr>
            </w:pPr>
            <w:r>
              <w:rPr>
                <w:rFonts w:hint="default" w:ascii="Times New Roman" w:hAnsi="Times New Roman" w:cs="Times New Roman"/>
                <w:color w:val="auto"/>
              </w:rPr>
              <w:t>阳离子和</w:t>
            </w:r>
          </w:p>
        </w:tc>
        <w:tc>
          <w:tcPr>
            <w:tcW w:w="818" w:type="dxa"/>
            <w:tcBorders>
              <w:tl2br w:val="nil"/>
              <w:tr2bl w:val="nil"/>
            </w:tcBorders>
            <w:noWrap/>
            <w:vAlign w:val="center"/>
          </w:tcPr>
          <w:p w14:paraId="2BC8CB9F">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5.27</w:t>
            </w:r>
          </w:p>
        </w:tc>
        <w:tc>
          <w:tcPr>
            <w:tcW w:w="822" w:type="dxa"/>
            <w:vMerge w:val="restart"/>
            <w:tcBorders>
              <w:tl2br w:val="nil"/>
              <w:tr2bl w:val="nil"/>
            </w:tcBorders>
            <w:noWrap/>
            <w:vAlign w:val="center"/>
          </w:tcPr>
          <w:p w14:paraId="51386E79">
            <w:pPr>
              <w:pStyle w:val="44"/>
              <w:bidi w:val="0"/>
              <w:jc w:val="center"/>
              <w:rPr>
                <w:rFonts w:hint="default" w:ascii="Times New Roman" w:hAnsi="Times New Roman" w:cs="Times New Roman"/>
                <w:color w:val="auto"/>
              </w:rPr>
            </w:pPr>
            <w:r>
              <w:rPr>
                <w:rFonts w:hint="default" w:ascii="Times New Roman" w:hAnsi="Times New Roman" w:cs="Times New Roman"/>
                <w:color w:val="auto"/>
              </w:rPr>
              <w:t>阴离子和</w:t>
            </w:r>
          </w:p>
        </w:tc>
        <w:tc>
          <w:tcPr>
            <w:tcW w:w="888" w:type="dxa"/>
            <w:tcBorders>
              <w:tl2br w:val="nil"/>
              <w:tr2bl w:val="nil"/>
            </w:tcBorders>
            <w:noWrap/>
            <w:vAlign w:val="center"/>
          </w:tcPr>
          <w:p w14:paraId="7CF2FE61">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4.99</w:t>
            </w:r>
          </w:p>
        </w:tc>
        <w:tc>
          <w:tcPr>
            <w:tcW w:w="989" w:type="dxa"/>
            <w:vMerge w:val="restart"/>
            <w:tcBorders>
              <w:tl2br w:val="nil"/>
              <w:tr2bl w:val="nil"/>
            </w:tcBorders>
            <w:noWrap/>
            <w:vAlign w:val="center"/>
          </w:tcPr>
          <w:p w14:paraId="1115DB0F">
            <w:pPr>
              <w:pStyle w:val="44"/>
              <w:bidi w:val="0"/>
              <w:jc w:val="center"/>
              <w:rPr>
                <w:rFonts w:hint="default" w:ascii="Times New Roman" w:hAnsi="Times New Roman" w:cs="Times New Roman"/>
                <w:color w:val="auto"/>
              </w:rPr>
            </w:pPr>
            <w:r>
              <w:rPr>
                <w:rFonts w:hint="default" w:ascii="Times New Roman" w:hAnsi="Times New Roman" w:cs="Times New Roman"/>
                <w:color w:val="auto"/>
              </w:rPr>
              <w:t>阴阳离子之差</w:t>
            </w:r>
          </w:p>
        </w:tc>
        <w:tc>
          <w:tcPr>
            <w:tcW w:w="1105" w:type="dxa"/>
            <w:tcBorders>
              <w:tl2br w:val="nil"/>
              <w:tr2bl w:val="nil"/>
            </w:tcBorders>
            <w:noWrap/>
            <w:vAlign w:val="center"/>
          </w:tcPr>
          <w:p w14:paraId="0E817FD5">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rPr>
              <w:t>0.</w:t>
            </w:r>
            <w:r>
              <w:rPr>
                <w:rFonts w:hint="default" w:ascii="Times New Roman" w:hAnsi="Times New Roman" w:cs="Times New Roman"/>
                <w:color w:val="auto"/>
                <w:lang w:val="en-US" w:eastAsia="zh-CN"/>
              </w:rPr>
              <w:t>28</w:t>
            </w:r>
          </w:p>
        </w:tc>
        <w:tc>
          <w:tcPr>
            <w:tcW w:w="844" w:type="dxa"/>
            <w:vMerge w:val="restart"/>
            <w:tcBorders>
              <w:tl2br w:val="nil"/>
              <w:tr2bl w:val="nil"/>
            </w:tcBorders>
            <w:noWrap/>
            <w:vAlign w:val="center"/>
          </w:tcPr>
          <w:p w14:paraId="1911B665">
            <w:pPr>
              <w:pStyle w:val="44"/>
              <w:bidi w:val="0"/>
              <w:jc w:val="center"/>
              <w:rPr>
                <w:rFonts w:hint="default" w:ascii="Times New Roman" w:hAnsi="Times New Roman" w:cs="Times New Roman"/>
                <w:color w:val="auto"/>
              </w:rPr>
            </w:pPr>
            <w:r>
              <w:rPr>
                <w:rFonts w:hint="default" w:ascii="Times New Roman" w:hAnsi="Times New Roman" w:cs="Times New Roman"/>
                <w:color w:val="auto"/>
              </w:rPr>
              <w:t>阴阳离子之和</w:t>
            </w:r>
          </w:p>
        </w:tc>
        <w:tc>
          <w:tcPr>
            <w:tcW w:w="850" w:type="dxa"/>
            <w:tcBorders>
              <w:tl2br w:val="nil"/>
              <w:tr2bl w:val="nil"/>
            </w:tcBorders>
            <w:noWrap/>
            <w:vAlign w:val="center"/>
          </w:tcPr>
          <w:p w14:paraId="578EF404">
            <w:pPr>
              <w:pStyle w:val="44"/>
              <w:bidi w:val="0"/>
              <w:jc w:val="center"/>
              <w:rPr>
                <w:rFonts w:hint="default" w:ascii="Times New Roman" w:hAnsi="Times New Roman" w:cs="Times New Roman"/>
                <w:color w:val="auto"/>
              </w:rPr>
            </w:pPr>
            <w:r>
              <w:rPr>
                <w:rFonts w:hint="default" w:ascii="Times New Roman" w:hAnsi="Times New Roman" w:cs="Times New Roman"/>
                <w:color w:val="auto"/>
              </w:rPr>
              <w:t>1</w:t>
            </w:r>
            <w:r>
              <w:rPr>
                <w:rFonts w:hint="default" w:ascii="Times New Roman" w:hAnsi="Times New Roman" w:cs="Times New Roman"/>
                <w:color w:val="auto"/>
                <w:lang w:val="en-US" w:eastAsia="zh-CN"/>
              </w:rPr>
              <w:t>0.26</w:t>
            </w:r>
          </w:p>
        </w:tc>
        <w:tc>
          <w:tcPr>
            <w:tcW w:w="935" w:type="dxa"/>
            <w:tcBorders>
              <w:tl2br w:val="nil"/>
              <w:tr2bl w:val="nil"/>
            </w:tcBorders>
            <w:noWrap/>
            <w:vAlign w:val="center"/>
          </w:tcPr>
          <w:p w14:paraId="2234278E">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2.791</w:t>
            </w:r>
          </w:p>
        </w:tc>
      </w:tr>
      <w:tr w14:paraId="2AE68D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l2br w:val="nil"/>
              <w:tr2bl w:val="nil"/>
            </w:tcBorders>
            <w:noWrap/>
            <w:vAlign w:val="center"/>
          </w:tcPr>
          <w:p w14:paraId="7791F808">
            <w:pPr>
              <w:pStyle w:val="44"/>
              <w:bidi w:val="0"/>
              <w:jc w:val="center"/>
              <w:rPr>
                <w:rFonts w:hint="default" w:ascii="Times New Roman" w:hAnsi="Times New Roman" w:cs="Times New Roman"/>
                <w:color w:val="auto"/>
              </w:rPr>
            </w:pPr>
          </w:p>
        </w:tc>
        <w:tc>
          <w:tcPr>
            <w:tcW w:w="818" w:type="dxa"/>
            <w:tcBorders>
              <w:tl2br w:val="nil"/>
              <w:tr2bl w:val="nil"/>
            </w:tcBorders>
            <w:noWrap/>
            <w:vAlign w:val="center"/>
          </w:tcPr>
          <w:p w14:paraId="35E54411">
            <w:pPr>
              <w:pStyle w:val="44"/>
              <w:bidi w:val="0"/>
              <w:jc w:val="center"/>
              <w:rPr>
                <w:rFonts w:hint="default" w:ascii="Times New Roman" w:hAnsi="Times New Roman" w:cs="Times New Roman"/>
                <w:color w:val="auto"/>
              </w:rPr>
            </w:pPr>
            <w:r>
              <w:rPr>
                <w:rFonts w:hint="default" w:ascii="Times New Roman" w:hAnsi="Times New Roman" w:cs="Times New Roman"/>
                <w:color w:val="auto"/>
              </w:rPr>
              <w:t>5.</w:t>
            </w:r>
            <w:r>
              <w:rPr>
                <w:rFonts w:hint="default" w:ascii="Times New Roman" w:hAnsi="Times New Roman" w:cs="Times New Roman"/>
                <w:color w:val="auto"/>
                <w:lang w:val="en-US" w:eastAsia="zh-CN"/>
              </w:rPr>
              <w:t>03</w:t>
            </w:r>
          </w:p>
        </w:tc>
        <w:tc>
          <w:tcPr>
            <w:tcW w:w="822" w:type="dxa"/>
            <w:vMerge w:val="continue"/>
            <w:tcBorders>
              <w:tl2br w:val="nil"/>
              <w:tr2bl w:val="nil"/>
            </w:tcBorders>
            <w:noWrap/>
            <w:vAlign w:val="center"/>
          </w:tcPr>
          <w:p w14:paraId="37710F13">
            <w:pPr>
              <w:pStyle w:val="44"/>
              <w:bidi w:val="0"/>
              <w:jc w:val="center"/>
              <w:rPr>
                <w:rFonts w:hint="default" w:ascii="Times New Roman" w:hAnsi="Times New Roman" w:cs="Times New Roman"/>
                <w:color w:val="auto"/>
              </w:rPr>
            </w:pPr>
          </w:p>
        </w:tc>
        <w:tc>
          <w:tcPr>
            <w:tcW w:w="888" w:type="dxa"/>
            <w:tcBorders>
              <w:tl2br w:val="nil"/>
              <w:tr2bl w:val="nil"/>
            </w:tcBorders>
            <w:noWrap/>
            <w:vAlign w:val="center"/>
          </w:tcPr>
          <w:p w14:paraId="075C3003">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4.78</w:t>
            </w:r>
          </w:p>
        </w:tc>
        <w:tc>
          <w:tcPr>
            <w:tcW w:w="989" w:type="dxa"/>
            <w:vMerge w:val="continue"/>
            <w:tcBorders>
              <w:tl2br w:val="nil"/>
              <w:tr2bl w:val="nil"/>
            </w:tcBorders>
            <w:noWrap/>
            <w:vAlign w:val="center"/>
          </w:tcPr>
          <w:p w14:paraId="76AA89FA">
            <w:pPr>
              <w:pStyle w:val="44"/>
              <w:bidi w:val="0"/>
              <w:jc w:val="center"/>
              <w:rPr>
                <w:rFonts w:hint="default" w:ascii="Times New Roman" w:hAnsi="Times New Roman" w:cs="Times New Roman"/>
                <w:color w:val="auto"/>
              </w:rPr>
            </w:pPr>
          </w:p>
        </w:tc>
        <w:tc>
          <w:tcPr>
            <w:tcW w:w="1105" w:type="dxa"/>
            <w:tcBorders>
              <w:tl2br w:val="nil"/>
              <w:tr2bl w:val="nil"/>
            </w:tcBorders>
            <w:noWrap/>
            <w:vAlign w:val="center"/>
          </w:tcPr>
          <w:p w14:paraId="077C2014">
            <w:pPr>
              <w:pStyle w:val="44"/>
              <w:bidi w:val="0"/>
              <w:jc w:val="center"/>
              <w:rPr>
                <w:rFonts w:hint="default" w:ascii="Times New Roman" w:hAnsi="Times New Roman" w:cs="Times New Roman"/>
                <w:color w:val="auto"/>
              </w:rPr>
            </w:pPr>
            <w:r>
              <w:rPr>
                <w:rFonts w:hint="default" w:ascii="Times New Roman" w:hAnsi="Times New Roman" w:cs="Times New Roman"/>
                <w:color w:val="auto"/>
              </w:rPr>
              <w:t>0.</w:t>
            </w:r>
            <w:r>
              <w:rPr>
                <w:rFonts w:hint="default" w:ascii="Times New Roman" w:hAnsi="Times New Roman" w:cs="Times New Roman"/>
                <w:color w:val="auto"/>
                <w:lang w:val="en-US" w:eastAsia="zh-CN"/>
              </w:rPr>
              <w:t>25</w:t>
            </w:r>
          </w:p>
        </w:tc>
        <w:tc>
          <w:tcPr>
            <w:tcW w:w="844" w:type="dxa"/>
            <w:vMerge w:val="continue"/>
            <w:tcBorders>
              <w:tl2br w:val="nil"/>
              <w:tr2bl w:val="nil"/>
            </w:tcBorders>
            <w:noWrap/>
            <w:vAlign w:val="center"/>
          </w:tcPr>
          <w:p w14:paraId="3FE7543E">
            <w:pPr>
              <w:pStyle w:val="44"/>
              <w:bidi w:val="0"/>
              <w:jc w:val="center"/>
              <w:rPr>
                <w:rFonts w:hint="default" w:ascii="Times New Roman" w:hAnsi="Times New Roman" w:cs="Times New Roman"/>
                <w:color w:val="auto"/>
              </w:rPr>
            </w:pPr>
          </w:p>
        </w:tc>
        <w:tc>
          <w:tcPr>
            <w:tcW w:w="850" w:type="dxa"/>
            <w:tcBorders>
              <w:tl2br w:val="nil"/>
              <w:tr2bl w:val="nil"/>
            </w:tcBorders>
            <w:noWrap/>
            <w:vAlign w:val="center"/>
          </w:tcPr>
          <w:p w14:paraId="2897921C">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9.81</w:t>
            </w:r>
          </w:p>
        </w:tc>
        <w:tc>
          <w:tcPr>
            <w:tcW w:w="935" w:type="dxa"/>
            <w:tcBorders>
              <w:tl2br w:val="nil"/>
              <w:tr2bl w:val="nil"/>
            </w:tcBorders>
            <w:noWrap/>
            <w:vAlign w:val="center"/>
          </w:tcPr>
          <w:p w14:paraId="59CD0FDE">
            <w:pPr>
              <w:pStyle w:val="44"/>
              <w:bidi w:val="0"/>
              <w:jc w:val="center"/>
              <w:rPr>
                <w:rFonts w:hint="default" w:ascii="Times New Roman" w:hAnsi="Times New Roman" w:cs="Times New Roman"/>
                <w:color w:val="auto"/>
              </w:rPr>
            </w:pPr>
            <w:r>
              <w:rPr>
                <w:rFonts w:hint="default" w:ascii="Times New Roman" w:hAnsi="Times New Roman" w:cs="Times New Roman"/>
                <w:color w:val="auto"/>
              </w:rPr>
              <w:t>0.</w:t>
            </w:r>
            <w:r>
              <w:rPr>
                <w:rFonts w:hint="default" w:ascii="Times New Roman" w:hAnsi="Times New Roman" w:cs="Times New Roman"/>
                <w:color w:val="auto"/>
                <w:lang w:val="en-US" w:eastAsia="zh-CN"/>
              </w:rPr>
              <w:t>798</w:t>
            </w:r>
          </w:p>
        </w:tc>
      </w:tr>
      <w:tr w14:paraId="175D89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l2br w:val="nil"/>
              <w:tr2bl w:val="nil"/>
            </w:tcBorders>
            <w:noWrap/>
            <w:vAlign w:val="center"/>
          </w:tcPr>
          <w:p w14:paraId="69CA2131">
            <w:pPr>
              <w:pStyle w:val="44"/>
              <w:bidi w:val="0"/>
              <w:jc w:val="center"/>
              <w:rPr>
                <w:rFonts w:hint="default" w:ascii="Times New Roman" w:hAnsi="Times New Roman" w:cs="Times New Roman"/>
                <w:color w:val="auto"/>
              </w:rPr>
            </w:pPr>
          </w:p>
        </w:tc>
        <w:tc>
          <w:tcPr>
            <w:tcW w:w="818" w:type="dxa"/>
            <w:tcBorders>
              <w:tl2br w:val="nil"/>
              <w:tr2bl w:val="nil"/>
            </w:tcBorders>
            <w:noWrap/>
            <w:vAlign w:val="center"/>
          </w:tcPr>
          <w:p w14:paraId="0A685109">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rPr>
              <w:t>5.</w:t>
            </w:r>
            <w:r>
              <w:rPr>
                <w:rFonts w:hint="default" w:ascii="Times New Roman" w:hAnsi="Times New Roman" w:cs="Times New Roman"/>
                <w:color w:val="auto"/>
                <w:lang w:val="en-US" w:eastAsia="zh-CN"/>
              </w:rPr>
              <w:t>56</w:t>
            </w:r>
          </w:p>
        </w:tc>
        <w:tc>
          <w:tcPr>
            <w:tcW w:w="822" w:type="dxa"/>
            <w:vMerge w:val="continue"/>
            <w:tcBorders>
              <w:tl2br w:val="nil"/>
              <w:tr2bl w:val="nil"/>
            </w:tcBorders>
            <w:noWrap/>
            <w:vAlign w:val="center"/>
          </w:tcPr>
          <w:p w14:paraId="5EF97FE3">
            <w:pPr>
              <w:pStyle w:val="44"/>
              <w:bidi w:val="0"/>
              <w:jc w:val="center"/>
              <w:rPr>
                <w:rFonts w:hint="default" w:ascii="Times New Roman" w:hAnsi="Times New Roman" w:cs="Times New Roman"/>
                <w:color w:val="auto"/>
              </w:rPr>
            </w:pPr>
          </w:p>
        </w:tc>
        <w:tc>
          <w:tcPr>
            <w:tcW w:w="888" w:type="dxa"/>
            <w:tcBorders>
              <w:tl2br w:val="nil"/>
              <w:tr2bl w:val="nil"/>
            </w:tcBorders>
            <w:noWrap/>
            <w:vAlign w:val="center"/>
          </w:tcPr>
          <w:p w14:paraId="24AC1B75">
            <w:pPr>
              <w:pStyle w:val="44"/>
              <w:bidi w:val="0"/>
              <w:jc w:val="center"/>
              <w:rPr>
                <w:rFonts w:hint="default" w:ascii="Times New Roman" w:hAnsi="Times New Roman" w:cs="Times New Roman"/>
                <w:color w:val="auto"/>
              </w:rPr>
            </w:pPr>
            <w:r>
              <w:rPr>
                <w:rFonts w:hint="default" w:ascii="Times New Roman" w:hAnsi="Times New Roman" w:cs="Times New Roman"/>
                <w:color w:val="auto"/>
              </w:rPr>
              <w:t>5.</w:t>
            </w:r>
            <w:r>
              <w:rPr>
                <w:rFonts w:hint="default" w:ascii="Times New Roman" w:hAnsi="Times New Roman" w:cs="Times New Roman"/>
                <w:color w:val="auto"/>
                <w:lang w:val="en-US" w:eastAsia="zh-CN"/>
              </w:rPr>
              <w:t>25</w:t>
            </w:r>
          </w:p>
        </w:tc>
        <w:tc>
          <w:tcPr>
            <w:tcW w:w="989" w:type="dxa"/>
            <w:vMerge w:val="continue"/>
            <w:tcBorders>
              <w:tl2br w:val="nil"/>
              <w:tr2bl w:val="nil"/>
            </w:tcBorders>
            <w:noWrap/>
            <w:vAlign w:val="center"/>
          </w:tcPr>
          <w:p w14:paraId="79A611DF">
            <w:pPr>
              <w:pStyle w:val="44"/>
              <w:bidi w:val="0"/>
              <w:jc w:val="center"/>
              <w:rPr>
                <w:rFonts w:hint="default" w:ascii="Times New Roman" w:hAnsi="Times New Roman" w:cs="Times New Roman"/>
                <w:color w:val="auto"/>
              </w:rPr>
            </w:pPr>
          </w:p>
        </w:tc>
        <w:tc>
          <w:tcPr>
            <w:tcW w:w="1105" w:type="dxa"/>
            <w:tcBorders>
              <w:tl2br w:val="nil"/>
              <w:tr2bl w:val="nil"/>
            </w:tcBorders>
            <w:noWrap/>
            <w:vAlign w:val="center"/>
          </w:tcPr>
          <w:p w14:paraId="730884F4">
            <w:pPr>
              <w:pStyle w:val="44"/>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0.31</w:t>
            </w:r>
          </w:p>
        </w:tc>
        <w:tc>
          <w:tcPr>
            <w:tcW w:w="844" w:type="dxa"/>
            <w:vMerge w:val="continue"/>
            <w:tcBorders>
              <w:tl2br w:val="nil"/>
              <w:tr2bl w:val="nil"/>
            </w:tcBorders>
            <w:noWrap/>
            <w:vAlign w:val="center"/>
          </w:tcPr>
          <w:p w14:paraId="28E1890A">
            <w:pPr>
              <w:pStyle w:val="44"/>
              <w:bidi w:val="0"/>
              <w:jc w:val="center"/>
              <w:rPr>
                <w:rFonts w:hint="default" w:ascii="Times New Roman" w:hAnsi="Times New Roman" w:cs="Times New Roman"/>
                <w:color w:val="auto"/>
              </w:rPr>
            </w:pPr>
          </w:p>
        </w:tc>
        <w:tc>
          <w:tcPr>
            <w:tcW w:w="850" w:type="dxa"/>
            <w:tcBorders>
              <w:tl2br w:val="nil"/>
              <w:tr2bl w:val="nil"/>
            </w:tcBorders>
            <w:noWrap/>
            <w:vAlign w:val="center"/>
          </w:tcPr>
          <w:p w14:paraId="6F531CF9">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10.81</w:t>
            </w:r>
          </w:p>
        </w:tc>
        <w:tc>
          <w:tcPr>
            <w:tcW w:w="935" w:type="dxa"/>
            <w:tcBorders>
              <w:tl2br w:val="nil"/>
              <w:tr2bl w:val="nil"/>
            </w:tcBorders>
            <w:noWrap/>
            <w:vAlign w:val="center"/>
          </w:tcPr>
          <w:p w14:paraId="628B5C37">
            <w:pPr>
              <w:pStyle w:val="44"/>
              <w:bidi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2.877</w:t>
            </w:r>
          </w:p>
        </w:tc>
      </w:tr>
    </w:tbl>
    <w:p w14:paraId="35F257C6">
      <w:pPr>
        <w:pStyle w:val="25"/>
        <w:bidi w:val="0"/>
        <w:rPr>
          <w:rFonts w:hint="default" w:ascii="Times New Roman" w:hAnsi="Times New Roman" w:cs="Times New Roman"/>
          <w:color w:val="auto"/>
        </w:rPr>
      </w:pPr>
      <w:r>
        <w:rPr>
          <w:rFonts w:hint="default" w:ascii="Times New Roman" w:hAnsi="Times New Roman" w:cs="Times New Roman"/>
          <w:color w:val="auto"/>
        </w:rPr>
        <w:t>由上表可知，相对误差小于5%，地下水监测结果可靠。</w:t>
      </w:r>
    </w:p>
    <w:p w14:paraId="52A19CC8">
      <w:pPr>
        <w:pStyle w:val="39"/>
        <w:bidi w:val="0"/>
        <w:ind w:left="0" w:leftChars="0" w:firstLine="0" w:firstLineChars="0"/>
        <w:rPr>
          <w:rFonts w:hint="default" w:ascii="Times New Roman" w:hAnsi="Times New Roman" w:cs="Times New Roman"/>
          <w:color w:val="auto"/>
        </w:rPr>
      </w:pPr>
      <w:r>
        <w:rPr>
          <w:rFonts w:hint="default" w:ascii="Times New Roman" w:hAnsi="Times New Roman" w:cs="Times New Roman"/>
          <w:color w:val="auto"/>
        </w:rPr>
        <w:t>4.2.4声环境质量现状评价</w:t>
      </w:r>
      <w:bookmarkEnd w:id="253"/>
      <w:bookmarkEnd w:id="254"/>
    </w:p>
    <w:p w14:paraId="5919F2F3">
      <w:pPr>
        <w:pStyle w:val="5"/>
        <w:bidi w:val="0"/>
        <w:rPr>
          <w:rFonts w:hint="default" w:ascii="Times New Roman" w:hAnsi="Times New Roman" w:cs="Times New Roman"/>
          <w:color w:val="auto"/>
        </w:rPr>
      </w:pPr>
      <w:r>
        <w:rPr>
          <w:rFonts w:hint="default" w:ascii="Times New Roman" w:hAnsi="Times New Roman" w:cs="Times New Roman"/>
          <w:color w:val="auto"/>
        </w:rPr>
        <w:t>4.2.4.1声环境现状监测</w:t>
      </w:r>
    </w:p>
    <w:p w14:paraId="02F71E50">
      <w:pPr>
        <w:pStyle w:val="25"/>
        <w:bidi w:val="0"/>
        <w:rPr>
          <w:rFonts w:hint="default" w:ascii="Times New Roman" w:hAnsi="Times New Roman" w:cs="Times New Roman"/>
          <w:color w:val="auto"/>
          <w:lang w:val="zh-CN"/>
        </w:rPr>
      </w:pPr>
      <w:r>
        <w:rPr>
          <w:rFonts w:hint="default" w:ascii="Times New Roman" w:hAnsi="Times New Roman" w:cs="Times New Roman"/>
          <w:color w:val="auto"/>
          <w:lang w:val="zh-CN"/>
        </w:rPr>
        <w:t>（1）数据来源</w:t>
      </w:r>
    </w:p>
    <w:p w14:paraId="2CDD5A0C">
      <w:pPr>
        <w:pStyle w:val="25"/>
        <w:bidi w:val="0"/>
        <w:rPr>
          <w:rFonts w:hint="default" w:ascii="Times New Roman" w:hAnsi="Times New Roman" w:cs="Times New Roman"/>
          <w:color w:val="auto"/>
        </w:rPr>
      </w:pPr>
      <w:r>
        <w:rPr>
          <w:rFonts w:hint="default" w:ascii="Times New Roman" w:hAnsi="Times New Roman" w:cs="Times New Roman"/>
          <w:color w:val="auto"/>
          <w:lang w:val="zh-CN"/>
        </w:rPr>
        <w:t>本项目声环境质量现状监测数据来自</w:t>
      </w:r>
      <w:r>
        <w:rPr>
          <w:rFonts w:hint="default" w:ascii="Times New Roman" w:hAnsi="Times New Roman" w:cs="Times New Roman"/>
          <w:color w:val="auto"/>
          <w:lang w:eastAsia="zh-CN"/>
        </w:rPr>
        <w:t>黑龙江汉风环境检测技术有限公司</w:t>
      </w:r>
      <w:r>
        <w:rPr>
          <w:rFonts w:hint="default" w:ascii="Times New Roman" w:hAnsi="Times New Roman" w:cs="Times New Roman"/>
          <w:color w:val="auto"/>
        </w:rPr>
        <w:t>，详细情况见附件。</w:t>
      </w:r>
    </w:p>
    <w:p w14:paraId="461BB309">
      <w:pPr>
        <w:pStyle w:val="25"/>
        <w:bidi w:val="0"/>
        <w:rPr>
          <w:rFonts w:hint="default" w:ascii="Times New Roman" w:hAnsi="Times New Roman" w:cs="Times New Roman"/>
          <w:color w:val="auto"/>
          <w:lang w:val="zh-CN"/>
        </w:rPr>
      </w:pPr>
      <w:r>
        <w:rPr>
          <w:rFonts w:hint="default" w:ascii="Times New Roman" w:hAnsi="Times New Roman" w:cs="Times New Roman"/>
          <w:color w:val="auto"/>
          <w:lang w:val="zh-CN"/>
        </w:rPr>
        <w:t>（2）监测点位</w:t>
      </w:r>
    </w:p>
    <w:p w14:paraId="4CB541DD">
      <w:pPr>
        <w:pStyle w:val="25"/>
        <w:bidi w:val="0"/>
        <w:rPr>
          <w:rFonts w:hint="default" w:ascii="Times New Roman" w:hAnsi="Times New Roman" w:cs="Times New Roman"/>
          <w:color w:val="auto"/>
        </w:rPr>
      </w:pPr>
      <w:r>
        <w:rPr>
          <w:rFonts w:hint="default" w:ascii="Times New Roman" w:hAnsi="Times New Roman" w:cs="Times New Roman"/>
          <w:color w:val="auto"/>
        </w:rPr>
        <w:t>本项目</w:t>
      </w:r>
      <w:r>
        <w:rPr>
          <w:rFonts w:hint="default" w:ascii="Times New Roman" w:hAnsi="Times New Roman" w:cs="Times New Roman"/>
          <w:color w:val="auto"/>
          <w:lang w:val="en-US" w:eastAsia="zh-CN"/>
        </w:rPr>
        <w:t>在2#矿山四周及各项目区200m范围内周边存在的村屯布设监测点位，</w:t>
      </w:r>
      <w:r>
        <w:rPr>
          <w:rFonts w:hint="default" w:ascii="Times New Roman" w:hAnsi="Times New Roman" w:cs="Times New Roman"/>
          <w:color w:val="auto"/>
        </w:rPr>
        <w:t>声环境现状监测点位布置具体见下表。</w:t>
      </w:r>
    </w:p>
    <w:p w14:paraId="1994E202">
      <w:pPr>
        <w:pStyle w:val="27"/>
        <w:bidi w:val="0"/>
        <w:rPr>
          <w:rFonts w:hint="default" w:ascii="Times New Roman" w:hAnsi="Times New Roman" w:cs="Times New Roman"/>
          <w:color w:val="auto"/>
        </w:rPr>
      </w:pPr>
      <w:r>
        <w:rPr>
          <w:rFonts w:hint="default" w:ascii="Times New Roman" w:hAnsi="Times New Roman" w:cs="Times New Roman"/>
          <w:color w:val="auto"/>
        </w:rPr>
        <w:t>表4-2-</w:t>
      </w:r>
      <w:r>
        <w:rPr>
          <w:rFonts w:hint="default" w:ascii="Times New Roman" w:hAnsi="Times New Roman" w:cs="Times New Roman"/>
          <w:color w:val="auto"/>
          <w:lang w:val="en-US" w:eastAsia="zh-CN"/>
        </w:rPr>
        <w:t>11</w:t>
      </w:r>
      <w:r>
        <w:rPr>
          <w:rFonts w:hint="default" w:ascii="Times New Roman" w:hAnsi="Times New Roman" w:cs="Times New Roman"/>
          <w:color w:val="auto"/>
        </w:rPr>
        <w:t>声环境现状监测点位表</w:t>
      </w:r>
    </w:p>
    <w:tbl>
      <w:tblPr>
        <w:tblStyle w:val="20"/>
        <w:tblW w:w="8521"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525"/>
        <w:gridCol w:w="3610"/>
        <w:gridCol w:w="3386"/>
      </w:tblGrid>
      <w:tr w14:paraId="4E3D16F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525" w:type="dxa"/>
            <w:vAlign w:val="center"/>
          </w:tcPr>
          <w:p w14:paraId="7F4CB9F9">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序号</w:t>
            </w:r>
          </w:p>
        </w:tc>
        <w:tc>
          <w:tcPr>
            <w:tcW w:w="3610" w:type="dxa"/>
            <w:vAlign w:val="center"/>
          </w:tcPr>
          <w:p w14:paraId="4EC1C23B">
            <w:pPr>
              <w:pStyle w:val="44"/>
              <w:bidi w:val="0"/>
              <w:rPr>
                <w:rFonts w:hint="default" w:ascii="Times New Roman" w:hAnsi="Times New Roman" w:cs="Times New Roman"/>
                <w:color w:val="auto"/>
              </w:rPr>
            </w:pPr>
            <w:r>
              <w:rPr>
                <w:rFonts w:hint="default" w:ascii="Times New Roman" w:hAnsi="Times New Roman" w:cs="Times New Roman"/>
                <w:color w:val="auto"/>
                <w:lang w:eastAsia="zh-CN"/>
              </w:rPr>
              <w:t>采样点位</w:t>
            </w:r>
          </w:p>
        </w:tc>
        <w:tc>
          <w:tcPr>
            <w:tcW w:w="3386" w:type="dxa"/>
            <w:vAlign w:val="center"/>
          </w:tcPr>
          <w:p w14:paraId="565FCEAA">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执行标准</w:t>
            </w:r>
          </w:p>
        </w:tc>
      </w:tr>
      <w:tr w14:paraId="0F4BECE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1525" w:type="dxa"/>
            <w:vAlign w:val="center"/>
          </w:tcPr>
          <w:p w14:paraId="3EA0B588">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▲1#</w:t>
            </w:r>
          </w:p>
        </w:tc>
        <w:tc>
          <w:tcPr>
            <w:tcW w:w="3610" w:type="dxa"/>
            <w:vAlign w:val="center"/>
          </w:tcPr>
          <w:p w14:paraId="6CDE6AE7">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鸡西市城子河区兴顺采石场(2#)东侧</w:t>
            </w:r>
          </w:p>
        </w:tc>
        <w:tc>
          <w:tcPr>
            <w:tcW w:w="3386" w:type="dxa"/>
            <w:vMerge w:val="restart"/>
            <w:vAlign w:val="center"/>
          </w:tcPr>
          <w:p w14:paraId="0363D7EC">
            <w:pPr>
              <w:pStyle w:val="44"/>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项目所在区域执行《声环境质量标准》（GB3096-2008）中1类区标准</w:t>
            </w:r>
          </w:p>
        </w:tc>
      </w:tr>
      <w:tr w14:paraId="5B087FC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525" w:type="dxa"/>
            <w:vAlign w:val="center"/>
          </w:tcPr>
          <w:p w14:paraId="29C3F9FE">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▲2#</w:t>
            </w:r>
          </w:p>
        </w:tc>
        <w:tc>
          <w:tcPr>
            <w:tcW w:w="3610" w:type="dxa"/>
            <w:vAlign w:val="center"/>
          </w:tcPr>
          <w:p w14:paraId="430EA40E">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鸡西市城子河区兴顺采石场(2#)南侧</w:t>
            </w:r>
          </w:p>
        </w:tc>
        <w:tc>
          <w:tcPr>
            <w:tcW w:w="3386" w:type="dxa"/>
            <w:vMerge w:val="continue"/>
            <w:vAlign w:val="center"/>
          </w:tcPr>
          <w:p w14:paraId="26A8B9BF">
            <w:pPr>
              <w:pStyle w:val="44"/>
              <w:bidi w:val="0"/>
              <w:rPr>
                <w:rFonts w:hint="default" w:ascii="Times New Roman" w:hAnsi="Times New Roman" w:eastAsia="宋体" w:cs="Times New Roman"/>
                <w:color w:val="auto"/>
                <w:lang w:val="en-US" w:eastAsia="zh-CN"/>
              </w:rPr>
            </w:pPr>
          </w:p>
        </w:tc>
      </w:tr>
      <w:tr w14:paraId="29AE37E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6" w:hRule="atLeast"/>
          <w:jc w:val="center"/>
        </w:trPr>
        <w:tc>
          <w:tcPr>
            <w:tcW w:w="1525" w:type="dxa"/>
            <w:vAlign w:val="center"/>
          </w:tcPr>
          <w:p w14:paraId="2CDDB045">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▲3#</w:t>
            </w:r>
          </w:p>
        </w:tc>
        <w:tc>
          <w:tcPr>
            <w:tcW w:w="3610" w:type="dxa"/>
            <w:vAlign w:val="center"/>
          </w:tcPr>
          <w:p w14:paraId="67D8D626">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鸡西市城子河区兴顺采石场(2#)西侧</w:t>
            </w:r>
          </w:p>
        </w:tc>
        <w:tc>
          <w:tcPr>
            <w:tcW w:w="3386" w:type="dxa"/>
            <w:vMerge w:val="continue"/>
            <w:vAlign w:val="center"/>
          </w:tcPr>
          <w:p w14:paraId="660BADE1">
            <w:pPr>
              <w:pStyle w:val="44"/>
              <w:bidi w:val="0"/>
              <w:rPr>
                <w:rFonts w:hint="default" w:ascii="Times New Roman" w:hAnsi="Times New Roman" w:eastAsia="宋体" w:cs="Times New Roman"/>
                <w:color w:val="auto"/>
                <w:lang w:val="en-US" w:eastAsia="zh-CN"/>
              </w:rPr>
            </w:pPr>
          </w:p>
        </w:tc>
      </w:tr>
      <w:tr w14:paraId="45DEFF4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6" w:hRule="atLeast"/>
          <w:jc w:val="center"/>
        </w:trPr>
        <w:tc>
          <w:tcPr>
            <w:tcW w:w="1525" w:type="dxa"/>
            <w:vAlign w:val="center"/>
          </w:tcPr>
          <w:p w14:paraId="695B6BD3">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▲4#</w:t>
            </w:r>
          </w:p>
        </w:tc>
        <w:tc>
          <w:tcPr>
            <w:tcW w:w="3610" w:type="dxa"/>
            <w:vAlign w:val="center"/>
          </w:tcPr>
          <w:p w14:paraId="06242B82">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鸡西市城子河区兴顺采石场(2#)北侧</w:t>
            </w:r>
          </w:p>
        </w:tc>
        <w:tc>
          <w:tcPr>
            <w:tcW w:w="3386" w:type="dxa"/>
            <w:vMerge w:val="continue"/>
            <w:vAlign w:val="center"/>
          </w:tcPr>
          <w:p w14:paraId="682320E7">
            <w:pPr>
              <w:pStyle w:val="44"/>
              <w:bidi w:val="0"/>
              <w:rPr>
                <w:rFonts w:hint="default" w:ascii="Times New Roman" w:hAnsi="Times New Roman" w:eastAsia="宋体" w:cs="Times New Roman"/>
                <w:color w:val="auto"/>
                <w:lang w:val="en-US" w:eastAsia="zh-CN"/>
              </w:rPr>
            </w:pPr>
          </w:p>
        </w:tc>
      </w:tr>
      <w:tr w14:paraId="07D6B07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6" w:hRule="atLeast"/>
          <w:jc w:val="center"/>
        </w:trPr>
        <w:tc>
          <w:tcPr>
            <w:tcW w:w="1525" w:type="dxa"/>
            <w:vAlign w:val="center"/>
          </w:tcPr>
          <w:p w14:paraId="575C570B">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▲5#</w:t>
            </w:r>
          </w:p>
        </w:tc>
        <w:tc>
          <w:tcPr>
            <w:tcW w:w="3610" w:type="dxa"/>
            <w:vAlign w:val="center"/>
          </w:tcPr>
          <w:p w14:paraId="2EB44DA3">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西沟屯</w:t>
            </w:r>
          </w:p>
        </w:tc>
        <w:tc>
          <w:tcPr>
            <w:tcW w:w="3386" w:type="dxa"/>
            <w:vMerge w:val="restart"/>
            <w:vAlign w:val="center"/>
          </w:tcPr>
          <w:p w14:paraId="0FEACCFD">
            <w:pPr>
              <w:pStyle w:val="44"/>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各敏感点执行《声环境质量标准》（GB3096-2008）1类标准</w:t>
            </w:r>
          </w:p>
        </w:tc>
      </w:tr>
      <w:tr w14:paraId="03B4F54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6" w:hRule="atLeast"/>
          <w:jc w:val="center"/>
        </w:trPr>
        <w:tc>
          <w:tcPr>
            <w:tcW w:w="1525" w:type="dxa"/>
            <w:vAlign w:val="center"/>
          </w:tcPr>
          <w:p w14:paraId="7F05552C">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▲6#</w:t>
            </w:r>
          </w:p>
        </w:tc>
        <w:tc>
          <w:tcPr>
            <w:tcW w:w="3610" w:type="dxa"/>
            <w:vAlign w:val="center"/>
          </w:tcPr>
          <w:p w14:paraId="4FE42860">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城海村</w:t>
            </w:r>
          </w:p>
        </w:tc>
        <w:tc>
          <w:tcPr>
            <w:tcW w:w="3386" w:type="dxa"/>
            <w:vMerge w:val="continue"/>
            <w:vAlign w:val="center"/>
          </w:tcPr>
          <w:p w14:paraId="04C4603E">
            <w:pPr>
              <w:pStyle w:val="44"/>
              <w:bidi w:val="0"/>
              <w:rPr>
                <w:rFonts w:hint="default" w:ascii="Times New Roman" w:hAnsi="Times New Roman" w:cs="Times New Roman"/>
                <w:color w:val="auto"/>
                <w:lang w:val="en-US" w:eastAsia="zh-CN"/>
              </w:rPr>
            </w:pPr>
          </w:p>
        </w:tc>
      </w:tr>
      <w:tr w14:paraId="5E56B61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6" w:hRule="atLeast"/>
          <w:jc w:val="center"/>
        </w:trPr>
        <w:tc>
          <w:tcPr>
            <w:tcW w:w="1525" w:type="dxa"/>
            <w:vAlign w:val="center"/>
          </w:tcPr>
          <w:p w14:paraId="111F62CE">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▲7#</w:t>
            </w:r>
          </w:p>
        </w:tc>
        <w:tc>
          <w:tcPr>
            <w:tcW w:w="3610" w:type="dxa"/>
            <w:vAlign w:val="center"/>
          </w:tcPr>
          <w:p w14:paraId="0F99F6C1">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城东一队</w:t>
            </w:r>
          </w:p>
        </w:tc>
        <w:tc>
          <w:tcPr>
            <w:tcW w:w="3386" w:type="dxa"/>
            <w:vMerge w:val="continue"/>
            <w:vAlign w:val="center"/>
          </w:tcPr>
          <w:p w14:paraId="358164A5">
            <w:pPr>
              <w:pStyle w:val="44"/>
              <w:bidi w:val="0"/>
              <w:rPr>
                <w:rFonts w:hint="default" w:ascii="Times New Roman" w:hAnsi="Times New Roman" w:cs="Times New Roman"/>
                <w:color w:val="auto"/>
                <w:lang w:val="en-US" w:eastAsia="zh-CN"/>
              </w:rPr>
            </w:pPr>
          </w:p>
        </w:tc>
      </w:tr>
      <w:tr w14:paraId="7ECD16A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6" w:hRule="atLeast"/>
          <w:jc w:val="center"/>
        </w:trPr>
        <w:tc>
          <w:tcPr>
            <w:tcW w:w="1525" w:type="dxa"/>
            <w:vAlign w:val="center"/>
          </w:tcPr>
          <w:p w14:paraId="21D970D3">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▲8#</w:t>
            </w:r>
          </w:p>
        </w:tc>
        <w:tc>
          <w:tcPr>
            <w:tcW w:w="3610" w:type="dxa"/>
            <w:vAlign w:val="center"/>
          </w:tcPr>
          <w:p w14:paraId="426D0E6C">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正阳六队</w:t>
            </w:r>
          </w:p>
        </w:tc>
        <w:tc>
          <w:tcPr>
            <w:tcW w:w="3386" w:type="dxa"/>
            <w:vMerge w:val="continue"/>
            <w:vAlign w:val="center"/>
          </w:tcPr>
          <w:p w14:paraId="6E85D36E">
            <w:pPr>
              <w:pStyle w:val="44"/>
              <w:bidi w:val="0"/>
              <w:rPr>
                <w:rFonts w:hint="default" w:ascii="Times New Roman" w:hAnsi="Times New Roman" w:cs="Times New Roman"/>
                <w:color w:val="auto"/>
                <w:lang w:val="en-US" w:eastAsia="zh-CN"/>
              </w:rPr>
            </w:pPr>
          </w:p>
        </w:tc>
      </w:tr>
      <w:tr w14:paraId="7058A89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6" w:hRule="atLeast"/>
          <w:jc w:val="center"/>
        </w:trPr>
        <w:tc>
          <w:tcPr>
            <w:tcW w:w="1525" w:type="dxa"/>
            <w:vAlign w:val="center"/>
          </w:tcPr>
          <w:p w14:paraId="5879F464">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▲9#</w:t>
            </w:r>
          </w:p>
        </w:tc>
        <w:tc>
          <w:tcPr>
            <w:tcW w:w="3610" w:type="dxa"/>
            <w:vAlign w:val="center"/>
          </w:tcPr>
          <w:p w14:paraId="7557066D">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龙山屯</w:t>
            </w:r>
          </w:p>
        </w:tc>
        <w:tc>
          <w:tcPr>
            <w:tcW w:w="3386" w:type="dxa"/>
            <w:vMerge w:val="continue"/>
            <w:vAlign w:val="center"/>
          </w:tcPr>
          <w:p w14:paraId="24BF40FA">
            <w:pPr>
              <w:pStyle w:val="44"/>
              <w:bidi w:val="0"/>
              <w:rPr>
                <w:rFonts w:hint="default" w:ascii="Times New Roman" w:hAnsi="Times New Roman" w:cs="Times New Roman"/>
                <w:color w:val="auto"/>
                <w:lang w:val="en-US" w:eastAsia="zh-CN"/>
              </w:rPr>
            </w:pPr>
          </w:p>
        </w:tc>
      </w:tr>
    </w:tbl>
    <w:p w14:paraId="54D06A51">
      <w:pPr>
        <w:pStyle w:val="25"/>
        <w:bidi w:val="0"/>
        <w:rPr>
          <w:rFonts w:hint="default" w:ascii="Times New Roman" w:hAnsi="Times New Roman" w:cs="Times New Roman"/>
          <w:color w:val="auto"/>
          <w:lang w:val="zh-CN"/>
        </w:rPr>
      </w:pPr>
      <w:r>
        <w:rPr>
          <w:rFonts w:hint="default" w:ascii="Times New Roman" w:hAnsi="Times New Roman" w:cs="Times New Roman"/>
          <w:color w:val="auto"/>
          <w:lang w:val="zh-CN"/>
        </w:rPr>
        <w:t>（3）监测时间</w:t>
      </w:r>
    </w:p>
    <w:p w14:paraId="7B667917">
      <w:pPr>
        <w:pStyle w:val="25"/>
        <w:bidi w:val="0"/>
        <w:rPr>
          <w:rFonts w:hint="default" w:ascii="Times New Roman" w:hAnsi="Times New Roman" w:cs="Times New Roman"/>
          <w:color w:val="auto"/>
          <w:lang w:val="zh-CN"/>
        </w:rPr>
      </w:pPr>
      <w:r>
        <w:rPr>
          <w:rFonts w:hint="default" w:ascii="Times New Roman" w:hAnsi="Times New Roman" w:cs="Times New Roman"/>
          <w:color w:val="auto"/>
          <w:lang w:val="zh-CN"/>
        </w:rPr>
        <w:t>202</w:t>
      </w:r>
      <w:r>
        <w:rPr>
          <w:rFonts w:hint="default" w:ascii="Times New Roman" w:hAnsi="Times New Roman" w:cs="Times New Roman"/>
          <w:color w:val="auto"/>
          <w:lang w:val="en-US" w:eastAsia="zh-CN"/>
        </w:rPr>
        <w:t>4</w:t>
      </w:r>
      <w:r>
        <w:rPr>
          <w:rFonts w:hint="default" w:ascii="Times New Roman" w:hAnsi="Times New Roman" w:cs="Times New Roman"/>
          <w:color w:val="auto"/>
          <w:lang w:val="zh-CN"/>
        </w:rPr>
        <w:t>年</w:t>
      </w:r>
      <w:r>
        <w:rPr>
          <w:rFonts w:hint="default" w:ascii="Times New Roman" w:hAnsi="Times New Roman" w:cs="Times New Roman"/>
          <w:color w:val="auto"/>
        </w:rPr>
        <w:t>0</w:t>
      </w:r>
      <w:r>
        <w:rPr>
          <w:rFonts w:hint="default" w:ascii="Times New Roman" w:hAnsi="Times New Roman" w:cs="Times New Roman"/>
          <w:color w:val="auto"/>
          <w:lang w:val="en-US" w:eastAsia="zh-CN"/>
        </w:rPr>
        <w:t>8</w:t>
      </w:r>
      <w:r>
        <w:rPr>
          <w:rFonts w:hint="default" w:ascii="Times New Roman" w:hAnsi="Times New Roman" w:cs="Times New Roman"/>
          <w:color w:val="auto"/>
          <w:lang w:val="zh-CN"/>
        </w:rPr>
        <w:t>月</w:t>
      </w:r>
      <w:r>
        <w:rPr>
          <w:rFonts w:hint="default" w:ascii="Times New Roman" w:hAnsi="Times New Roman" w:cs="Times New Roman"/>
          <w:color w:val="auto"/>
          <w:lang w:val="en-US" w:eastAsia="zh-CN"/>
        </w:rPr>
        <w:t>18</w:t>
      </w:r>
      <w:r>
        <w:rPr>
          <w:rFonts w:hint="default" w:ascii="Times New Roman" w:hAnsi="Times New Roman" w:cs="Times New Roman"/>
          <w:color w:val="auto"/>
          <w:lang w:val="zh-CN"/>
        </w:rPr>
        <w:t>日～</w:t>
      </w:r>
      <w:r>
        <w:rPr>
          <w:rFonts w:hint="default" w:ascii="Times New Roman" w:hAnsi="Times New Roman" w:cs="Times New Roman"/>
          <w:color w:val="auto"/>
          <w:lang w:val="en-US" w:eastAsia="zh-CN"/>
        </w:rPr>
        <w:t>19</w:t>
      </w:r>
      <w:r>
        <w:rPr>
          <w:rFonts w:hint="default" w:ascii="Times New Roman" w:hAnsi="Times New Roman" w:cs="Times New Roman"/>
          <w:color w:val="auto"/>
          <w:lang w:val="zh-CN"/>
        </w:rPr>
        <w:t>日，连续两天。</w:t>
      </w:r>
    </w:p>
    <w:p w14:paraId="58CD39C5">
      <w:pPr>
        <w:pStyle w:val="25"/>
        <w:bidi w:val="0"/>
        <w:rPr>
          <w:rFonts w:hint="default" w:ascii="Times New Roman" w:hAnsi="Times New Roman" w:cs="Times New Roman"/>
          <w:color w:val="auto"/>
          <w:lang w:val="zh-CN"/>
        </w:rPr>
      </w:pPr>
      <w:r>
        <w:rPr>
          <w:rFonts w:hint="default" w:ascii="Times New Roman" w:hAnsi="Times New Roman" w:cs="Times New Roman"/>
          <w:color w:val="auto"/>
          <w:lang w:val="zh-CN"/>
        </w:rPr>
        <w:t>（4）监测结果</w:t>
      </w:r>
    </w:p>
    <w:p w14:paraId="10AAA72E">
      <w:pPr>
        <w:pStyle w:val="25"/>
        <w:bidi w:val="0"/>
        <w:rPr>
          <w:rFonts w:hint="default" w:ascii="Times New Roman" w:hAnsi="Times New Roman" w:cs="Times New Roman"/>
          <w:color w:val="auto"/>
          <w:lang w:val="zh-CN"/>
        </w:rPr>
      </w:pPr>
      <w:r>
        <w:rPr>
          <w:rFonts w:hint="default" w:ascii="Times New Roman" w:hAnsi="Times New Roman" w:cs="Times New Roman"/>
          <w:color w:val="auto"/>
          <w:lang w:val="zh-CN"/>
        </w:rPr>
        <w:t>监测结果见下表。</w:t>
      </w:r>
    </w:p>
    <w:p w14:paraId="197F066D">
      <w:pPr>
        <w:pStyle w:val="27"/>
        <w:bidi w:val="0"/>
        <w:rPr>
          <w:rFonts w:hint="default" w:ascii="Times New Roman" w:hAnsi="Times New Roman" w:cs="Times New Roman"/>
          <w:color w:val="auto"/>
        </w:rPr>
      </w:pPr>
      <w:r>
        <w:rPr>
          <w:rFonts w:hint="default" w:ascii="Times New Roman" w:hAnsi="Times New Roman" w:cs="Times New Roman"/>
          <w:color w:val="auto"/>
        </w:rPr>
        <w:t>表4-2-1</w:t>
      </w:r>
      <w:r>
        <w:rPr>
          <w:rFonts w:hint="default" w:ascii="Times New Roman" w:hAnsi="Times New Roman" w:cs="Times New Roman"/>
          <w:color w:val="auto"/>
          <w:lang w:val="en-US" w:eastAsia="zh-CN"/>
        </w:rPr>
        <w:t>2</w:t>
      </w:r>
      <w:r>
        <w:rPr>
          <w:rFonts w:hint="default" w:ascii="Times New Roman" w:hAnsi="Times New Roman" w:cs="Times New Roman"/>
          <w:color w:val="auto"/>
        </w:rPr>
        <w:t>声环境现状监测结果</w:t>
      </w:r>
    </w:p>
    <w:tbl>
      <w:tblPr>
        <w:tblStyle w:val="20"/>
        <w:tblW w:w="502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14"/>
        <w:gridCol w:w="2121"/>
        <w:gridCol w:w="1252"/>
        <w:gridCol w:w="1258"/>
        <w:gridCol w:w="1252"/>
        <w:gridCol w:w="1261"/>
      </w:tblGrid>
      <w:tr w14:paraId="7467CF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7" w:hRule="atLeast"/>
          <w:tblHeader/>
          <w:jc w:val="center"/>
        </w:trPr>
        <w:tc>
          <w:tcPr>
            <w:tcW w:w="826" w:type="pct"/>
            <w:vMerge w:val="restart"/>
            <w:tcBorders>
              <w:tl2br w:val="nil"/>
              <w:tr2bl w:val="nil"/>
            </w:tcBorders>
            <w:noWrap w:val="0"/>
            <w:vAlign w:val="center"/>
          </w:tcPr>
          <w:p w14:paraId="039708A9">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序号</w:t>
            </w:r>
          </w:p>
        </w:tc>
        <w:tc>
          <w:tcPr>
            <w:tcW w:w="1239" w:type="pct"/>
            <w:vMerge w:val="restart"/>
            <w:tcBorders>
              <w:tl2br w:val="nil"/>
              <w:tr2bl w:val="nil"/>
            </w:tcBorders>
            <w:noWrap w:val="0"/>
            <w:vAlign w:val="center"/>
          </w:tcPr>
          <w:p w14:paraId="2739749C">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eastAsia="zh-CN"/>
              </w:rPr>
              <w:t>采样点位</w:t>
            </w:r>
          </w:p>
        </w:tc>
        <w:tc>
          <w:tcPr>
            <w:tcW w:w="2933" w:type="pct"/>
            <w:gridSpan w:val="4"/>
            <w:tcBorders>
              <w:tl2br w:val="nil"/>
              <w:tr2bl w:val="nil"/>
            </w:tcBorders>
            <w:noWrap w:val="0"/>
            <w:vAlign w:val="center"/>
          </w:tcPr>
          <w:p w14:paraId="37C7E878">
            <w:pPr>
              <w:pStyle w:val="44"/>
              <w:bidi w:val="0"/>
              <w:rPr>
                <w:rFonts w:hint="default" w:ascii="Times New Roman" w:hAnsi="Times New Roman" w:cs="Times New Roman"/>
                <w:color w:val="auto"/>
              </w:rPr>
            </w:pPr>
            <w:r>
              <w:rPr>
                <w:rFonts w:hint="default" w:ascii="Times New Roman" w:hAnsi="Times New Roman" w:cs="Times New Roman"/>
                <w:color w:val="auto"/>
              </w:rPr>
              <w:t>检测结果</w:t>
            </w:r>
          </w:p>
        </w:tc>
      </w:tr>
      <w:tr w14:paraId="7BFE25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8" w:hRule="atLeast"/>
          <w:tblHeader/>
          <w:jc w:val="center"/>
        </w:trPr>
        <w:tc>
          <w:tcPr>
            <w:tcW w:w="826" w:type="pct"/>
            <w:vMerge w:val="continue"/>
            <w:tcBorders>
              <w:tl2br w:val="nil"/>
              <w:tr2bl w:val="nil"/>
            </w:tcBorders>
            <w:noWrap w:val="0"/>
            <w:vAlign w:val="center"/>
          </w:tcPr>
          <w:p w14:paraId="036C5F5E">
            <w:pPr>
              <w:pStyle w:val="44"/>
              <w:bidi w:val="0"/>
              <w:rPr>
                <w:rFonts w:hint="default" w:ascii="Times New Roman" w:hAnsi="Times New Roman" w:cs="Times New Roman"/>
                <w:color w:val="auto"/>
                <w:lang w:eastAsia="zh-CN"/>
              </w:rPr>
            </w:pPr>
          </w:p>
        </w:tc>
        <w:tc>
          <w:tcPr>
            <w:tcW w:w="1239" w:type="pct"/>
            <w:vMerge w:val="continue"/>
            <w:tcBorders>
              <w:tl2br w:val="nil"/>
              <w:tr2bl w:val="nil"/>
            </w:tcBorders>
            <w:noWrap w:val="0"/>
            <w:vAlign w:val="center"/>
          </w:tcPr>
          <w:p w14:paraId="35E928BC">
            <w:pPr>
              <w:pStyle w:val="44"/>
              <w:bidi w:val="0"/>
              <w:rPr>
                <w:rFonts w:hint="default" w:ascii="Times New Roman" w:hAnsi="Times New Roman" w:cs="Times New Roman"/>
                <w:color w:val="auto"/>
                <w:lang w:eastAsia="zh-CN"/>
              </w:rPr>
            </w:pPr>
          </w:p>
        </w:tc>
        <w:tc>
          <w:tcPr>
            <w:tcW w:w="1466" w:type="pct"/>
            <w:gridSpan w:val="2"/>
            <w:tcBorders>
              <w:tl2br w:val="nil"/>
              <w:tr2bl w:val="nil"/>
            </w:tcBorders>
            <w:noWrap w:val="0"/>
            <w:vAlign w:val="center"/>
          </w:tcPr>
          <w:p w14:paraId="7EA611E2">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2024.08.18</w:t>
            </w:r>
          </w:p>
        </w:tc>
        <w:tc>
          <w:tcPr>
            <w:tcW w:w="1467" w:type="pct"/>
            <w:gridSpan w:val="2"/>
            <w:tcBorders>
              <w:tl2br w:val="nil"/>
              <w:tr2bl w:val="nil"/>
            </w:tcBorders>
            <w:noWrap w:val="0"/>
            <w:vAlign w:val="center"/>
          </w:tcPr>
          <w:p w14:paraId="03B8F10F">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2024.08.19</w:t>
            </w:r>
          </w:p>
        </w:tc>
      </w:tr>
      <w:tr w14:paraId="398BB8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blHeader/>
          <w:jc w:val="center"/>
        </w:trPr>
        <w:tc>
          <w:tcPr>
            <w:tcW w:w="826" w:type="pct"/>
            <w:vMerge w:val="continue"/>
            <w:tcBorders>
              <w:tl2br w:val="nil"/>
              <w:tr2bl w:val="nil"/>
            </w:tcBorders>
            <w:noWrap w:val="0"/>
            <w:vAlign w:val="center"/>
          </w:tcPr>
          <w:p w14:paraId="5C6A692B">
            <w:pPr>
              <w:pStyle w:val="44"/>
              <w:bidi w:val="0"/>
              <w:rPr>
                <w:rFonts w:hint="default" w:ascii="Times New Roman" w:hAnsi="Times New Roman" w:cs="Times New Roman"/>
                <w:color w:val="auto"/>
              </w:rPr>
            </w:pPr>
          </w:p>
        </w:tc>
        <w:tc>
          <w:tcPr>
            <w:tcW w:w="1239" w:type="pct"/>
            <w:vMerge w:val="continue"/>
            <w:tcBorders>
              <w:tl2br w:val="nil"/>
              <w:tr2bl w:val="nil"/>
            </w:tcBorders>
            <w:noWrap w:val="0"/>
            <w:vAlign w:val="center"/>
          </w:tcPr>
          <w:p w14:paraId="2E06F82E">
            <w:pPr>
              <w:pStyle w:val="44"/>
              <w:bidi w:val="0"/>
              <w:rPr>
                <w:rFonts w:hint="default" w:ascii="Times New Roman" w:hAnsi="Times New Roman" w:cs="Times New Roman"/>
                <w:color w:val="auto"/>
              </w:rPr>
            </w:pPr>
          </w:p>
        </w:tc>
        <w:tc>
          <w:tcPr>
            <w:tcW w:w="731" w:type="pct"/>
            <w:tcBorders>
              <w:tl2br w:val="nil"/>
              <w:tr2bl w:val="nil"/>
            </w:tcBorders>
            <w:noWrap w:val="0"/>
            <w:vAlign w:val="center"/>
          </w:tcPr>
          <w:p w14:paraId="4FFDF366">
            <w:pPr>
              <w:pStyle w:val="44"/>
              <w:bidi w:val="0"/>
              <w:rPr>
                <w:rFonts w:hint="default" w:ascii="Times New Roman" w:hAnsi="Times New Roman" w:cs="Times New Roman"/>
                <w:color w:val="auto"/>
              </w:rPr>
            </w:pPr>
            <w:r>
              <w:rPr>
                <w:rFonts w:hint="default" w:ascii="Times New Roman" w:hAnsi="Times New Roman" w:cs="Times New Roman"/>
                <w:color w:val="auto"/>
              </w:rPr>
              <w:t>昼间dB（A）</w:t>
            </w:r>
          </w:p>
        </w:tc>
        <w:tc>
          <w:tcPr>
            <w:tcW w:w="734" w:type="pct"/>
            <w:tcBorders>
              <w:tl2br w:val="nil"/>
              <w:tr2bl w:val="nil"/>
            </w:tcBorders>
            <w:noWrap w:val="0"/>
            <w:vAlign w:val="center"/>
          </w:tcPr>
          <w:p w14:paraId="79BFAE17">
            <w:pPr>
              <w:pStyle w:val="44"/>
              <w:bidi w:val="0"/>
              <w:rPr>
                <w:rFonts w:hint="default" w:ascii="Times New Roman" w:hAnsi="Times New Roman" w:cs="Times New Roman"/>
                <w:color w:val="auto"/>
              </w:rPr>
            </w:pPr>
            <w:r>
              <w:rPr>
                <w:rFonts w:hint="default" w:ascii="Times New Roman" w:hAnsi="Times New Roman" w:cs="Times New Roman"/>
                <w:color w:val="auto"/>
              </w:rPr>
              <w:t>夜间dB（A）</w:t>
            </w:r>
          </w:p>
        </w:tc>
        <w:tc>
          <w:tcPr>
            <w:tcW w:w="731" w:type="pct"/>
            <w:tcBorders>
              <w:tl2br w:val="nil"/>
              <w:tr2bl w:val="nil"/>
            </w:tcBorders>
            <w:noWrap w:val="0"/>
            <w:vAlign w:val="center"/>
          </w:tcPr>
          <w:p w14:paraId="11AC253D">
            <w:pPr>
              <w:pStyle w:val="44"/>
              <w:bidi w:val="0"/>
              <w:rPr>
                <w:rFonts w:hint="default" w:ascii="Times New Roman" w:hAnsi="Times New Roman" w:cs="Times New Roman"/>
                <w:color w:val="auto"/>
              </w:rPr>
            </w:pPr>
            <w:r>
              <w:rPr>
                <w:rFonts w:hint="default" w:ascii="Times New Roman" w:hAnsi="Times New Roman" w:cs="Times New Roman"/>
                <w:color w:val="auto"/>
              </w:rPr>
              <w:t>昼间dB（A）</w:t>
            </w:r>
          </w:p>
        </w:tc>
        <w:tc>
          <w:tcPr>
            <w:tcW w:w="735" w:type="pct"/>
            <w:tcBorders>
              <w:tl2br w:val="nil"/>
              <w:tr2bl w:val="nil"/>
            </w:tcBorders>
            <w:noWrap w:val="0"/>
            <w:vAlign w:val="center"/>
          </w:tcPr>
          <w:p w14:paraId="0737C80F">
            <w:pPr>
              <w:pStyle w:val="44"/>
              <w:bidi w:val="0"/>
              <w:rPr>
                <w:rFonts w:hint="default" w:ascii="Times New Roman" w:hAnsi="Times New Roman" w:cs="Times New Roman"/>
                <w:color w:val="auto"/>
              </w:rPr>
            </w:pPr>
            <w:r>
              <w:rPr>
                <w:rFonts w:hint="default" w:ascii="Times New Roman" w:hAnsi="Times New Roman" w:cs="Times New Roman"/>
                <w:color w:val="auto"/>
              </w:rPr>
              <w:t>夜间dB（A）</w:t>
            </w:r>
          </w:p>
        </w:tc>
      </w:tr>
      <w:tr w14:paraId="3D3074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9" w:hRule="atLeast"/>
          <w:jc w:val="center"/>
        </w:trPr>
        <w:tc>
          <w:tcPr>
            <w:tcW w:w="826" w:type="pct"/>
            <w:tcBorders>
              <w:tl2br w:val="nil"/>
              <w:tr2bl w:val="nil"/>
            </w:tcBorders>
            <w:noWrap w:val="0"/>
            <w:vAlign w:val="center"/>
          </w:tcPr>
          <w:p w14:paraId="5C2AF3A8">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▲1#</w:t>
            </w:r>
          </w:p>
        </w:tc>
        <w:tc>
          <w:tcPr>
            <w:tcW w:w="1239" w:type="pct"/>
            <w:tcBorders>
              <w:tl2br w:val="nil"/>
              <w:tr2bl w:val="nil"/>
            </w:tcBorders>
            <w:noWrap w:val="0"/>
            <w:vAlign w:val="center"/>
          </w:tcPr>
          <w:p w14:paraId="499F2BC6">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鸡西市城子河区兴顺采石场(2#)东侧</w:t>
            </w:r>
          </w:p>
        </w:tc>
        <w:tc>
          <w:tcPr>
            <w:tcW w:w="731" w:type="pct"/>
            <w:tcBorders>
              <w:tl2br w:val="nil"/>
              <w:tr2bl w:val="nil"/>
            </w:tcBorders>
            <w:noWrap w:val="0"/>
            <w:vAlign w:val="center"/>
          </w:tcPr>
          <w:p w14:paraId="295DFF3D">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53 </w:t>
            </w:r>
          </w:p>
        </w:tc>
        <w:tc>
          <w:tcPr>
            <w:tcW w:w="734" w:type="pct"/>
            <w:tcBorders>
              <w:tl2br w:val="nil"/>
              <w:tr2bl w:val="nil"/>
            </w:tcBorders>
            <w:noWrap w:val="0"/>
            <w:vAlign w:val="center"/>
          </w:tcPr>
          <w:p w14:paraId="672A16F2">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43 </w:t>
            </w:r>
          </w:p>
        </w:tc>
        <w:tc>
          <w:tcPr>
            <w:tcW w:w="731" w:type="pct"/>
            <w:tcBorders>
              <w:tl2br w:val="nil"/>
              <w:tr2bl w:val="nil"/>
            </w:tcBorders>
            <w:noWrap w:val="0"/>
            <w:vAlign w:val="center"/>
          </w:tcPr>
          <w:p w14:paraId="36718DD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52 </w:t>
            </w:r>
          </w:p>
        </w:tc>
        <w:tc>
          <w:tcPr>
            <w:tcW w:w="735" w:type="pct"/>
            <w:tcBorders>
              <w:tl2br w:val="nil"/>
              <w:tr2bl w:val="nil"/>
            </w:tcBorders>
            <w:noWrap w:val="0"/>
            <w:vAlign w:val="center"/>
          </w:tcPr>
          <w:p w14:paraId="6C3751FD">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42 </w:t>
            </w:r>
          </w:p>
        </w:tc>
      </w:tr>
      <w:tr w14:paraId="368C29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9" w:hRule="atLeast"/>
          <w:jc w:val="center"/>
        </w:trPr>
        <w:tc>
          <w:tcPr>
            <w:tcW w:w="826" w:type="pct"/>
            <w:tcBorders>
              <w:tl2br w:val="nil"/>
              <w:tr2bl w:val="nil"/>
            </w:tcBorders>
            <w:noWrap w:val="0"/>
            <w:vAlign w:val="center"/>
          </w:tcPr>
          <w:p w14:paraId="3465EECC">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▲2#</w:t>
            </w:r>
          </w:p>
        </w:tc>
        <w:tc>
          <w:tcPr>
            <w:tcW w:w="1239" w:type="pct"/>
            <w:tcBorders>
              <w:tl2br w:val="nil"/>
              <w:tr2bl w:val="nil"/>
            </w:tcBorders>
            <w:noWrap w:val="0"/>
            <w:vAlign w:val="center"/>
          </w:tcPr>
          <w:p w14:paraId="72B0C2B4">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鸡西市城子河区兴顺采石场(2#)南侧</w:t>
            </w:r>
          </w:p>
        </w:tc>
        <w:tc>
          <w:tcPr>
            <w:tcW w:w="731" w:type="pct"/>
            <w:tcBorders>
              <w:tl2br w:val="nil"/>
              <w:tr2bl w:val="nil"/>
            </w:tcBorders>
            <w:noWrap w:val="0"/>
            <w:vAlign w:val="center"/>
          </w:tcPr>
          <w:p w14:paraId="1ED70DE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52 </w:t>
            </w:r>
          </w:p>
        </w:tc>
        <w:tc>
          <w:tcPr>
            <w:tcW w:w="734" w:type="pct"/>
            <w:tcBorders>
              <w:tl2br w:val="nil"/>
              <w:tr2bl w:val="nil"/>
            </w:tcBorders>
            <w:noWrap w:val="0"/>
            <w:vAlign w:val="center"/>
          </w:tcPr>
          <w:p w14:paraId="00518174">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42 </w:t>
            </w:r>
          </w:p>
        </w:tc>
        <w:tc>
          <w:tcPr>
            <w:tcW w:w="731" w:type="pct"/>
            <w:tcBorders>
              <w:tl2br w:val="nil"/>
              <w:tr2bl w:val="nil"/>
            </w:tcBorders>
            <w:noWrap w:val="0"/>
            <w:vAlign w:val="center"/>
          </w:tcPr>
          <w:p w14:paraId="40B42905">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53 </w:t>
            </w:r>
          </w:p>
        </w:tc>
        <w:tc>
          <w:tcPr>
            <w:tcW w:w="735" w:type="pct"/>
            <w:tcBorders>
              <w:tl2br w:val="nil"/>
              <w:tr2bl w:val="nil"/>
            </w:tcBorders>
            <w:noWrap w:val="0"/>
            <w:vAlign w:val="center"/>
          </w:tcPr>
          <w:p w14:paraId="6BCBCC3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43 </w:t>
            </w:r>
          </w:p>
        </w:tc>
      </w:tr>
      <w:tr w14:paraId="42A102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9" w:hRule="atLeast"/>
          <w:jc w:val="center"/>
        </w:trPr>
        <w:tc>
          <w:tcPr>
            <w:tcW w:w="826" w:type="pct"/>
            <w:tcBorders>
              <w:tl2br w:val="nil"/>
              <w:tr2bl w:val="nil"/>
            </w:tcBorders>
            <w:noWrap w:val="0"/>
            <w:vAlign w:val="center"/>
          </w:tcPr>
          <w:p w14:paraId="2AAB5C47">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▲3#</w:t>
            </w:r>
          </w:p>
        </w:tc>
        <w:tc>
          <w:tcPr>
            <w:tcW w:w="1239" w:type="pct"/>
            <w:tcBorders>
              <w:tl2br w:val="nil"/>
              <w:tr2bl w:val="nil"/>
            </w:tcBorders>
            <w:noWrap w:val="0"/>
            <w:vAlign w:val="center"/>
          </w:tcPr>
          <w:p w14:paraId="1D1016DC">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鸡西市城子河区兴顺采石场(2#)西侧</w:t>
            </w:r>
          </w:p>
        </w:tc>
        <w:tc>
          <w:tcPr>
            <w:tcW w:w="731" w:type="pct"/>
            <w:tcBorders>
              <w:tl2br w:val="nil"/>
              <w:tr2bl w:val="nil"/>
            </w:tcBorders>
            <w:noWrap w:val="0"/>
            <w:vAlign w:val="center"/>
          </w:tcPr>
          <w:p w14:paraId="1FAAF324">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50 </w:t>
            </w:r>
          </w:p>
        </w:tc>
        <w:tc>
          <w:tcPr>
            <w:tcW w:w="734" w:type="pct"/>
            <w:tcBorders>
              <w:tl2br w:val="nil"/>
              <w:tr2bl w:val="nil"/>
            </w:tcBorders>
            <w:noWrap w:val="0"/>
            <w:vAlign w:val="center"/>
          </w:tcPr>
          <w:p w14:paraId="16235C0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40 </w:t>
            </w:r>
          </w:p>
        </w:tc>
        <w:tc>
          <w:tcPr>
            <w:tcW w:w="731" w:type="pct"/>
            <w:tcBorders>
              <w:tl2br w:val="nil"/>
              <w:tr2bl w:val="nil"/>
            </w:tcBorders>
            <w:noWrap w:val="0"/>
            <w:vAlign w:val="center"/>
          </w:tcPr>
          <w:p w14:paraId="6F06462D">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50 </w:t>
            </w:r>
          </w:p>
        </w:tc>
        <w:tc>
          <w:tcPr>
            <w:tcW w:w="735" w:type="pct"/>
            <w:tcBorders>
              <w:tl2br w:val="nil"/>
              <w:tr2bl w:val="nil"/>
            </w:tcBorders>
            <w:noWrap w:val="0"/>
            <w:vAlign w:val="center"/>
          </w:tcPr>
          <w:p w14:paraId="5CEB214F">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41 </w:t>
            </w:r>
          </w:p>
        </w:tc>
      </w:tr>
      <w:tr w14:paraId="25023B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9" w:hRule="atLeast"/>
          <w:jc w:val="center"/>
        </w:trPr>
        <w:tc>
          <w:tcPr>
            <w:tcW w:w="826" w:type="pct"/>
            <w:tcBorders>
              <w:tl2br w:val="nil"/>
              <w:tr2bl w:val="nil"/>
            </w:tcBorders>
            <w:noWrap w:val="0"/>
            <w:vAlign w:val="center"/>
          </w:tcPr>
          <w:p w14:paraId="75385262">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▲4#</w:t>
            </w:r>
          </w:p>
        </w:tc>
        <w:tc>
          <w:tcPr>
            <w:tcW w:w="1239" w:type="pct"/>
            <w:tcBorders>
              <w:tl2br w:val="nil"/>
              <w:tr2bl w:val="nil"/>
            </w:tcBorders>
            <w:noWrap w:val="0"/>
            <w:vAlign w:val="center"/>
          </w:tcPr>
          <w:p w14:paraId="72C28AF0">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鸡西市城子河区兴顺采石场(2#)北侧</w:t>
            </w:r>
          </w:p>
        </w:tc>
        <w:tc>
          <w:tcPr>
            <w:tcW w:w="731" w:type="pct"/>
            <w:tcBorders>
              <w:tl2br w:val="nil"/>
              <w:tr2bl w:val="nil"/>
            </w:tcBorders>
            <w:noWrap w:val="0"/>
            <w:vAlign w:val="center"/>
          </w:tcPr>
          <w:p w14:paraId="25C392BE">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51 </w:t>
            </w:r>
          </w:p>
        </w:tc>
        <w:tc>
          <w:tcPr>
            <w:tcW w:w="734" w:type="pct"/>
            <w:tcBorders>
              <w:tl2br w:val="nil"/>
              <w:tr2bl w:val="nil"/>
            </w:tcBorders>
            <w:noWrap w:val="0"/>
            <w:vAlign w:val="center"/>
          </w:tcPr>
          <w:p w14:paraId="253A24F5">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41 </w:t>
            </w:r>
          </w:p>
        </w:tc>
        <w:tc>
          <w:tcPr>
            <w:tcW w:w="731" w:type="pct"/>
            <w:tcBorders>
              <w:tl2br w:val="nil"/>
              <w:tr2bl w:val="nil"/>
            </w:tcBorders>
            <w:noWrap w:val="0"/>
            <w:vAlign w:val="center"/>
          </w:tcPr>
          <w:p w14:paraId="1BDDD892">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50 </w:t>
            </w:r>
          </w:p>
        </w:tc>
        <w:tc>
          <w:tcPr>
            <w:tcW w:w="735" w:type="pct"/>
            <w:tcBorders>
              <w:tl2br w:val="nil"/>
              <w:tr2bl w:val="nil"/>
            </w:tcBorders>
            <w:noWrap w:val="0"/>
            <w:vAlign w:val="center"/>
          </w:tcPr>
          <w:p w14:paraId="5BB27F6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40 </w:t>
            </w:r>
          </w:p>
        </w:tc>
      </w:tr>
      <w:tr w14:paraId="00078B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88" w:hRule="atLeast"/>
          <w:jc w:val="center"/>
        </w:trPr>
        <w:tc>
          <w:tcPr>
            <w:tcW w:w="826" w:type="pct"/>
            <w:tcBorders>
              <w:tl2br w:val="nil"/>
              <w:tr2bl w:val="nil"/>
            </w:tcBorders>
            <w:noWrap w:val="0"/>
            <w:vAlign w:val="center"/>
          </w:tcPr>
          <w:p w14:paraId="55411C3A">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▲5#</w:t>
            </w:r>
          </w:p>
        </w:tc>
        <w:tc>
          <w:tcPr>
            <w:tcW w:w="1239" w:type="pct"/>
            <w:tcBorders>
              <w:tl2br w:val="nil"/>
              <w:tr2bl w:val="nil"/>
            </w:tcBorders>
            <w:noWrap w:val="0"/>
            <w:vAlign w:val="center"/>
          </w:tcPr>
          <w:p w14:paraId="15154CF6">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西沟屯</w:t>
            </w:r>
          </w:p>
        </w:tc>
        <w:tc>
          <w:tcPr>
            <w:tcW w:w="731" w:type="pct"/>
            <w:tcBorders>
              <w:tl2br w:val="nil"/>
              <w:tr2bl w:val="nil"/>
            </w:tcBorders>
            <w:noWrap w:val="0"/>
            <w:vAlign w:val="center"/>
          </w:tcPr>
          <w:p w14:paraId="2D5079CD">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51 </w:t>
            </w:r>
          </w:p>
        </w:tc>
        <w:tc>
          <w:tcPr>
            <w:tcW w:w="734" w:type="pct"/>
            <w:tcBorders>
              <w:tl2br w:val="nil"/>
              <w:tr2bl w:val="nil"/>
            </w:tcBorders>
            <w:noWrap w:val="0"/>
            <w:vAlign w:val="center"/>
          </w:tcPr>
          <w:p w14:paraId="3AA44A19">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40 </w:t>
            </w:r>
          </w:p>
        </w:tc>
        <w:tc>
          <w:tcPr>
            <w:tcW w:w="731" w:type="pct"/>
            <w:tcBorders>
              <w:tl2br w:val="nil"/>
              <w:tr2bl w:val="nil"/>
            </w:tcBorders>
            <w:noWrap w:val="0"/>
            <w:vAlign w:val="center"/>
          </w:tcPr>
          <w:p w14:paraId="16EB64C5">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50 </w:t>
            </w:r>
          </w:p>
        </w:tc>
        <w:tc>
          <w:tcPr>
            <w:tcW w:w="735" w:type="pct"/>
            <w:tcBorders>
              <w:tl2br w:val="nil"/>
              <w:tr2bl w:val="nil"/>
            </w:tcBorders>
            <w:noWrap w:val="0"/>
            <w:vAlign w:val="center"/>
          </w:tcPr>
          <w:p w14:paraId="06E2FE18">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39 </w:t>
            </w:r>
          </w:p>
        </w:tc>
      </w:tr>
      <w:tr w14:paraId="3FD4BD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88" w:hRule="atLeast"/>
          <w:jc w:val="center"/>
        </w:trPr>
        <w:tc>
          <w:tcPr>
            <w:tcW w:w="826" w:type="pct"/>
            <w:tcBorders>
              <w:tl2br w:val="nil"/>
              <w:tr2bl w:val="nil"/>
            </w:tcBorders>
            <w:noWrap w:val="0"/>
            <w:vAlign w:val="center"/>
          </w:tcPr>
          <w:p w14:paraId="0D9F6874">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▲6#</w:t>
            </w:r>
          </w:p>
        </w:tc>
        <w:tc>
          <w:tcPr>
            <w:tcW w:w="1239" w:type="pct"/>
            <w:tcBorders>
              <w:tl2br w:val="nil"/>
              <w:tr2bl w:val="nil"/>
            </w:tcBorders>
            <w:noWrap w:val="0"/>
            <w:vAlign w:val="center"/>
          </w:tcPr>
          <w:p w14:paraId="45C65D75">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城海村</w:t>
            </w:r>
          </w:p>
        </w:tc>
        <w:tc>
          <w:tcPr>
            <w:tcW w:w="731" w:type="pct"/>
            <w:tcBorders>
              <w:tl2br w:val="nil"/>
              <w:tr2bl w:val="nil"/>
            </w:tcBorders>
            <w:noWrap w:val="0"/>
            <w:vAlign w:val="center"/>
          </w:tcPr>
          <w:p w14:paraId="7CD36886">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52 </w:t>
            </w:r>
          </w:p>
        </w:tc>
        <w:tc>
          <w:tcPr>
            <w:tcW w:w="734" w:type="pct"/>
            <w:tcBorders>
              <w:tl2br w:val="nil"/>
              <w:tr2bl w:val="nil"/>
            </w:tcBorders>
            <w:noWrap w:val="0"/>
            <w:vAlign w:val="center"/>
          </w:tcPr>
          <w:p w14:paraId="2D05A51C">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42 </w:t>
            </w:r>
          </w:p>
        </w:tc>
        <w:tc>
          <w:tcPr>
            <w:tcW w:w="731" w:type="pct"/>
            <w:tcBorders>
              <w:tl2br w:val="nil"/>
              <w:tr2bl w:val="nil"/>
            </w:tcBorders>
            <w:noWrap w:val="0"/>
            <w:vAlign w:val="center"/>
          </w:tcPr>
          <w:p w14:paraId="6BE3DFAF">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51 </w:t>
            </w:r>
          </w:p>
        </w:tc>
        <w:tc>
          <w:tcPr>
            <w:tcW w:w="735" w:type="pct"/>
            <w:tcBorders>
              <w:tl2br w:val="nil"/>
              <w:tr2bl w:val="nil"/>
            </w:tcBorders>
            <w:noWrap w:val="0"/>
            <w:vAlign w:val="center"/>
          </w:tcPr>
          <w:p w14:paraId="4431DC54">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40 </w:t>
            </w:r>
          </w:p>
        </w:tc>
      </w:tr>
      <w:tr w14:paraId="7825C6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88" w:hRule="atLeast"/>
          <w:jc w:val="center"/>
        </w:trPr>
        <w:tc>
          <w:tcPr>
            <w:tcW w:w="826" w:type="pct"/>
            <w:tcBorders>
              <w:tl2br w:val="nil"/>
              <w:tr2bl w:val="nil"/>
            </w:tcBorders>
            <w:noWrap w:val="0"/>
            <w:vAlign w:val="center"/>
          </w:tcPr>
          <w:p w14:paraId="1895E686">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▲7#</w:t>
            </w:r>
          </w:p>
        </w:tc>
        <w:tc>
          <w:tcPr>
            <w:tcW w:w="1239" w:type="pct"/>
            <w:tcBorders>
              <w:tl2br w:val="nil"/>
              <w:tr2bl w:val="nil"/>
            </w:tcBorders>
            <w:noWrap w:val="0"/>
            <w:vAlign w:val="center"/>
          </w:tcPr>
          <w:p w14:paraId="0FAD5A60">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城东一队</w:t>
            </w:r>
          </w:p>
        </w:tc>
        <w:tc>
          <w:tcPr>
            <w:tcW w:w="731" w:type="pct"/>
            <w:tcBorders>
              <w:tl2br w:val="nil"/>
              <w:tr2bl w:val="nil"/>
            </w:tcBorders>
            <w:noWrap w:val="0"/>
            <w:vAlign w:val="center"/>
          </w:tcPr>
          <w:p w14:paraId="34394BD8">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50 </w:t>
            </w:r>
          </w:p>
        </w:tc>
        <w:tc>
          <w:tcPr>
            <w:tcW w:w="734" w:type="pct"/>
            <w:tcBorders>
              <w:tl2br w:val="nil"/>
              <w:tr2bl w:val="nil"/>
            </w:tcBorders>
            <w:noWrap w:val="0"/>
            <w:vAlign w:val="center"/>
          </w:tcPr>
          <w:p w14:paraId="108B7A33">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40 </w:t>
            </w:r>
          </w:p>
        </w:tc>
        <w:tc>
          <w:tcPr>
            <w:tcW w:w="731" w:type="pct"/>
            <w:tcBorders>
              <w:tl2br w:val="nil"/>
              <w:tr2bl w:val="nil"/>
            </w:tcBorders>
            <w:noWrap w:val="0"/>
            <w:vAlign w:val="center"/>
          </w:tcPr>
          <w:p w14:paraId="4132D415">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51 </w:t>
            </w:r>
          </w:p>
        </w:tc>
        <w:tc>
          <w:tcPr>
            <w:tcW w:w="735" w:type="pct"/>
            <w:tcBorders>
              <w:tl2br w:val="nil"/>
              <w:tr2bl w:val="nil"/>
            </w:tcBorders>
            <w:noWrap w:val="0"/>
            <w:vAlign w:val="center"/>
          </w:tcPr>
          <w:p w14:paraId="2D9C468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40 </w:t>
            </w:r>
          </w:p>
        </w:tc>
      </w:tr>
      <w:tr w14:paraId="50B23E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88" w:hRule="atLeast"/>
          <w:jc w:val="center"/>
        </w:trPr>
        <w:tc>
          <w:tcPr>
            <w:tcW w:w="826" w:type="pct"/>
            <w:tcBorders>
              <w:tl2br w:val="nil"/>
              <w:tr2bl w:val="nil"/>
            </w:tcBorders>
            <w:noWrap w:val="0"/>
            <w:vAlign w:val="center"/>
          </w:tcPr>
          <w:p w14:paraId="38CBD3DA">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▲8#</w:t>
            </w:r>
          </w:p>
        </w:tc>
        <w:tc>
          <w:tcPr>
            <w:tcW w:w="1239" w:type="pct"/>
            <w:tcBorders>
              <w:tl2br w:val="nil"/>
              <w:tr2bl w:val="nil"/>
            </w:tcBorders>
            <w:noWrap w:val="0"/>
            <w:vAlign w:val="center"/>
          </w:tcPr>
          <w:p w14:paraId="52899E27">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正阳六队</w:t>
            </w:r>
          </w:p>
        </w:tc>
        <w:tc>
          <w:tcPr>
            <w:tcW w:w="731" w:type="pct"/>
            <w:tcBorders>
              <w:tl2br w:val="nil"/>
              <w:tr2bl w:val="nil"/>
            </w:tcBorders>
            <w:noWrap w:val="0"/>
            <w:vAlign w:val="center"/>
          </w:tcPr>
          <w:p w14:paraId="2B788C9F">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49 </w:t>
            </w:r>
          </w:p>
        </w:tc>
        <w:tc>
          <w:tcPr>
            <w:tcW w:w="734" w:type="pct"/>
            <w:tcBorders>
              <w:tl2br w:val="nil"/>
              <w:tr2bl w:val="nil"/>
            </w:tcBorders>
            <w:noWrap w:val="0"/>
            <w:vAlign w:val="center"/>
          </w:tcPr>
          <w:p w14:paraId="21BA34CF">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40 </w:t>
            </w:r>
          </w:p>
        </w:tc>
        <w:tc>
          <w:tcPr>
            <w:tcW w:w="731" w:type="pct"/>
            <w:tcBorders>
              <w:tl2br w:val="nil"/>
              <w:tr2bl w:val="nil"/>
            </w:tcBorders>
            <w:noWrap w:val="0"/>
            <w:vAlign w:val="center"/>
          </w:tcPr>
          <w:p w14:paraId="3EEB220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50 </w:t>
            </w:r>
          </w:p>
        </w:tc>
        <w:tc>
          <w:tcPr>
            <w:tcW w:w="735" w:type="pct"/>
            <w:tcBorders>
              <w:tl2br w:val="nil"/>
              <w:tr2bl w:val="nil"/>
            </w:tcBorders>
            <w:noWrap w:val="0"/>
            <w:vAlign w:val="center"/>
          </w:tcPr>
          <w:p w14:paraId="4502019A">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39 </w:t>
            </w:r>
          </w:p>
        </w:tc>
      </w:tr>
      <w:tr w14:paraId="5568FB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88" w:hRule="atLeast"/>
          <w:jc w:val="center"/>
        </w:trPr>
        <w:tc>
          <w:tcPr>
            <w:tcW w:w="826" w:type="pct"/>
            <w:tcBorders>
              <w:tl2br w:val="nil"/>
              <w:tr2bl w:val="nil"/>
            </w:tcBorders>
            <w:noWrap w:val="0"/>
            <w:vAlign w:val="center"/>
          </w:tcPr>
          <w:p w14:paraId="18BA86E7">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▲9#</w:t>
            </w:r>
          </w:p>
        </w:tc>
        <w:tc>
          <w:tcPr>
            <w:tcW w:w="1239" w:type="pct"/>
            <w:tcBorders>
              <w:tl2br w:val="nil"/>
              <w:tr2bl w:val="nil"/>
            </w:tcBorders>
            <w:noWrap w:val="0"/>
            <w:vAlign w:val="center"/>
          </w:tcPr>
          <w:p w14:paraId="59FFDC45">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龙山屯</w:t>
            </w:r>
          </w:p>
        </w:tc>
        <w:tc>
          <w:tcPr>
            <w:tcW w:w="731" w:type="pct"/>
            <w:tcBorders>
              <w:tl2br w:val="nil"/>
              <w:tr2bl w:val="nil"/>
            </w:tcBorders>
            <w:noWrap w:val="0"/>
            <w:vAlign w:val="center"/>
          </w:tcPr>
          <w:p w14:paraId="4052AD58">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48 </w:t>
            </w:r>
          </w:p>
        </w:tc>
        <w:tc>
          <w:tcPr>
            <w:tcW w:w="734" w:type="pct"/>
            <w:tcBorders>
              <w:tl2br w:val="nil"/>
              <w:tr2bl w:val="nil"/>
            </w:tcBorders>
            <w:noWrap w:val="0"/>
            <w:vAlign w:val="center"/>
          </w:tcPr>
          <w:p w14:paraId="74CAA22A">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38 </w:t>
            </w:r>
          </w:p>
        </w:tc>
        <w:tc>
          <w:tcPr>
            <w:tcW w:w="731" w:type="pct"/>
            <w:tcBorders>
              <w:tl2br w:val="nil"/>
              <w:tr2bl w:val="nil"/>
            </w:tcBorders>
            <w:noWrap w:val="0"/>
            <w:vAlign w:val="center"/>
          </w:tcPr>
          <w:p w14:paraId="3927F102">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49 </w:t>
            </w:r>
          </w:p>
        </w:tc>
        <w:tc>
          <w:tcPr>
            <w:tcW w:w="735" w:type="pct"/>
            <w:tcBorders>
              <w:tl2br w:val="nil"/>
              <w:tr2bl w:val="nil"/>
            </w:tcBorders>
            <w:noWrap w:val="0"/>
            <w:vAlign w:val="center"/>
          </w:tcPr>
          <w:p w14:paraId="769FFE46">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38 </w:t>
            </w:r>
          </w:p>
        </w:tc>
      </w:tr>
      <w:tr w14:paraId="4795AF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1" w:hRule="atLeast"/>
          <w:jc w:val="center"/>
        </w:trPr>
        <w:tc>
          <w:tcPr>
            <w:tcW w:w="826" w:type="pct"/>
            <w:tcBorders>
              <w:tl2br w:val="nil"/>
              <w:tr2bl w:val="nil"/>
            </w:tcBorders>
            <w:noWrap w:val="0"/>
            <w:vAlign w:val="center"/>
          </w:tcPr>
          <w:p w14:paraId="253ECFFE">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▲10#</w:t>
            </w:r>
          </w:p>
        </w:tc>
        <w:tc>
          <w:tcPr>
            <w:tcW w:w="1239" w:type="pct"/>
            <w:tcBorders>
              <w:tl2br w:val="nil"/>
              <w:tr2bl w:val="nil"/>
            </w:tcBorders>
            <w:noWrap w:val="0"/>
            <w:vAlign w:val="center"/>
          </w:tcPr>
          <w:p w14:paraId="25E324CC">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新成四队</w:t>
            </w:r>
          </w:p>
        </w:tc>
        <w:tc>
          <w:tcPr>
            <w:tcW w:w="731" w:type="pct"/>
            <w:tcBorders>
              <w:tl2br w:val="nil"/>
              <w:tr2bl w:val="nil"/>
            </w:tcBorders>
            <w:noWrap w:val="0"/>
            <w:vAlign w:val="center"/>
          </w:tcPr>
          <w:p w14:paraId="11B2778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49 </w:t>
            </w:r>
          </w:p>
        </w:tc>
        <w:tc>
          <w:tcPr>
            <w:tcW w:w="734" w:type="pct"/>
            <w:tcBorders>
              <w:tl2br w:val="nil"/>
              <w:tr2bl w:val="nil"/>
            </w:tcBorders>
            <w:noWrap w:val="0"/>
            <w:vAlign w:val="center"/>
          </w:tcPr>
          <w:p w14:paraId="1226C3F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39 </w:t>
            </w:r>
          </w:p>
        </w:tc>
        <w:tc>
          <w:tcPr>
            <w:tcW w:w="731" w:type="pct"/>
            <w:tcBorders>
              <w:tl2br w:val="nil"/>
              <w:tr2bl w:val="nil"/>
            </w:tcBorders>
            <w:noWrap w:val="0"/>
            <w:vAlign w:val="center"/>
          </w:tcPr>
          <w:p w14:paraId="628C8B55">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48 </w:t>
            </w:r>
          </w:p>
        </w:tc>
        <w:tc>
          <w:tcPr>
            <w:tcW w:w="735" w:type="pct"/>
            <w:tcBorders>
              <w:tl2br w:val="nil"/>
              <w:tr2bl w:val="nil"/>
            </w:tcBorders>
            <w:noWrap w:val="0"/>
            <w:vAlign w:val="center"/>
          </w:tcPr>
          <w:p w14:paraId="791B18B2">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39 </w:t>
            </w:r>
          </w:p>
        </w:tc>
      </w:tr>
    </w:tbl>
    <w:p w14:paraId="12D561A2">
      <w:pPr>
        <w:pStyle w:val="5"/>
        <w:bidi w:val="0"/>
        <w:rPr>
          <w:rFonts w:hint="default" w:ascii="Times New Roman" w:hAnsi="Times New Roman" w:cs="Times New Roman"/>
          <w:color w:val="auto"/>
        </w:rPr>
      </w:pPr>
      <w:r>
        <w:rPr>
          <w:rFonts w:hint="default" w:ascii="Times New Roman" w:hAnsi="Times New Roman" w:cs="Times New Roman"/>
          <w:color w:val="auto"/>
        </w:rPr>
        <w:t>4.2.4.2声环境质量现状评价</w:t>
      </w:r>
    </w:p>
    <w:p w14:paraId="2049E071">
      <w:pPr>
        <w:pStyle w:val="25"/>
        <w:bidi w:val="0"/>
        <w:rPr>
          <w:rFonts w:hint="default" w:ascii="Times New Roman" w:hAnsi="Times New Roman" w:cs="Times New Roman"/>
          <w:color w:val="auto"/>
          <w:lang w:val="zh-CN"/>
        </w:rPr>
      </w:pPr>
      <w:r>
        <w:rPr>
          <w:rFonts w:hint="default" w:ascii="Times New Roman" w:hAnsi="Times New Roman" w:cs="Times New Roman"/>
          <w:color w:val="auto"/>
          <w:lang w:val="zh-CN"/>
        </w:rPr>
        <w:t>（1）评价因子</w:t>
      </w:r>
    </w:p>
    <w:p w14:paraId="73B4C2C3">
      <w:pPr>
        <w:pStyle w:val="25"/>
        <w:bidi w:val="0"/>
        <w:rPr>
          <w:rFonts w:hint="default" w:ascii="Times New Roman" w:hAnsi="Times New Roman" w:cs="Times New Roman"/>
          <w:color w:val="auto"/>
          <w:lang w:val="zh-CN"/>
        </w:rPr>
      </w:pPr>
      <w:r>
        <w:rPr>
          <w:rFonts w:hint="default" w:ascii="Times New Roman" w:hAnsi="Times New Roman" w:cs="Times New Roman"/>
          <w:color w:val="auto"/>
          <w:lang w:val="zh-CN"/>
        </w:rPr>
        <w:t>选择等效连续A声级Leq（A）为本项目环境噪声的评价因子。</w:t>
      </w:r>
    </w:p>
    <w:p w14:paraId="664FC306">
      <w:pPr>
        <w:pStyle w:val="25"/>
        <w:bidi w:val="0"/>
        <w:rPr>
          <w:rFonts w:hint="default" w:ascii="Times New Roman" w:hAnsi="Times New Roman" w:cs="Times New Roman"/>
          <w:color w:val="auto"/>
          <w:lang w:val="zh-CN"/>
        </w:rPr>
      </w:pPr>
      <w:r>
        <w:rPr>
          <w:rFonts w:hint="default" w:ascii="Times New Roman" w:hAnsi="Times New Roman" w:cs="Times New Roman"/>
          <w:color w:val="auto"/>
          <w:lang w:val="zh-CN"/>
        </w:rPr>
        <w:t>（2）评价方法</w:t>
      </w:r>
    </w:p>
    <w:p w14:paraId="6E3B1932">
      <w:pPr>
        <w:pStyle w:val="25"/>
        <w:bidi w:val="0"/>
        <w:rPr>
          <w:rFonts w:hint="default" w:ascii="Times New Roman" w:hAnsi="Times New Roman" w:cs="Times New Roman"/>
          <w:color w:val="auto"/>
          <w:lang w:val="zh-CN"/>
        </w:rPr>
      </w:pPr>
      <w:r>
        <w:rPr>
          <w:rFonts w:hint="default" w:ascii="Times New Roman" w:hAnsi="Times New Roman" w:cs="Times New Roman"/>
          <w:color w:val="auto"/>
          <w:lang w:val="zh-CN"/>
        </w:rPr>
        <w:t>直接比较法。</w:t>
      </w:r>
    </w:p>
    <w:p w14:paraId="5BCE9A33">
      <w:pPr>
        <w:pStyle w:val="25"/>
        <w:bidi w:val="0"/>
        <w:rPr>
          <w:rFonts w:hint="default" w:ascii="Times New Roman" w:hAnsi="Times New Roman" w:cs="Times New Roman"/>
          <w:color w:val="auto"/>
          <w:lang w:val="zh-CN"/>
        </w:rPr>
      </w:pPr>
      <w:r>
        <w:rPr>
          <w:rFonts w:hint="default" w:ascii="Times New Roman" w:hAnsi="Times New Roman" w:cs="Times New Roman"/>
          <w:color w:val="auto"/>
          <w:lang w:val="zh-CN"/>
        </w:rPr>
        <w:t>（3）评价标准</w:t>
      </w:r>
    </w:p>
    <w:p w14:paraId="15B62319">
      <w:pPr>
        <w:pStyle w:val="25"/>
        <w:bidi w:val="0"/>
        <w:rPr>
          <w:rFonts w:hint="default" w:ascii="Times New Roman" w:hAnsi="Times New Roman" w:cs="Times New Roman"/>
          <w:color w:val="auto"/>
          <w:lang w:val="zh-CN"/>
        </w:rPr>
      </w:pPr>
      <w:r>
        <w:rPr>
          <w:rFonts w:hint="default" w:ascii="Times New Roman" w:hAnsi="Times New Roman" w:cs="Times New Roman"/>
          <w:color w:val="auto"/>
          <w:lang w:val="zh-CN"/>
        </w:rPr>
        <w:t>评价标准</w:t>
      </w:r>
      <w:r>
        <w:rPr>
          <w:rFonts w:hint="default" w:ascii="Times New Roman" w:hAnsi="Times New Roman" w:cs="Times New Roman"/>
          <w:color w:val="auto"/>
        </w:rPr>
        <w:t>厂界噪声执行</w:t>
      </w:r>
      <w:r>
        <w:rPr>
          <w:rFonts w:hint="default" w:ascii="Times New Roman" w:hAnsi="Times New Roman" w:cs="Times New Roman"/>
          <w:color w:val="auto"/>
          <w:lang w:val="zh-CN"/>
        </w:rPr>
        <w:t>《声环境质量标准》（GB3096-2008）中的</w:t>
      </w:r>
      <w:r>
        <w:rPr>
          <w:rFonts w:hint="default" w:ascii="Times New Roman" w:hAnsi="Times New Roman" w:cs="Times New Roman"/>
          <w:color w:val="auto"/>
        </w:rPr>
        <w:t>1</w:t>
      </w:r>
      <w:r>
        <w:rPr>
          <w:rFonts w:hint="default" w:ascii="Times New Roman" w:hAnsi="Times New Roman" w:cs="Times New Roman"/>
          <w:color w:val="auto"/>
          <w:lang w:val="zh-CN"/>
        </w:rPr>
        <w:t>类标准（昼间55dB(A)，夜间45dB(A)），</w:t>
      </w:r>
      <w:r>
        <w:rPr>
          <w:rFonts w:hint="default" w:ascii="Times New Roman" w:hAnsi="Times New Roman" w:cs="Times New Roman"/>
          <w:color w:val="auto"/>
        </w:rPr>
        <w:t>敏感点处执行</w:t>
      </w:r>
      <w:r>
        <w:rPr>
          <w:rFonts w:hint="default" w:ascii="Times New Roman" w:hAnsi="Times New Roman" w:cs="Times New Roman"/>
          <w:color w:val="auto"/>
          <w:lang w:val="zh-CN"/>
        </w:rPr>
        <w:t>《声环境质量标准》（GB3096-2008）中的</w:t>
      </w:r>
      <w:r>
        <w:rPr>
          <w:rFonts w:hint="default" w:ascii="Times New Roman" w:hAnsi="Times New Roman" w:cs="Times New Roman"/>
          <w:color w:val="auto"/>
        </w:rPr>
        <w:t>1</w:t>
      </w:r>
      <w:r>
        <w:rPr>
          <w:rFonts w:hint="default" w:ascii="Times New Roman" w:hAnsi="Times New Roman" w:cs="Times New Roman"/>
          <w:color w:val="auto"/>
          <w:lang w:val="zh-CN"/>
        </w:rPr>
        <w:t>类标准。</w:t>
      </w:r>
    </w:p>
    <w:p w14:paraId="5A6D064B">
      <w:pPr>
        <w:pStyle w:val="25"/>
        <w:bidi w:val="0"/>
        <w:rPr>
          <w:rFonts w:hint="default" w:ascii="Times New Roman" w:hAnsi="Times New Roman" w:cs="Times New Roman"/>
          <w:color w:val="auto"/>
          <w:lang w:val="zh-CN"/>
        </w:rPr>
      </w:pPr>
      <w:r>
        <w:rPr>
          <w:rFonts w:hint="default" w:ascii="Times New Roman" w:hAnsi="Times New Roman" w:cs="Times New Roman"/>
          <w:color w:val="auto"/>
          <w:lang w:val="zh-CN"/>
        </w:rPr>
        <w:t>（4）评价结论</w:t>
      </w:r>
    </w:p>
    <w:p w14:paraId="5A76A8C8">
      <w:pPr>
        <w:pStyle w:val="25"/>
        <w:bidi w:val="0"/>
        <w:rPr>
          <w:rFonts w:hint="default" w:ascii="Times New Roman" w:hAnsi="Times New Roman" w:cs="Times New Roman"/>
          <w:color w:val="auto"/>
          <w:lang w:val="zh-CN"/>
        </w:rPr>
      </w:pPr>
      <w:r>
        <w:rPr>
          <w:rFonts w:hint="default" w:ascii="Times New Roman" w:hAnsi="Times New Roman" w:cs="Times New Roman"/>
          <w:color w:val="auto"/>
          <w:lang w:val="zh-CN"/>
        </w:rPr>
        <w:t>通过将环境噪声现状监测结果与标准比较，</w:t>
      </w:r>
      <w:r>
        <w:rPr>
          <w:rFonts w:hint="default" w:ascii="Times New Roman" w:hAnsi="Times New Roman" w:cs="Times New Roman"/>
          <w:color w:val="auto"/>
        </w:rPr>
        <w:t>厂界监测点均</w:t>
      </w:r>
      <w:r>
        <w:rPr>
          <w:rFonts w:hint="default" w:ascii="Times New Roman" w:hAnsi="Times New Roman" w:cs="Times New Roman"/>
          <w:color w:val="auto"/>
          <w:lang w:val="zh-CN"/>
        </w:rPr>
        <w:t>满足《声环境质量标准》（GB3096-2008）中的</w:t>
      </w:r>
      <w:r>
        <w:rPr>
          <w:rFonts w:hint="default" w:ascii="Times New Roman" w:hAnsi="Times New Roman" w:cs="Times New Roman"/>
          <w:color w:val="auto"/>
        </w:rPr>
        <w:t>1</w:t>
      </w:r>
      <w:r>
        <w:rPr>
          <w:rFonts w:hint="default" w:ascii="Times New Roman" w:hAnsi="Times New Roman" w:cs="Times New Roman"/>
          <w:color w:val="auto"/>
          <w:lang w:val="zh-CN"/>
        </w:rPr>
        <w:t>类标准，敏感点满足《声环境质量标准》（GB3096-2008）中的1类标准。</w:t>
      </w:r>
    </w:p>
    <w:p w14:paraId="35545432">
      <w:pPr>
        <w:pStyle w:val="39"/>
        <w:bidi w:val="0"/>
        <w:rPr>
          <w:rFonts w:hint="default" w:ascii="Times New Roman" w:hAnsi="Times New Roman" w:cs="Times New Roman"/>
          <w:color w:val="auto"/>
        </w:rPr>
      </w:pPr>
      <w:bookmarkStart w:id="255" w:name="_Toc19000"/>
      <w:r>
        <w:rPr>
          <w:rFonts w:hint="default" w:ascii="Times New Roman" w:hAnsi="Times New Roman" w:cs="Times New Roman"/>
          <w:color w:val="auto"/>
        </w:rPr>
        <w:t>4.2.5土壤质量评价</w:t>
      </w:r>
      <w:bookmarkEnd w:id="255"/>
    </w:p>
    <w:p w14:paraId="09BC363A">
      <w:pPr>
        <w:pStyle w:val="5"/>
        <w:bidi w:val="0"/>
        <w:rPr>
          <w:rFonts w:hint="default" w:ascii="Times New Roman" w:hAnsi="Times New Roman" w:cs="Times New Roman"/>
          <w:color w:val="auto"/>
        </w:rPr>
      </w:pPr>
      <w:r>
        <w:rPr>
          <w:rFonts w:hint="default" w:ascii="Times New Roman" w:hAnsi="Times New Roman" w:cs="Times New Roman"/>
          <w:color w:val="auto"/>
        </w:rPr>
        <w:t>4.2.5.1土壤理化性质</w:t>
      </w:r>
    </w:p>
    <w:p w14:paraId="329D806F">
      <w:pPr>
        <w:pStyle w:val="25"/>
        <w:bidi w:val="0"/>
        <w:rPr>
          <w:rFonts w:hint="default" w:ascii="Times New Roman" w:hAnsi="Times New Roman" w:cs="Times New Roman"/>
          <w:color w:val="auto"/>
          <w:lang w:val="zh-CN"/>
        </w:rPr>
      </w:pPr>
      <w:r>
        <w:rPr>
          <w:rFonts w:hint="default" w:ascii="Times New Roman" w:hAnsi="Times New Roman" w:cs="Times New Roman"/>
          <w:color w:val="auto"/>
          <w:lang w:val="zh-CN"/>
        </w:rPr>
        <w:t>1、理化性质调查</w:t>
      </w:r>
    </w:p>
    <w:p w14:paraId="23FABA23">
      <w:pPr>
        <w:pStyle w:val="27"/>
        <w:bidi w:val="0"/>
        <w:ind w:left="0" w:leftChars="0" w:firstLine="0" w:firstLineChars="0"/>
        <w:rPr>
          <w:rFonts w:hint="default" w:ascii="Times New Roman" w:hAnsi="Times New Roman" w:cs="Times New Roman"/>
          <w:color w:val="auto"/>
        </w:rPr>
      </w:pPr>
      <w:r>
        <w:rPr>
          <w:rFonts w:hint="default" w:ascii="Times New Roman" w:hAnsi="Times New Roman" w:cs="Times New Roman"/>
          <w:color w:val="auto"/>
        </w:rPr>
        <w:t>表4-2-1</w:t>
      </w:r>
      <w:r>
        <w:rPr>
          <w:rFonts w:hint="default" w:ascii="Times New Roman" w:hAnsi="Times New Roman" w:cs="Times New Roman"/>
          <w:color w:val="auto"/>
          <w:lang w:val="en-US" w:eastAsia="zh-CN"/>
        </w:rPr>
        <w:t>3</w:t>
      </w:r>
      <w:r>
        <w:rPr>
          <w:rFonts w:hint="default" w:ascii="Times New Roman" w:hAnsi="Times New Roman" w:cs="Times New Roman"/>
          <w:color w:val="auto"/>
        </w:rPr>
        <w:t>土壤理化特性调查表</w:t>
      </w:r>
    </w:p>
    <w:tbl>
      <w:tblPr>
        <w:tblStyle w:val="20"/>
        <w:tblW w:w="5092"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2851"/>
        <w:gridCol w:w="2965"/>
        <w:gridCol w:w="2643"/>
      </w:tblGrid>
      <w:tr w14:paraId="1A2879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7" w:hRule="atLeast"/>
        </w:trPr>
        <w:tc>
          <w:tcPr>
            <w:tcW w:w="1685" w:type="pct"/>
            <w:vAlign w:val="center"/>
          </w:tcPr>
          <w:p w14:paraId="1506CB90">
            <w:pPr>
              <w:pStyle w:val="44"/>
              <w:bidi w:val="0"/>
              <w:rPr>
                <w:rFonts w:hint="default" w:ascii="Times New Roman" w:hAnsi="Times New Roman" w:cs="Times New Roman"/>
                <w:color w:val="auto"/>
              </w:rPr>
            </w:pPr>
            <w:r>
              <w:rPr>
                <w:rFonts w:hint="default" w:ascii="Times New Roman" w:hAnsi="Times New Roman" w:cs="Times New Roman"/>
                <w:color w:val="auto"/>
              </w:rPr>
              <w:t>点号</w:t>
            </w:r>
          </w:p>
        </w:tc>
        <w:tc>
          <w:tcPr>
            <w:tcW w:w="1752" w:type="pct"/>
            <w:vAlign w:val="center"/>
          </w:tcPr>
          <w:p w14:paraId="61AD15F3">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S1</w:t>
            </w:r>
          </w:p>
        </w:tc>
        <w:tc>
          <w:tcPr>
            <w:tcW w:w="1562" w:type="pct"/>
            <w:vAlign w:val="center"/>
          </w:tcPr>
          <w:p w14:paraId="3E2C2679">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S5</w:t>
            </w:r>
          </w:p>
        </w:tc>
      </w:tr>
      <w:tr w14:paraId="55AFEB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7" w:hRule="atLeast"/>
        </w:trPr>
        <w:tc>
          <w:tcPr>
            <w:tcW w:w="1685" w:type="pct"/>
            <w:vAlign w:val="center"/>
          </w:tcPr>
          <w:p w14:paraId="36175B76">
            <w:pPr>
              <w:pStyle w:val="44"/>
              <w:bidi w:val="0"/>
              <w:rPr>
                <w:rFonts w:hint="default" w:ascii="Times New Roman" w:hAnsi="Times New Roman" w:cs="Times New Roman"/>
                <w:color w:val="auto"/>
              </w:rPr>
            </w:pPr>
            <w:r>
              <w:rPr>
                <w:rFonts w:hint="default" w:ascii="Times New Roman" w:hAnsi="Times New Roman" w:cs="Times New Roman"/>
                <w:color w:val="auto"/>
              </w:rPr>
              <w:t>层次</w:t>
            </w:r>
          </w:p>
        </w:tc>
        <w:tc>
          <w:tcPr>
            <w:tcW w:w="1752" w:type="pct"/>
            <w:vAlign w:val="center"/>
          </w:tcPr>
          <w:p w14:paraId="164090CA">
            <w:pPr>
              <w:pStyle w:val="44"/>
              <w:bidi w:val="0"/>
              <w:rPr>
                <w:rFonts w:hint="default" w:ascii="Times New Roman" w:hAnsi="Times New Roman" w:cs="Times New Roman"/>
                <w:color w:val="auto"/>
              </w:rPr>
            </w:pPr>
            <w:r>
              <w:rPr>
                <w:rFonts w:hint="default" w:ascii="Times New Roman" w:hAnsi="Times New Roman" w:cs="Times New Roman"/>
                <w:color w:val="auto"/>
              </w:rPr>
              <w:t>0-0.</w:t>
            </w:r>
            <w:r>
              <w:rPr>
                <w:rFonts w:hint="default" w:ascii="Times New Roman" w:hAnsi="Times New Roman" w:cs="Times New Roman"/>
                <w:color w:val="auto"/>
                <w:lang w:val="en-US" w:eastAsia="zh-CN"/>
              </w:rPr>
              <w:t>2</w:t>
            </w:r>
            <w:r>
              <w:rPr>
                <w:rFonts w:hint="default" w:ascii="Times New Roman" w:hAnsi="Times New Roman" w:cs="Times New Roman"/>
                <w:color w:val="auto"/>
              </w:rPr>
              <w:t>m</w:t>
            </w:r>
          </w:p>
        </w:tc>
        <w:tc>
          <w:tcPr>
            <w:tcW w:w="1562" w:type="pct"/>
            <w:vAlign w:val="center"/>
          </w:tcPr>
          <w:p w14:paraId="7BF2E905">
            <w:pPr>
              <w:pStyle w:val="44"/>
              <w:bidi w:val="0"/>
              <w:rPr>
                <w:rFonts w:hint="default" w:ascii="Times New Roman" w:hAnsi="Times New Roman" w:cs="Times New Roman"/>
                <w:color w:val="auto"/>
              </w:rPr>
            </w:pPr>
            <w:r>
              <w:rPr>
                <w:rFonts w:hint="default" w:ascii="Times New Roman" w:hAnsi="Times New Roman" w:cs="Times New Roman"/>
                <w:color w:val="auto"/>
              </w:rPr>
              <w:t>0-0.</w:t>
            </w:r>
            <w:r>
              <w:rPr>
                <w:rFonts w:hint="default" w:ascii="Times New Roman" w:hAnsi="Times New Roman" w:cs="Times New Roman"/>
                <w:color w:val="auto"/>
                <w:lang w:val="en-US" w:eastAsia="zh-CN"/>
              </w:rPr>
              <w:t>2</w:t>
            </w:r>
            <w:r>
              <w:rPr>
                <w:rFonts w:hint="default" w:ascii="Times New Roman" w:hAnsi="Times New Roman" w:cs="Times New Roman"/>
                <w:color w:val="auto"/>
              </w:rPr>
              <w:t>m</w:t>
            </w:r>
          </w:p>
        </w:tc>
      </w:tr>
      <w:tr w14:paraId="33BC9C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7" w:hRule="atLeast"/>
        </w:trPr>
        <w:tc>
          <w:tcPr>
            <w:tcW w:w="1685" w:type="pct"/>
            <w:vAlign w:val="center"/>
          </w:tcPr>
          <w:p w14:paraId="4CE0F2F9">
            <w:pPr>
              <w:pStyle w:val="44"/>
              <w:bidi w:val="0"/>
              <w:rPr>
                <w:rFonts w:hint="default" w:ascii="Times New Roman" w:hAnsi="Times New Roman" w:cs="Times New Roman"/>
                <w:color w:val="auto"/>
              </w:rPr>
            </w:pPr>
            <w:r>
              <w:rPr>
                <w:rFonts w:hint="default" w:ascii="Times New Roman" w:hAnsi="Times New Roman" w:cs="Times New Roman"/>
                <w:color w:val="auto"/>
              </w:rPr>
              <w:t>pH值</w:t>
            </w:r>
          </w:p>
        </w:tc>
        <w:tc>
          <w:tcPr>
            <w:tcW w:w="1752" w:type="pct"/>
            <w:vAlign w:val="center"/>
          </w:tcPr>
          <w:p w14:paraId="7DE518D2">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8.61</w:t>
            </w:r>
          </w:p>
        </w:tc>
        <w:tc>
          <w:tcPr>
            <w:tcW w:w="1562" w:type="pct"/>
            <w:vAlign w:val="center"/>
          </w:tcPr>
          <w:p w14:paraId="1906E9D5">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7.16</w:t>
            </w:r>
          </w:p>
        </w:tc>
      </w:tr>
      <w:tr w14:paraId="26D2AF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7" w:hRule="atLeast"/>
        </w:trPr>
        <w:tc>
          <w:tcPr>
            <w:tcW w:w="1685" w:type="pct"/>
            <w:vAlign w:val="center"/>
          </w:tcPr>
          <w:p w14:paraId="6BA2D15D">
            <w:pPr>
              <w:pStyle w:val="44"/>
              <w:bidi w:val="0"/>
              <w:rPr>
                <w:rFonts w:hint="default" w:ascii="Times New Roman" w:hAnsi="Times New Roman" w:cs="Times New Roman"/>
                <w:color w:val="auto"/>
              </w:rPr>
            </w:pPr>
            <w:r>
              <w:rPr>
                <w:rFonts w:hint="default" w:ascii="Times New Roman" w:hAnsi="Times New Roman" w:cs="Times New Roman"/>
                <w:color w:val="auto"/>
              </w:rPr>
              <w:t>阳离子交换量（me/100g）</w:t>
            </w:r>
          </w:p>
        </w:tc>
        <w:tc>
          <w:tcPr>
            <w:tcW w:w="1752" w:type="pct"/>
            <w:vAlign w:val="center"/>
          </w:tcPr>
          <w:p w14:paraId="1D265CDF">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19.4</w:t>
            </w:r>
          </w:p>
        </w:tc>
        <w:tc>
          <w:tcPr>
            <w:tcW w:w="1562" w:type="pct"/>
            <w:vAlign w:val="center"/>
          </w:tcPr>
          <w:p w14:paraId="003BD771">
            <w:pPr>
              <w:pStyle w:val="44"/>
              <w:bidi w:val="0"/>
              <w:rPr>
                <w:rFonts w:hint="default" w:ascii="Times New Roman" w:hAnsi="Times New Roman" w:cs="Times New Roman"/>
                <w:color w:val="auto"/>
              </w:rPr>
            </w:pPr>
            <w:r>
              <w:rPr>
                <w:rFonts w:hint="default" w:ascii="Times New Roman" w:hAnsi="Times New Roman" w:cs="Times New Roman"/>
                <w:color w:val="auto"/>
              </w:rPr>
              <w:t>1</w:t>
            </w:r>
            <w:r>
              <w:rPr>
                <w:rFonts w:hint="default" w:ascii="Times New Roman" w:hAnsi="Times New Roman" w:cs="Times New Roman"/>
                <w:color w:val="auto"/>
                <w:lang w:val="en-US" w:eastAsia="zh-CN"/>
              </w:rPr>
              <w:t>9</w:t>
            </w:r>
            <w:r>
              <w:rPr>
                <w:rFonts w:hint="default" w:ascii="Times New Roman" w:hAnsi="Times New Roman" w:cs="Times New Roman"/>
                <w:color w:val="auto"/>
              </w:rPr>
              <w:t>.8</w:t>
            </w:r>
          </w:p>
        </w:tc>
      </w:tr>
      <w:tr w14:paraId="02FA3F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7" w:hRule="atLeast"/>
        </w:trPr>
        <w:tc>
          <w:tcPr>
            <w:tcW w:w="1685" w:type="pct"/>
            <w:vAlign w:val="center"/>
          </w:tcPr>
          <w:p w14:paraId="2BE015E6">
            <w:pPr>
              <w:pStyle w:val="44"/>
              <w:bidi w:val="0"/>
              <w:rPr>
                <w:rFonts w:hint="default" w:ascii="Times New Roman" w:hAnsi="Times New Roman" w:cs="Times New Roman"/>
                <w:color w:val="auto"/>
              </w:rPr>
            </w:pPr>
            <w:r>
              <w:rPr>
                <w:rFonts w:hint="default" w:ascii="Times New Roman" w:hAnsi="Times New Roman" w:cs="Times New Roman"/>
                <w:color w:val="auto"/>
              </w:rPr>
              <w:t>氧化还原电位</w:t>
            </w:r>
          </w:p>
        </w:tc>
        <w:tc>
          <w:tcPr>
            <w:tcW w:w="1752" w:type="pct"/>
            <w:vAlign w:val="center"/>
          </w:tcPr>
          <w:p w14:paraId="2D293EA6">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511</w:t>
            </w:r>
          </w:p>
        </w:tc>
        <w:tc>
          <w:tcPr>
            <w:tcW w:w="1562" w:type="pct"/>
            <w:vAlign w:val="center"/>
          </w:tcPr>
          <w:p w14:paraId="3116CD45">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513</w:t>
            </w:r>
          </w:p>
        </w:tc>
      </w:tr>
      <w:tr w14:paraId="76DE0C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7" w:hRule="atLeast"/>
        </w:trPr>
        <w:tc>
          <w:tcPr>
            <w:tcW w:w="1685" w:type="pct"/>
            <w:vAlign w:val="center"/>
          </w:tcPr>
          <w:p w14:paraId="7CDCBE47">
            <w:pPr>
              <w:pStyle w:val="44"/>
              <w:bidi w:val="0"/>
              <w:rPr>
                <w:rFonts w:hint="default" w:ascii="Times New Roman" w:hAnsi="Times New Roman" w:cs="Times New Roman"/>
                <w:color w:val="auto"/>
              </w:rPr>
            </w:pPr>
            <w:r>
              <w:rPr>
                <w:rFonts w:hint="default" w:ascii="Times New Roman" w:hAnsi="Times New Roman" w:cs="Times New Roman"/>
                <w:color w:val="auto"/>
              </w:rPr>
              <w:t>土壤容重/（g/cm</w:t>
            </w:r>
            <w:r>
              <w:rPr>
                <w:rFonts w:hint="default" w:ascii="Times New Roman" w:hAnsi="Times New Roman" w:cs="Times New Roman"/>
                <w:color w:val="auto"/>
                <w:vertAlign w:val="superscript"/>
              </w:rPr>
              <w:t>3</w:t>
            </w:r>
            <w:r>
              <w:rPr>
                <w:rFonts w:hint="default" w:ascii="Times New Roman" w:hAnsi="Times New Roman" w:cs="Times New Roman"/>
                <w:color w:val="auto"/>
              </w:rPr>
              <w:t>）</w:t>
            </w:r>
          </w:p>
        </w:tc>
        <w:tc>
          <w:tcPr>
            <w:tcW w:w="1752" w:type="pct"/>
            <w:vAlign w:val="center"/>
          </w:tcPr>
          <w:p w14:paraId="0564FA15">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1.47</w:t>
            </w:r>
          </w:p>
        </w:tc>
        <w:tc>
          <w:tcPr>
            <w:tcW w:w="1562" w:type="pct"/>
            <w:vAlign w:val="center"/>
          </w:tcPr>
          <w:p w14:paraId="2D21571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1.47</w:t>
            </w:r>
          </w:p>
        </w:tc>
      </w:tr>
      <w:tr w14:paraId="7B795F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7" w:hRule="atLeast"/>
        </w:trPr>
        <w:tc>
          <w:tcPr>
            <w:tcW w:w="1685" w:type="pct"/>
            <w:vAlign w:val="center"/>
          </w:tcPr>
          <w:p w14:paraId="7230FAE9">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总空隙</w:t>
            </w:r>
            <w:r>
              <w:rPr>
                <w:rFonts w:hint="default" w:ascii="Times New Roman" w:hAnsi="Times New Roman" w:cs="Times New Roman"/>
                <w:color w:val="auto"/>
              </w:rPr>
              <w:t>（</w:t>
            </w:r>
            <w:r>
              <w:rPr>
                <w:rFonts w:hint="default" w:ascii="Times New Roman" w:hAnsi="Times New Roman" w:cs="Times New Roman"/>
                <w:color w:val="auto"/>
                <w:lang w:val="en-US" w:eastAsia="zh-CN"/>
              </w:rPr>
              <w:t>%</w:t>
            </w:r>
            <w:r>
              <w:rPr>
                <w:rFonts w:hint="default" w:ascii="Times New Roman" w:hAnsi="Times New Roman" w:cs="Times New Roman"/>
                <w:color w:val="auto"/>
              </w:rPr>
              <w:t>）</w:t>
            </w:r>
          </w:p>
        </w:tc>
        <w:tc>
          <w:tcPr>
            <w:tcW w:w="1752" w:type="pct"/>
            <w:vAlign w:val="center"/>
          </w:tcPr>
          <w:p w14:paraId="1479453E">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38.3</w:t>
            </w:r>
          </w:p>
        </w:tc>
        <w:tc>
          <w:tcPr>
            <w:tcW w:w="1562" w:type="pct"/>
            <w:vAlign w:val="center"/>
          </w:tcPr>
          <w:p w14:paraId="2994AB7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3</w:t>
            </w:r>
            <w:r>
              <w:rPr>
                <w:rFonts w:hint="default" w:ascii="Times New Roman" w:hAnsi="Times New Roman" w:cs="Times New Roman"/>
                <w:color w:val="auto"/>
                <w:lang w:val="en-US" w:eastAsia="zh-CN"/>
              </w:rPr>
              <w:t>9.9</w:t>
            </w:r>
          </w:p>
        </w:tc>
      </w:tr>
      <w:tr w14:paraId="60EFA7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7" w:hRule="atLeast"/>
        </w:trPr>
        <w:tc>
          <w:tcPr>
            <w:tcW w:w="1685" w:type="pct"/>
            <w:vAlign w:val="center"/>
          </w:tcPr>
          <w:p w14:paraId="41D3BDC5">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土壤渗透率（mm/min）</w:t>
            </w:r>
          </w:p>
        </w:tc>
        <w:tc>
          <w:tcPr>
            <w:tcW w:w="1752" w:type="pct"/>
            <w:vAlign w:val="center"/>
          </w:tcPr>
          <w:p w14:paraId="759705E5">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0.56</w:t>
            </w:r>
          </w:p>
        </w:tc>
        <w:tc>
          <w:tcPr>
            <w:tcW w:w="1562" w:type="pct"/>
            <w:vAlign w:val="center"/>
          </w:tcPr>
          <w:p w14:paraId="51117C3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0.59</w:t>
            </w:r>
          </w:p>
        </w:tc>
      </w:tr>
    </w:tbl>
    <w:p w14:paraId="7D8F18BA">
      <w:pPr>
        <w:pStyle w:val="25"/>
        <w:bidi w:val="0"/>
        <w:rPr>
          <w:rFonts w:hint="default" w:ascii="Times New Roman" w:hAnsi="Times New Roman" w:cs="Times New Roman"/>
          <w:color w:val="auto"/>
        </w:rPr>
      </w:pPr>
      <w:r>
        <w:rPr>
          <w:rFonts w:hint="default" w:ascii="Times New Roman" w:hAnsi="Times New Roman" w:cs="Times New Roman"/>
          <w:color w:val="auto"/>
        </w:rPr>
        <w:t>2、土壤类型</w:t>
      </w:r>
    </w:p>
    <w:p w14:paraId="45B49852">
      <w:pPr>
        <w:pStyle w:val="25"/>
        <w:bidi w:val="0"/>
        <w:rPr>
          <w:rFonts w:hint="default" w:ascii="Times New Roman" w:hAnsi="Times New Roman" w:cs="Times New Roman"/>
          <w:color w:val="auto"/>
        </w:rPr>
      </w:pPr>
      <w:r>
        <w:rPr>
          <w:rFonts w:hint="default" w:ascii="Times New Roman" w:hAnsi="Times New Roman" w:cs="Times New Roman"/>
          <w:color w:val="auto"/>
        </w:rPr>
        <w:t>查阅“国家土壤信息服务平台”，项目厂址土壤类型为暗棕壤。</w:t>
      </w:r>
    </w:p>
    <w:p w14:paraId="640ACA4C">
      <w:pPr>
        <w:pStyle w:val="25"/>
        <w:bidi w:val="0"/>
        <w:rPr>
          <w:rFonts w:hint="default" w:ascii="Times New Roman" w:hAnsi="Times New Roman" w:cs="Times New Roman"/>
          <w:color w:val="auto"/>
        </w:rPr>
      </w:pPr>
      <w:r>
        <w:rPr>
          <w:rFonts w:hint="default" w:ascii="Times New Roman" w:hAnsi="Times New Roman" w:cs="Times New Roman"/>
          <w:color w:val="auto"/>
        </w:rPr>
        <w:t>项目所在区域土壤类型见下图。</w:t>
      </w:r>
    </w:p>
    <w:p w14:paraId="7294AC5C">
      <w:pPr>
        <w:pStyle w:val="25"/>
        <w:spacing w:line="240" w:lineRule="auto"/>
        <w:ind w:firstLine="0" w:firstLineChars="0"/>
        <w:rPr>
          <w:rFonts w:hint="default" w:ascii="Times New Roman" w:hAnsi="Times New Roman" w:cs="Times New Roman"/>
          <w:color w:val="auto"/>
        </w:rPr>
      </w:pPr>
      <w:r>
        <w:rPr>
          <w:rFonts w:hint="default" w:ascii="Times New Roman" w:hAnsi="Times New Roman" w:cs="Times New Roman"/>
          <w:color w:val="auto"/>
        </w:rPr>
        <mc:AlternateContent>
          <mc:Choice Requires="wps">
            <w:drawing>
              <wp:anchor distT="0" distB="0" distL="114300" distR="114300" simplePos="0" relativeHeight="251676672" behindDoc="0" locked="0" layoutInCell="1" allowOverlap="1">
                <wp:simplePos x="0" y="0"/>
                <wp:positionH relativeFrom="column">
                  <wp:posOffset>0</wp:posOffset>
                </wp:positionH>
                <wp:positionV relativeFrom="paragraph">
                  <wp:posOffset>2924810</wp:posOffset>
                </wp:positionV>
                <wp:extent cx="167640" cy="98425"/>
                <wp:effectExtent l="4445" t="4445" r="18415" b="11430"/>
                <wp:wrapNone/>
                <wp:docPr id="2080982864" name="Rectangle 339309"/>
                <wp:cNvGraphicFramePr/>
                <a:graphic xmlns:a="http://schemas.openxmlformats.org/drawingml/2006/main">
                  <a:graphicData uri="http://schemas.microsoft.com/office/word/2010/wordprocessingShape">
                    <wps:wsp>
                      <wps:cNvSpPr>
                        <a:spLocks noChangeArrowheads="1"/>
                      </wps:cNvSpPr>
                      <wps:spPr bwMode="auto">
                        <a:xfrm>
                          <a:off x="0" y="0"/>
                          <a:ext cx="167640" cy="98425"/>
                        </a:xfrm>
                        <a:prstGeom prst="rect">
                          <a:avLst/>
                        </a:prstGeom>
                        <a:solidFill>
                          <a:schemeClr val="accent6"/>
                        </a:solidFill>
                        <a:ln w="9525">
                          <a:solidFill>
                            <a:srgbClr val="953735"/>
                          </a:solidFill>
                          <a:miter lim="800000"/>
                        </a:ln>
                      </wps:spPr>
                      <wps:bodyPr rot="0" vert="horz" wrap="square" lIns="0" tIns="0" rIns="0" bIns="0" anchor="t" anchorCtr="0" upright="1">
                        <a:noAutofit/>
                      </wps:bodyPr>
                    </wps:wsp>
                  </a:graphicData>
                </a:graphic>
              </wp:anchor>
            </w:drawing>
          </mc:Choice>
          <mc:Fallback>
            <w:pict>
              <v:rect id="Rectangle 339309" o:spid="_x0000_s1026" o:spt="1" style="position:absolute;left:0pt;margin-left:0pt;margin-top:230.3pt;height:7.75pt;width:13.2pt;z-index:251676672;mso-width-relative:page;mso-height-relative:page;" fillcolor="#F79646 [3209]" filled="t" stroked="t" coordsize="21600,21600" o:gfxdata="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PVyODfXAAAABwEAAA8AAAAAAAAAAQAgAAAAIgAAAGRycy9kb3ducmV2LnhtbFBL&#10;AQIUABQAAAAIAIdO4kARWfa8MAIAAG4EAAAOAAAAAAAAAAEAIAAAACYBAABkcnMvZTJvRG9jLnht&#10;bFBLBQYAAAAABgAGAFkBAADIBQAAAAA=&#10;">
                <v:fill on="t" focussize="0,0"/>
                <v:stroke color="#953735" miterlimit="8" joinstyle="miter"/>
                <v:imagedata o:title=""/>
                <o:lock v:ext="edit" aspectratio="f"/>
                <v:textbox inset="0mm,0mm,0mm,0mm"/>
              </v:rect>
            </w:pict>
          </mc:Fallback>
        </mc:AlternateContent>
      </w:r>
      <w:r>
        <w:rPr>
          <w:rFonts w:hint="default" w:ascii="Times New Roman" w:hAnsi="Times New Roman" w:cs="Times New Roman"/>
          <w:color w:val="auto"/>
        </w:rPr>
        <mc:AlternateContent>
          <mc:Choice Requires="wps">
            <w:drawing>
              <wp:anchor distT="0" distB="0" distL="114300" distR="114300" simplePos="0" relativeHeight="251675648" behindDoc="0" locked="0" layoutInCell="1" allowOverlap="1">
                <wp:simplePos x="0" y="0"/>
                <wp:positionH relativeFrom="column">
                  <wp:posOffset>635</wp:posOffset>
                </wp:positionH>
                <wp:positionV relativeFrom="paragraph">
                  <wp:posOffset>2741295</wp:posOffset>
                </wp:positionV>
                <wp:extent cx="167640" cy="98425"/>
                <wp:effectExtent l="4445" t="4445" r="18415" b="11430"/>
                <wp:wrapNone/>
                <wp:docPr id="783227346" name="Rectangle 339308"/>
                <wp:cNvGraphicFramePr/>
                <a:graphic xmlns:a="http://schemas.openxmlformats.org/drawingml/2006/main">
                  <a:graphicData uri="http://schemas.microsoft.com/office/word/2010/wordprocessingShape">
                    <wps:wsp>
                      <wps:cNvSpPr>
                        <a:spLocks noChangeArrowheads="1"/>
                      </wps:cNvSpPr>
                      <wps:spPr bwMode="auto">
                        <a:xfrm>
                          <a:off x="0" y="0"/>
                          <a:ext cx="167640" cy="98425"/>
                        </a:xfrm>
                        <a:prstGeom prst="rect">
                          <a:avLst/>
                        </a:prstGeom>
                        <a:noFill/>
                        <a:ln w="9525">
                          <a:solidFill>
                            <a:srgbClr val="FF0000"/>
                          </a:solidFill>
                          <a:miter lim="800000"/>
                        </a:ln>
                      </wps:spPr>
                      <wps:bodyPr rot="0" vert="horz" wrap="square" lIns="0" tIns="0" rIns="0" bIns="0" anchor="t" anchorCtr="0" upright="1">
                        <a:noAutofit/>
                      </wps:bodyPr>
                    </wps:wsp>
                  </a:graphicData>
                </a:graphic>
              </wp:anchor>
            </w:drawing>
          </mc:Choice>
          <mc:Fallback>
            <w:pict>
              <v:rect id="Rectangle 339308" o:spid="_x0000_s1026" o:spt="1" style="position:absolute;left:0pt;margin-left:0.05pt;margin-top:215.85pt;height:7.75pt;width:13.2pt;z-index:251675648;mso-width-relative:page;mso-height-relative:page;" filled="f" stroked="t" coordsize="21600,21600" o:gfxdata="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W&#10;v+iP1gAAAAcBAAAPAAAAAAAAAAEAIAAAACIAAABkcnMvZG93bnJldi54bWxQSwECFAAUAAAACACH&#10;TuJAtMKmPyYCAABEBAAADgAAAAAAAAABACAAAAAlAQAAZHJzL2Uyb0RvYy54bWxQSwUGAAAAAAYA&#10;BgBZAQAAvQUAAAAA&#10;">
                <v:fill on="f" focussize="0,0"/>
                <v:stroke color="#FF0000" miterlimit="8" joinstyle="miter"/>
                <v:imagedata o:title=""/>
                <o:lock v:ext="edit" aspectratio="f"/>
                <v:textbox inset="0mm,0mm,0mm,0mm"/>
              </v:rect>
            </w:pict>
          </mc:Fallback>
        </mc:AlternateContent>
      </w:r>
      <w:r>
        <w:rPr>
          <w:rFonts w:hint="default" w:ascii="Times New Roman" w:hAnsi="Times New Roman" w:cs="Times New Roman"/>
          <w:color w:val="auto"/>
        </w:rPr>
        <mc:AlternateContent>
          <mc:Choice Requires="wps">
            <w:drawing>
              <wp:anchor distT="0" distB="0" distL="114300" distR="114300" simplePos="0" relativeHeight="251674624" behindDoc="0" locked="0" layoutInCell="1" allowOverlap="1">
                <wp:simplePos x="0" y="0"/>
                <wp:positionH relativeFrom="column">
                  <wp:posOffset>-3175</wp:posOffset>
                </wp:positionH>
                <wp:positionV relativeFrom="paragraph">
                  <wp:posOffset>2663190</wp:posOffset>
                </wp:positionV>
                <wp:extent cx="1135380" cy="488950"/>
                <wp:effectExtent l="7620" t="7620" r="19050" b="17780"/>
                <wp:wrapNone/>
                <wp:docPr id="900973753" name="文本框 250"/>
                <wp:cNvGraphicFramePr/>
                <a:graphic xmlns:a="http://schemas.openxmlformats.org/drawingml/2006/main">
                  <a:graphicData uri="http://schemas.microsoft.com/office/word/2010/wordprocessingShape">
                    <wps:wsp>
                      <wps:cNvSpPr txBox="1">
                        <a:spLocks noChangeArrowheads="1"/>
                      </wps:cNvSpPr>
                      <wps:spPr bwMode="auto">
                        <a:xfrm>
                          <a:off x="0" y="0"/>
                          <a:ext cx="1135380" cy="488950"/>
                        </a:xfrm>
                        <a:prstGeom prst="rect">
                          <a:avLst/>
                        </a:prstGeom>
                        <a:gradFill rotWithShape="0">
                          <a:gsLst>
                            <a:gs pos="0">
                              <a:srgbClr val="FFFFFF"/>
                            </a:gs>
                            <a:gs pos="100000">
                              <a:srgbClr val="FFFFFF"/>
                            </a:gs>
                          </a:gsLst>
                          <a:lin ang="0"/>
                        </a:gradFill>
                        <a:ln w="15875">
                          <a:solidFill>
                            <a:srgbClr val="739CC3"/>
                          </a:solidFill>
                          <a:miter lim="800000"/>
                        </a:ln>
                      </wps:spPr>
                      <wps:txbx>
                        <w:txbxContent>
                          <w:p w14:paraId="799F6D8D">
                            <w:pPr>
                              <w:spacing w:line="0" w:lineRule="atLeast"/>
                              <w:ind w:firstLine="240" w:firstLineChars="100"/>
                              <w:rPr>
                                <w:rFonts w:ascii="宋体"/>
                              </w:rPr>
                            </w:pPr>
                            <w:r>
                              <w:rPr>
                                <w:rFonts w:hint="eastAsia" w:ascii="宋体"/>
                              </w:rPr>
                              <w:t>本项目</w:t>
                            </w:r>
                          </w:p>
                          <w:p w14:paraId="5E98BC93">
                            <w:pPr>
                              <w:spacing w:line="0" w:lineRule="atLeast"/>
                              <w:ind w:firstLine="240" w:firstLineChars="100"/>
                            </w:pPr>
                            <w:r>
                              <w:rPr>
                                <w:rFonts w:hint="eastAsia" w:ascii="宋体"/>
                              </w:rPr>
                              <w:t>暗棕</w:t>
                            </w:r>
                            <w:r>
                              <w:rPr>
                                <w:rFonts w:ascii="宋体"/>
                              </w:rPr>
                              <w:t>壤</w:t>
                            </w:r>
                          </w:p>
                        </w:txbxContent>
                      </wps:txbx>
                      <wps:bodyPr rot="0" vert="horz" wrap="square" lIns="91440" tIns="45720" rIns="91440" bIns="45720" anchor="t" anchorCtr="0" upright="1">
                        <a:noAutofit/>
                      </wps:bodyPr>
                    </wps:wsp>
                  </a:graphicData>
                </a:graphic>
              </wp:anchor>
            </w:drawing>
          </mc:Choice>
          <mc:Fallback>
            <w:pict>
              <v:shape id="文本框 250" o:spid="_x0000_s1026" o:spt="202" type="#_x0000_t202" style="position:absolute;left:0pt;margin-left:-0.25pt;margin-top:209.7pt;height:38.5pt;width:89.4pt;z-index:251674624;mso-width-relative:page;mso-height-relative:page;" fillcolor="#FFFFFF" filled="t" stroked="t" coordsize="21600,21600" o:gfxdata="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AZSzMtgAAAAJAQAADwAAAAAAAAAB&#10;ACAAAAAiAAAAZHJzL2Rvd25yZXYueG1sUEsBAhQAFAAAAAgAh07iQHhBciyCAgAADAUAAA4AAAAA&#10;AAAAAQAgAAAAJwEAAGRycy9lMm9Eb2MueG1sUEsFBgAAAAAGAAYAWQEAABsGAAAAAA==&#10;">
                <v:fill type="gradient" on="t" color2="#FFFFFF" angle="90" focus="100%" focussize="0,0">
                  <o:fill type="gradientUnscaled" v:ext="backwardCompatible"/>
                </v:fill>
                <v:stroke weight="1.25pt" color="#739CC3" miterlimit="8" joinstyle="miter"/>
                <v:imagedata o:title=""/>
                <o:lock v:ext="edit" aspectratio="f"/>
                <v:textbox>
                  <w:txbxContent>
                    <w:p w14:paraId="799F6D8D">
                      <w:pPr>
                        <w:spacing w:line="0" w:lineRule="atLeast"/>
                        <w:ind w:firstLine="240" w:firstLineChars="100"/>
                        <w:rPr>
                          <w:rFonts w:ascii="宋体"/>
                        </w:rPr>
                      </w:pPr>
                      <w:r>
                        <w:rPr>
                          <w:rFonts w:hint="eastAsia" w:ascii="宋体"/>
                        </w:rPr>
                        <w:t>本项目</w:t>
                      </w:r>
                    </w:p>
                    <w:p w14:paraId="5E98BC93">
                      <w:pPr>
                        <w:spacing w:line="0" w:lineRule="atLeast"/>
                        <w:ind w:firstLine="240" w:firstLineChars="100"/>
                      </w:pPr>
                      <w:r>
                        <w:rPr>
                          <w:rFonts w:hint="eastAsia" w:ascii="宋体"/>
                        </w:rPr>
                        <w:t>暗棕</w:t>
                      </w:r>
                      <w:r>
                        <w:rPr>
                          <w:rFonts w:ascii="宋体"/>
                        </w:rPr>
                        <w:t>壤</w:t>
                      </w:r>
                    </w:p>
                  </w:txbxContent>
                </v:textbox>
              </v:shape>
            </w:pict>
          </mc:Fallback>
        </mc:AlternateContent>
      </w:r>
      <w:r>
        <w:rPr>
          <w:rFonts w:hint="default" w:ascii="Times New Roman" w:hAnsi="Times New Roman" w:cs="Times New Roman"/>
          <w:color w:val="auto"/>
        </w:rPr>
        <w:drawing>
          <wp:inline distT="0" distB="0" distL="114300" distR="114300">
            <wp:extent cx="5595620" cy="3106420"/>
            <wp:effectExtent l="0" t="0" r="5080" b="17780"/>
            <wp:docPr id="5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
                    <pic:cNvPicPr>
                      <a:picLocks noChangeAspect="1"/>
                    </pic:cNvPicPr>
                  </pic:nvPicPr>
                  <pic:blipFill>
                    <a:blip r:embed="rId74"/>
                    <a:stretch>
                      <a:fillRect/>
                    </a:stretch>
                  </pic:blipFill>
                  <pic:spPr>
                    <a:xfrm>
                      <a:off x="0" y="0"/>
                      <a:ext cx="5595620" cy="3106420"/>
                    </a:xfrm>
                    <a:prstGeom prst="rect">
                      <a:avLst/>
                    </a:prstGeom>
                    <a:noFill/>
                    <a:ln>
                      <a:noFill/>
                    </a:ln>
                  </pic:spPr>
                </pic:pic>
              </a:graphicData>
            </a:graphic>
          </wp:inline>
        </w:drawing>
      </w:r>
    </w:p>
    <w:p w14:paraId="3C4B27A7">
      <w:pPr>
        <w:pStyle w:val="27"/>
        <w:bidi w:val="0"/>
        <w:rPr>
          <w:rFonts w:hint="default" w:ascii="Times New Roman" w:hAnsi="Times New Roman" w:cs="Times New Roman"/>
          <w:color w:val="auto"/>
        </w:rPr>
      </w:pPr>
      <w:r>
        <w:rPr>
          <w:rFonts w:hint="default" w:ascii="Times New Roman" w:hAnsi="Times New Roman" w:cs="Times New Roman"/>
          <w:color w:val="auto"/>
        </w:rPr>
        <w:t>图4-2-6土壤类型图</w:t>
      </w:r>
    </w:p>
    <w:p w14:paraId="0503AF18">
      <w:pPr>
        <w:pStyle w:val="5"/>
        <w:bidi w:val="0"/>
        <w:rPr>
          <w:rFonts w:hint="default" w:ascii="Times New Roman" w:hAnsi="Times New Roman" w:cs="Times New Roman"/>
          <w:color w:val="auto"/>
        </w:rPr>
      </w:pPr>
      <w:r>
        <w:rPr>
          <w:rFonts w:hint="default" w:ascii="Times New Roman" w:hAnsi="Times New Roman" w:cs="Times New Roman"/>
          <w:color w:val="auto"/>
        </w:rPr>
        <w:t>4.2.5.2土壤现状监测</w:t>
      </w:r>
    </w:p>
    <w:p w14:paraId="315EE2D1">
      <w:pPr>
        <w:pStyle w:val="25"/>
        <w:bidi w:val="0"/>
        <w:rPr>
          <w:rFonts w:hint="default" w:ascii="Times New Roman" w:hAnsi="Times New Roman" w:cs="Times New Roman"/>
          <w:color w:val="auto"/>
          <w:lang w:val="zh-CN"/>
        </w:rPr>
      </w:pPr>
      <w:r>
        <w:rPr>
          <w:rFonts w:hint="default" w:ascii="Times New Roman" w:hAnsi="Times New Roman" w:cs="Times New Roman"/>
          <w:color w:val="auto"/>
          <w:lang w:val="zh-CN"/>
        </w:rPr>
        <w:t>（1）数据来源</w:t>
      </w:r>
    </w:p>
    <w:p w14:paraId="7A054A17">
      <w:pPr>
        <w:pStyle w:val="25"/>
        <w:bidi w:val="0"/>
        <w:rPr>
          <w:rFonts w:hint="default" w:ascii="Times New Roman" w:hAnsi="Times New Roman" w:cs="Times New Roman"/>
          <w:color w:val="auto"/>
        </w:rPr>
      </w:pPr>
      <w:r>
        <w:rPr>
          <w:rFonts w:hint="default" w:ascii="Times New Roman" w:hAnsi="Times New Roman" w:cs="Times New Roman"/>
          <w:color w:val="auto"/>
        </w:rPr>
        <w:t>本项目土壤监测由</w:t>
      </w:r>
      <w:r>
        <w:rPr>
          <w:rFonts w:hint="default" w:ascii="Times New Roman" w:hAnsi="Times New Roman" w:cs="Times New Roman"/>
          <w:color w:val="auto"/>
          <w:lang w:eastAsia="zh-CN"/>
        </w:rPr>
        <w:t>黑龙江汉风环境检测技术有限公司</w:t>
      </w:r>
      <w:r>
        <w:rPr>
          <w:rFonts w:hint="default" w:ascii="Times New Roman" w:hAnsi="Times New Roman" w:cs="Times New Roman"/>
          <w:color w:val="auto"/>
        </w:rPr>
        <w:t>出具检测报告，详细情况见附件。</w:t>
      </w:r>
    </w:p>
    <w:p w14:paraId="35A1D07B">
      <w:pPr>
        <w:pStyle w:val="25"/>
        <w:bidi w:val="0"/>
        <w:rPr>
          <w:rFonts w:hint="default" w:ascii="Times New Roman" w:hAnsi="Times New Roman" w:cs="Times New Roman"/>
          <w:color w:val="auto"/>
        </w:rPr>
      </w:pPr>
      <w:r>
        <w:rPr>
          <w:rFonts w:hint="default" w:ascii="Times New Roman" w:hAnsi="Times New Roman" w:cs="Times New Roman"/>
          <w:color w:val="auto"/>
        </w:rPr>
        <w:t>（2）监测布点</w:t>
      </w:r>
    </w:p>
    <w:p w14:paraId="4E574CFE">
      <w:pPr>
        <w:pStyle w:val="25"/>
        <w:bidi w:val="0"/>
        <w:rPr>
          <w:rFonts w:hint="default" w:ascii="Times New Roman" w:hAnsi="Times New Roman" w:cs="Times New Roman"/>
          <w:color w:val="auto"/>
        </w:rPr>
      </w:pPr>
      <w:r>
        <w:rPr>
          <w:rFonts w:hint="default" w:ascii="Times New Roman" w:hAnsi="Times New Roman" w:cs="Times New Roman"/>
          <w:color w:val="auto"/>
        </w:rPr>
        <w:t>根据工程分析本次评价的等级为二级，</w:t>
      </w:r>
      <w:r>
        <w:rPr>
          <w:rFonts w:hint="default" w:ascii="Times New Roman" w:hAnsi="Times New Roman" w:cs="Times New Roman"/>
          <w:color w:val="auto"/>
          <w:lang w:val="en-US" w:eastAsia="zh-CN"/>
        </w:rPr>
        <w:t>本项目仅2#矿山涉及回填工程，</w:t>
      </w:r>
      <w:r>
        <w:rPr>
          <w:rFonts w:hint="default" w:ascii="Times New Roman" w:hAnsi="Times New Roman" w:cs="Times New Roman"/>
          <w:color w:val="auto"/>
        </w:rPr>
        <w:t>根据《环境影响评价技术导则 土壤环境（试行）》（HJ964-2018）的布点原则，</w:t>
      </w:r>
      <w:r>
        <w:rPr>
          <w:rFonts w:hint="default" w:ascii="Times New Roman" w:hAnsi="Times New Roman" w:cs="Times New Roman"/>
          <w:color w:val="auto"/>
          <w:lang w:val="en-US" w:eastAsia="zh-CN"/>
        </w:rPr>
        <w:t>本次仅对2#厂址进行监测，</w:t>
      </w:r>
      <w:r>
        <w:rPr>
          <w:rFonts w:hint="default" w:ascii="Times New Roman" w:hAnsi="Times New Roman" w:cs="Times New Roman"/>
          <w:color w:val="auto"/>
        </w:rPr>
        <w:t>厂界内3个柱状样监测点，1个表层样；厂区外2个表层样。</w:t>
      </w:r>
    </w:p>
    <w:p w14:paraId="2ECE205B">
      <w:pPr>
        <w:pStyle w:val="25"/>
        <w:bidi w:val="0"/>
        <w:rPr>
          <w:rFonts w:hint="default" w:ascii="Times New Roman" w:hAnsi="Times New Roman" w:cs="Times New Roman"/>
          <w:color w:val="auto"/>
        </w:rPr>
      </w:pPr>
      <w:r>
        <w:rPr>
          <w:rFonts w:hint="default" w:ascii="Times New Roman" w:hAnsi="Times New Roman" w:cs="Times New Roman"/>
          <w:color w:val="auto"/>
        </w:rPr>
        <w:t>（2）监测项目</w:t>
      </w:r>
    </w:p>
    <w:p w14:paraId="0DF73A3C">
      <w:pPr>
        <w:pStyle w:val="25"/>
        <w:bidi w:val="0"/>
        <w:rPr>
          <w:rFonts w:hint="default" w:ascii="Times New Roman" w:hAnsi="Times New Roman" w:cs="Times New Roman"/>
          <w:color w:val="auto"/>
        </w:rPr>
      </w:pPr>
      <w:r>
        <w:rPr>
          <w:rFonts w:hint="default" w:ascii="Times New Roman" w:hAnsi="Times New Roman" w:cs="Times New Roman"/>
          <w:color w:val="auto"/>
          <w:lang w:val="en-US" w:eastAsia="zh-CN"/>
        </w:rPr>
        <w:t>各点位检测项目见下表</w:t>
      </w:r>
      <w:r>
        <w:rPr>
          <w:rFonts w:hint="default" w:ascii="Times New Roman" w:hAnsi="Times New Roman" w:cs="Times New Roman"/>
          <w:color w:val="auto"/>
        </w:rPr>
        <w:t>。</w:t>
      </w:r>
    </w:p>
    <w:p w14:paraId="7E692954">
      <w:pPr>
        <w:pStyle w:val="27"/>
        <w:bidi w:val="0"/>
        <w:rPr>
          <w:rFonts w:hint="default" w:ascii="Times New Roman" w:hAnsi="Times New Roman" w:cs="Times New Roman"/>
          <w:color w:val="auto"/>
        </w:rPr>
      </w:pPr>
      <w:r>
        <w:rPr>
          <w:rFonts w:hint="default" w:ascii="Times New Roman" w:hAnsi="Times New Roman" w:cs="Times New Roman"/>
          <w:color w:val="auto"/>
        </w:rPr>
        <w:t>表4-2-</w:t>
      </w:r>
      <w:r>
        <w:rPr>
          <w:rFonts w:hint="default" w:ascii="Times New Roman" w:hAnsi="Times New Roman" w:cs="Times New Roman"/>
          <w:color w:val="auto"/>
          <w:lang w:val="en-US" w:eastAsia="zh-CN"/>
        </w:rPr>
        <w:t>4</w:t>
      </w:r>
      <w:r>
        <w:rPr>
          <w:rFonts w:hint="default" w:ascii="Times New Roman" w:hAnsi="Times New Roman" w:cs="Times New Roman"/>
          <w:color w:val="auto"/>
        </w:rPr>
        <w:t>土壤环境质量现状监测布点</w:t>
      </w:r>
    </w:p>
    <w:tbl>
      <w:tblPr>
        <w:tblStyle w:val="20"/>
        <w:tblW w:w="871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1"/>
        <w:gridCol w:w="832"/>
        <w:gridCol w:w="1720"/>
        <w:gridCol w:w="1026"/>
        <w:gridCol w:w="1347"/>
        <w:gridCol w:w="2981"/>
      </w:tblGrid>
      <w:tr w14:paraId="7F345F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8" w:hRule="atLeast"/>
          <w:tblHeader/>
          <w:jc w:val="center"/>
        </w:trPr>
        <w:tc>
          <w:tcPr>
            <w:tcW w:w="811" w:type="dxa"/>
            <w:noWrap w:val="0"/>
            <w:vAlign w:val="center"/>
          </w:tcPr>
          <w:p w14:paraId="2978CC9C">
            <w:pPr>
              <w:pStyle w:val="44"/>
              <w:bidi w:val="0"/>
              <w:rPr>
                <w:rFonts w:hint="default" w:ascii="Times New Roman" w:hAnsi="Times New Roman" w:cs="Times New Roman"/>
                <w:color w:val="auto"/>
              </w:rPr>
            </w:pPr>
            <w:r>
              <w:rPr>
                <w:rFonts w:hint="default" w:ascii="Times New Roman" w:hAnsi="Times New Roman" w:cs="Times New Roman"/>
                <w:color w:val="auto"/>
              </w:rPr>
              <w:t>监测点位置</w:t>
            </w:r>
          </w:p>
        </w:tc>
        <w:tc>
          <w:tcPr>
            <w:tcW w:w="832" w:type="dxa"/>
            <w:noWrap w:val="0"/>
            <w:vAlign w:val="center"/>
          </w:tcPr>
          <w:p w14:paraId="4C9FBA23">
            <w:pPr>
              <w:pStyle w:val="44"/>
              <w:bidi w:val="0"/>
              <w:rPr>
                <w:rFonts w:hint="default" w:ascii="Times New Roman" w:hAnsi="Times New Roman" w:cs="Times New Roman"/>
                <w:color w:val="auto"/>
              </w:rPr>
            </w:pPr>
            <w:r>
              <w:rPr>
                <w:rFonts w:hint="default" w:ascii="Times New Roman" w:hAnsi="Times New Roman" w:cs="Times New Roman"/>
                <w:color w:val="auto"/>
              </w:rPr>
              <w:t>监测点位名称</w:t>
            </w:r>
          </w:p>
        </w:tc>
        <w:tc>
          <w:tcPr>
            <w:tcW w:w="1720" w:type="dxa"/>
            <w:noWrap w:val="0"/>
            <w:vAlign w:val="center"/>
          </w:tcPr>
          <w:p w14:paraId="194595F9">
            <w:pPr>
              <w:pStyle w:val="44"/>
              <w:bidi w:val="0"/>
              <w:rPr>
                <w:rFonts w:hint="default" w:ascii="Times New Roman" w:hAnsi="Times New Roman" w:cs="Times New Roman"/>
                <w:color w:val="auto"/>
              </w:rPr>
            </w:pPr>
            <w:r>
              <w:rPr>
                <w:rFonts w:hint="default" w:ascii="Times New Roman" w:hAnsi="Times New Roman" w:cs="Times New Roman"/>
                <w:color w:val="auto"/>
              </w:rPr>
              <w:t>经纬度</w:t>
            </w:r>
          </w:p>
        </w:tc>
        <w:tc>
          <w:tcPr>
            <w:tcW w:w="1026" w:type="dxa"/>
            <w:noWrap w:val="0"/>
            <w:vAlign w:val="center"/>
          </w:tcPr>
          <w:p w14:paraId="53165EA4">
            <w:pPr>
              <w:pStyle w:val="44"/>
              <w:bidi w:val="0"/>
              <w:rPr>
                <w:rFonts w:hint="default" w:ascii="Times New Roman" w:hAnsi="Times New Roman" w:cs="Times New Roman"/>
                <w:color w:val="auto"/>
              </w:rPr>
            </w:pPr>
            <w:r>
              <w:rPr>
                <w:rFonts w:hint="default" w:ascii="Times New Roman" w:hAnsi="Times New Roman" w:cs="Times New Roman"/>
                <w:color w:val="auto"/>
              </w:rPr>
              <w:t>相对项目位置</w:t>
            </w:r>
          </w:p>
        </w:tc>
        <w:tc>
          <w:tcPr>
            <w:tcW w:w="1347" w:type="dxa"/>
            <w:noWrap w:val="0"/>
            <w:vAlign w:val="center"/>
          </w:tcPr>
          <w:p w14:paraId="38A8BC4F">
            <w:pPr>
              <w:pStyle w:val="44"/>
              <w:bidi w:val="0"/>
              <w:rPr>
                <w:rFonts w:hint="default" w:ascii="Times New Roman" w:hAnsi="Times New Roman" w:cs="Times New Roman"/>
                <w:color w:val="auto"/>
              </w:rPr>
            </w:pPr>
            <w:r>
              <w:rPr>
                <w:rFonts w:hint="default" w:ascii="Times New Roman" w:hAnsi="Times New Roman" w:cs="Times New Roman"/>
                <w:color w:val="auto"/>
              </w:rPr>
              <w:t>样品</w:t>
            </w:r>
          </w:p>
        </w:tc>
        <w:tc>
          <w:tcPr>
            <w:tcW w:w="2981" w:type="dxa"/>
            <w:noWrap w:val="0"/>
            <w:vAlign w:val="center"/>
          </w:tcPr>
          <w:p w14:paraId="21B1B433">
            <w:pPr>
              <w:pStyle w:val="44"/>
              <w:bidi w:val="0"/>
              <w:rPr>
                <w:rFonts w:hint="default" w:ascii="Times New Roman" w:hAnsi="Times New Roman" w:cs="Times New Roman"/>
                <w:color w:val="auto"/>
              </w:rPr>
            </w:pPr>
            <w:r>
              <w:rPr>
                <w:rFonts w:hint="default" w:ascii="Times New Roman" w:hAnsi="Times New Roman" w:cs="Times New Roman"/>
                <w:color w:val="auto"/>
              </w:rPr>
              <w:t>监测项目</w:t>
            </w:r>
          </w:p>
        </w:tc>
      </w:tr>
      <w:tr w14:paraId="00A648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4" w:hRule="atLeast"/>
          <w:jc w:val="center"/>
        </w:trPr>
        <w:tc>
          <w:tcPr>
            <w:tcW w:w="811" w:type="dxa"/>
            <w:vMerge w:val="restart"/>
            <w:noWrap w:val="0"/>
            <w:vAlign w:val="center"/>
          </w:tcPr>
          <w:p w14:paraId="4B214859">
            <w:pPr>
              <w:pStyle w:val="44"/>
              <w:bidi w:val="0"/>
              <w:rPr>
                <w:rFonts w:hint="default" w:ascii="Times New Roman" w:hAnsi="Times New Roman" w:cs="Times New Roman"/>
                <w:color w:val="auto"/>
              </w:rPr>
            </w:pPr>
            <w:r>
              <w:rPr>
                <w:rFonts w:hint="default" w:ascii="Times New Roman" w:hAnsi="Times New Roman" w:cs="Times New Roman"/>
                <w:color w:val="auto"/>
              </w:rPr>
              <w:t>占地范围内</w:t>
            </w:r>
          </w:p>
        </w:tc>
        <w:tc>
          <w:tcPr>
            <w:tcW w:w="832" w:type="dxa"/>
            <w:noWrap w:val="0"/>
            <w:vAlign w:val="center"/>
          </w:tcPr>
          <w:p w14:paraId="07E377FE">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S</w:t>
            </w:r>
            <w:r>
              <w:rPr>
                <w:rFonts w:hint="default" w:ascii="Times New Roman" w:hAnsi="Times New Roman" w:cs="Times New Roman"/>
                <w:color w:val="auto"/>
              </w:rPr>
              <w:t>1</w:t>
            </w:r>
          </w:p>
        </w:tc>
        <w:tc>
          <w:tcPr>
            <w:tcW w:w="1720" w:type="dxa"/>
            <w:noWrap w:val="0"/>
            <w:vAlign w:val="center"/>
          </w:tcPr>
          <w:p w14:paraId="7554CEC6">
            <w:pPr>
              <w:pStyle w:val="44"/>
              <w:bidi w:val="0"/>
              <w:rPr>
                <w:rFonts w:hint="default" w:ascii="Times New Roman" w:hAnsi="Times New Roman" w:cs="Times New Roman"/>
                <w:color w:val="auto"/>
              </w:rPr>
            </w:pPr>
            <w:r>
              <w:rPr>
                <w:rFonts w:hint="default" w:ascii="Times New Roman" w:hAnsi="Times New Roman" w:cs="Times New Roman"/>
                <w:color w:val="auto"/>
              </w:rPr>
              <w:t>E131°01'10.4507"</w:t>
            </w:r>
          </w:p>
          <w:p w14:paraId="69E3C88B">
            <w:pPr>
              <w:pStyle w:val="44"/>
              <w:bidi w:val="0"/>
              <w:rPr>
                <w:rFonts w:hint="default" w:ascii="Times New Roman" w:hAnsi="Times New Roman" w:cs="Times New Roman"/>
                <w:color w:val="auto"/>
              </w:rPr>
            </w:pPr>
            <w:r>
              <w:rPr>
                <w:rFonts w:hint="default" w:ascii="Times New Roman" w:hAnsi="Times New Roman" w:cs="Times New Roman"/>
                <w:color w:val="auto"/>
              </w:rPr>
              <w:t>N45°24'33.0088"</w:t>
            </w:r>
          </w:p>
        </w:tc>
        <w:tc>
          <w:tcPr>
            <w:tcW w:w="1026" w:type="dxa"/>
            <w:noWrap w:val="0"/>
            <w:vAlign w:val="center"/>
          </w:tcPr>
          <w:p w14:paraId="1DBA303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1347" w:type="dxa"/>
            <w:noWrap w:val="0"/>
            <w:vAlign w:val="center"/>
          </w:tcPr>
          <w:p w14:paraId="34A7775C">
            <w:pPr>
              <w:pStyle w:val="44"/>
              <w:bidi w:val="0"/>
              <w:rPr>
                <w:rFonts w:hint="default" w:ascii="Times New Roman" w:hAnsi="Times New Roman" w:cs="Times New Roman"/>
                <w:color w:val="auto"/>
              </w:rPr>
            </w:pPr>
            <w:r>
              <w:rPr>
                <w:rFonts w:hint="default" w:ascii="Times New Roman" w:hAnsi="Times New Roman" w:cs="Times New Roman"/>
                <w:color w:val="auto"/>
              </w:rPr>
              <w:t>表层样0-0.2m</w:t>
            </w:r>
          </w:p>
        </w:tc>
        <w:tc>
          <w:tcPr>
            <w:tcW w:w="2981" w:type="dxa"/>
            <w:noWrap w:val="0"/>
            <w:vAlign w:val="center"/>
          </w:tcPr>
          <w:p w14:paraId="4D943806">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pH</w:t>
            </w:r>
            <w:r>
              <w:rPr>
                <w:rFonts w:hint="default" w:ascii="Times New Roman" w:hAnsi="Times New Roman" w:cs="Times New Roman"/>
                <w:color w:val="auto"/>
                <w:lang w:eastAsia="zh-CN"/>
              </w:rPr>
              <w:t>、</w:t>
            </w:r>
            <w:r>
              <w:rPr>
                <w:rFonts w:hint="default" w:ascii="Times New Roman" w:hAnsi="Times New Roman" w:cs="Times New Roman"/>
                <w:color w:val="auto"/>
              </w:rPr>
              <w:t>镉、汞、砷、铅、铬、铜、镍、锌</w:t>
            </w:r>
            <w:r>
              <w:rPr>
                <w:rFonts w:hint="default" w:ascii="Times New Roman" w:hAnsi="Times New Roman" w:cs="Times New Roman"/>
                <w:color w:val="auto"/>
                <w:lang w:val="en-US" w:eastAsia="zh-CN"/>
              </w:rPr>
              <w:t>和全盐量</w:t>
            </w:r>
          </w:p>
          <w:p w14:paraId="667B1F2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阳离子交换量、氧化还原电位、饱和导水率、土壤容重、孔隙度</w:t>
            </w:r>
          </w:p>
        </w:tc>
      </w:tr>
      <w:tr w14:paraId="460AC0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811" w:type="dxa"/>
            <w:vMerge w:val="continue"/>
            <w:noWrap w:val="0"/>
            <w:vAlign w:val="center"/>
          </w:tcPr>
          <w:p w14:paraId="4049D507">
            <w:pPr>
              <w:pStyle w:val="44"/>
              <w:bidi w:val="0"/>
              <w:rPr>
                <w:rFonts w:hint="default" w:ascii="Times New Roman" w:hAnsi="Times New Roman" w:cs="Times New Roman"/>
                <w:color w:val="auto"/>
              </w:rPr>
            </w:pPr>
          </w:p>
        </w:tc>
        <w:tc>
          <w:tcPr>
            <w:tcW w:w="832" w:type="dxa"/>
            <w:noWrap w:val="0"/>
            <w:vAlign w:val="center"/>
          </w:tcPr>
          <w:p w14:paraId="7BAF82C9">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S</w:t>
            </w:r>
            <w:r>
              <w:rPr>
                <w:rFonts w:hint="default" w:ascii="Times New Roman" w:hAnsi="Times New Roman" w:cs="Times New Roman"/>
                <w:color w:val="auto"/>
              </w:rPr>
              <w:t>2</w:t>
            </w:r>
          </w:p>
        </w:tc>
        <w:tc>
          <w:tcPr>
            <w:tcW w:w="1720" w:type="dxa"/>
            <w:noWrap w:val="0"/>
            <w:vAlign w:val="center"/>
          </w:tcPr>
          <w:p w14:paraId="3D6BD781">
            <w:pPr>
              <w:pStyle w:val="44"/>
              <w:bidi w:val="0"/>
              <w:rPr>
                <w:rFonts w:hint="default" w:ascii="Times New Roman" w:hAnsi="Times New Roman" w:cs="Times New Roman"/>
                <w:color w:val="auto"/>
              </w:rPr>
            </w:pPr>
            <w:r>
              <w:rPr>
                <w:rFonts w:hint="default" w:ascii="Times New Roman" w:hAnsi="Times New Roman" w:cs="Times New Roman"/>
                <w:color w:val="auto"/>
              </w:rPr>
              <w:t>E131°01'13.7879"</w:t>
            </w:r>
          </w:p>
          <w:p w14:paraId="035C9D68">
            <w:pPr>
              <w:pStyle w:val="44"/>
              <w:bidi w:val="0"/>
              <w:rPr>
                <w:rFonts w:hint="default" w:ascii="Times New Roman" w:hAnsi="Times New Roman" w:cs="Times New Roman"/>
                <w:color w:val="auto"/>
              </w:rPr>
            </w:pPr>
            <w:r>
              <w:rPr>
                <w:rFonts w:hint="default" w:ascii="Times New Roman" w:hAnsi="Times New Roman" w:cs="Times New Roman"/>
                <w:color w:val="auto"/>
              </w:rPr>
              <w:t>N45°24'29.0460"</w:t>
            </w:r>
          </w:p>
        </w:tc>
        <w:tc>
          <w:tcPr>
            <w:tcW w:w="1026" w:type="dxa"/>
            <w:noWrap w:val="0"/>
            <w:vAlign w:val="center"/>
          </w:tcPr>
          <w:p w14:paraId="5F87A451">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w:t>
            </w:r>
          </w:p>
        </w:tc>
        <w:tc>
          <w:tcPr>
            <w:tcW w:w="1347" w:type="dxa"/>
            <w:vMerge w:val="restart"/>
            <w:noWrap w:val="0"/>
            <w:vAlign w:val="center"/>
          </w:tcPr>
          <w:p w14:paraId="16554F63">
            <w:pPr>
              <w:pStyle w:val="44"/>
              <w:bidi w:val="0"/>
              <w:rPr>
                <w:rFonts w:hint="default" w:ascii="Times New Roman" w:hAnsi="Times New Roman" w:cs="Times New Roman"/>
                <w:color w:val="auto"/>
              </w:rPr>
            </w:pPr>
            <w:r>
              <w:rPr>
                <w:rFonts w:hint="default" w:ascii="Times New Roman" w:hAnsi="Times New Roman" w:cs="Times New Roman"/>
                <w:color w:val="auto"/>
              </w:rPr>
              <w:t>柱状样0-0.5m、0.5-1.5m、1.5-3m</w:t>
            </w:r>
          </w:p>
        </w:tc>
        <w:tc>
          <w:tcPr>
            <w:tcW w:w="2981" w:type="dxa"/>
            <w:noWrap w:val="0"/>
            <w:vAlign w:val="center"/>
          </w:tcPr>
          <w:p w14:paraId="6F350170">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pH</w:t>
            </w:r>
            <w:r>
              <w:rPr>
                <w:rFonts w:hint="default" w:ascii="Times New Roman" w:hAnsi="Times New Roman" w:cs="Times New Roman"/>
                <w:color w:val="auto"/>
                <w:lang w:val="en-US" w:eastAsia="zh-CN"/>
              </w:rPr>
              <w:t>和基本45项，全盐量</w:t>
            </w:r>
          </w:p>
        </w:tc>
      </w:tr>
      <w:tr w14:paraId="1C550D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2" w:hRule="atLeast"/>
          <w:jc w:val="center"/>
        </w:trPr>
        <w:tc>
          <w:tcPr>
            <w:tcW w:w="811" w:type="dxa"/>
            <w:vMerge w:val="continue"/>
            <w:noWrap w:val="0"/>
            <w:vAlign w:val="center"/>
          </w:tcPr>
          <w:p w14:paraId="7EB09B58">
            <w:pPr>
              <w:pStyle w:val="44"/>
              <w:bidi w:val="0"/>
              <w:rPr>
                <w:rFonts w:hint="default" w:ascii="Times New Roman" w:hAnsi="Times New Roman" w:cs="Times New Roman"/>
                <w:color w:val="auto"/>
              </w:rPr>
            </w:pPr>
          </w:p>
        </w:tc>
        <w:tc>
          <w:tcPr>
            <w:tcW w:w="832" w:type="dxa"/>
            <w:noWrap w:val="0"/>
            <w:vAlign w:val="center"/>
          </w:tcPr>
          <w:p w14:paraId="00471594">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S</w:t>
            </w:r>
            <w:r>
              <w:rPr>
                <w:rFonts w:hint="default" w:ascii="Times New Roman" w:hAnsi="Times New Roman" w:cs="Times New Roman"/>
                <w:color w:val="auto"/>
              </w:rPr>
              <w:t>3</w:t>
            </w:r>
          </w:p>
        </w:tc>
        <w:tc>
          <w:tcPr>
            <w:tcW w:w="1720" w:type="dxa"/>
            <w:noWrap w:val="0"/>
            <w:vAlign w:val="center"/>
          </w:tcPr>
          <w:p w14:paraId="7F186C0C">
            <w:pPr>
              <w:pStyle w:val="44"/>
              <w:bidi w:val="0"/>
              <w:rPr>
                <w:rFonts w:hint="default" w:ascii="Times New Roman" w:hAnsi="Times New Roman" w:cs="Times New Roman"/>
                <w:color w:val="auto"/>
              </w:rPr>
            </w:pPr>
            <w:r>
              <w:rPr>
                <w:rFonts w:hint="default" w:ascii="Times New Roman" w:hAnsi="Times New Roman" w:cs="Times New Roman"/>
                <w:color w:val="auto"/>
              </w:rPr>
              <w:t>E131°01'20.4929"</w:t>
            </w:r>
          </w:p>
          <w:p w14:paraId="36782B8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N45°24'33.0088"</w:t>
            </w:r>
          </w:p>
        </w:tc>
        <w:tc>
          <w:tcPr>
            <w:tcW w:w="1026" w:type="dxa"/>
            <w:noWrap w:val="0"/>
            <w:vAlign w:val="center"/>
          </w:tcPr>
          <w:p w14:paraId="7818C4CB">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w:t>
            </w:r>
          </w:p>
        </w:tc>
        <w:tc>
          <w:tcPr>
            <w:tcW w:w="1347" w:type="dxa"/>
            <w:vMerge w:val="continue"/>
            <w:noWrap w:val="0"/>
            <w:vAlign w:val="center"/>
          </w:tcPr>
          <w:p w14:paraId="46587AC8">
            <w:pPr>
              <w:pStyle w:val="44"/>
              <w:bidi w:val="0"/>
              <w:rPr>
                <w:rFonts w:hint="default" w:ascii="Times New Roman" w:hAnsi="Times New Roman" w:cs="Times New Roman"/>
                <w:color w:val="auto"/>
              </w:rPr>
            </w:pPr>
          </w:p>
        </w:tc>
        <w:tc>
          <w:tcPr>
            <w:tcW w:w="2981" w:type="dxa"/>
            <w:noWrap w:val="0"/>
            <w:vAlign w:val="center"/>
          </w:tcPr>
          <w:p w14:paraId="250B8B5A">
            <w:pPr>
              <w:pStyle w:val="44"/>
              <w:bidi w:val="0"/>
              <w:rPr>
                <w:rFonts w:hint="default" w:ascii="Times New Roman" w:hAnsi="Times New Roman" w:cs="Times New Roman"/>
                <w:color w:val="auto"/>
              </w:rPr>
            </w:pPr>
            <w:r>
              <w:rPr>
                <w:rFonts w:hint="default" w:ascii="Times New Roman" w:hAnsi="Times New Roman" w:cs="Times New Roman"/>
                <w:color w:val="auto"/>
              </w:rPr>
              <w:t>pH</w:t>
            </w:r>
            <w:r>
              <w:rPr>
                <w:rFonts w:hint="default" w:ascii="Times New Roman" w:hAnsi="Times New Roman" w:cs="Times New Roman"/>
                <w:color w:val="auto"/>
                <w:lang w:eastAsia="zh-CN"/>
              </w:rPr>
              <w:t>、</w:t>
            </w:r>
            <w:r>
              <w:rPr>
                <w:rFonts w:hint="default" w:ascii="Times New Roman" w:hAnsi="Times New Roman" w:cs="Times New Roman"/>
                <w:color w:val="auto"/>
              </w:rPr>
              <w:t>镉、汞、砷、铅、铬、铜、镍、锌</w:t>
            </w:r>
            <w:r>
              <w:rPr>
                <w:rFonts w:hint="default" w:ascii="Times New Roman" w:hAnsi="Times New Roman" w:cs="Times New Roman"/>
                <w:color w:val="auto"/>
                <w:lang w:val="en-US" w:eastAsia="zh-CN"/>
              </w:rPr>
              <w:t>和全盐量</w:t>
            </w:r>
          </w:p>
        </w:tc>
      </w:tr>
      <w:tr w14:paraId="5F23EB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811" w:type="dxa"/>
            <w:vMerge w:val="continue"/>
            <w:noWrap w:val="0"/>
            <w:vAlign w:val="center"/>
          </w:tcPr>
          <w:p w14:paraId="5AD50D1C">
            <w:pPr>
              <w:pStyle w:val="44"/>
              <w:bidi w:val="0"/>
              <w:rPr>
                <w:rFonts w:hint="default" w:ascii="Times New Roman" w:hAnsi="Times New Roman" w:cs="Times New Roman"/>
                <w:color w:val="auto"/>
              </w:rPr>
            </w:pPr>
          </w:p>
        </w:tc>
        <w:tc>
          <w:tcPr>
            <w:tcW w:w="832" w:type="dxa"/>
            <w:noWrap w:val="0"/>
            <w:vAlign w:val="center"/>
          </w:tcPr>
          <w:p w14:paraId="32C65284">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S</w:t>
            </w:r>
            <w:r>
              <w:rPr>
                <w:rFonts w:hint="default" w:ascii="Times New Roman" w:hAnsi="Times New Roman" w:cs="Times New Roman"/>
                <w:color w:val="auto"/>
              </w:rPr>
              <w:t>4</w:t>
            </w:r>
          </w:p>
        </w:tc>
        <w:tc>
          <w:tcPr>
            <w:tcW w:w="1720" w:type="dxa"/>
            <w:noWrap w:val="0"/>
            <w:vAlign w:val="center"/>
          </w:tcPr>
          <w:p w14:paraId="5EC7E0DE">
            <w:pPr>
              <w:pStyle w:val="44"/>
              <w:bidi w:val="0"/>
              <w:rPr>
                <w:rFonts w:hint="default" w:ascii="Times New Roman" w:hAnsi="Times New Roman" w:cs="Times New Roman"/>
                <w:color w:val="auto"/>
              </w:rPr>
            </w:pPr>
            <w:r>
              <w:rPr>
                <w:rFonts w:hint="default" w:ascii="Times New Roman" w:hAnsi="Times New Roman" w:cs="Times New Roman"/>
                <w:color w:val="auto"/>
              </w:rPr>
              <w:t>E131°01'17.4506"</w:t>
            </w:r>
          </w:p>
          <w:p w14:paraId="4C152444">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N45°24'37.0616″</w:t>
            </w:r>
          </w:p>
        </w:tc>
        <w:tc>
          <w:tcPr>
            <w:tcW w:w="1026" w:type="dxa"/>
            <w:noWrap w:val="0"/>
            <w:vAlign w:val="center"/>
          </w:tcPr>
          <w:p w14:paraId="5F6AC62B">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1347" w:type="dxa"/>
            <w:vMerge w:val="continue"/>
            <w:noWrap w:val="0"/>
            <w:vAlign w:val="center"/>
          </w:tcPr>
          <w:p w14:paraId="0F5E430A">
            <w:pPr>
              <w:pStyle w:val="44"/>
              <w:bidi w:val="0"/>
              <w:rPr>
                <w:rFonts w:hint="default" w:ascii="Times New Roman" w:hAnsi="Times New Roman" w:cs="Times New Roman"/>
                <w:color w:val="auto"/>
              </w:rPr>
            </w:pPr>
          </w:p>
        </w:tc>
        <w:tc>
          <w:tcPr>
            <w:tcW w:w="2981" w:type="dxa"/>
            <w:noWrap w:val="0"/>
            <w:vAlign w:val="center"/>
          </w:tcPr>
          <w:p w14:paraId="1CD63D47">
            <w:pPr>
              <w:pStyle w:val="44"/>
              <w:bidi w:val="0"/>
              <w:rPr>
                <w:rFonts w:hint="default" w:ascii="Times New Roman" w:hAnsi="Times New Roman" w:cs="Times New Roman"/>
                <w:color w:val="auto"/>
              </w:rPr>
            </w:pPr>
            <w:r>
              <w:rPr>
                <w:rFonts w:hint="default" w:ascii="Times New Roman" w:hAnsi="Times New Roman" w:cs="Times New Roman"/>
                <w:color w:val="auto"/>
              </w:rPr>
              <w:t>pH</w:t>
            </w:r>
            <w:r>
              <w:rPr>
                <w:rFonts w:hint="default" w:ascii="Times New Roman" w:hAnsi="Times New Roman" w:cs="Times New Roman"/>
                <w:color w:val="auto"/>
                <w:lang w:eastAsia="zh-CN"/>
              </w:rPr>
              <w:t>、</w:t>
            </w:r>
            <w:r>
              <w:rPr>
                <w:rFonts w:hint="default" w:ascii="Times New Roman" w:hAnsi="Times New Roman" w:cs="Times New Roman"/>
                <w:color w:val="auto"/>
              </w:rPr>
              <w:t>镉、汞、砷、铅、铬、铜、镍、锌</w:t>
            </w:r>
            <w:r>
              <w:rPr>
                <w:rFonts w:hint="default" w:ascii="Times New Roman" w:hAnsi="Times New Roman" w:cs="Times New Roman"/>
                <w:color w:val="auto"/>
                <w:lang w:val="en-US" w:eastAsia="zh-CN"/>
              </w:rPr>
              <w:t>和全盐量</w:t>
            </w:r>
          </w:p>
        </w:tc>
      </w:tr>
      <w:tr w14:paraId="18DF5B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6" w:hRule="atLeast"/>
          <w:jc w:val="center"/>
        </w:trPr>
        <w:tc>
          <w:tcPr>
            <w:tcW w:w="811" w:type="dxa"/>
            <w:vMerge w:val="restart"/>
            <w:noWrap w:val="0"/>
            <w:vAlign w:val="center"/>
          </w:tcPr>
          <w:p w14:paraId="743591B9">
            <w:pPr>
              <w:pStyle w:val="44"/>
              <w:bidi w:val="0"/>
              <w:rPr>
                <w:rFonts w:hint="default" w:ascii="Times New Roman" w:hAnsi="Times New Roman" w:cs="Times New Roman"/>
                <w:color w:val="auto"/>
              </w:rPr>
            </w:pPr>
            <w:r>
              <w:rPr>
                <w:rFonts w:hint="default" w:ascii="Times New Roman" w:hAnsi="Times New Roman" w:cs="Times New Roman"/>
                <w:color w:val="auto"/>
              </w:rPr>
              <w:t>占地范围外</w:t>
            </w:r>
          </w:p>
        </w:tc>
        <w:tc>
          <w:tcPr>
            <w:tcW w:w="832" w:type="dxa"/>
            <w:noWrap w:val="0"/>
            <w:vAlign w:val="center"/>
          </w:tcPr>
          <w:p w14:paraId="38F094C0">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S</w:t>
            </w:r>
            <w:r>
              <w:rPr>
                <w:rFonts w:hint="default" w:ascii="Times New Roman" w:hAnsi="Times New Roman" w:cs="Times New Roman"/>
                <w:color w:val="auto"/>
              </w:rPr>
              <w:t>5</w:t>
            </w:r>
          </w:p>
        </w:tc>
        <w:tc>
          <w:tcPr>
            <w:tcW w:w="1720" w:type="dxa"/>
            <w:noWrap w:val="0"/>
            <w:vAlign w:val="center"/>
          </w:tcPr>
          <w:p w14:paraId="6B3E7588">
            <w:pPr>
              <w:pStyle w:val="44"/>
              <w:bidi w:val="0"/>
              <w:rPr>
                <w:rFonts w:hint="default" w:ascii="Times New Roman" w:hAnsi="Times New Roman" w:cs="Times New Roman"/>
                <w:color w:val="auto"/>
              </w:rPr>
            </w:pPr>
            <w:r>
              <w:rPr>
                <w:rFonts w:hint="default" w:ascii="Times New Roman" w:hAnsi="Times New Roman" w:cs="Times New Roman"/>
                <w:color w:val="auto"/>
              </w:rPr>
              <w:t>E131°01'07.2916"</w:t>
            </w:r>
          </w:p>
          <w:p w14:paraId="66A5A4AA">
            <w:pPr>
              <w:pStyle w:val="44"/>
              <w:bidi w:val="0"/>
              <w:rPr>
                <w:rFonts w:hint="default" w:ascii="Times New Roman" w:hAnsi="Times New Roman" w:cs="Times New Roman"/>
                <w:color w:val="auto"/>
              </w:rPr>
            </w:pPr>
            <w:r>
              <w:rPr>
                <w:rFonts w:hint="default" w:ascii="Times New Roman" w:hAnsi="Times New Roman" w:cs="Times New Roman"/>
                <w:color w:val="auto"/>
              </w:rPr>
              <w:t>N45°24'33.7134"</w:t>
            </w:r>
          </w:p>
        </w:tc>
        <w:tc>
          <w:tcPr>
            <w:tcW w:w="1026" w:type="dxa"/>
            <w:noWrap w:val="0"/>
            <w:vAlign w:val="center"/>
          </w:tcPr>
          <w:p w14:paraId="536CE02A">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上风向</w:t>
            </w:r>
            <w:r>
              <w:rPr>
                <w:rFonts w:hint="default" w:ascii="Times New Roman" w:hAnsi="Times New Roman" w:cs="Times New Roman"/>
                <w:color w:val="auto"/>
                <w:lang w:val="en-US" w:eastAsia="zh-CN"/>
              </w:rPr>
              <w:t>农田</w:t>
            </w:r>
          </w:p>
        </w:tc>
        <w:tc>
          <w:tcPr>
            <w:tcW w:w="1347" w:type="dxa"/>
            <w:vMerge w:val="restart"/>
            <w:noWrap w:val="0"/>
            <w:vAlign w:val="center"/>
          </w:tcPr>
          <w:p w14:paraId="18CBA01E">
            <w:pPr>
              <w:pStyle w:val="44"/>
              <w:bidi w:val="0"/>
              <w:rPr>
                <w:rFonts w:hint="default" w:ascii="Times New Roman" w:hAnsi="Times New Roman" w:cs="Times New Roman"/>
                <w:color w:val="auto"/>
              </w:rPr>
            </w:pPr>
            <w:r>
              <w:rPr>
                <w:rFonts w:hint="default" w:ascii="Times New Roman" w:hAnsi="Times New Roman" w:cs="Times New Roman"/>
                <w:color w:val="auto"/>
              </w:rPr>
              <w:t>表层样0-0.2m</w:t>
            </w:r>
          </w:p>
        </w:tc>
        <w:tc>
          <w:tcPr>
            <w:tcW w:w="2981" w:type="dxa"/>
            <w:noWrap w:val="0"/>
            <w:vAlign w:val="center"/>
          </w:tcPr>
          <w:p w14:paraId="670332ED">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pH、镉、汞、砷、铅、铬、铜、镍、锌</w:t>
            </w:r>
            <w:r>
              <w:rPr>
                <w:rFonts w:hint="default" w:ascii="Times New Roman" w:hAnsi="Times New Roman" w:cs="Times New Roman"/>
                <w:color w:val="auto"/>
                <w:lang w:val="en-US" w:eastAsia="zh-CN"/>
              </w:rPr>
              <w:t>和全盐量</w:t>
            </w:r>
          </w:p>
          <w:p w14:paraId="27F53C39">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阳离子交换量、氧化还原电位、饱和导水率、土壤容重、孔隙度</w:t>
            </w:r>
          </w:p>
        </w:tc>
      </w:tr>
      <w:tr w14:paraId="634AA8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811" w:type="dxa"/>
            <w:vMerge w:val="continue"/>
            <w:noWrap w:val="0"/>
            <w:vAlign w:val="center"/>
          </w:tcPr>
          <w:p w14:paraId="45717591">
            <w:pPr>
              <w:pStyle w:val="44"/>
              <w:bidi w:val="0"/>
              <w:rPr>
                <w:rFonts w:hint="default" w:ascii="Times New Roman" w:hAnsi="Times New Roman" w:cs="Times New Roman"/>
                <w:color w:val="auto"/>
              </w:rPr>
            </w:pPr>
          </w:p>
        </w:tc>
        <w:tc>
          <w:tcPr>
            <w:tcW w:w="832" w:type="dxa"/>
            <w:noWrap w:val="0"/>
            <w:vAlign w:val="center"/>
          </w:tcPr>
          <w:p w14:paraId="76384B4A">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S</w:t>
            </w:r>
            <w:r>
              <w:rPr>
                <w:rFonts w:hint="default" w:ascii="Times New Roman" w:hAnsi="Times New Roman" w:cs="Times New Roman"/>
                <w:color w:val="auto"/>
              </w:rPr>
              <w:t>6</w:t>
            </w:r>
          </w:p>
        </w:tc>
        <w:tc>
          <w:tcPr>
            <w:tcW w:w="1720" w:type="dxa"/>
            <w:noWrap w:val="0"/>
            <w:vAlign w:val="center"/>
          </w:tcPr>
          <w:p w14:paraId="1DFC4723">
            <w:pPr>
              <w:pStyle w:val="44"/>
              <w:bidi w:val="0"/>
              <w:rPr>
                <w:rFonts w:hint="default" w:ascii="Times New Roman" w:hAnsi="Times New Roman" w:cs="Times New Roman"/>
                <w:color w:val="auto"/>
              </w:rPr>
            </w:pPr>
            <w:r>
              <w:rPr>
                <w:rFonts w:hint="default" w:ascii="Times New Roman" w:hAnsi="Times New Roman" w:cs="Times New Roman"/>
                <w:color w:val="auto"/>
              </w:rPr>
              <w:t>E131°01'25.3315"</w:t>
            </w:r>
          </w:p>
          <w:p w14:paraId="33D83305">
            <w:pPr>
              <w:pStyle w:val="44"/>
              <w:bidi w:val="0"/>
              <w:rPr>
                <w:rFonts w:hint="default" w:ascii="Times New Roman" w:hAnsi="Times New Roman" w:cs="Times New Roman"/>
                <w:color w:val="auto"/>
              </w:rPr>
            </w:pPr>
            <w:r>
              <w:rPr>
                <w:rFonts w:hint="default" w:ascii="Times New Roman" w:hAnsi="Times New Roman" w:cs="Times New Roman"/>
                <w:color w:val="auto"/>
              </w:rPr>
              <w:t>N45°24'30.6682"</w:t>
            </w:r>
          </w:p>
        </w:tc>
        <w:tc>
          <w:tcPr>
            <w:tcW w:w="1026" w:type="dxa"/>
            <w:noWrap w:val="0"/>
            <w:vAlign w:val="center"/>
          </w:tcPr>
          <w:p w14:paraId="7D3E5867">
            <w:pPr>
              <w:pStyle w:val="44"/>
              <w:bidi w:val="0"/>
              <w:rPr>
                <w:rFonts w:hint="default" w:ascii="Times New Roman" w:hAnsi="Times New Roman" w:cs="Times New Roman"/>
                <w:color w:val="auto"/>
              </w:rPr>
            </w:pPr>
            <w:r>
              <w:rPr>
                <w:rFonts w:hint="default" w:ascii="Times New Roman" w:hAnsi="Times New Roman" w:cs="Times New Roman"/>
                <w:color w:val="auto"/>
              </w:rPr>
              <w:t>下风向</w:t>
            </w:r>
            <w:r>
              <w:rPr>
                <w:rFonts w:hint="default" w:ascii="Times New Roman" w:hAnsi="Times New Roman" w:cs="Times New Roman"/>
                <w:color w:val="auto"/>
                <w:lang w:val="en-US" w:eastAsia="zh-CN"/>
              </w:rPr>
              <w:t>农田</w:t>
            </w:r>
          </w:p>
        </w:tc>
        <w:tc>
          <w:tcPr>
            <w:tcW w:w="1347" w:type="dxa"/>
            <w:vMerge w:val="continue"/>
            <w:noWrap w:val="0"/>
            <w:vAlign w:val="center"/>
          </w:tcPr>
          <w:p w14:paraId="1333221C">
            <w:pPr>
              <w:pStyle w:val="44"/>
              <w:bidi w:val="0"/>
              <w:rPr>
                <w:rFonts w:hint="default" w:ascii="Times New Roman" w:hAnsi="Times New Roman" w:cs="Times New Roman"/>
                <w:color w:val="auto"/>
              </w:rPr>
            </w:pPr>
          </w:p>
        </w:tc>
        <w:tc>
          <w:tcPr>
            <w:tcW w:w="2981" w:type="dxa"/>
            <w:noWrap w:val="0"/>
            <w:vAlign w:val="center"/>
          </w:tcPr>
          <w:p w14:paraId="38C15F63">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pH</w:t>
            </w:r>
            <w:r>
              <w:rPr>
                <w:rFonts w:hint="default" w:ascii="Times New Roman" w:hAnsi="Times New Roman" w:cs="Times New Roman"/>
                <w:color w:val="auto"/>
                <w:lang w:eastAsia="zh-CN"/>
              </w:rPr>
              <w:t>、</w:t>
            </w:r>
            <w:r>
              <w:rPr>
                <w:rFonts w:hint="default" w:ascii="Times New Roman" w:hAnsi="Times New Roman" w:cs="Times New Roman"/>
                <w:color w:val="auto"/>
              </w:rPr>
              <w:t>镉、汞、砷、铅、铬、铜、镍、锌</w:t>
            </w:r>
            <w:r>
              <w:rPr>
                <w:rFonts w:hint="default" w:ascii="Times New Roman" w:hAnsi="Times New Roman" w:cs="Times New Roman"/>
                <w:color w:val="auto"/>
                <w:lang w:val="en-US" w:eastAsia="zh-CN"/>
              </w:rPr>
              <w:t>和全盐量</w:t>
            </w:r>
          </w:p>
        </w:tc>
      </w:tr>
    </w:tbl>
    <w:p w14:paraId="72ABAEB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Cs w:val="21"/>
        </w:rPr>
      </w:pPr>
      <w:r>
        <w:rPr>
          <w:rFonts w:hint="default" w:ascii="Times New Roman" w:hAnsi="Times New Roman" w:cs="Times New Roman"/>
          <w:color w:val="auto"/>
        </w:rPr>
        <w:drawing>
          <wp:inline distT="0" distB="0" distL="114300" distR="114300">
            <wp:extent cx="5015865" cy="3297555"/>
            <wp:effectExtent l="0" t="0" r="13335" b="17145"/>
            <wp:docPr id="5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6"/>
                    <pic:cNvPicPr>
                      <a:picLocks noChangeAspect="1"/>
                    </pic:cNvPicPr>
                  </pic:nvPicPr>
                  <pic:blipFill>
                    <a:blip r:embed="rId75"/>
                    <a:stretch>
                      <a:fillRect/>
                    </a:stretch>
                  </pic:blipFill>
                  <pic:spPr>
                    <a:xfrm>
                      <a:off x="0" y="0"/>
                      <a:ext cx="5015865" cy="3297555"/>
                    </a:xfrm>
                    <a:prstGeom prst="rect">
                      <a:avLst/>
                    </a:prstGeom>
                    <a:noFill/>
                    <a:ln>
                      <a:noFill/>
                    </a:ln>
                  </pic:spPr>
                </pic:pic>
              </a:graphicData>
            </a:graphic>
          </wp:inline>
        </w:drawing>
      </w:r>
      <w:r>
        <w:rPr>
          <w:rFonts w:hint="default" w:ascii="Times New Roman" w:hAnsi="Times New Roman" w:cs="Times New Roman"/>
          <w:color w:val="auto"/>
        </w:rPr>
        <mc:AlternateContent>
          <mc:Choice Requires="wps">
            <w:drawing>
              <wp:anchor distT="0" distB="0" distL="114300" distR="114300" simplePos="0" relativeHeight="251670528" behindDoc="0" locked="0" layoutInCell="1" allowOverlap="1">
                <wp:simplePos x="0" y="0"/>
                <wp:positionH relativeFrom="column">
                  <wp:posOffset>4294505</wp:posOffset>
                </wp:positionH>
                <wp:positionV relativeFrom="paragraph">
                  <wp:posOffset>-99060</wp:posOffset>
                </wp:positionV>
                <wp:extent cx="1019175" cy="914400"/>
                <wp:effectExtent l="0" t="0" r="0" b="0"/>
                <wp:wrapNone/>
                <wp:docPr id="947000719" name="Rectangle 339266"/>
                <wp:cNvGraphicFramePr/>
                <a:graphic xmlns:a="http://schemas.openxmlformats.org/drawingml/2006/main">
                  <a:graphicData uri="http://schemas.microsoft.com/office/word/2010/wordprocessingShape">
                    <wps:wsp>
                      <wps:cNvSpPr>
                        <a:spLocks noChangeArrowheads="1"/>
                      </wps:cNvSpPr>
                      <wps:spPr bwMode="auto">
                        <a:xfrm>
                          <a:off x="0" y="0"/>
                          <a:ext cx="1019175" cy="914400"/>
                        </a:xfrm>
                        <a:prstGeom prst="rect">
                          <a:avLst/>
                        </a:prstGeom>
                        <a:noFill/>
                        <a:ln>
                          <a:noFill/>
                        </a:ln>
                      </wps:spPr>
                      <wps:txbx>
                        <w:txbxContent>
                          <w:p w14:paraId="49922CDA"/>
                        </w:txbxContent>
                      </wps:txbx>
                      <wps:bodyPr rot="0" vert="horz" wrap="square" lIns="91440" tIns="45720" rIns="91440" bIns="45720" anchor="t" anchorCtr="0" upright="1">
                        <a:noAutofit/>
                      </wps:bodyPr>
                    </wps:wsp>
                  </a:graphicData>
                </a:graphic>
              </wp:anchor>
            </w:drawing>
          </mc:Choice>
          <mc:Fallback>
            <w:pict>
              <v:rect id="Rectangle 339266" o:spid="_x0000_s1026" o:spt="1" style="position:absolute;left:0pt;margin-left:338.15pt;margin-top:-7.8pt;height:72pt;width:80.25pt;z-index:251670528;mso-width-relative:page;mso-height-relative:page;" filled="f" stroked="f" coordsize="21600,21600" o:gfxdata="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Dx4ryXbAAAACwEAAA8AAAAAAAAA&#10;AQAgAAAAIgAAAGRycy9kb3ducmV2LnhtbFBLAQIUABQAAAAIAIdO4kCfR9FXDgIAABgEAAAOAAAA&#10;AAAAAAEAIAAAACoBAABkcnMvZTJvRG9jLnhtbFBLBQYAAAAABgAGAFkBAACqBQAAAAA=&#10;">
                <v:fill on="f" focussize="0,0"/>
                <v:stroke on="f"/>
                <v:imagedata o:title=""/>
                <o:lock v:ext="edit" aspectratio="f"/>
                <v:textbox>
                  <w:txbxContent>
                    <w:p w14:paraId="49922CDA"/>
                  </w:txbxContent>
                </v:textbox>
              </v:rect>
            </w:pict>
          </mc:Fallback>
        </mc:AlternateContent>
      </w:r>
    </w:p>
    <w:p w14:paraId="086F1983">
      <w:pPr>
        <w:pStyle w:val="27"/>
        <w:bidi w:val="0"/>
        <w:ind w:left="0" w:leftChars="0" w:firstLine="0" w:firstLineChars="0"/>
        <w:rPr>
          <w:rFonts w:hint="default" w:ascii="Times New Roman" w:hAnsi="Times New Roman" w:cs="Times New Roman"/>
          <w:color w:val="auto"/>
        </w:rPr>
      </w:pPr>
      <w:r>
        <w:rPr>
          <w:rFonts w:hint="default" w:ascii="Times New Roman" w:hAnsi="Times New Roman" w:cs="Times New Roman"/>
          <w:color w:val="auto"/>
        </w:rPr>
        <w:t>图4-2-7土壤监测布点图</w:t>
      </w:r>
    </w:p>
    <w:p w14:paraId="4BE8CAC8">
      <w:pPr>
        <w:pStyle w:val="25"/>
        <w:bidi w:val="0"/>
        <w:rPr>
          <w:rFonts w:hint="default" w:ascii="Times New Roman" w:hAnsi="Times New Roman" w:cs="Times New Roman"/>
          <w:color w:val="auto"/>
        </w:rPr>
      </w:pPr>
      <w:r>
        <w:rPr>
          <w:rFonts w:hint="default" w:ascii="Times New Roman" w:hAnsi="Times New Roman" w:cs="Times New Roman"/>
          <w:color w:val="auto"/>
        </w:rPr>
        <w:t>（3）监测时间及频率</w:t>
      </w:r>
    </w:p>
    <w:p w14:paraId="15E710DB">
      <w:pPr>
        <w:pStyle w:val="25"/>
        <w:bidi w:val="0"/>
        <w:rPr>
          <w:rFonts w:hint="default" w:ascii="Times New Roman" w:hAnsi="Times New Roman" w:cs="Times New Roman"/>
          <w:color w:val="auto"/>
        </w:rPr>
      </w:pPr>
      <w:r>
        <w:rPr>
          <w:rFonts w:hint="default" w:ascii="Times New Roman" w:hAnsi="Times New Roman" w:cs="Times New Roman"/>
          <w:color w:val="auto"/>
        </w:rPr>
        <w:t>采样时间为202</w:t>
      </w:r>
      <w:r>
        <w:rPr>
          <w:rFonts w:hint="default" w:ascii="Times New Roman" w:hAnsi="Times New Roman" w:cs="Times New Roman"/>
          <w:color w:val="auto"/>
          <w:lang w:val="en-US" w:eastAsia="zh-CN"/>
        </w:rPr>
        <w:t>4</w:t>
      </w:r>
      <w:r>
        <w:rPr>
          <w:rFonts w:hint="default" w:ascii="Times New Roman" w:hAnsi="Times New Roman" w:cs="Times New Roman"/>
          <w:color w:val="auto"/>
        </w:rPr>
        <w:t>年</w:t>
      </w:r>
      <w:r>
        <w:rPr>
          <w:rFonts w:hint="default" w:ascii="Times New Roman" w:hAnsi="Times New Roman" w:cs="Times New Roman"/>
          <w:color w:val="auto"/>
          <w:lang w:val="en-US" w:eastAsia="zh-CN"/>
        </w:rPr>
        <w:t>8</w:t>
      </w:r>
      <w:r>
        <w:rPr>
          <w:rFonts w:hint="default" w:ascii="Times New Roman" w:hAnsi="Times New Roman" w:cs="Times New Roman"/>
          <w:color w:val="auto"/>
        </w:rPr>
        <w:t>月</w:t>
      </w:r>
      <w:r>
        <w:rPr>
          <w:rFonts w:hint="default" w:ascii="Times New Roman" w:hAnsi="Times New Roman" w:cs="Times New Roman"/>
          <w:color w:val="auto"/>
          <w:lang w:val="en-US" w:eastAsia="zh-CN"/>
        </w:rPr>
        <w:t>30</w:t>
      </w:r>
      <w:r>
        <w:rPr>
          <w:rFonts w:hint="default" w:ascii="Times New Roman" w:hAnsi="Times New Roman" w:cs="Times New Roman"/>
          <w:color w:val="auto"/>
        </w:rPr>
        <w:t>日，每个监测点采样一天，一天1次。</w:t>
      </w:r>
    </w:p>
    <w:p w14:paraId="50EF872A">
      <w:pPr>
        <w:pStyle w:val="25"/>
        <w:bidi w:val="0"/>
        <w:rPr>
          <w:rFonts w:hint="default" w:ascii="Times New Roman" w:hAnsi="Times New Roman" w:cs="Times New Roman"/>
          <w:color w:val="auto"/>
        </w:rPr>
      </w:pPr>
      <w:bookmarkStart w:id="256" w:name="_Toc483218422"/>
      <w:r>
        <w:rPr>
          <w:rFonts w:hint="default" w:ascii="Times New Roman" w:hAnsi="Times New Roman" w:cs="Times New Roman"/>
          <w:color w:val="auto"/>
        </w:rPr>
        <w:t>（4）监测及分析方法</w:t>
      </w:r>
      <w:bookmarkEnd w:id="256"/>
    </w:p>
    <w:p w14:paraId="3712E48D">
      <w:pPr>
        <w:pStyle w:val="27"/>
        <w:bidi w:val="0"/>
        <w:ind w:left="0" w:leftChars="0" w:firstLine="0" w:firstLineChars="0"/>
        <w:rPr>
          <w:rFonts w:hint="default" w:ascii="Times New Roman" w:hAnsi="Times New Roman" w:cs="Times New Roman"/>
          <w:color w:val="auto"/>
        </w:rPr>
      </w:pPr>
      <w:r>
        <w:rPr>
          <w:rFonts w:hint="default" w:ascii="Times New Roman" w:hAnsi="Times New Roman" w:cs="Times New Roman"/>
          <w:color w:val="auto"/>
        </w:rPr>
        <w:t>表4-2-1</w:t>
      </w:r>
      <w:r>
        <w:rPr>
          <w:rFonts w:hint="default" w:ascii="Times New Roman" w:hAnsi="Times New Roman" w:cs="Times New Roman"/>
          <w:color w:val="auto"/>
          <w:lang w:val="en-US" w:eastAsia="zh-CN"/>
        </w:rPr>
        <w:t>5</w:t>
      </w:r>
      <w:r>
        <w:rPr>
          <w:rFonts w:hint="default" w:ascii="Times New Roman" w:hAnsi="Times New Roman" w:cs="Times New Roman"/>
          <w:color w:val="auto"/>
        </w:rPr>
        <w:t>土壤监测分析方法</w:t>
      </w:r>
    </w:p>
    <w:tbl>
      <w:tblPr>
        <w:tblStyle w:val="2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15"/>
        <w:gridCol w:w="3412"/>
        <w:gridCol w:w="1863"/>
        <w:gridCol w:w="900"/>
        <w:gridCol w:w="829"/>
      </w:tblGrid>
      <w:tr w14:paraId="17602B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889" w:type="pct"/>
            <w:tcBorders>
              <w:tl2br w:val="nil"/>
              <w:tr2bl w:val="nil"/>
            </w:tcBorders>
            <w:vAlign w:val="center"/>
          </w:tcPr>
          <w:p w14:paraId="58534C3D">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检测项目</w:t>
            </w:r>
          </w:p>
        </w:tc>
        <w:tc>
          <w:tcPr>
            <w:tcW w:w="2002" w:type="pct"/>
            <w:tcBorders>
              <w:tl2br w:val="nil"/>
              <w:tr2bl w:val="nil"/>
            </w:tcBorders>
            <w:vAlign w:val="center"/>
          </w:tcPr>
          <w:p w14:paraId="0165AA8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eastAsia="zh-CN"/>
              </w:rPr>
              <w:t>检测依据</w:t>
            </w:r>
          </w:p>
        </w:tc>
        <w:tc>
          <w:tcPr>
            <w:tcW w:w="1093" w:type="pct"/>
            <w:tcBorders>
              <w:tl2br w:val="nil"/>
              <w:tr2bl w:val="nil"/>
            </w:tcBorders>
            <w:vAlign w:val="center"/>
          </w:tcPr>
          <w:p w14:paraId="347EE83D">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eastAsia="zh-CN"/>
              </w:rPr>
              <w:t>检测仪器名称及型号</w:t>
            </w:r>
          </w:p>
        </w:tc>
        <w:tc>
          <w:tcPr>
            <w:tcW w:w="528" w:type="pct"/>
            <w:tcBorders>
              <w:tl2br w:val="nil"/>
              <w:tr2bl w:val="nil"/>
            </w:tcBorders>
            <w:vAlign w:val="center"/>
          </w:tcPr>
          <w:p w14:paraId="20EF04CB">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eastAsia="zh-CN"/>
              </w:rPr>
              <w:t>检出限</w:t>
            </w:r>
          </w:p>
        </w:tc>
        <w:tc>
          <w:tcPr>
            <w:tcW w:w="486" w:type="pct"/>
            <w:tcBorders>
              <w:tl2br w:val="nil"/>
              <w:tr2bl w:val="nil"/>
            </w:tcBorders>
            <w:vAlign w:val="center"/>
          </w:tcPr>
          <w:p w14:paraId="2AF99577">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eastAsia="zh-CN"/>
              </w:rPr>
              <w:t>单位</w:t>
            </w:r>
          </w:p>
        </w:tc>
      </w:tr>
      <w:tr w14:paraId="692D35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889" w:type="pct"/>
            <w:tcBorders>
              <w:tl2br w:val="nil"/>
              <w:tr2bl w:val="nil"/>
            </w:tcBorders>
            <w:vAlign w:val="center"/>
          </w:tcPr>
          <w:p w14:paraId="0560CA34">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汞</w:t>
            </w:r>
          </w:p>
        </w:tc>
        <w:tc>
          <w:tcPr>
            <w:tcW w:w="2002" w:type="pct"/>
            <w:tcBorders>
              <w:tl2br w:val="nil"/>
              <w:tr2bl w:val="nil"/>
            </w:tcBorders>
            <w:vAlign w:val="center"/>
          </w:tcPr>
          <w:p w14:paraId="79D36DEF">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GB/T 22105.1-2008 土壤质量 总汞、总砷、总铅的测定 原子荧光法 第1部分：土壤中总汞的测定</w:t>
            </w:r>
          </w:p>
        </w:tc>
        <w:tc>
          <w:tcPr>
            <w:tcW w:w="1093" w:type="pct"/>
            <w:tcBorders>
              <w:tl2br w:val="nil"/>
              <w:tr2bl w:val="nil"/>
            </w:tcBorders>
            <w:vAlign w:val="center"/>
          </w:tcPr>
          <w:p w14:paraId="7E0A45D2">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原子荧光光度计AFS-8520</w:t>
            </w:r>
          </w:p>
        </w:tc>
        <w:tc>
          <w:tcPr>
            <w:tcW w:w="528" w:type="pct"/>
            <w:tcBorders>
              <w:tl2br w:val="nil"/>
              <w:tr2bl w:val="nil"/>
            </w:tcBorders>
            <w:vAlign w:val="center"/>
          </w:tcPr>
          <w:p w14:paraId="7AC5D0FA">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0.002</w:t>
            </w:r>
          </w:p>
        </w:tc>
        <w:tc>
          <w:tcPr>
            <w:tcW w:w="486" w:type="pct"/>
            <w:tcBorders>
              <w:tl2br w:val="nil"/>
              <w:tr2bl w:val="nil"/>
            </w:tcBorders>
            <w:vAlign w:val="center"/>
          </w:tcPr>
          <w:p w14:paraId="73F978F6">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mg/kg</w:t>
            </w:r>
          </w:p>
        </w:tc>
      </w:tr>
      <w:tr w14:paraId="0E7A9C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889" w:type="pct"/>
            <w:tcBorders>
              <w:tl2br w:val="nil"/>
              <w:tr2bl w:val="nil"/>
            </w:tcBorders>
            <w:vAlign w:val="center"/>
          </w:tcPr>
          <w:p w14:paraId="69DAB0BD">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砷</w:t>
            </w:r>
          </w:p>
        </w:tc>
        <w:tc>
          <w:tcPr>
            <w:tcW w:w="2002" w:type="pct"/>
            <w:tcBorders>
              <w:tl2br w:val="nil"/>
              <w:tr2bl w:val="nil"/>
            </w:tcBorders>
            <w:vAlign w:val="center"/>
          </w:tcPr>
          <w:p w14:paraId="000051F3">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GB/T 22105.2-2008 土壤质量 总汞、总砷、总铅的测定原子荧光法 第2部分：土壤中总砷的测定</w:t>
            </w:r>
          </w:p>
        </w:tc>
        <w:tc>
          <w:tcPr>
            <w:tcW w:w="1093" w:type="pct"/>
            <w:tcBorders>
              <w:tl2br w:val="nil"/>
              <w:tr2bl w:val="nil"/>
            </w:tcBorders>
            <w:vAlign w:val="center"/>
          </w:tcPr>
          <w:p w14:paraId="35CC974A">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原子荧光光度计AFS-230E</w:t>
            </w:r>
          </w:p>
        </w:tc>
        <w:tc>
          <w:tcPr>
            <w:tcW w:w="528" w:type="pct"/>
            <w:tcBorders>
              <w:tl2br w:val="nil"/>
              <w:tr2bl w:val="nil"/>
            </w:tcBorders>
            <w:vAlign w:val="center"/>
          </w:tcPr>
          <w:p w14:paraId="21511118">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0.01</w:t>
            </w:r>
          </w:p>
        </w:tc>
        <w:tc>
          <w:tcPr>
            <w:tcW w:w="486" w:type="pct"/>
            <w:tcBorders>
              <w:tl2br w:val="nil"/>
              <w:tr2bl w:val="nil"/>
            </w:tcBorders>
            <w:vAlign w:val="center"/>
          </w:tcPr>
          <w:p w14:paraId="3A2A1BF8">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mg/kg</w:t>
            </w:r>
          </w:p>
        </w:tc>
      </w:tr>
      <w:tr w14:paraId="2C0358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889" w:type="pct"/>
            <w:tcBorders>
              <w:tl2br w:val="nil"/>
              <w:tr2bl w:val="nil"/>
            </w:tcBorders>
            <w:vAlign w:val="center"/>
          </w:tcPr>
          <w:p w14:paraId="72936898">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铜</w:t>
            </w:r>
          </w:p>
        </w:tc>
        <w:tc>
          <w:tcPr>
            <w:tcW w:w="2002" w:type="pct"/>
            <w:vMerge w:val="restart"/>
            <w:tcBorders>
              <w:tl2br w:val="nil"/>
              <w:tr2bl w:val="nil"/>
            </w:tcBorders>
            <w:vAlign w:val="center"/>
          </w:tcPr>
          <w:p w14:paraId="33053BB1">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HJ 491-2019土壤和沉积物 铜、锌、铅、镍、铬的测定 火焰原子吸收分光光度法</w:t>
            </w:r>
          </w:p>
        </w:tc>
        <w:tc>
          <w:tcPr>
            <w:tcW w:w="1093" w:type="pct"/>
            <w:vMerge w:val="restart"/>
            <w:tcBorders>
              <w:tl2br w:val="nil"/>
              <w:tr2bl w:val="nil"/>
            </w:tcBorders>
            <w:vAlign w:val="center"/>
          </w:tcPr>
          <w:p w14:paraId="43346E24">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火焰原子吸收分光光谱仪280FS</w:t>
            </w:r>
          </w:p>
        </w:tc>
        <w:tc>
          <w:tcPr>
            <w:tcW w:w="528" w:type="pct"/>
            <w:tcBorders>
              <w:tl2br w:val="nil"/>
              <w:tr2bl w:val="nil"/>
            </w:tcBorders>
            <w:vAlign w:val="center"/>
          </w:tcPr>
          <w:p w14:paraId="6B0B8BE3">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w:t>
            </w:r>
          </w:p>
        </w:tc>
        <w:tc>
          <w:tcPr>
            <w:tcW w:w="486" w:type="pct"/>
            <w:tcBorders>
              <w:tl2br w:val="nil"/>
              <w:tr2bl w:val="nil"/>
            </w:tcBorders>
            <w:vAlign w:val="center"/>
          </w:tcPr>
          <w:p w14:paraId="2F0B60C8">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mg/kg</w:t>
            </w:r>
          </w:p>
        </w:tc>
      </w:tr>
      <w:tr w14:paraId="785F08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889" w:type="pct"/>
            <w:tcBorders>
              <w:tl2br w:val="nil"/>
              <w:tr2bl w:val="nil"/>
            </w:tcBorders>
            <w:vAlign w:val="center"/>
          </w:tcPr>
          <w:p w14:paraId="19C756D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镍</w:t>
            </w:r>
          </w:p>
        </w:tc>
        <w:tc>
          <w:tcPr>
            <w:tcW w:w="2002" w:type="pct"/>
            <w:vMerge w:val="continue"/>
            <w:tcBorders>
              <w:tl2br w:val="nil"/>
              <w:tr2bl w:val="nil"/>
            </w:tcBorders>
            <w:vAlign w:val="center"/>
          </w:tcPr>
          <w:p w14:paraId="76523205">
            <w:pPr>
              <w:pStyle w:val="44"/>
              <w:bidi w:val="0"/>
              <w:rPr>
                <w:rFonts w:hint="default" w:ascii="Times New Roman" w:hAnsi="Times New Roman" w:cs="Times New Roman"/>
                <w:color w:val="auto"/>
                <w:lang w:eastAsia="zh-CN"/>
              </w:rPr>
            </w:pPr>
          </w:p>
        </w:tc>
        <w:tc>
          <w:tcPr>
            <w:tcW w:w="1093" w:type="pct"/>
            <w:vMerge w:val="continue"/>
            <w:tcBorders>
              <w:tl2br w:val="nil"/>
              <w:tr2bl w:val="nil"/>
            </w:tcBorders>
            <w:vAlign w:val="center"/>
          </w:tcPr>
          <w:p w14:paraId="1DE3837A">
            <w:pPr>
              <w:pStyle w:val="44"/>
              <w:bidi w:val="0"/>
              <w:rPr>
                <w:rFonts w:hint="default" w:ascii="Times New Roman" w:hAnsi="Times New Roman" w:cs="Times New Roman"/>
                <w:color w:val="auto"/>
                <w:lang w:eastAsia="zh-CN"/>
              </w:rPr>
            </w:pPr>
          </w:p>
        </w:tc>
        <w:tc>
          <w:tcPr>
            <w:tcW w:w="528" w:type="pct"/>
            <w:tcBorders>
              <w:tl2br w:val="nil"/>
              <w:tr2bl w:val="nil"/>
            </w:tcBorders>
            <w:vAlign w:val="center"/>
          </w:tcPr>
          <w:p w14:paraId="3780DB7A">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w:t>
            </w:r>
          </w:p>
        </w:tc>
        <w:tc>
          <w:tcPr>
            <w:tcW w:w="486" w:type="pct"/>
            <w:tcBorders>
              <w:tl2br w:val="nil"/>
              <w:tr2bl w:val="nil"/>
            </w:tcBorders>
            <w:vAlign w:val="center"/>
          </w:tcPr>
          <w:p w14:paraId="5572420F">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mg/kg</w:t>
            </w:r>
          </w:p>
        </w:tc>
      </w:tr>
      <w:tr w14:paraId="591C28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889" w:type="pct"/>
            <w:tcBorders>
              <w:tl2br w:val="nil"/>
              <w:tr2bl w:val="nil"/>
            </w:tcBorders>
            <w:vAlign w:val="center"/>
          </w:tcPr>
          <w:p w14:paraId="597AE70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铅</w:t>
            </w:r>
          </w:p>
        </w:tc>
        <w:tc>
          <w:tcPr>
            <w:tcW w:w="2002" w:type="pct"/>
            <w:vMerge w:val="restart"/>
            <w:tcBorders>
              <w:tl2br w:val="nil"/>
              <w:tr2bl w:val="nil"/>
            </w:tcBorders>
            <w:vAlign w:val="center"/>
          </w:tcPr>
          <w:p w14:paraId="0CD4DEAC">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GB/T 17141-1997土壤质量 铅、镉的测定 石墨炉原子吸收分光光度法</w:t>
            </w:r>
          </w:p>
        </w:tc>
        <w:tc>
          <w:tcPr>
            <w:tcW w:w="1093" w:type="pct"/>
            <w:vMerge w:val="restart"/>
            <w:tcBorders>
              <w:tl2br w:val="nil"/>
              <w:tr2bl w:val="nil"/>
            </w:tcBorders>
            <w:vAlign w:val="center"/>
          </w:tcPr>
          <w:p w14:paraId="48D5779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石墨炉原子吸收光谱仪280Z</w:t>
            </w:r>
          </w:p>
        </w:tc>
        <w:tc>
          <w:tcPr>
            <w:tcW w:w="528" w:type="pct"/>
            <w:tcBorders>
              <w:tl2br w:val="nil"/>
              <w:tr2bl w:val="nil"/>
            </w:tcBorders>
            <w:vAlign w:val="center"/>
          </w:tcPr>
          <w:p w14:paraId="0480C8B4">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0.1</w:t>
            </w:r>
          </w:p>
        </w:tc>
        <w:tc>
          <w:tcPr>
            <w:tcW w:w="486" w:type="pct"/>
            <w:tcBorders>
              <w:tl2br w:val="nil"/>
              <w:tr2bl w:val="nil"/>
            </w:tcBorders>
            <w:vAlign w:val="center"/>
          </w:tcPr>
          <w:p w14:paraId="676A0F56">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mg/kg</w:t>
            </w:r>
          </w:p>
        </w:tc>
      </w:tr>
      <w:tr w14:paraId="7A8E75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889" w:type="pct"/>
            <w:tcBorders>
              <w:tl2br w:val="nil"/>
              <w:tr2bl w:val="nil"/>
            </w:tcBorders>
            <w:vAlign w:val="center"/>
          </w:tcPr>
          <w:p w14:paraId="338BE2F9">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镉</w:t>
            </w:r>
          </w:p>
        </w:tc>
        <w:tc>
          <w:tcPr>
            <w:tcW w:w="2002" w:type="pct"/>
            <w:vMerge w:val="continue"/>
            <w:tcBorders>
              <w:tl2br w:val="nil"/>
              <w:tr2bl w:val="nil"/>
            </w:tcBorders>
            <w:vAlign w:val="center"/>
          </w:tcPr>
          <w:p w14:paraId="3ECC1FD6">
            <w:pPr>
              <w:pStyle w:val="44"/>
              <w:bidi w:val="0"/>
              <w:rPr>
                <w:rFonts w:hint="default" w:ascii="Times New Roman" w:hAnsi="Times New Roman" w:cs="Times New Roman"/>
                <w:color w:val="auto"/>
                <w:lang w:eastAsia="zh-CN"/>
              </w:rPr>
            </w:pPr>
          </w:p>
        </w:tc>
        <w:tc>
          <w:tcPr>
            <w:tcW w:w="1093" w:type="pct"/>
            <w:vMerge w:val="continue"/>
            <w:tcBorders>
              <w:tl2br w:val="nil"/>
              <w:tr2bl w:val="nil"/>
            </w:tcBorders>
            <w:vAlign w:val="center"/>
          </w:tcPr>
          <w:p w14:paraId="15FFCB45">
            <w:pPr>
              <w:pStyle w:val="44"/>
              <w:bidi w:val="0"/>
              <w:rPr>
                <w:rFonts w:hint="default" w:ascii="Times New Roman" w:hAnsi="Times New Roman" w:cs="Times New Roman"/>
                <w:color w:val="auto"/>
                <w:lang w:val="en-US" w:eastAsia="zh-CN"/>
              </w:rPr>
            </w:pPr>
          </w:p>
        </w:tc>
        <w:tc>
          <w:tcPr>
            <w:tcW w:w="528" w:type="pct"/>
            <w:tcBorders>
              <w:tl2br w:val="nil"/>
              <w:tr2bl w:val="nil"/>
            </w:tcBorders>
            <w:vAlign w:val="center"/>
          </w:tcPr>
          <w:p w14:paraId="53BD87B5">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0.01</w:t>
            </w:r>
          </w:p>
        </w:tc>
        <w:tc>
          <w:tcPr>
            <w:tcW w:w="486" w:type="pct"/>
            <w:tcBorders>
              <w:tl2br w:val="nil"/>
              <w:tr2bl w:val="nil"/>
            </w:tcBorders>
            <w:vAlign w:val="center"/>
          </w:tcPr>
          <w:p w14:paraId="5CE2DBF9">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mg/kg</w:t>
            </w:r>
          </w:p>
        </w:tc>
      </w:tr>
      <w:tr w14:paraId="0530EB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889" w:type="pct"/>
            <w:tcBorders>
              <w:tl2br w:val="nil"/>
              <w:tr2bl w:val="nil"/>
            </w:tcBorders>
            <w:vAlign w:val="center"/>
          </w:tcPr>
          <w:p w14:paraId="0E93804F">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铬（六价）</w:t>
            </w:r>
          </w:p>
        </w:tc>
        <w:tc>
          <w:tcPr>
            <w:tcW w:w="2002" w:type="pct"/>
            <w:tcBorders>
              <w:tl2br w:val="nil"/>
              <w:tr2bl w:val="nil"/>
            </w:tcBorders>
            <w:vAlign w:val="center"/>
          </w:tcPr>
          <w:p w14:paraId="79FE4B58">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HJ 1082-2019土壤和沉积物  六价铬的测定  碱溶液提取-火焰原子吸收分光光度法</w:t>
            </w:r>
          </w:p>
        </w:tc>
        <w:tc>
          <w:tcPr>
            <w:tcW w:w="1093" w:type="pct"/>
            <w:tcBorders>
              <w:tl2br w:val="nil"/>
              <w:tr2bl w:val="nil"/>
            </w:tcBorders>
            <w:vAlign w:val="center"/>
          </w:tcPr>
          <w:p w14:paraId="55B6C19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火焰原子吸收分光光谱仪 280FS</w:t>
            </w:r>
          </w:p>
        </w:tc>
        <w:tc>
          <w:tcPr>
            <w:tcW w:w="528" w:type="pct"/>
            <w:tcBorders>
              <w:tl2br w:val="nil"/>
              <w:tr2bl w:val="nil"/>
            </w:tcBorders>
            <w:vAlign w:val="center"/>
          </w:tcPr>
          <w:p w14:paraId="2300FBC2">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0.5</w:t>
            </w:r>
          </w:p>
        </w:tc>
        <w:tc>
          <w:tcPr>
            <w:tcW w:w="486" w:type="pct"/>
            <w:tcBorders>
              <w:tl2br w:val="nil"/>
              <w:tr2bl w:val="nil"/>
            </w:tcBorders>
            <w:vAlign w:val="center"/>
          </w:tcPr>
          <w:p w14:paraId="3D954CFB">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mg/kg</w:t>
            </w:r>
          </w:p>
        </w:tc>
      </w:tr>
      <w:tr w14:paraId="388B9B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889" w:type="pct"/>
            <w:tcBorders>
              <w:tl2br w:val="nil"/>
              <w:tr2bl w:val="nil"/>
            </w:tcBorders>
            <w:vAlign w:val="center"/>
          </w:tcPr>
          <w:p w14:paraId="51245220">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苯胺</w:t>
            </w:r>
          </w:p>
        </w:tc>
        <w:tc>
          <w:tcPr>
            <w:tcW w:w="2002" w:type="pct"/>
            <w:vMerge w:val="restart"/>
            <w:tcBorders>
              <w:tl2br w:val="nil"/>
              <w:tr2bl w:val="nil"/>
            </w:tcBorders>
            <w:vAlign w:val="center"/>
          </w:tcPr>
          <w:p w14:paraId="05603C4E">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HJ 834-2017 土壤和沉积物 半挥发性有机物的测定 气相色谱-质谱法</w:t>
            </w:r>
          </w:p>
        </w:tc>
        <w:tc>
          <w:tcPr>
            <w:tcW w:w="1093" w:type="pct"/>
            <w:vMerge w:val="restart"/>
            <w:tcBorders>
              <w:tl2br w:val="nil"/>
              <w:tr2bl w:val="nil"/>
            </w:tcBorders>
            <w:vAlign w:val="center"/>
          </w:tcPr>
          <w:p w14:paraId="5ACF7641">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气相色谱质谱联用仪8860-5977B</w:t>
            </w:r>
          </w:p>
        </w:tc>
        <w:tc>
          <w:tcPr>
            <w:tcW w:w="528" w:type="pct"/>
            <w:tcBorders>
              <w:tl2br w:val="nil"/>
              <w:tr2bl w:val="nil"/>
            </w:tcBorders>
            <w:vAlign w:val="center"/>
          </w:tcPr>
          <w:p w14:paraId="76408A4F">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0.05</w:t>
            </w:r>
          </w:p>
        </w:tc>
        <w:tc>
          <w:tcPr>
            <w:tcW w:w="486" w:type="pct"/>
            <w:tcBorders>
              <w:tl2br w:val="nil"/>
              <w:tr2bl w:val="nil"/>
            </w:tcBorders>
            <w:vAlign w:val="center"/>
          </w:tcPr>
          <w:p w14:paraId="12ADB429">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mg/kg</w:t>
            </w:r>
          </w:p>
        </w:tc>
      </w:tr>
      <w:tr w14:paraId="11D10A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889" w:type="pct"/>
            <w:tcBorders>
              <w:tl2br w:val="nil"/>
              <w:tr2bl w:val="nil"/>
            </w:tcBorders>
            <w:vAlign w:val="center"/>
          </w:tcPr>
          <w:p w14:paraId="7D2D54F4">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2-氯酚</w:t>
            </w:r>
          </w:p>
        </w:tc>
        <w:tc>
          <w:tcPr>
            <w:tcW w:w="2002" w:type="pct"/>
            <w:vMerge w:val="continue"/>
            <w:tcBorders>
              <w:tl2br w:val="nil"/>
              <w:tr2bl w:val="nil"/>
            </w:tcBorders>
            <w:vAlign w:val="center"/>
          </w:tcPr>
          <w:p w14:paraId="5D22923B">
            <w:pPr>
              <w:pStyle w:val="44"/>
              <w:bidi w:val="0"/>
              <w:rPr>
                <w:rFonts w:hint="default" w:ascii="Times New Roman" w:hAnsi="Times New Roman" w:cs="Times New Roman"/>
                <w:color w:val="auto"/>
                <w:lang w:eastAsia="zh-CN"/>
              </w:rPr>
            </w:pPr>
          </w:p>
        </w:tc>
        <w:tc>
          <w:tcPr>
            <w:tcW w:w="1093" w:type="pct"/>
            <w:vMerge w:val="continue"/>
            <w:tcBorders>
              <w:tl2br w:val="nil"/>
              <w:tr2bl w:val="nil"/>
            </w:tcBorders>
            <w:vAlign w:val="center"/>
          </w:tcPr>
          <w:p w14:paraId="0F94887C">
            <w:pPr>
              <w:pStyle w:val="44"/>
              <w:bidi w:val="0"/>
              <w:rPr>
                <w:rFonts w:hint="default" w:ascii="Times New Roman" w:hAnsi="Times New Roman" w:cs="Times New Roman"/>
                <w:color w:val="auto"/>
                <w:lang w:eastAsia="zh-CN"/>
              </w:rPr>
            </w:pPr>
          </w:p>
        </w:tc>
        <w:tc>
          <w:tcPr>
            <w:tcW w:w="528" w:type="pct"/>
            <w:tcBorders>
              <w:tl2br w:val="nil"/>
              <w:tr2bl w:val="nil"/>
            </w:tcBorders>
            <w:vAlign w:val="center"/>
          </w:tcPr>
          <w:p w14:paraId="779C93AC">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0.06</w:t>
            </w:r>
          </w:p>
        </w:tc>
        <w:tc>
          <w:tcPr>
            <w:tcW w:w="486" w:type="pct"/>
            <w:tcBorders>
              <w:tl2br w:val="nil"/>
              <w:tr2bl w:val="nil"/>
            </w:tcBorders>
            <w:vAlign w:val="center"/>
          </w:tcPr>
          <w:p w14:paraId="770F8CCC">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mg/kg</w:t>
            </w:r>
          </w:p>
        </w:tc>
      </w:tr>
      <w:tr w14:paraId="595FDE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889" w:type="pct"/>
            <w:tcBorders>
              <w:tl2br w:val="nil"/>
              <w:tr2bl w:val="nil"/>
            </w:tcBorders>
            <w:vAlign w:val="center"/>
          </w:tcPr>
          <w:p w14:paraId="687C0FC2">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硝基苯</w:t>
            </w:r>
          </w:p>
        </w:tc>
        <w:tc>
          <w:tcPr>
            <w:tcW w:w="2002" w:type="pct"/>
            <w:vMerge w:val="continue"/>
            <w:tcBorders>
              <w:tl2br w:val="nil"/>
              <w:tr2bl w:val="nil"/>
            </w:tcBorders>
            <w:vAlign w:val="center"/>
          </w:tcPr>
          <w:p w14:paraId="27535E61">
            <w:pPr>
              <w:pStyle w:val="44"/>
              <w:bidi w:val="0"/>
              <w:rPr>
                <w:rFonts w:hint="default" w:ascii="Times New Roman" w:hAnsi="Times New Roman" w:cs="Times New Roman"/>
                <w:color w:val="auto"/>
                <w:lang w:eastAsia="zh-CN"/>
              </w:rPr>
            </w:pPr>
          </w:p>
        </w:tc>
        <w:tc>
          <w:tcPr>
            <w:tcW w:w="1093" w:type="pct"/>
            <w:vMerge w:val="continue"/>
            <w:tcBorders>
              <w:tl2br w:val="nil"/>
              <w:tr2bl w:val="nil"/>
            </w:tcBorders>
            <w:vAlign w:val="center"/>
          </w:tcPr>
          <w:p w14:paraId="35C1F44C">
            <w:pPr>
              <w:pStyle w:val="44"/>
              <w:bidi w:val="0"/>
              <w:rPr>
                <w:rFonts w:hint="default" w:ascii="Times New Roman" w:hAnsi="Times New Roman" w:cs="Times New Roman"/>
                <w:color w:val="auto"/>
                <w:lang w:eastAsia="zh-CN"/>
              </w:rPr>
            </w:pPr>
          </w:p>
        </w:tc>
        <w:tc>
          <w:tcPr>
            <w:tcW w:w="528" w:type="pct"/>
            <w:tcBorders>
              <w:tl2br w:val="nil"/>
              <w:tr2bl w:val="nil"/>
            </w:tcBorders>
            <w:vAlign w:val="center"/>
          </w:tcPr>
          <w:p w14:paraId="13D79C95">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0.09</w:t>
            </w:r>
          </w:p>
        </w:tc>
        <w:tc>
          <w:tcPr>
            <w:tcW w:w="486" w:type="pct"/>
            <w:tcBorders>
              <w:tl2br w:val="nil"/>
              <w:tr2bl w:val="nil"/>
            </w:tcBorders>
            <w:vAlign w:val="center"/>
          </w:tcPr>
          <w:p w14:paraId="6608178D">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mg/kg</w:t>
            </w:r>
          </w:p>
        </w:tc>
      </w:tr>
      <w:tr w14:paraId="66F2AC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889" w:type="pct"/>
            <w:tcBorders>
              <w:tl2br w:val="nil"/>
              <w:tr2bl w:val="nil"/>
            </w:tcBorders>
            <w:vAlign w:val="center"/>
          </w:tcPr>
          <w:p w14:paraId="4F9679AE">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萘</w:t>
            </w:r>
          </w:p>
        </w:tc>
        <w:tc>
          <w:tcPr>
            <w:tcW w:w="2002" w:type="pct"/>
            <w:vMerge w:val="continue"/>
            <w:tcBorders>
              <w:tl2br w:val="nil"/>
              <w:tr2bl w:val="nil"/>
            </w:tcBorders>
            <w:vAlign w:val="center"/>
          </w:tcPr>
          <w:p w14:paraId="2585C498">
            <w:pPr>
              <w:pStyle w:val="44"/>
              <w:bidi w:val="0"/>
              <w:rPr>
                <w:rFonts w:hint="default" w:ascii="Times New Roman" w:hAnsi="Times New Roman" w:cs="Times New Roman"/>
                <w:color w:val="auto"/>
                <w:lang w:eastAsia="zh-CN"/>
              </w:rPr>
            </w:pPr>
          </w:p>
        </w:tc>
        <w:tc>
          <w:tcPr>
            <w:tcW w:w="1093" w:type="pct"/>
            <w:vMerge w:val="continue"/>
            <w:tcBorders>
              <w:tl2br w:val="nil"/>
              <w:tr2bl w:val="nil"/>
            </w:tcBorders>
            <w:vAlign w:val="center"/>
          </w:tcPr>
          <w:p w14:paraId="17D96127">
            <w:pPr>
              <w:pStyle w:val="44"/>
              <w:bidi w:val="0"/>
              <w:rPr>
                <w:rFonts w:hint="default" w:ascii="Times New Roman" w:hAnsi="Times New Roman" w:cs="Times New Roman"/>
                <w:color w:val="auto"/>
                <w:lang w:eastAsia="zh-CN"/>
              </w:rPr>
            </w:pPr>
          </w:p>
        </w:tc>
        <w:tc>
          <w:tcPr>
            <w:tcW w:w="528" w:type="pct"/>
            <w:tcBorders>
              <w:tl2br w:val="nil"/>
              <w:tr2bl w:val="nil"/>
            </w:tcBorders>
            <w:vAlign w:val="center"/>
          </w:tcPr>
          <w:p w14:paraId="2B060EFA">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0.09</w:t>
            </w:r>
          </w:p>
        </w:tc>
        <w:tc>
          <w:tcPr>
            <w:tcW w:w="486" w:type="pct"/>
            <w:tcBorders>
              <w:tl2br w:val="nil"/>
              <w:tr2bl w:val="nil"/>
            </w:tcBorders>
            <w:vAlign w:val="center"/>
          </w:tcPr>
          <w:p w14:paraId="1CF4B9A0">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mg/kg</w:t>
            </w:r>
          </w:p>
        </w:tc>
      </w:tr>
      <w:tr w14:paraId="3959A3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3C63D006">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苯并(a)蒽</w:t>
            </w:r>
          </w:p>
        </w:tc>
        <w:tc>
          <w:tcPr>
            <w:tcW w:w="2002" w:type="pct"/>
            <w:vMerge w:val="continue"/>
            <w:tcBorders>
              <w:tl2br w:val="nil"/>
              <w:tr2bl w:val="nil"/>
            </w:tcBorders>
            <w:vAlign w:val="center"/>
          </w:tcPr>
          <w:p w14:paraId="02064C1C">
            <w:pPr>
              <w:pStyle w:val="44"/>
              <w:bidi w:val="0"/>
              <w:rPr>
                <w:rFonts w:hint="default" w:ascii="Times New Roman" w:hAnsi="Times New Roman" w:cs="Times New Roman"/>
                <w:color w:val="auto"/>
                <w:lang w:eastAsia="zh-CN"/>
              </w:rPr>
            </w:pPr>
          </w:p>
        </w:tc>
        <w:tc>
          <w:tcPr>
            <w:tcW w:w="1093" w:type="pct"/>
            <w:vMerge w:val="continue"/>
            <w:tcBorders>
              <w:tl2br w:val="nil"/>
              <w:tr2bl w:val="nil"/>
            </w:tcBorders>
            <w:vAlign w:val="center"/>
          </w:tcPr>
          <w:p w14:paraId="3AB4FF20">
            <w:pPr>
              <w:pStyle w:val="44"/>
              <w:bidi w:val="0"/>
              <w:rPr>
                <w:rFonts w:hint="default" w:ascii="Times New Roman" w:hAnsi="Times New Roman" w:cs="Times New Roman"/>
                <w:color w:val="auto"/>
                <w:lang w:eastAsia="zh-CN"/>
              </w:rPr>
            </w:pPr>
          </w:p>
        </w:tc>
        <w:tc>
          <w:tcPr>
            <w:tcW w:w="528" w:type="pct"/>
            <w:tcBorders>
              <w:tl2br w:val="nil"/>
              <w:tr2bl w:val="nil"/>
            </w:tcBorders>
            <w:vAlign w:val="center"/>
          </w:tcPr>
          <w:p w14:paraId="1848A56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0.1</w:t>
            </w:r>
          </w:p>
        </w:tc>
        <w:tc>
          <w:tcPr>
            <w:tcW w:w="486" w:type="pct"/>
            <w:tcBorders>
              <w:tl2br w:val="nil"/>
              <w:tr2bl w:val="nil"/>
            </w:tcBorders>
            <w:vAlign w:val="center"/>
          </w:tcPr>
          <w:p w14:paraId="08192BF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mg/kg</w:t>
            </w:r>
          </w:p>
        </w:tc>
      </w:tr>
      <w:tr w14:paraId="7B508F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35519E39">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䓛</w:t>
            </w:r>
          </w:p>
        </w:tc>
        <w:tc>
          <w:tcPr>
            <w:tcW w:w="2002" w:type="pct"/>
            <w:vMerge w:val="continue"/>
            <w:tcBorders>
              <w:tl2br w:val="nil"/>
              <w:tr2bl w:val="nil"/>
            </w:tcBorders>
            <w:vAlign w:val="center"/>
          </w:tcPr>
          <w:p w14:paraId="165DCC2F">
            <w:pPr>
              <w:pStyle w:val="44"/>
              <w:bidi w:val="0"/>
              <w:rPr>
                <w:rFonts w:hint="default" w:ascii="Times New Roman" w:hAnsi="Times New Roman" w:cs="Times New Roman"/>
                <w:color w:val="auto"/>
                <w:lang w:eastAsia="zh-CN"/>
              </w:rPr>
            </w:pPr>
          </w:p>
        </w:tc>
        <w:tc>
          <w:tcPr>
            <w:tcW w:w="1093" w:type="pct"/>
            <w:vMerge w:val="continue"/>
            <w:tcBorders>
              <w:tl2br w:val="nil"/>
              <w:tr2bl w:val="nil"/>
            </w:tcBorders>
            <w:vAlign w:val="center"/>
          </w:tcPr>
          <w:p w14:paraId="3CCC11C3">
            <w:pPr>
              <w:pStyle w:val="44"/>
              <w:bidi w:val="0"/>
              <w:rPr>
                <w:rFonts w:hint="default" w:ascii="Times New Roman" w:hAnsi="Times New Roman" w:cs="Times New Roman"/>
                <w:color w:val="auto"/>
                <w:lang w:eastAsia="zh-CN"/>
              </w:rPr>
            </w:pPr>
          </w:p>
        </w:tc>
        <w:tc>
          <w:tcPr>
            <w:tcW w:w="528" w:type="pct"/>
            <w:tcBorders>
              <w:tl2br w:val="nil"/>
              <w:tr2bl w:val="nil"/>
            </w:tcBorders>
            <w:vAlign w:val="center"/>
          </w:tcPr>
          <w:p w14:paraId="6E8CA20F">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0.1</w:t>
            </w:r>
          </w:p>
        </w:tc>
        <w:tc>
          <w:tcPr>
            <w:tcW w:w="486" w:type="pct"/>
            <w:tcBorders>
              <w:tl2br w:val="nil"/>
              <w:tr2bl w:val="nil"/>
            </w:tcBorders>
            <w:vAlign w:val="center"/>
          </w:tcPr>
          <w:p w14:paraId="060DC6AD">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mg/kg</w:t>
            </w:r>
          </w:p>
        </w:tc>
      </w:tr>
      <w:tr w14:paraId="6618C3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25456D3F">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苯并(b)荧蒽</w:t>
            </w:r>
          </w:p>
        </w:tc>
        <w:tc>
          <w:tcPr>
            <w:tcW w:w="2002" w:type="pct"/>
            <w:vMerge w:val="continue"/>
            <w:tcBorders>
              <w:tl2br w:val="nil"/>
              <w:tr2bl w:val="nil"/>
            </w:tcBorders>
            <w:vAlign w:val="center"/>
          </w:tcPr>
          <w:p w14:paraId="6A1EF196">
            <w:pPr>
              <w:pStyle w:val="44"/>
              <w:bidi w:val="0"/>
              <w:rPr>
                <w:rFonts w:hint="default" w:ascii="Times New Roman" w:hAnsi="Times New Roman" w:cs="Times New Roman"/>
                <w:color w:val="auto"/>
                <w:lang w:eastAsia="zh-CN"/>
              </w:rPr>
            </w:pPr>
          </w:p>
        </w:tc>
        <w:tc>
          <w:tcPr>
            <w:tcW w:w="1093" w:type="pct"/>
            <w:vMerge w:val="continue"/>
            <w:tcBorders>
              <w:tl2br w:val="nil"/>
              <w:tr2bl w:val="nil"/>
            </w:tcBorders>
            <w:vAlign w:val="center"/>
          </w:tcPr>
          <w:p w14:paraId="0C33A6B5">
            <w:pPr>
              <w:pStyle w:val="44"/>
              <w:bidi w:val="0"/>
              <w:rPr>
                <w:rFonts w:hint="default" w:ascii="Times New Roman" w:hAnsi="Times New Roman" w:cs="Times New Roman"/>
                <w:color w:val="auto"/>
                <w:lang w:eastAsia="zh-CN"/>
              </w:rPr>
            </w:pPr>
          </w:p>
        </w:tc>
        <w:tc>
          <w:tcPr>
            <w:tcW w:w="528" w:type="pct"/>
            <w:tcBorders>
              <w:tl2br w:val="nil"/>
              <w:tr2bl w:val="nil"/>
            </w:tcBorders>
            <w:vAlign w:val="center"/>
          </w:tcPr>
          <w:p w14:paraId="6CF1DDC9">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0.2</w:t>
            </w:r>
          </w:p>
        </w:tc>
        <w:tc>
          <w:tcPr>
            <w:tcW w:w="486" w:type="pct"/>
            <w:tcBorders>
              <w:tl2br w:val="nil"/>
              <w:tr2bl w:val="nil"/>
            </w:tcBorders>
            <w:vAlign w:val="center"/>
          </w:tcPr>
          <w:p w14:paraId="4BD49779">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mg/kg</w:t>
            </w:r>
          </w:p>
        </w:tc>
      </w:tr>
      <w:tr w14:paraId="05E518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662CD9DD">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苯并(k)荧蒽</w:t>
            </w:r>
          </w:p>
        </w:tc>
        <w:tc>
          <w:tcPr>
            <w:tcW w:w="2002" w:type="pct"/>
            <w:vMerge w:val="continue"/>
            <w:tcBorders>
              <w:tl2br w:val="nil"/>
              <w:tr2bl w:val="nil"/>
            </w:tcBorders>
            <w:vAlign w:val="center"/>
          </w:tcPr>
          <w:p w14:paraId="5BA27468">
            <w:pPr>
              <w:pStyle w:val="44"/>
              <w:bidi w:val="0"/>
              <w:rPr>
                <w:rFonts w:hint="default" w:ascii="Times New Roman" w:hAnsi="Times New Roman" w:cs="Times New Roman"/>
                <w:color w:val="auto"/>
                <w:lang w:eastAsia="zh-CN"/>
              </w:rPr>
            </w:pPr>
          </w:p>
        </w:tc>
        <w:tc>
          <w:tcPr>
            <w:tcW w:w="1093" w:type="pct"/>
            <w:vMerge w:val="continue"/>
            <w:tcBorders>
              <w:tl2br w:val="nil"/>
              <w:tr2bl w:val="nil"/>
            </w:tcBorders>
            <w:vAlign w:val="center"/>
          </w:tcPr>
          <w:p w14:paraId="30F0D62B">
            <w:pPr>
              <w:pStyle w:val="44"/>
              <w:bidi w:val="0"/>
              <w:rPr>
                <w:rFonts w:hint="default" w:ascii="Times New Roman" w:hAnsi="Times New Roman" w:cs="Times New Roman"/>
                <w:color w:val="auto"/>
                <w:lang w:eastAsia="zh-CN"/>
              </w:rPr>
            </w:pPr>
          </w:p>
        </w:tc>
        <w:tc>
          <w:tcPr>
            <w:tcW w:w="528" w:type="pct"/>
            <w:tcBorders>
              <w:tl2br w:val="nil"/>
              <w:tr2bl w:val="nil"/>
            </w:tcBorders>
            <w:vAlign w:val="center"/>
          </w:tcPr>
          <w:p w14:paraId="3186699B">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0.1</w:t>
            </w:r>
          </w:p>
        </w:tc>
        <w:tc>
          <w:tcPr>
            <w:tcW w:w="486" w:type="pct"/>
            <w:tcBorders>
              <w:tl2br w:val="nil"/>
              <w:tr2bl w:val="nil"/>
            </w:tcBorders>
            <w:vAlign w:val="center"/>
          </w:tcPr>
          <w:p w14:paraId="0B9E24AC">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mg/kg</w:t>
            </w:r>
          </w:p>
        </w:tc>
      </w:tr>
      <w:tr w14:paraId="6328D5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21E95268">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苯并(a)芘</w:t>
            </w:r>
          </w:p>
        </w:tc>
        <w:tc>
          <w:tcPr>
            <w:tcW w:w="2002" w:type="pct"/>
            <w:vMerge w:val="continue"/>
            <w:tcBorders>
              <w:tl2br w:val="nil"/>
              <w:tr2bl w:val="nil"/>
            </w:tcBorders>
            <w:vAlign w:val="center"/>
          </w:tcPr>
          <w:p w14:paraId="6B4D6E43">
            <w:pPr>
              <w:pStyle w:val="44"/>
              <w:bidi w:val="0"/>
              <w:rPr>
                <w:rFonts w:hint="default" w:ascii="Times New Roman" w:hAnsi="Times New Roman" w:cs="Times New Roman"/>
                <w:color w:val="auto"/>
                <w:lang w:eastAsia="zh-CN"/>
              </w:rPr>
            </w:pPr>
          </w:p>
        </w:tc>
        <w:tc>
          <w:tcPr>
            <w:tcW w:w="1093" w:type="pct"/>
            <w:vMerge w:val="continue"/>
            <w:tcBorders>
              <w:tl2br w:val="nil"/>
              <w:tr2bl w:val="nil"/>
            </w:tcBorders>
            <w:vAlign w:val="center"/>
          </w:tcPr>
          <w:p w14:paraId="563C9176">
            <w:pPr>
              <w:pStyle w:val="44"/>
              <w:bidi w:val="0"/>
              <w:rPr>
                <w:rFonts w:hint="default" w:ascii="Times New Roman" w:hAnsi="Times New Roman" w:cs="Times New Roman"/>
                <w:color w:val="auto"/>
                <w:lang w:eastAsia="zh-CN"/>
              </w:rPr>
            </w:pPr>
          </w:p>
        </w:tc>
        <w:tc>
          <w:tcPr>
            <w:tcW w:w="528" w:type="pct"/>
            <w:tcBorders>
              <w:tl2br w:val="nil"/>
              <w:tr2bl w:val="nil"/>
            </w:tcBorders>
            <w:vAlign w:val="center"/>
          </w:tcPr>
          <w:p w14:paraId="079BEA6C">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0.1</w:t>
            </w:r>
          </w:p>
        </w:tc>
        <w:tc>
          <w:tcPr>
            <w:tcW w:w="486" w:type="pct"/>
            <w:tcBorders>
              <w:tl2br w:val="nil"/>
              <w:tr2bl w:val="nil"/>
            </w:tcBorders>
            <w:vAlign w:val="center"/>
          </w:tcPr>
          <w:p w14:paraId="16D3AA18">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mg/kg</w:t>
            </w:r>
          </w:p>
        </w:tc>
      </w:tr>
      <w:tr w14:paraId="5146CE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0270283F">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茚并(1,2,3-c,d)芘</w:t>
            </w:r>
          </w:p>
        </w:tc>
        <w:tc>
          <w:tcPr>
            <w:tcW w:w="2002" w:type="pct"/>
            <w:vMerge w:val="continue"/>
            <w:tcBorders>
              <w:tl2br w:val="nil"/>
              <w:tr2bl w:val="nil"/>
            </w:tcBorders>
            <w:vAlign w:val="center"/>
          </w:tcPr>
          <w:p w14:paraId="0C91EEF5">
            <w:pPr>
              <w:pStyle w:val="44"/>
              <w:bidi w:val="0"/>
              <w:rPr>
                <w:rFonts w:hint="default" w:ascii="Times New Roman" w:hAnsi="Times New Roman" w:cs="Times New Roman"/>
                <w:color w:val="auto"/>
                <w:lang w:eastAsia="zh-CN"/>
              </w:rPr>
            </w:pPr>
          </w:p>
        </w:tc>
        <w:tc>
          <w:tcPr>
            <w:tcW w:w="1093" w:type="pct"/>
            <w:vMerge w:val="continue"/>
            <w:tcBorders>
              <w:tl2br w:val="nil"/>
              <w:tr2bl w:val="nil"/>
            </w:tcBorders>
            <w:vAlign w:val="center"/>
          </w:tcPr>
          <w:p w14:paraId="6935C5F3">
            <w:pPr>
              <w:pStyle w:val="44"/>
              <w:bidi w:val="0"/>
              <w:rPr>
                <w:rFonts w:hint="default" w:ascii="Times New Roman" w:hAnsi="Times New Roman" w:cs="Times New Roman"/>
                <w:color w:val="auto"/>
                <w:lang w:eastAsia="zh-CN"/>
              </w:rPr>
            </w:pPr>
          </w:p>
        </w:tc>
        <w:tc>
          <w:tcPr>
            <w:tcW w:w="528" w:type="pct"/>
            <w:tcBorders>
              <w:tl2br w:val="nil"/>
              <w:tr2bl w:val="nil"/>
            </w:tcBorders>
            <w:vAlign w:val="center"/>
          </w:tcPr>
          <w:p w14:paraId="128E9CCF">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0.1</w:t>
            </w:r>
          </w:p>
        </w:tc>
        <w:tc>
          <w:tcPr>
            <w:tcW w:w="486" w:type="pct"/>
            <w:tcBorders>
              <w:tl2br w:val="nil"/>
              <w:tr2bl w:val="nil"/>
            </w:tcBorders>
            <w:vAlign w:val="center"/>
          </w:tcPr>
          <w:p w14:paraId="28E7BC88">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mg/kg</w:t>
            </w:r>
          </w:p>
        </w:tc>
      </w:tr>
      <w:tr w14:paraId="635927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0DBD6715">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二苯并(a,h)蒽</w:t>
            </w:r>
          </w:p>
        </w:tc>
        <w:tc>
          <w:tcPr>
            <w:tcW w:w="2002" w:type="pct"/>
            <w:vMerge w:val="continue"/>
            <w:tcBorders>
              <w:tl2br w:val="nil"/>
              <w:tr2bl w:val="nil"/>
            </w:tcBorders>
            <w:vAlign w:val="center"/>
          </w:tcPr>
          <w:p w14:paraId="7959157B">
            <w:pPr>
              <w:pStyle w:val="44"/>
              <w:bidi w:val="0"/>
              <w:rPr>
                <w:rFonts w:hint="default" w:ascii="Times New Roman" w:hAnsi="Times New Roman" w:cs="Times New Roman"/>
                <w:color w:val="auto"/>
                <w:lang w:eastAsia="zh-CN"/>
              </w:rPr>
            </w:pPr>
          </w:p>
        </w:tc>
        <w:tc>
          <w:tcPr>
            <w:tcW w:w="1093" w:type="pct"/>
            <w:vMerge w:val="continue"/>
            <w:tcBorders>
              <w:tl2br w:val="nil"/>
              <w:tr2bl w:val="nil"/>
            </w:tcBorders>
            <w:vAlign w:val="center"/>
          </w:tcPr>
          <w:p w14:paraId="16C80938">
            <w:pPr>
              <w:pStyle w:val="44"/>
              <w:bidi w:val="0"/>
              <w:rPr>
                <w:rFonts w:hint="default" w:ascii="Times New Roman" w:hAnsi="Times New Roman" w:cs="Times New Roman"/>
                <w:color w:val="auto"/>
                <w:lang w:eastAsia="zh-CN"/>
              </w:rPr>
            </w:pPr>
          </w:p>
        </w:tc>
        <w:tc>
          <w:tcPr>
            <w:tcW w:w="528" w:type="pct"/>
            <w:tcBorders>
              <w:tl2br w:val="nil"/>
              <w:tr2bl w:val="nil"/>
            </w:tcBorders>
            <w:vAlign w:val="center"/>
          </w:tcPr>
          <w:p w14:paraId="7960241F">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0.1</w:t>
            </w:r>
          </w:p>
        </w:tc>
        <w:tc>
          <w:tcPr>
            <w:tcW w:w="486" w:type="pct"/>
            <w:tcBorders>
              <w:tl2br w:val="nil"/>
              <w:tr2bl w:val="nil"/>
            </w:tcBorders>
            <w:vAlign w:val="center"/>
          </w:tcPr>
          <w:p w14:paraId="16DE888A">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mg/kg</w:t>
            </w:r>
          </w:p>
        </w:tc>
      </w:tr>
      <w:tr w14:paraId="5F822A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09D4B868">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氯甲烷</w:t>
            </w:r>
          </w:p>
        </w:tc>
        <w:tc>
          <w:tcPr>
            <w:tcW w:w="2002" w:type="pct"/>
            <w:vMerge w:val="restart"/>
            <w:tcBorders>
              <w:tl2br w:val="nil"/>
              <w:tr2bl w:val="nil"/>
            </w:tcBorders>
            <w:vAlign w:val="center"/>
          </w:tcPr>
          <w:p w14:paraId="1FFBF17B">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HJ 605-2011 土壤和沉积物 挥发性有机物的测定 吹扫捕集/气相色谱-质谱法</w:t>
            </w:r>
          </w:p>
        </w:tc>
        <w:tc>
          <w:tcPr>
            <w:tcW w:w="1093" w:type="pct"/>
            <w:vMerge w:val="restart"/>
            <w:tcBorders>
              <w:tl2br w:val="nil"/>
              <w:tr2bl w:val="nil"/>
            </w:tcBorders>
            <w:vAlign w:val="center"/>
          </w:tcPr>
          <w:p w14:paraId="075A517D">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气相色谱质谱联用仪8860-5977B</w:t>
            </w:r>
          </w:p>
        </w:tc>
        <w:tc>
          <w:tcPr>
            <w:tcW w:w="528" w:type="pct"/>
            <w:tcBorders>
              <w:tl2br w:val="nil"/>
              <w:tr2bl w:val="nil"/>
            </w:tcBorders>
            <w:vAlign w:val="center"/>
          </w:tcPr>
          <w:p w14:paraId="6278A79B">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1.0</w:t>
            </w:r>
          </w:p>
        </w:tc>
        <w:tc>
          <w:tcPr>
            <w:tcW w:w="486" w:type="pct"/>
            <w:tcBorders>
              <w:tl2br w:val="nil"/>
              <w:tr2bl w:val="nil"/>
            </w:tcBorders>
            <w:vAlign w:val="center"/>
          </w:tcPr>
          <w:p w14:paraId="726221E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μg/kg</w:t>
            </w:r>
          </w:p>
        </w:tc>
      </w:tr>
      <w:tr w14:paraId="57E529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7E33391A">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氯乙烯</w:t>
            </w:r>
          </w:p>
        </w:tc>
        <w:tc>
          <w:tcPr>
            <w:tcW w:w="2002" w:type="pct"/>
            <w:vMerge w:val="continue"/>
            <w:tcBorders>
              <w:tl2br w:val="nil"/>
              <w:tr2bl w:val="nil"/>
            </w:tcBorders>
            <w:vAlign w:val="center"/>
          </w:tcPr>
          <w:p w14:paraId="4F934E17">
            <w:pPr>
              <w:pStyle w:val="44"/>
              <w:bidi w:val="0"/>
              <w:rPr>
                <w:rFonts w:hint="default" w:ascii="Times New Roman" w:hAnsi="Times New Roman" w:cs="Times New Roman"/>
                <w:color w:val="auto"/>
                <w:lang w:eastAsia="zh-CN"/>
              </w:rPr>
            </w:pPr>
          </w:p>
        </w:tc>
        <w:tc>
          <w:tcPr>
            <w:tcW w:w="1093" w:type="pct"/>
            <w:vMerge w:val="continue"/>
            <w:tcBorders>
              <w:tl2br w:val="nil"/>
              <w:tr2bl w:val="nil"/>
            </w:tcBorders>
            <w:vAlign w:val="center"/>
          </w:tcPr>
          <w:p w14:paraId="63621F9C">
            <w:pPr>
              <w:pStyle w:val="44"/>
              <w:bidi w:val="0"/>
              <w:rPr>
                <w:rFonts w:hint="default" w:ascii="Times New Roman" w:hAnsi="Times New Roman" w:cs="Times New Roman"/>
                <w:color w:val="auto"/>
                <w:lang w:eastAsia="zh-CN"/>
              </w:rPr>
            </w:pPr>
          </w:p>
        </w:tc>
        <w:tc>
          <w:tcPr>
            <w:tcW w:w="528" w:type="pct"/>
            <w:tcBorders>
              <w:tl2br w:val="nil"/>
              <w:tr2bl w:val="nil"/>
            </w:tcBorders>
            <w:vAlign w:val="center"/>
          </w:tcPr>
          <w:p w14:paraId="1D1BAFC2">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1.0</w:t>
            </w:r>
          </w:p>
        </w:tc>
        <w:tc>
          <w:tcPr>
            <w:tcW w:w="486" w:type="pct"/>
            <w:tcBorders>
              <w:tl2br w:val="nil"/>
              <w:tr2bl w:val="nil"/>
            </w:tcBorders>
            <w:vAlign w:val="center"/>
          </w:tcPr>
          <w:p w14:paraId="49DC464D">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μg/kg</w:t>
            </w:r>
          </w:p>
        </w:tc>
      </w:tr>
      <w:tr w14:paraId="676023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42A69695">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1,1-二氯乙烯</w:t>
            </w:r>
          </w:p>
        </w:tc>
        <w:tc>
          <w:tcPr>
            <w:tcW w:w="2002" w:type="pct"/>
            <w:vMerge w:val="continue"/>
            <w:tcBorders>
              <w:tl2br w:val="nil"/>
              <w:tr2bl w:val="nil"/>
            </w:tcBorders>
            <w:vAlign w:val="center"/>
          </w:tcPr>
          <w:p w14:paraId="17D8E2E0">
            <w:pPr>
              <w:pStyle w:val="44"/>
              <w:bidi w:val="0"/>
              <w:rPr>
                <w:rFonts w:hint="default" w:ascii="Times New Roman" w:hAnsi="Times New Roman" w:cs="Times New Roman"/>
                <w:color w:val="auto"/>
                <w:lang w:eastAsia="zh-CN"/>
              </w:rPr>
            </w:pPr>
          </w:p>
        </w:tc>
        <w:tc>
          <w:tcPr>
            <w:tcW w:w="1093" w:type="pct"/>
            <w:vMerge w:val="continue"/>
            <w:tcBorders>
              <w:tl2br w:val="nil"/>
              <w:tr2bl w:val="nil"/>
            </w:tcBorders>
            <w:vAlign w:val="center"/>
          </w:tcPr>
          <w:p w14:paraId="3C85DE58">
            <w:pPr>
              <w:pStyle w:val="44"/>
              <w:bidi w:val="0"/>
              <w:rPr>
                <w:rFonts w:hint="default" w:ascii="Times New Roman" w:hAnsi="Times New Roman" w:cs="Times New Roman"/>
                <w:color w:val="auto"/>
                <w:lang w:eastAsia="zh-CN"/>
              </w:rPr>
            </w:pPr>
          </w:p>
        </w:tc>
        <w:tc>
          <w:tcPr>
            <w:tcW w:w="528" w:type="pct"/>
            <w:tcBorders>
              <w:tl2br w:val="nil"/>
              <w:tr2bl w:val="nil"/>
            </w:tcBorders>
            <w:vAlign w:val="center"/>
          </w:tcPr>
          <w:p w14:paraId="50B8F1B6">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1.0</w:t>
            </w:r>
          </w:p>
        </w:tc>
        <w:tc>
          <w:tcPr>
            <w:tcW w:w="486" w:type="pct"/>
            <w:tcBorders>
              <w:tl2br w:val="nil"/>
              <w:tr2bl w:val="nil"/>
            </w:tcBorders>
            <w:vAlign w:val="center"/>
          </w:tcPr>
          <w:p w14:paraId="40718C0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μg/kg</w:t>
            </w:r>
          </w:p>
        </w:tc>
      </w:tr>
      <w:tr w14:paraId="4E4140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1941A44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二氯甲烷</w:t>
            </w:r>
          </w:p>
        </w:tc>
        <w:tc>
          <w:tcPr>
            <w:tcW w:w="2002" w:type="pct"/>
            <w:vMerge w:val="continue"/>
            <w:tcBorders>
              <w:tl2br w:val="nil"/>
              <w:tr2bl w:val="nil"/>
            </w:tcBorders>
            <w:vAlign w:val="center"/>
          </w:tcPr>
          <w:p w14:paraId="2DC71D85">
            <w:pPr>
              <w:pStyle w:val="44"/>
              <w:bidi w:val="0"/>
              <w:rPr>
                <w:rFonts w:hint="default" w:ascii="Times New Roman" w:hAnsi="Times New Roman" w:cs="Times New Roman"/>
                <w:color w:val="auto"/>
                <w:lang w:eastAsia="zh-CN"/>
              </w:rPr>
            </w:pPr>
          </w:p>
        </w:tc>
        <w:tc>
          <w:tcPr>
            <w:tcW w:w="1093" w:type="pct"/>
            <w:vMerge w:val="continue"/>
            <w:tcBorders>
              <w:tl2br w:val="nil"/>
              <w:tr2bl w:val="nil"/>
            </w:tcBorders>
            <w:vAlign w:val="center"/>
          </w:tcPr>
          <w:p w14:paraId="5EDFD9DC">
            <w:pPr>
              <w:pStyle w:val="44"/>
              <w:bidi w:val="0"/>
              <w:rPr>
                <w:rFonts w:hint="default" w:ascii="Times New Roman" w:hAnsi="Times New Roman" w:cs="Times New Roman"/>
                <w:color w:val="auto"/>
                <w:lang w:eastAsia="zh-CN"/>
              </w:rPr>
            </w:pPr>
          </w:p>
        </w:tc>
        <w:tc>
          <w:tcPr>
            <w:tcW w:w="528" w:type="pct"/>
            <w:tcBorders>
              <w:tl2br w:val="nil"/>
              <w:tr2bl w:val="nil"/>
            </w:tcBorders>
            <w:vAlign w:val="center"/>
          </w:tcPr>
          <w:p w14:paraId="0DB8ECAE">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1.5</w:t>
            </w:r>
          </w:p>
        </w:tc>
        <w:tc>
          <w:tcPr>
            <w:tcW w:w="486" w:type="pct"/>
            <w:tcBorders>
              <w:tl2br w:val="nil"/>
              <w:tr2bl w:val="nil"/>
            </w:tcBorders>
            <w:vAlign w:val="center"/>
          </w:tcPr>
          <w:p w14:paraId="7E2B5D86">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μg/kg</w:t>
            </w:r>
          </w:p>
        </w:tc>
      </w:tr>
      <w:tr w14:paraId="3AA4C2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3F8A5DCD">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反-1,2-二氯乙烯</w:t>
            </w:r>
          </w:p>
        </w:tc>
        <w:tc>
          <w:tcPr>
            <w:tcW w:w="2002" w:type="pct"/>
            <w:vMerge w:val="continue"/>
            <w:tcBorders>
              <w:tl2br w:val="nil"/>
              <w:tr2bl w:val="nil"/>
            </w:tcBorders>
            <w:vAlign w:val="center"/>
          </w:tcPr>
          <w:p w14:paraId="051D0C4E">
            <w:pPr>
              <w:pStyle w:val="44"/>
              <w:bidi w:val="0"/>
              <w:rPr>
                <w:rFonts w:hint="default" w:ascii="Times New Roman" w:hAnsi="Times New Roman" w:cs="Times New Roman"/>
                <w:color w:val="auto"/>
                <w:lang w:eastAsia="zh-CN"/>
              </w:rPr>
            </w:pPr>
          </w:p>
        </w:tc>
        <w:tc>
          <w:tcPr>
            <w:tcW w:w="1093" w:type="pct"/>
            <w:vMerge w:val="continue"/>
            <w:tcBorders>
              <w:tl2br w:val="nil"/>
              <w:tr2bl w:val="nil"/>
            </w:tcBorders>
            <w:vAlign w:val="center"/>
          </w:tcPr>
          <w:p w14:paraId="26A8A3A0">
            <w:pPr>
              <w:pStyle w:val="44"/>
              <w:bidi w:val="0"/>
              <w:rPr>
                <w:rFonts w:hint="default" w:ascii="Times New Roman" w:hAnsi="Times New Roman" w:cs="Times New Roman"/>
                <w:color w:val="auto"/>
                <w:lang w:eastAsia="zh-CN"/>
              </w:rPr>
            </w:pPr>
          </w:p>
        </w:tc>
        <w:tc>
          <w:tcPr>
            <w:tcW w:w="528" w:type="pct"/>
            <w:tcBorders>
              <w:tl2br w:val="nil"/>
              <w:tr2bl w:val="nil"/>
            </w:tcBorders>
            <w:vAlign w:val="center"/>
          </w:tcPr>
          <w:p w14:paraId="7CD7884A">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1.4</w:t>
            </w:r>
          </w:p>
        </w:tc>
        <w:tc>
          <w:tcPr>
            <w:tcW w:w="486" w:type="pct"/>
            <w:tcBorders>
              <w:tl2br w:val="nil"/>
              <w:tr2bl w:val="nil"/>
            </w:tcBorders>
            <w:vAlign w:val="center"/>
          </w:tcPr>
          <w:p w14:paraId="1094F305">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μg/kg</w:t>
            </w:r>
          </w:p>
        </w:tc>
      </w:tr>
      <w:tr w14:paraId="26C6D9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3F039456">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1,1-二氯乙烷</w:t>
            </w:r>
          </w:p>
        </w:tc>
        <w:tc>
          <w:tcPr>
            <w:tcW w:w="2002" w:type="pct"/>
            <w:vMerge w:val="continue"/>
            <w:tcBorders>
              <w:tl2br w:val="nil"/>
              <w:tr2bl w:val="nil"/>
            </w:tcBorders>
            <w:vAlign w:val="center"/>
          </w:tcPr>
          <w:p w14:paraId="5A67C28F">
            <w:pPr>
              <w:pStyle w:val="44"/>
              <w:bidi w:val="0"/>
              <w:rPr>
                <w:rFonts w:hint="default" w:ascii="Times New Roman" w:hAnsi="Times New Roman" w:cs="Times New Roman"/>
                <w:color w:val="auto"/>
                <w:lang w:eastAsia="zh-CN"/>
              </w:rPr>
            </w:pPr>
          </w:p>
        </w:tc>
        <w:tc>
          <w:tcPr>
            <w:tcW w:w="1093" w:type="pct"/>
            <w:vMerge w:val="continue"/>
            <w:tcBorders>
              <w:tl2br w:val="nil"/>
              <w:tr2bl w:val="nil"/>
            </w:tcBorders>
            <w:vAlign w:val="center"/>
          </w:tcPr>
          <w:p w14:paraId="6F94D7D9">
            <w:pPr>
              <w:pStyle w:val="44"/>
              <w:bidi w:val="0"/>
              <w:rPr>
                <w:rFonts w:hint="default" w:ascii="Times New Roman" w:hAnsi="Times New Roman" w:cs="Times New Roman"/>
                <w:color w:val="auto"/>
                <w:lang w:eastAsia="zh-CN"/>
              </w:rPr>
            </w:pPr>
          </w:p>
        </w:tc>
        <w:tc>
          <w:tcPr>
            <w:tcW w:w="528" w:type="pct"/>
            <w:tcBorders>
              <w:tl2br w:val="nil"/>
              <w:tr2bl w:val="nil"/>
            </w:tcBorders>
            <w:vAlign w:val="center"/>
          </w:tcPr>
          <w:p w14:paraId="0264EF89">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1.2</w:t>
            </w:r>
          </w:p>
        </w:tc>
        <w:tc>
          <w:tcPr>
            <w:tcW w:w="486" w:type="pct"/>
            <w:tcBorders>
              <w:tl2br w:val="nil"/>
              <w:tr2bl w:val="nil"/>
            </w:tcBorders>
            <w:vAlign w:val="center"/>
          </w:tcPr>
          <w:p w14:paraId="280A8A72">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μg/kg</w:t>
            </w:r>
          </w:p>
        </w:tc>
      </w:tr>
      <w:tr w14:paraId="3C9C03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7CB924CD">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顺-1,2-二氯乙烯</w:t>
            </w:r>
          </w:p>
        </w:tc>
        <w:tc>
          <w:tcPr>
            <w:tcW w:w="2002" w:type="pct"/>
            <w:vMerge w:val="continue"/>
            <w:tcBorders>
              <w:tl2br w:val="nil"/>
              <w:tr2bl w:val="nil"/>
            </w:tcBorders>
            <w:vAlign w:val="center"/>
          </w:tcPr>
          <w:p w14:paraId="77AB25BC">
            <w:pPr>
              <w:pStyle w:val="44"/>
              <w:bidi w:val="0"/>
              <w:rPr>
                <w:rFonts w:hint="default" w:ascii="Times New Roman" w:hAnsi="Times New Roman" w:cs="Times New Roman"/>
                <w:color w:val="auto"/>
                <w:lang w:eastAsia="zh-CN"/>
              </w:rPr>
            </w:pPr>
          </w:p>
        </w:tc>
        <w:tc>
          <w:tcPr>
            <w:tcW w:w="1093" w:type="pct"/>
            <w:vMerge w:val="continue"/>
            <w:tcBorders>
              <w:tl2br w:val="nil"/>
              <w:tr2bl w:val="nil"/>
            </w:tcBorders>
            <w:vAlign w:val="center"/>
          </w:tcPr>
          <w:p w14:paraId="4B29CD3D">
            <w:pPr>
              <w:pStyle w:val="44"/>
              <w:bidi w:val="0"/>
              <w:rPr>
                <w:rFonts w:hint="default" w:ascii="Times New Roman" w:hAnsi="Times New Roman" w:cs="Times New Roman"/>
                <w:color w:val="auto"/>
                <w:lang w:eastAsia="zh-CN"/>
              </w:rPr>
            </w:pPr>
          </w:p>
        </w:tc>
        <w:tc>
          <w:tcPr>
            <w:tcW w:w="528" w:type="pct"/>
            <w:tcBorders>
              <w:tl2br w:val="nil"/>
              <w:tr2bl w:val="nil"/>
            </w:tcBorders>
            <w:vAlign w:val="center"/>
          </w:tcPr>
          <w:p w14:paraId="43D9F531">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1.3</w:t>
            </w:r>
          </w:p>
        </w:tc>
        <w:tc>
          <w:tcPr>
            <w:tcW w:w="486" w:type="pct"/>
            <w:tcBorders>
              <w:tl2br w:val="nil"/>
              <w:tr2bl w:val="nil"/>
            </w:tcBorders>
            <w:vAlign w:val="center"/>
          </w:tcPr>
          <w:p w14:paraId="134D996C">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μg/kg</w:t>
            </w:r>
          </w:p>
        </w:tc>
      </w:tr>
      <w:tr w14:paraId="175D32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718FE1AA">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氯仿</w:t>
            </w:r>
          </w:p>
        </w:tc>
        <w:tc>
          <w:tcPr>
            <w:tcW w:w="2002" w:type="pct"/>
            <w:vMerge w:val="continue"/>
            <w:tcBorders>
              <w:tl2br w:val="nil"/>
              <w:tr2bl w:val="nil"/>
            </w:tcBorders>
            <w:vAlign w:val="center"/>
          </w:tcPr>
          <w:p w14:paraId="61417ECB">
            <w:pPr>
              <w:pStyle w:val="44"/>
              <w:bidi w:val="0"/>
              <w:rPr>
                <w:rFonts w:hint="default" w:ascii="Times New Roman" w:hAnsi="Times New Roman" w:cs="Times New Roman"/>
                <w:color w:val="auto"/>
                <w:lang w:eastAsia="zh-CN"/>
              </w:rPr>
            </w:pPr>
          </w:p>
        </w:tc>
        <w:tc>
          <w:tcPr>
            <w:tcW w:w="1093" w:type="pct"/>
            <w:vMerge w:val="continue"/>
            <w:tcBorders>
              <w:tl2br w:val="nil"/>
              <w:tr2bl w:val="nil"/>
            </w:tcBorders>
            <w:vAlign w:val="center"/>
          </w:tcPr>
          <w:p w14:paraId="1D86DAC2">
            <w:pPr>
              <w:pStyle w:val="44"/>
              <w:bidi w:val="0"/>
              <w:rPr>
                <w:rFonts w:hint="default" w:ascii="Times New Roman" w:hAnsi="Times New Roman" w:cs="Times New Roman"/>
                <w:color w:val="auto"/>
                <w:lang w:eastAsia="zh-CN"/>
              </w:rPr>
            </w:pPr>
          </w:p>
        </w:tc>
        <w:tc>
          <w:tcPr>
            <w:tcW w:w="528" w:type="pct"/>
            <w:tcBorders>
              <w:tl2br w:val="nil"/>
              <w:tr2bl w:val="nil"/>
            </w:tcBorders>
            <w:vAlign w:val="center"/>
          </w:tcPr>
          <w:p w14:paraId="1924CBFB">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1.1</w:t>
            </w:r>
          </w:p>
        </w:tc>
        <w:tc>
          <w:tcPr>
            <w:tcW w:w="486" w:type="pct"/>
            <w:tcBorders>
              <w:tl2br w:val="nil"/>
              <w:tr2bl w:val="nil"/>
            </w:tcBorders>
            <w:vAlign w:val="center"/>
          </w:tcPr>
          <w:p w14:paraId="3091F63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μg/kg</w:t>
            </w:r>
          </w:p>
        </w:tc>
      </w:tr>
      <w:tr w14:paraId="6D7A23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10855EB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1,1,1-三氯乙烷</w:t>
            </w:r>
          </w:p>
        </w:tc>
        <w:tc>
          <w:tcPr>
            <w:tcW w:w="2002" w:type="pct"/>
            <w:vMerge w:val="continue"/>
            <w:tcBorders>
              <w:tl2br w:val="nil"/>
              <w:tr2bl w:val="nil"/>
            </w:tcBorders>
            <w:vAlign w:val="center"/>
          </w:tcPr>
          <w:p w14:paraId="14B67B6A">
            <w:pPr>
              <w:pStyle w:val="44"/>
              <w:bidi w:val="0"/>
              <w:rPr>
                <w:rFonts w:hint="default" w:ascii="Times New Roman" w:hAnsi="Times New Roman" w:cs="Times New Roman"/>
                <w:color w:val="auto"/>
                <w:lang w:eastAsia="zh-CN"/>
              </w:rPr>
            </w:pPr>
          </w:p>
        </w:tc>
        <w:tc>
          <w:tcPr>
            <w:tcW w:w="1093" w:type="pct"/>
            <w:vMerge w:val="continue"/>
            <w:tcBorders>
              <w:tl2br w:val="nil"/>
              <w:tr2bl w:val="nil"/>
            </w:tcBorders>
            <w:vAlign w:val="center"/>
          </w:tcPr>
          <w:p w14:paraId="16519D1C">
            <w:pPr>
              <w:pStyle w:val="44"/>
              <w:bidi w:val="0"/>
              <w:rPr>
                <w:rFonts w:hint="default" w:ascii="Times New Roman" w:hAnsi="Times New Roman" w:cs="Times New Roman"/>
                <w:color w:val="auto"/>
                <w:lang w:eastAsia="zh-CN"/>
              </w:rPr>
            </w:pPr>
          </w:p>
        </w:tc>
        <w:tc>
          <w:tcPr>
            <w:tcW w:w="528" w:type="pct"/>
            <w:tcBorders>
              <w:tl2br w:val="nil"/>
              <w:tr2bl w:val="nil"/>
            </w:tcBorders>
            <w:vAlign w:val="center"/>
          </w:tcPr>
          <w:p w14:paraId="6EDB3DE2">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1.3</w:t>
            </w:r>
          </w:p>
        </w:tc>
        <w:tc>
          <w:tcPr>
            <w:tcW w:w="486" w:type="pct"/>
            <w:tcBorders>
              <w:tl2br w:val="nil"/>
              <w:tr2bl w:val="nil"/>
            </w:tcBorders>
            <w:vAlign w:val="center"/>
          </w:tcPr>
          <w:p w14:paraId="0E4BA9E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μg/kg</w:t>
            </w:r>
          </w:p>
        </w:tc>
      </w:tr>
      <w:tr w14:paraId="6B55A4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64F85098">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四氯化碳</w:t>
            </w:r>
          </w:p>
        </w:tc>
        <w:tc>
          <w:tcPr>
            <w:tcW w:w="2002" w:type="pct"/>
            <w:vMerge w:val="continue"/>
            <w:tcBorders>
              <w:tl2br w:val="nil"/>
              <w:tr2bl w:val="nil"/>
            </w:tcBorders>
            <w:vAlign w:val="center"/>
          </w:tcPr>
          <w:p w14:paraId="23B22FC0">
            <w:pPr>
              <w:pStyle w:val="44"/>
              <w:bidi w:val="0"/>
              <w:rPr>
                <w:rFonts w:hint="default" w:ascii="Times New Roman" w:hAnsi="Times New Roman" w:cs="Times New Roman"/>
                <w:color w:val="auto"/>
                <w:lang w:eastAsia="zh-CN"/>
              </w:rPr>
            </w:pPr>
          </w:p>
        </w:tc>
        <w:tc>
          <w:tcPr>
            <w:tcW w:w="1093" w:type="pct"/>
            <w:vMerge w:val="continue"/>
            <w:tcBorders>
              <w:tl2br w:val="nil"/>
              <w:tr2bl w:val="nil"/>
            </w:tcBorders>
            <w:vAlign w:val="center"/>
          </w:tcPr>
          <w:p w14:paraId="66E20B6C">
            <w:pPr>
              <w:pStyle w:val="44"/>
              <w:bidi w:val="0"/>
              <w:rPr>
                <w:rFonts w:hint="default" w:ascii="Times New Roman" w:hAnsi="Times New Roman" w:cs="Times New Roman"/>
                <w:color w:val="auto"/>
                <w:lang w:eastAsia="zh-CN"/>
              </w:rPr>
            </w:pPr>
          </w:p>
        </w:tc>
        <w:tc>
          <w:tcPr>
            <w:tcW w:w="528" w:type="pct"/>
            <w:tcBorders>
              <w:tl2br w:val="nil"/>
              <w:tr2bl w:val="nil"/>
            </w:tcBorders>
            <w:vAlign w:val="center"/>
          </w:tcPr>
          <w:p w14:paraId="799A6890">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1.3</w:t>
            </w:r>
          </w:p>
        </w:tc>
        <w:tc>
          <w:tcPr>
            <w:tcW w:w="486" w:type="pct"/>
            <w:tcBorders>
              <w:tl2br w:val="nil"/>
              <w:tr2bl w:val="nil"/>
            </w:tcBorders>
            <w:vAlign w:val="center"/>
          </w:tcPr>
          <w:p w14:paraId="3BE511A4">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μg/kg</w:t>
            </w:r>
          </w:p>
        </w:tc>
      </w:tr>
      <w:tr w14:paraId="502B21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2EA7B833">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苯</w:t>
            </w:r>
          </w:p>
        </w:tc>
        <w:tc>
          <w:tcPr>
            <w:tcW w:w="2002" w:type="pct"/>
            <w:vMerge w:val="continue"/>
            <w:tcBorders>
              <w:tl2br w:val="nil"/>
              <w:tr2bl w:val="nil"/>
            </w:tcBorders>
            <w:vAlign w:val="center"/>
          </w:tcPr>
          <w:p w14:paraId="488B1034">
            <w:pPr>
              <w:pStyle w:val="44"/>
              <w:bidi w:val="0"/>
              <w:rPr>
                <w:rFonts w:hint="default" w:ascii="Times New Roman" w:hAnsi="Times New Roman" w:cs="Times New Roman"/>
                <w:color w:val="auto"/>
                <w:lang w:eastAsia="zh-CN"/>
              </w:rPr>
            </w:pPr>
          </w:p>
        </w:tc>
        <w:tc>
          <w:tcPr>
            <w:tcW w:w="1093" w:type="pct"/>
            <w:vMerge w:val="continue"/>
            <w:tcBorders>
              <w:tl2br w:val="nil"/>
              <w:tr2bl w:val="nil"/>
            </w:tcBorders>
            <w:vAlign w:val="center"/>
          </w:tcPr>
          <w:p w14:paraId="50F1E9EE">
            <w:pPr>
              <w:pStyle w:val="44"/>
              <w:bidi w:val="0"/>
              <w:rPr>
                <w:rFonts w:hint="default" w:ascii="Times New Roman" w:hAnsi="Times New Roman" w:cs="Times New Roman"/>
                <w:color w:val="auto"/>
                <w:lang w:eastAsia="zh-CN"/>
              </w:rPr>
            </w:pPr>
          </w:p>
        </w:tc>
        <w:tc>
          <w:tcPr>
            <w:tcW w:w="528" w:type="pct"/>
            <w:tcBorders>
              <w:tl2br w:val="nil"/>
              <w:tr2bl w:val="nil"/>
            </w:tcBorders>
            <w:vAlign w:val="center"/>
          </w:tcPr>
          <w:p w14:paraId="470D5725">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1.9</w:t>
            </w:r>
          </w:p>
        </w:tc>
        <w:tc>
          <w:tcPr>
            <w:tcW w:w="486" w:type="pct"/>
            <w:tcBorders>
              <w:tl2br w:val="nil"/>
              <w:tr2bl w:val="nil"/>
            </w:tcBorders>
            <w:vAlign w:val="center"/>
          </w:tcPr>
          <w:p w14:paraId="2A1F4370">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μg/kg</w:t>
            </w:r>
          </w:p>
        </w:tc>
      </w:tr>
      <w:tr w14:paraId="03BA1C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6939E29D">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1,2-二氯乙烷</w:t>
            </w:r>
          </w:p>
        </w:tc>
        <w:tc>
          <w:tcPr>
            <w:tcW w:w="2002" w:type="pct"/>
            <w:vMerge w:val="continue"/>
            <w:tcBorders>
              <w:tl2br w:val="nil"/>
              <w:tr2bl w:val="nil"/>
            </w:tcBorders>
            <w:vAlign w:val="center"/>
          </w:tcPr>
          <w:p w14:paraId="7479265B">
            <w:pPr>
              <w:pStyle w:val="44"/>
              <w:bidi w:val="0"/>
              <w:rPr>
                <w:rFonts w:hint="default" w:ascii="Times New Roman" w:hAnsi="Times New Roman" w:cs="Times New Roman"/>
                <w:color w:val="auto"/>
                <w:lang w:eastAsia="zh-CN"/>
              </w:rPr>
            </w:pPr>
          </w:p>
        </w:tc>
        <w:tc>
          <w:tcPr>
            <w:tcW w:w="1093" w:type="pct"/>
            <w:vMerge w:val="continue"/>
            <w:tcBorders>
              <w:tl2br w:val="nil"/>
              <w:tr2bl w:val="nil"/>
            </w:tcBorders>
            <w:vAlign w:val="center"/>
          </w:tcPr>
          <w:p w14:paraId="1CDD47BD">
            <w:pPr>
              <w:pStyle w:val="44"/>
              <w:bidi w:val="0"/>
              <w:rPr>
                <w:rFonts w:hint="default" w:ascii="Times New Roman" w:hAnsi="Times New Roman" w:cs="Times New Roman"/>
                <w:color w:val="auto"/>
                <w:lang w:eastAsia="zh-CN"/>
              </w:rPr>
            </w:pPr>
          </w:p>
        </w:tc>
        <w:tc>
          <w:tcPr>
            <w:tcW w:w="528" w:type="pct"/>
            <w:tcBorders>
              <w:tl2br w:val="nil"/>
              <w:tr2bl w:val="nil"/>
            </w:tcBorders>
            <w:vAlign w:val="center"/>
          </w:tcPr>
          <w:p w14:paraId="2314CF56">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1.3</w:t>
            </w:r>
          </w:p>
        </w:tc>
        <w:tc>
          <w:tcPr>
            <w:tcW w:w="486" w:type="pct"/>
            <w:tcBorders>
              <w:tl2br w:val="nil"/>
              <w:tr2bl w:val="nil"/>
            </w:tcBorders>
            <w:vAlign w:val="center"/>
          </w:tcPr>
          <w:p w14:paraId="64E6FC9C">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μg/kg</w:t>
            </w:r>
          </w:p>
        </w:tc>
      </w:tr>
      <w:tr w14:paraId="1F4A5D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3EC79E1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三氯乙烯</w:t>
            </w:r>
          </w:p>
        </w:tc>
        <w:tc>
          <w:tcPr>
            <w:tcW w:w="2002" w:type="pct"/>
            <w:vMerge w:val="continue"/>
            <w:tcBorders>
              <w:tl2br w:val="nil"/>
              <w:tr2bl w:val="nil"/>
            </w:tcBorders>
            <w:vAlign w:val="center"/>
          </w:tcPr>
          <w:p w14:paraId="49571AE8">
            <w:pPr>
              <w:pStyle w:val="44"/>
              <w:bidi w:val="0"/>
              <w:rPr>
                <w:rFonts w:hint="default" w:ascii="Times New Roman" w:hAnsi="Times New Roman" w:cs="Times New Roman"/>
                <w:color w:val="auto"/>
                <w:lang w:eastAsia="zh-CN"/>
              </w:rPr>
            </w:pPr>
          </w:p>
        </w:tc>
        <w:tc>
          <w:tcPr>
            <w:tcW w:w="1093" w:type="pct"/>
            <w:vMerge w:val="continue"/>
            <w:tcBorders>
              <w:tl2br w:val="nil"/>
              <w:tr2bl w:val="nil"/>
            </w:tcBorders>
            <w:vAlign w:val="center"/>
          </w:tcPr>
          <w:p w14:paraId="0110B596">
            <w:pPr>
              <w:pStyle w:val="44"/>
              <w:bidi w:val="0"/>
              <w:rPr>
                <w:rFonts w:hint="default" w:ascii="Times New Roman" w:hAnsi="Times New Roman" w:cs="Times New Roman"/>
                <w:color w:val="auto"/>
                <w:lang w:eastAsia="zh-CN"/>
              </w:rPr>
            </w:pPr>
          </w:p>
        </w:tc>
        <w:tc>
          <w:tcPr>
            <w:tcW w:w="528" w:type="pct"/>
            <w:tcBorders>
              <w:tl2br w:val="nil"/>
              <w:tr2bl w:val="nil"/>
            </w:tcBorders>
            <w:vAlign w:val="center"/>
          </w:tcPr>
          <w:p w14:paraId="09D5F3AE">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1.2</w:t>
            </w:r>
          </w:p>
        </w:tc>
        <w:tc>
          <w:tcPr>
            <w:tcW w:w="486" w:type="pct"/>
            <w:tcBorders>
              <w:tl2br w:val="nil"/>
              <w:tr2bl w:val="nil"/>
            </w:tcBorders>
            <w:vAlign w:val="center"/>
          </w:tcPr>
          <w:p w14:paraId="1F298B60">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μg/kg</w:t>
            </w:r>
          </w:p>
        </w:tc>
      </w:tr>
      <w:tr w14:paraId="2ECA13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3ABA3C4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1,2-二氯丙烷</w:t>
            </w:r>
          </w:p>
        </w:tc>
        <w:tc>
          <w:tcPr>
            <w:tcW w:w="2002" w:type="pct"/>
            <w:vMerge w:val="continue"/>
            <w:tcBorders>
              <w:tl2br w:val="nil"/>
              <w:tr2bl w:val="nil"/>
            </w:tcBorders>
            <w:vAlign w:val="center"/>
          </w:tcPr>
          <w:p w14:paraId="4172B0E2">
            <w:pPr>
              <w:pStyle w:val="44"/>
              <w:bidi w:val="0"/>
              <w:rPr>
                <w:rFonts w:hint="default" w:ascii="Times New Roman" w:hAnsi="Times New Roman" w:cs="Times New Roman"/>
                <w:color w:val="auto"/>
                <w:lang w:eastAsia="zh-CN"/>
              </w:rPr>
            </w:pPr>
          </w:p>
        </w:tc>
        <w:tc>
          <w:tcPr>
            <w:tcW w:w="1093" w:type="pct"/>
            <w:vMerge w:val="continue"/>
            <w:tcBorders>
              <w:tl2br w:val="nil"/>
              <w:tr2bl w:val="nil"/>
            </w:tcBorders>
            <w:vAlign w:val="center"/>
          </w:tcPr>
          <w:p w14:paraId="3B30FABF">
            <w:pPr>
              <w:pStyle w:val="44"/>
              <w:bidi w:val="0"/>
              <w:rPr>
                <w:rFonts w:hint="default" w:ascii="Times New Roman" w:hAnsi="Times New Roman" w:cs="Times New Roman"/>
                <w:color w:val="auto"/>
                <w:lang w:eastAsia="zh-CN"/>
              </w:rPr>
            </w:pPr>
          </w:p>
        </w:tc>
        <w:tc>
          <w:tcPr>
            <w:tcW w:w="528" w:type="pct"/>
            <w:tcBorders>
              <w:tl2br w:val="nil"/>
              <w:tr2bl w:val="nil"/>
            </w:tcBorders>
            <w:vAlign w:val="center"/>
          </w:tcPr>
          <w:p w14:paraId="0EC71E06">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1.1</w:t>
            </w:r>
          </w:p>
        </w:tc>
        <w:tc>
          <w:tcPr>
            <w:tcW w:w="486" w:type="pct"/>
            <w:tcBorders>
              <w:tl2br w:val="nil"/>
              <w:tr2bl w:val="nil"/>
            </w:tcBorders>
            <w:vAlign w:val="center"/>
          </w:tcPr>
          <w:p w14:paraId="11F4D61D">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μg/kg</w:t>
            </w:r>
          </w:p>
        </w:tc>
      </w:tr>
      <w:tr w14:paraId="227D86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0AD9A1E5">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甲苯</w:t>
            </w:r>
          </w:p>
        </w:tc>
        <w:tc>
          <w:tcPr>
            <w:tcW w:w="2002" w:type="pct"/>
            <w:vMerge w:val="continue"/>
            <w:tcBorders>
              <w:tl2br w:val="nil"/>
              <w:tr2bl w:val="nil"/>
            </w:tcBorders>
            <w:vAlign w:val="center"/>
          </w:tcPr>
          <w:p w14:paraId="4B52A7F1">
            <w:pPr>
              <w:pStyle w:val="44"/>
              <w:bidi w:val="0"/>
              <w:rPr>
                <w:rFonts w:hint="default" w:ascii="Times New Roman" w:hAnsi="Times New Roman" w:cs="Times New Roman"/>
                <w:color w:val="auto"/>
                <w:lang w:eastAsia="zh-CN"/>
              </w:rPr>
            </w:pPr>
          </w:p>
        </w:tc>
        <w:tc>
          <w:tcPr>
            <w:tcW w:w="1093" w:type="pct"/>
            <w:vMerge w:val="continue"/>
            <w:tcBorders>
              <w:tl2br w:val="nil"/>
              <w:tr2bl w:val="nil"/>
            </w:tcBorders>
            <w:vAlign w:val="center"/>
          </w:tcPr>
          <w:p w14:paraId="0AE67F60">
            <w:pPr>
              <w:pStyle w:val="44"/>
              <w:bidi w:val="0"/>
              <w:rPr>
                <w:rFonts w:hint="default" w:ascii="Times New Roman" w:hAnsi="Times New Roman" w:cs="Times New Roman"/>
                <w:color w:val="auto"/>
                <w:lang w:eastAsia="zh-CN"/>
              </w:rPr>
            </w:pPr>
          </w:p>
        </w:tc>
        <w:tc>
          <w:tcPr>
            <w:tcW w:w="528" w:type="pct"/>
            <w:tcBorders>
              <w:tl2br w:val="nil"/>
              <w:tr2bl w:val="nil"/>
            </w:tcBorders>
            <w:vAlign w:val="center"/>
          </w:tcPr>
          <w:p w14:paraId="6DEA0468">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1.3</w:t>
            </w:r>
          </w:p>
        </w:tc>
        <w:tc>
          <w:tcPr>
            <w:tcW w:w="486" w:type="pct"/>
            <w:tcBorders>
              <w:tl2br w:val="nil"/>
              <w:tr2bl w:val="nil"/>
            </w:tcBorders>
            <w:vAlign w:val="center"/>
          </w:tcPr>
          <w:p w14:paraId="5D96DEFE">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μg/kg</w:t>
            </w:r>
          </w:p>
        </w:tc>
      </w:tr>
      <w:tr w14:paraId="223D5F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0B7D54B8">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1,1,2-三氯乙烷</w:t>
            </w:r>
          </w:p>
        </w:tc>
        <w:tc>
          <w:tcPr>
            <w:tcW w:w="2002" w:type="pct"/>
            <w:vMerge w:val="continue"/>
            <w:tcBorders>
              <w:tl2br w:val="nil"/>
              <w:tr2bl w:val="nil"/>
            </w:tcBorders>
            <w:vAlign w:val="center"/>
          </w:tcPr>
          <w:p w14:paraId="7A7550E6">
            <w:pPr>
              <w:pStyle w:val="44"/>
              <w:bidi w:val="0"/>
              <w:rPr>
                <w:rFonts w:hint="default" w:ascii="Times New Roman" w:hAnsi="Times New Roman" w:cs="Times New Roman"/>
                <w:color w:val="auto"/>
                <w:lang w:eastAsia="zh-CN"/>
              </w:rPr>
            </w:pPr>
          </w:p>
        </w:tc>
        <w:tc>
          <w:tcPr>
            <w:tcW w:w="1093" w:type="pct"/>
            <w:vMerge w:val="continue"/>
            <w:tcBorders>
              <w:tl2br w:val="nil"/>
              <w:tr2bl w:val="nil"/>
            </w:tcBorders>
            <w:vAlign w:val="center"/>
          </w:tcPr>
          <w:p w14:paraId="2B3D49FB">
            <w:pPr>
              <w:pStyle w:val="44"/>
              <w:bidi w:val="0"/>
              <w:rPr>
                <w:rFonts w:hint="default" w:ascii="Times New Roman" w:hAnsi="Times New Roman" w:cs="Times New Roman"/>
                <w:color w:val="auto"/>
                <w:lang w:eastAsia="zh-CN"/>
              </w:rPr>
            </w:pPr>
          </w:p>
        </w:tc>
        <w:tc>
          <w:tcPr>
            <w:tcW w:w="528" w:type="pct"/>
            <w:tcBorders>
              <w:tl2br w:val="nil"/>
              <w:tr2bl w:val="nil"/>
            </w:tcBorders>
            <w:vAlign w:val="center"/>
          </w:tcPr>
          <w:p w14:paraId="44BF6222">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1.2</w:t>
            </w:r>
          </w:p>
        </w:tc>
        <w:tc>
          <w:tcPr>
            <w:tcW w:w="486" w:type="pct"/>
            <w:tcBorders>
              <w:tl2br w:val="nil"/>
              <w:tr2bl w:val="nil"/>
            </w:tcBorders>
            <w:vAlign w:val="center"/>
          </w:tcPr>
          <w:p w14:paraId="0658C8FF">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μg/kg</w:t>
            </w:r>
          </w:p>
        </w:tc>
      </w:tr>
      <w:tr w14:paraId="621012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1DC8320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四氯乙烯</w:t>
            </w:r>
          </w:p>
        </w:tc>
        <w:tc>
          <w:tcPr>
            <w:tcW w:w="2002" w:type="pct"/>
            <w:vMerge w:val="continue"/>
            <w:tcBorders>
              <w:tl2br w:val="nil"/>
              <w:tr2bl w:val="nil"/>
            </w:tcBorders>
            <w:vAlign w:val="center"/>
          </w:tcPr>
          <w:p w14:paraId="02CE8912">
            <w:pPr>
              <w:pStyle w:val="44"/>
              <w:bidi w:val="0"/>
              <w:rPr>
                <w:rFonts w:hint="default" w:ascii="Times New Roman" w:hAnsi="Times New Roman" w:cs="Times New Roman"/>
                <w:color w:val="auto"/>
                <w:lang w:eastAsia="zh-CN"/>
              </w:rPr>
            </w:pPr>
          </w:p>
        </w:tc>
        <w:tc>
          <w:tcPr>
            <w:tcW w:w="1093" w:type="pct"/>
            <w:vMerge w:val="continue"/>
            <w:tcBorders>
              <w:tl2br w:val="nil"/>
              <w:tr2bl w:val="nil"/>
            </w:tcBorders>
            <w:vAlign w:val="center"/>
          </w:tcPr>
          <w:p w14:paraId="73D1DAD2">
            <w:pPr>
              <w:pStyle w:val="44"/>
              <w:bidi w:val="0"/>
              <w:rPr>
                <w:rFonts w:hint="default" w:ascii="Times New Roman" w:hAnsi="Times New Roman" w:cs="Times New Roman"/>
                <w:color w:val="auto"/>
                <w:lang w:eastAsia="zh-CN"/>
              </w:rPr>
            </w:pPr>
          </w:p>
        </w:tc>
        <w:tc>
          <w:tcPr>
            <w:tcW w:w="528" w:type="pct"/>
            <w:tcBorders>
              <w:tl2br w:val="nil"/>
              <w:tr2bl w:val="nil"/>
            </w:tcBorders>
            <w:vAlign w:val="center"/>
          </w:tcPr>
          <w:p w14:paraId="1BF20235">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1.4</w:t>
            </w:r>
          </w:p>
        </w:tc>
        <w:tc>
          <w:tcPr>
            <w:tcW w:w="486" w:type="pct"/>
            <w:tcBorders>
              <w:tl2br w:val="nil"/>
              <w:tr2bl w:val="nil"/>
            </w:tcBorders>
            <w:vAlign w:val="center"/>
          </w:tcPr>
          <w:p w14:paraId="4B19A3E8">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μg/kg</w:t>
            </w:r>
          </w:p>
        </w:tc>
      </w:tr>
      <w:tr w14:paraId="2D45FE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454DFE0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氯苯</w:t>
            </w:r>
          </w:p>
        </w:tc>
        <w:tc>
          <w:tcPr>
            <w:tcW w:w="2002" w:type="pct"/>
            <w:vMerge w:val="continue"/>
            <w:tcBorders>
              <w:tl2br w:val="nil"/>
              <w:tr2bl w:val="nil"/>
            </w:tcBorders>
            <w:vAlign w:val="center"/>
          </w:tcPr>
          <w:p w14:paraId="6B687EDC">
            <w:pPr>
              <w:pStyle w:val="44"/>
              <w:bidi w:val="0"/>
              <w:rPr>
                <w:rFonts w:hint="default" w:ascii="Times New Roman" w:hAnsi="Times New Roman" w:cs="Times New Roman"/>
                <w:color w:val="auto"/>
                <w:lang w:eastAsia="zh-CN"/>
              </w:rPr>
            </w:pPr>
          </w:p>
        </w:tc>
        <w:tc>
          <w:tcPr>
            <w:tcW w:w="1093" w:type="pct"/>
            <w:vMerge w:val="continue"/>
            <w:tcBorders>
              <w:tl2br w:val="nil"/>
              <w:tr2bl w:val="nil"/>
            </w:tcBorders>
            <w:vAlign w:val="center"/>
          </w:tcPr>
          <w:p w14:paraId="04A5384C">
            <w:pPr>
              <w:pStyle w:val="44"/>
              <w:bidi w:val="0"/>
              <w:rPr>
                <w:rFonts w:hint="default" w:ascii="Times New Roman" w:hAnsi="Times New Roman" w:cs="Times New Roman"/>
                <w:color w:val="auto"/>
                <w:lang w:eastAsia="zh-CN"/>
              </w:rPr>
            </w:pPr>
          </w:p>
        </w:tc>
        <w:tc>
          <w:tcPr>
            <w:tcW w:w="528" w:type="pct"/>
            <w:tcBorders>
              <w:tl2br w:val="nil"/>
              <w:tr2bl w:val="nil"/>
            </w:tcBorders>
            <w:vAlign w:val="center"/>
          </w:tcPr>
          <w:p w14:paraId="0081BF35">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1.2</w:t>
            </w:r>
          </w:p>
        </w:tc>
        <w:tc>
          <w:tcPr>
            <w:tcW w:w="486" w:type="pct"/>
            <w:tcBorders>
              <w:tl2br w:val="nil"/>
              <w:tr2bl w:val="nil"/>
            </w:tcBorders>
            <w:vAlign w:val="center"/>
          </w:tcPr>
          <w:p w14:paraId="0EE41904">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μg/kg</w:t>
            </w:r>
          </w:p>
        </w:tc>
      </w:tr>
      <w:tr w14:paraId="62A12E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5C7EF0C2">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1,1,1,2-四氯乙烷</w:t>
            </w:r>
          </w:p>
        </w:tc>
        <w:tc>
          <w:tcPr>
            <w:tcW w:w="2002" w:type="pct"/>
            <w:vMerge w:val="continue"/>
            <w:tcBorders>
              <w:tl2br w:val="nil"/>
              <w:tr2bl w:val="nil"/>
            </w:tcBorders>
            <w:vAlign w:val="center"/>
          </w:tcPr>
          <w:p w14:paraId="2C02B5E2">
            <w:pPr>
              <w:pStyle w:val="44"/>
              <w:bidi w:val="0"/>
              <w:rPr>
                <w:rFonts w:hint="default" w:ascii="Times New Roman" w:hAnsi="Times New Roman" w:cs="Times New Roman"/>
                <w:color w:val="auto"/>
                <w:lang w:eastAsia="zh-CN"/>
              </w:rPr>
            </w:pPr>
          </w:p>
        </w:tc>
        <w:tc>
          <w:tcPr>
            <w:tcW w:w="1093" w:type="pct"/>
            <w:vMerge w:val="continue"/>
            <w:tcBorders>
              <w:tl2br w:val="nil"/>
              <w:tr2bl w:val="nil"/>
            </w:tcBorders>
            <w:vAlign w:val="center"/>
          </w:tcPr>
          <w:p w14:paraId="39856DEA">
            <w:pPr>
              <w:pStyle w:val="44"/>
              <w:bidi w:val="0"/>
              <w:rPr>
                <w:rFonts w:hint="default" w:ascii="Times New Roman" w:hAnsi="Times New Roman" w:cs="Times New Roman"/>
                <w:color w:val="auto"/>
                <w:lang w:eastAsia="zh-CN"/>
              </w:rPr>
            </w:pPr>
          </w:p>
        </w:tc>
        <w:tc>
          <w:tcPr>
            <w:tcW w:w="528" w:type="pct"/>
            <w:tcBorders>
              <w:tl2br w:val="nil"/>
              <w:tr2bl w:val="nil"/>
            </w:tcBorders>
            <w:vAlign w:val="center"/>
          </w:tcPr>
          <w:p w14:paraId="27AB7E2C">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1.2</w:t>
            </w:r>
          </w:p>
        </w:tc>
        <w:tc>
          <w:tcPr>
            <w:tcW w:w="486" w:type="pct"/>
            <w:tcBorders>
              <w:tl2br w:val="nil"/>
              <w:tr2bl w:val="nil"/>
            </w:tcBorders>
            <w:vAlign w:val="center"/>
          </w:tcPr>
          <w:p w14:paraId="66887FAF">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μg/kg</w:t>
            </w:r>
          </w:p>
        </w:tc>
      </w:tr>
      <w:tr w14:paraId="64ED2F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1DA969D2">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乙苯</w:t>
            </w:r>
          </w:p>
        </w:tc>
        <w:tc>
          <w:tcPr>
            <w:tcW w:w="2002" w:type="pct"/>
            <w:vMerge w:val="continue"/>
            <w:tcBorders>
              <w:tl2br w:val="nil"/>
              <w:tr2bl w:val="nil"/>
            </w:tcBorders>
            <w:vAlign w:val="center"/>
          </w:tcPr>
          <w:p w14:paraId="5EA8F7AB">
            <w:pPr>
              <w:pStyle w:val="44"/>
              <w:bidi w:val="0"/>
              <w:rPr>
                <w:rFonts w:hint="default" w:ascii="Times New Roman" w:hAnsi="Times New Roman" w:cs="Times New Roman"/>
                <w:color w:val="auto"/>
                <w:lang w:eastAsia="zh-CN"/>
              </w:rPr>
            </w:pPr>
          </w:p>
        </w:tc>
        <w:tc>
          <w:tcPr>
            <w:tcW w:w="1093" w:type="pct"/>
            <w:vMerge w:val="continue"/>
            <w:tcBorders>
              <w:tl2br w:val="nil"/>
              <w:tr2bl w:val="nil"/>
            </w:tcBorders>
            <w:vAlign w:val="center"/>
          </w:tcPr>
          <w:p w14:paraId="5295E814">
            <w:pPr>
              <w:pStyle w:val="44"/>
              <w:bidi w:val="0"/>
              <w:rPr>
                <w:rFonts w:hint="default" w:ascii="Times New Roman" w:hAnsi="Times New Roman" w:cs="Times New Roman"/>
                <w:color w:val="auto"/>
                <w:lang w:eastAsia="zh-CN"/>
              </w:rPr>
            </w:pPr>
          </w:p>
        </w:tc>
        <w:tc>
          <w:tcPr>
            <w:tcW w:w="528" w:type="pct"/>
            <w:tcBorders>
              <w:tl2br w:val="nil"/>
              <w:tr2bl w:val="nil"/>
            </w:tcBorders>
            <w:vAlign w:val="center"/>
          </w:tcPr>
          <w:p w14:paraId="7FA3F9FD">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1.2</w:t>
            </w:r>
          </w:p>
        </w:tc>
        <w:tc>
          <w:tcPr>
            <w:tcW w:w="486" w:type="pct"/>
            <w:tcBorders>
              <w:tl2br w:val="nil"/>
              <w:tr2bl w:val="nil"/>
            </w:tcBorders>
            <w:vAlign w:val="center"/>
          </w:tcPr>
          <w:p w14:paraId="2F765889">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μg/kg</w:t>
            </w:r>
          </w:p>
        </w:tc>
      </w:tr>
      <w:tr w14:paraId="2946EB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0CEC8E00">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间,对-二甲苯</w:t>
            </w:r>
          </w:p>
        </w:tc>
        <w:tc>
          <w:tcPr>
            <w:tcW w:w="2002" w:type="pct"/>
            <w:vMerge w:val="continue"/>
            <w:tcBorders>
              <w:tl2br w:val="nil"/>
              <w:tr2bl w:val="nil"/>
            </w:tcBorders>
            <w:vAlign w:val="center"/>
          </w:tcPr>
          <w:p w14:paraId="486B34DC">
            <w:pPr>
              <w:pStyle w:val="44"/>
              <w:bidi w:val="0"/>
              <w:rPr>
                <w:rFonts w:hint="default" w:ascii="Times New Roman" w:hAnsi="Times New Roman" w:cs="Times New Roman"/>
                <w:color w:val="auto"/>
                <w:lang w:eastAsia="zh-CN"/>
              </w:rPr>
            </w:pPr>
          </w:p>
        </w:tc>
        <w:tc>
          <w:tcPr>
            <w:tcW w:w="1093" w:type="pct"/>
            <w:vMerge w:val="continue"/>
            <w:tcBorders>
              <w:tl2br w:val="nil"/>
              <w:tr2bl w:val="nil"/>
            </w:tcBorders>
            <w:vAlign w:val="center"/>
          </w:tcPr>
          <w:p w14:paraId="3FC172B1">
            <w:pPr>
              <w:pStyle w:val="44"/>
              <w:bidi w:val="0"/>
              <w:rPr>
                <w:rFonts w:hint="default" w:ascii="Times New Roman" w:hAnsi="Times New Roman" w:cs="Times New Roman"/>
                <w:color w:val="auto"/>
                <w:lang w:eastAsia="zh-CN"/>
              </w:rPr>
            </w:pPr>
          </w:p>
        </w:tc>
        <w:tc>
          <w:tcPr>
            <w:tcW w:w="528" w:type="pct"/>
            <w:tcBorders>
              <w:tl2br w:val="nil"/>
              <w:tr2bl w:val="nil"/>
            </w:tcBorders>
            <w:vAlign w:val="center"/>
          </w:tcPr>
          <w:p w14:paraId="77B76487">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1.2</w:t>
            </w:r>
          </w:p>
        </w:tc>
        <w:tc>
          <w:tcPr>
            <w:tcW w:w="486" w:type="pct"/>
            <w:tcBorders>
              <w:tl2br w:val="nil"/>
              <w:tr2bl w:val="nil"/>
            </w:tcBorders>
            <w:vAlign w:val="center"/>
          </w:tcPr>
          <w:p w14:paraId="20D3C736">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μg/kg</w:t>
            </w:r>
          </w:p>
        </w:tc>
      </w:tr>
      <w:tr w14:paraId="68CF96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68D6062A">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邻二甲苯</w:t>
            </w:r>
          </w:p>
        </w:tc>
        <w:tc>
          <w:tcPr>
            <w:tcW w:w="2002" w:type="pct"/>
            <w:vMerge w:val="continue"/>
            <w:tcBorders>
              <w:tl2br w:val="nil"/>
              <w:tr2bl w:val="nil"/>
            </w:tcBorders>
            <w:vAlign w:val="center"/>
          </w:tcPr>
          <w:p w14:paraId="77085E4E">
            <w:pPr>
              <w:pStyle w:val="44"/>
              <w:bidi w:val="0"/>
              <w:rPr>
                <w:rFonts w:hint="default" w:ascii="Times New Roman" w:hAnsi="Times New Roman" w:cs="Times New Roman"/>
                <w:color w:val="auto"/>
                <w:lang w:eastAsia="zh-CN"/>
              </w:rPr>
            </w:pPr>
          </w:p>
        </w:tc>
        <w:tc>
          <w:tcPr>
            <w:tcW w:w="1093" w:type="pct"/>
            <w:vMerge w:val="continue"/>
            <w:tcBorders>
              <w:tl2br w:val="nil"/>
              <w:tr2bl w:val="nil"/>
            </w:tcBorders>
            <w:vAlign w:val="center"/>
          </w:tcPr>
          <w:p w14:paraId="5BCDADFA">
            <w:pPr>
              <w:pStyle w:val="44"/>
              <w:bidi w:val="0"/>
              <w:rPr>
                <w:rFonts w:hint="default" w:ascii="Times New Roman" w:hAnsi="Times New Roman" w:cs="Times New Roman"/>
                <w:color w:val="auto"/>
                <w:lang w:eastAsia="zh-CN"/>
              </w:rPr>
            </w:pPr>
          </w:p>
        </w:tc>
        <w:tc>
          <w:tcPr>
            <w:tcW w:w="528" w:type="pct"/>
            <w:tcBorders>
              <w:tl2br w:val="nil"/>
              <w:tr2bl w:val="nil"/>
            </w:tcBorders>
            <w:vAlign w:val="center"/>
          </w:tcPr>
          <w:p w14:paraId="431A74D3">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1.2</w:t>
            </w:r>
          </w:p>
        </w:tc>
        <w:tc>
          <w:tcPr>
            <w:tcW w:w="486" w:type="pct"/>
            <w:tcBorders>
              <w:tl2br w:val="nil"/>
              <w:tr2bl w:val="nil"/>
            </w:tcBorders>
            <w:vAlign w:val="center"/>
          </w:tcPr>
          <w:p w14:paraId="43E5D52C">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μg/kg</w:t>
            </w:r>
          </w:p>
        </w:tc>
      </w:tr>
      <w:tr w14:paraId="65340A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2EFBE88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苯乙烯</w:t>
            </w:r>
          </w:p>
        </w:tc>
        <w:tc>
          <w:tcPr>
            <w:tcW w:w="2002" w:type="pct"/>
            <w:vMerge w:val="continue"/>
            <w:tcBorders>
              <w:tl2br w:val="nil"/>
              <w:tr2bl w:val="nil"/>
            </w:tcBorders>
            <w:vAlign w:val="center"/>
          </w:tcPr>
          <w:p w14:paraId="34756733">
            <w:pPr>
              <w:pStyle w:val="44"/>
              <w:bidi w:val="0"/>
              <w:rPr>
                <w:rFonts w:hint="default" w:ascii="Times New Roman" w:hAnsi="Times New Roman" w:cs="Times New Roman"/>
                <w:color w:val="auto"/>
                <w:lang w:eastAsia="zh-CN"/>
              </w:rPr>
            </w:pPr>
          </w:p>
        </w:tc>
        <w:tc>
          <w:tcPr>
            <w:tcW w:w="1093" w:type="pct"/>
            <w:vMerge w:val="continue"/>
            <w:tcBorders>
              <w:tl2br w:val="nil"/>
              <w:tr2bl w:val="nil"/>
            </w:tcBorders>
            <w:vAlign w:val="center"/>
          </w:tcPr>
          <w:p w14:paraId="62E5A040">
            <w:pPr>
              <w:pStyle w:val="44"/>
              <w:bidi w:val="0"/>
              <w:rPr>
                <w:rFonts w:hint="default" w:ascii="Times New Roman" w:hAnsi="Times New Roman" w:cs="Times New Roman"/>
                <w:color w:val="auto"/>
                <w:lang w:eastAsia="zh-CN"/>
              </w:rPr>
            </w:pPr>
          </w:p>
        </w:tc>
        <w:tc>
          <w:tcPr>
            <w:tcW w:w="528" w:type="pct"/>
            <w:tcBorders>
              <w:tl2br w:val="nil"/>
              <w:tr2bl w:val="nil"/>
            </w:tcBorders>
            <w:vAlign w:val="center"/>
          </w:tcPr>
          <w:p w14:paraId="7F28DC8E">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1.1</w:t>
            </w:r>
          </w:p>
        </w:tc>
        <w:tc>
          <w:tcPr>
            <w:tcW w:w="486" w:type="pct"/>
            <w:tcBorders>
              <w:tl2br w:val="nil"/>
              <w:tr2bl w:val="nil"/>
            </w:tcBorders>
            <w:vAlign w:val="center"/>
          </w:tcPr>
          <w:p w14:paraId="2D67F66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μg/kg</w:t>
            </w:r>
          </w:p>
        </w:tc>
      </w:tr>
      <w:tr w14:paraId="2878EB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499269BE">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1,1,2,2-四氯乙烷</w:t>
            </w:r>
          </w:p>
        </w:tc>
        <w:tc>
          <w:tcPr>
            <w:tcW w:w="2002" w:type="pct"/>
            <w:vMerge w:val="continue"/>
            <w:tcBorders>
              <w:tl2br w:val="nil"/>
              <w:tr2bl w:val="nil"/>
            </w:tcBorders>
            <w:vAlign w:val="center"/>
          </w:tcPr>
          <w:p w14:paraId="36BB91F6">
            <w:pPr>
              <w:pStyle w:val="44"/>
              <w:bidi w:val="0"/>
              <w:rPr>
                <w:rFonts w:hint="default" w:ascii="Times New Roman" w:hAnsi="Times New Roman" w:cs="Times New Roman"/>
                <w:color w:val="auto"/>
                <w:lang w:eastAsia="zh-CN"/>
              </w:rPr>
            </w:pPr>
          </w:p>
        </w:tc>
        <w:tc>
          <w:tcPr>
            <w:tcW w:w="1093" w:type="pct"/>
            <w:vMerge w:val="continue"/>
            <w:tcBorders>
              <w:tl2br w:val="nil"/>
              <w:tr2bl w:val="nil"/>
            </w:tcBorders>
            <w:vAlign w:val="center"/>
          </w:tcPr>
          <w:p w14:paraId="781D53ED">
            <w:pPr>
              <w:pStyle w:val="44"/>
              <w:bidi w:val="0"/>
              <w:rPr>
                <w:rFonts w:hint="default" w:ascii="Times New Roman" w:hAnsi="Times New Roman" w:cs="Times New Roman"/>
                <w:color w:val="auto"/>
                <w:lang w:eastAsia="zh-CN"/>
              </w:rPr>
            </w:pPr>
          </w:p>
        </w:tc>
        <w:tc>
          <w:tcPr>
            <w:tcW w:w="528" w:type="pct"/>
            <w:tcBorders>
              <w:tl2br w:val="nil"/>
              <w:tr2bl w:val="nil"/>
            </w:tcBorders>
            <w:vAlign w:val="center"/>
          </w:tcPr>
          <w:p w14:paraId="782D887A">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1.2</w:t>
            </w:r>
          </w:p>
        </w:tc>
        <w:tc>
          <w:tcPr>
            <w:tcW w:w="486" w:type="pct"/>
            <w:tcBorders>
              <w:tl2br w:val="nil"/>
              <w:tr2bl w:val="nil"/>
            </w:tcBorders>
            <w:vAlign w:val="center"/>
          </w:tcPr>
          <w:p w14:paraId="4B8A303D">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μg/kg</w:t>
            </w:r>
          </w:p>
        </w:tc>
      </w:tr>
      <w:tr w14:paraId="1E750D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35F898C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1,2,3-三氯丙烷</w:t>
            </w:r>
          </w:p>
        </w:tc>
        <w:tc>
          <w:tcPr>
            <w:tcW w:w="2002" w:type="pct"/>
            <w:vMerge w:val="continue"/>
            <w:tcBorders>
              <w:tl2br w:val="nil"/>
              <w:tr2bl w:val="nil"/>
            </w:tcBorders>
            <w:vAlign w:val="center"/>
          </w:tcPr>
          <w:p w14:paraId="3EB7CCBC">
            <w:pPr>
              <w:pStyle w:val="44"/>
              <w:bidi w:val="0"/>
              <w:rPr>
                <w:rFonts w:hint="default" w:ascii="Times New Roman" w:hAnsi="Times New Roman" w:cs="Times New Roman"/>
                <w:color w:val="auto"/>
                <w:lang w:eastAsia="zh-CN"/>
              </w:rPr>
            </w:pPr>
          </w:p>
        </w:tc>
        <w:tc>
          <w:tcPr>
            <w:tcW w:w="1093" w:type="pct"/>
            <w:vMerge w:val="continue"/>
            <w:tcBorders>
              <w:tl2br w:val="nil"/>
              <w:tr2bl w:val="nil"/>
            </w:tcBorders>
            <w:vAlign w:val="center"/>
          </w:tcPr>
          <w:p w14:paraId="6121FE6F">
            <w:pPr>
              <w:pStyle w:val="44"/>
              <w:bidi w:val="0"/>
              <w:rPr>
                <w:rFonts w:hint="default" w:ascii="Times New Roman" w:hAnsi="Times New Roman" w:cs="Times New Roman"/>
                <w:color w:val="auto"/>
                <w:lang w:eastAsia="zh-CN"/>
              </w:rPr>
            </w:pPr>
          </w:p>
        </w:tc>
        <w:tc>
          <w:tcPr>
            <w:tcW w:w="528" w:type="pct"/>
            <w:tcBorders>
              <w:tl2br w:val="nil"/>
              <w:tr2bl w:val="nil"/>
            </w:tcBorders>
            <w:vAlign w:val="center"/>
          </w:tcPr>
          <w:p w14:paraId="00242CB4">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1.2</w:t>
            </w:r>
          </w:p>
        </w:tc>
        <w:tc>
          <w:tcPr>
            <w:tcW w:w="486" w:type="pct"/>
            <w:tcBorders>
              <w:tl2br w:val="nil"/>
              <w:tr2bl w:val="nil"/>
            </w:tcBorders>
            <w:vAlign w:val="center"/>
          </w:tcPr>
          <w:p w14:paraId="229CD3AC">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μg/kg</w:t>
            </w:r>
          </w:p>
        </w:tc>
      </w:tr>
      <w:tr w14:paraId="2B5FB6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470F44CD">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1,4-二氯苯</w:t>
            </w:r>
          </w:p>
        </w:tc>
        <w:tc>
          <w:tcPr>
            <w:tcW w:w="2002" w:type="pct"/>
            <w:vMerge w:val="continue"/>
            <w:tcBorders>
              <w:tl2br w:val="nil"/>
              <w:tr2bl w:val="nil"/>
            </w:tcBorders>
            <w:vAlign w:val="center"/>
          </w:tcPr>
          <w:p w14:paraId="0556BF34">
            <w:pPr>
              <w:pStyle w:val="44"/>
              <w:bidi w:val="0"/>
              <w:rPr>
                <w:rFonts w:hint="default" w:ascii="Times New Roman" w:hAnsi="Times New Roman" w:cs="Times New Roman"/>
                <w:color w:val="auto"/>
                <w:lang w:eastAsia="zh-CN"/>
              </w:rPr>
            </w:pPr>
          </w:p>
        </w:tc>
        <w:tc>
          <w:tcPr>
            <w:tcW w:w="1093" w:type="pct"/>
            <w:vMerge w:val="continue"/>
            <w:tcBorders>
              <w:tl2br w:val="nil"/>
              <w:tr2bl w:val="nil"/>
            </w:tcBorders>
            <w:vAlign w:val="center"/>
          </w:tcPr>
          <w:p w14:paraId="5A935345">
            <w:pPr>
              <w:pStyle w:val="44"/>
              <w:bidi w:val="0"/>
              <w:rPr>
                <w:rFonts w:hint="default" w:ascii="Times New Roman" w:hAnsi="Times New Roman" w:cs="Times New Roman"/>
                <w:color w:val="auto"/>
                <w:lang w:eastAsia="zh-CN"/>
              </w:rPr>
            </w:pPr>
          </w:p>
        </w:tc>
        <w:tc>
          <w:tcPr>
            <w:tcW w:w="528" w:type="pct"/>
            <w:tcBorders>
              <w:tl2br w:val="nil"/>
              <w:tr2bl w:val="nil"/>
            </w:tcBorders>
            <w:vAlign w:val="center"/>
          </w:tcPr>
          <w:p w14:paraId="50DF7A74">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1.5</w:t>
            </w:r>
          </w:p>
        </w:tc>
        <w:tc>
          <w:tcPr>
            <w:tcW w:w="486" w:type="pct"/>
            <w:tcBorders>
              <w:tl2br w:val="nil"/>
              <w:tr2bl w:val="nil"/>
            </w:tcBorders>
            <w:vAlign w:val="center"/>
          </w:tcPr>
          <w:p w14:paraId="206673FE">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μg/kg</w:t>
            </w:r>
          </w:p>
        </w:tc>
      </w:tr>
      <w:tr w14:paraId="62318A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61C00B09">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1,2-二氯苯</w:t>
            </w:r>
          </w:p>
        </w:tc>
        <w:tc>
          <w:tcPr>
            <w:tcW w:w="2002" w:type="pct"/>
            <w:vMerge w:val="continue"/>
            <w:tcBorders>
              <w:tl2br w:val="nil"/>
              <w:tr2bl w:val="nil"/>
            </w:tcBorders>
            <w:vAlign w:val="center"/>
          </w:tcPr>
          <w:p w14:paraId="3B31779C">
            <w:pPr>
              <w:pStyle w:val="44"/>
              <w:bidi w:val="0"/>
              <w:rPr>
                <w:rFonts w:hint="default" w:ascii="Times New Roman" w:hAnsi="Times New Roman" w:cs="Times New Roman"/>
                <w:color w:val="auto"/>
                <w:lang w:eastAsia="zh-CN"/>
              </w:rPr>
            </w:pPr>
          </w:p>
        </w:tc>
        <w:tc>
          <w:tcPr>
            <w:tcW w:w="1093" w:type="pct"/>
            <w:vMerge w:val="continue"/>
            <w:tcBorders>
              <w:tl2br w:val="nil"/>
              <w:tr2bl w:val="nil"/>
            </w:tcBorders>
            <w:vAlign w:val="center"/>
          </w:tcPr>
          <w:p w14:paraId="1DC00A3E">
            <w:pPr>
              <w:pStyle w:val="44"/>
              <w:bidi w:val="0"/>
              <w:rPr>
                <w:rFonts w:hint="default" w:ascii="Times New Roman" w:hAnsi="Times New Roman" w:cs="Times New Roman"/>
                <w:color w:val="auto"/>
                <w:lang w:eastAsia="zh-CN"/>
              </w:rPr>
            </w:pPr>
          </w:p>
        </w:tc>
        <w:tc>
          <w:tcPr>
            <w:tcW w:w="528" w:type="pct"/>
            <w:tcBorders>
              <w:tl2br w:val="nil"/>
              <w:tr2bl w:val="nil"/>
            </w:tcBorders>
            <w:vAlign w:val="center"/>
          </w:tcPr>
          <w:p w14:paraId="45D0D3D0">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1.5</w:t>
            </w:r>
          </w:p>
        </w:tc>
        <w:tc>
          <w:tcPr>
            <w:tcW w:w="486" w:type="pct"/>
            <w:tcBorders>
              <w:tl2br w:val="nil"/>
              <w:tr2bl w:val="nil"/>
            </w:tcBorders>
            <w:vAlign w:val="center"/>
          </w:tcPr>
          <w:p w14:paraId="79940C53">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μg/kg</w:t>
            </w:r>
          </w:p>
        </w:tc>
      </w:tr>
      <w:tr w14:paraId="759BFD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9" w:type="pct"/>
            <w:tcBorders>
              <w:tl2br w:val="nil"/>
              <w:tr2bl w:val="nil"/>
            </w:tcBorders>
            <w:vAlign w:val="center"/>
          </w:tcPr>
          <w:p w14:paraId="1FE64974">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pH</w:t>
            </w:r>
          </w:p>
        </w:tc>
        <w:tc>
          <w:tcPr>
            <w:tcW w:w="2002" w:type="pct"/>
            <w:tcBorders>
              <w:tl2br w:val="nil"/>
              <w:tr2bl w:val="nil"/>
            </w:tcBorders>
            <w:vAlign w:val="center"/>
          </w:tcPr>
          <w:p w14:paraId="6A1D87EE">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HJ 962-2018土壤 pH 值的测定 电位法</w:t>
            </w:r>
          </w:p>
        </w:tc>
        <w:tc>
          <w:tcPr>
            <w:tcW w:w="1093" w:type="pct"/>
            <w:tcBorders>
              <w:tl2br w:val="nil"/>
              <w:tr2bl w:val="nil"/>
            </w:tcBorders>
            <w:vAlign w:val="center"/>
          </w:tcPr>
          <w:p w14:paraId="536DD975">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pH计 PHS-3E</w:t>
            </w:r>
          </w:p>
        </w:tc>
        <w:tc>
          <w:tcPr>
            <w:tcW w:w="528" w:type="pct"/>
            <w:tcBorders>
              <w:tl2br w:val="nil"/>
              <w:tr2bl w:val="nil"/>
            </w:tcBorders>
            <w:vAlign w:val="center"/>
          </w:tcPr>
          <w:p w14:paraId="48A48D7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486" w:type="pct"/>
            <w:tcBorders>
              <w:tl2br w:val="nil"/>
              <w:tr2bl w:val="nil"/>
            </w:tcBorders>
            <w:vAlign w:val="center"/>
          </w:tcPr>
          <w:p w14:paraId="5AD2D0DA">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无量纲</w:t>
            </w:r>
          </w:p>
        </w:tc>
      </w:tr>
    </w:tbl>
    <w:p w14:paraId="6FBEA50D">
      <w:pPr>
        <w:pStyle w:val="25"/>
        <w:bidi w:val="0"/>
        <w:rPr>
          <w:rFonts w:hint="default" w:ascii="Times New Roman" w:hAnsi="Times New Roman" w:cs="Times New Roman"/>
          <w:color w:val="auto"/>
        </w:rPr>
      </w:pPr>
      <w:r>
        <w:rPr>
          <w:rFonts w:hint="default" w:ascii="Times New Roman" w:hAnsi="Times New Roman" w:cs="Times New Roman"/>
          <w:color w:val="auto"/>
        </w:rPr>
        <w:t>（5）评价标准</w:t>
      </w:r>
    </w:p>
    <w:p w14:paraId="0BC05D89">
      <w:pPr>
        <w:pStyle w:val="25"/>
        <w:bidi w:val="0"/>
        <w:rPr>
          <w:rFonts w:hint="default" w:ascii="Times New Roman" w:hAnsi="Times New Roman" w:cs="Times New Roman"/>
          <w:color w:val="auto"/>
        </w:rPr>
      </w:pPr>
      <w:r>
        <w:rPr>
          <w:rFonts w:hint="default" w:ascii="Times New Roman" w:hAnsi="Times New Roman" w:cs="Times New Roman"/>
          <w:color w:val="auto"/>
        </w:rPr>
        <w:t>评价区占地范围内土壤执行《土壤环境质量 建设用地土壤污染风险管控标准（试行）》（GB36600-2018）中的第二类用地标准土壤污染风险筛选值（基本</w:t>
      </w:r>
      <w:r>
        <w:rPr>
          <w:rFonts w:hint="default" w:ascii="Times New Roman" w:hAnsi="Times New Roman" w:cs="Times New Roman"/>
          <w:color w:val="auto"/>
          <w:lang w:val="en-US" w:eastAsia="zh-CN"/>
        </w:rPr>
        <w:t>项目和其他项目</w:t>
      </w:r>
      <w:r>
        <w:rPr>
          <w:rFonts w:hint="default" w:ascii="Times New Roman" w:hAnsi="Times New Roman" w:cs="Times New Roman"/>
          <w:color w:val="auto"/>
        </w:rPr>
        <w:t>）</w:t>
      </w:r>
    </w:p>
    <w:p w14:paraId="6EF2A202">
      <w:pPr>
        <w:pStyle w:val="25"/>
        <w:bidi w:val="0"/>
        <w:rPr>
          <w:rFonts w:hint="default" w:ascii="Times New Roman" w:hAnsi="Times New Roman" w:cs="Times New Roman"/>
          <w:color w:val="auto"/>
        </w:rPr>
      </w:pPr>
      <w:r>
        <w:rPr>
          <w:rFonts w:hint="default" w:ascii="Times New Roman" w:hAnsi="Times New Roman" w:cs="Times New Roman"/>
          <w:color w:val="auto"/>
        </w:rPr>
        <w:t>（6）评价方法</w:t>
      </w:r>
    </w:p>
    <w:p w14:paraId="6D06FE2B">
      <w:pPr>
        <w:pStyle w:val="25"/>
        <w:bidi w:val="0"/>
        <w:rPr>
          <w:rFonts w:hint="default" w:ascii="Times New Roman" w:hAnsi="Times New Roman" w:cs="Times New Roman"/>
          <w:color w:val="auto"/>
        </w:rPr>
      </w:pPr>
      <w:r>
        <w:rPr>
          <w:rFonts w:hint="default" w:ascii="Times New Roman" w:hAnsi="Times New Roman" w:cs="Times New Roman"/>
          <w:color w:val="auto"/>
        </w:rPr>
        <w:t>本次土壤环境质量评价采用单因子标准指数法。单项土壤监测因子i 在第j点的污染指数。</w:t>
      </w:r>
    </w:p>
    <w:p w14:paraId="57073B19">
      <w:pPr>
        <w:pStyle w:val="25"/>
        <w:bidi w:val="0"/>
        <w:rPr>
          <w:rFonts w:hint="default" w:ascii="Times New Roman" w:hAnsi="Times New Roman" w:cs="Times New Roman"/>
          <w:color w:val="auto"/>
        </w:rPr>
      </w:pPr>
      <w:r>
        <w:rPr>
          <w:rFonts w:hint="default" w:ascii="Times New Roman" w:hAnsi="Times New Roman" w:cs="Times New Roman"/>
          <w:color w:val="auto"/>
        </w:rPr>
        <w:t>Si=Ci/C0 </w:t>
      </w:r>
    </w:p>
    <w:p w14:paraId="25B62D0D">
      <w:pPr>
        <w:pStyle w:val="25"/>
        <w:bidi w:val="0"/>
        <w:rPr>
          <w:rFonts w:hint="default" w:ascii="Times New Roman" w:hAnsi="Times New Roman" w:cs="Times New Roman"/>
          <w:color w:val="auto"/>
        </w:rPr>
      </w:pPr>
      <w:r>
        <w:rPr>
          <w:rFonts w:hint="default" w:ascii="Times New Roman" w:hAnsi="Times New Roman" w:cs="Times New Roman"/>
          <w:color w:val="auto"/>
        </w:rPr>
        <w:t>式中：Si—土壤中i污染物的污染指数；</w:t>
      </w:r>
    </w:p>
    <w:p w14:paraId="57C2A39B">
      <w:pPr>
        <w:pStyle w:val="25"/>
        <w:bidi w:val="0"/>
        <w:rPr>
          <w:rFonts w:hint="default" w:ascii="Times New Roman" w:hAnsi="Times New Roman" w:cs="Times New Roman"/>
          <w:color w:val="auto"/>
        </w:rPr>
      </w:pPr>
      <w:r>
        <w:rPr>
          <w:rFonts w:hint="default" w:ascii="Times New Roman" w:hAnsi="Times New Roman" w:cs="Times New Roman"/>
          <w:color w:val="auto"/>
        </w:rPr>
        <w:t>Ci—第i 种污染物的实测浓度，（mg/L）；</w:t>
      </w:r>
    </w:p>
    <w:p w14:paraId="506C21E1">
      <w:pPr>
        <w:pStyle w:val="25"/>
        <w:bidi w:val="0"/>
        <w:rPr>
          <w:rFonts w:hint="default" w:ascii="Times New Roman" w:hAnsi="Times New Roman" w:cs="Times New Roman"/>
          <w:color w:val="auto"/>
        </w:rPr>
      </w:pPr>
      <w:r>
        <w:rPr>
          <w:rFonts w:hint="default" w:ascii="Times New Roman" w:hAnsi="Times New Roman" w:cs="Times New Roman"/>
          <w:color w:val="auto"/>
        </w:rPr>
        <w:t>C0 —第i种污染物的评价标准，（mg/L）。</w:t>
      </w:r>
    </w:p>
    <w:p w14:paraId="67ACCBC2">
      <w:pPr>
        <w:pStyle w:val="25"/>
        <w:bidi w:val="0"/>
        <w:rPr>
          <w:rFonts w:hint="default" w:ascii="Times New Roman" w:hAnsi="Times New Roman" w:cs="Times New Roman"/>
          <w:color w:val="auto"/>
        </w:rPr>
      </w:pPr>
      <w:r>
        <w:rPr>
          <w:rFonts w:hint="default" w:ascii="Times New Roman" w:hAnsi="Times New Roman" w:cs="Times New Roman"/>
          <w:color w:val="auto"/>
        </w:rPr>
        <w:t>土壤污染因子的标准指数大于1，表明该污染物超过了规定的标准限值，标准指数越大，说明超标越严重。</w:t>
      </w:r>
    </w:p>
    <w:p w14:paraId="28549D55">
      <w:pPr>
        <w:pStyle w:val="25"/>
        <w:numPr>
          <w:ilvl w:val="0"/>
          <w:numId w:val="0"/>
        </w:numPr>
        <w:bidi w:val="0"/>
        <w:ind w:firstLine="480" w:firstLineChars="200"/>
        <w:rPr>
          <w:rFonts w:hint="default" w:ascii="Times New Roman" w:hAnsi="Times New Roman" w:cs="Times New Roman"/>
          <w:color w:val="auto"/>
          <w:lang w:val="en-US" w:eastAsia="zh-CN"/>
        </w:rPr>
      </w:pPr>
      <w:r>
        <w:rPr>
          <w:rFonts w:hint="default" w:ascii="Times New Roman" w:hAnsi="Times New Roman" w:eastAsia="宋体" w:cs="Times New Roman"/>
          <w:color w:val="auto"/>
          <w:kern w:val="2"/>
          <w:sz w:val="24"/>
          <w:szCs w:val="24"/>
          <w:lang w:val="en-US" w:eastAsia="zh-CN" w:bidi="ar-SA"/>
        </w:rPr>
        <w:t>（7）</w:t>
      </w:r>
      <w:r>
        <w:rPr>
          <w:rFonts w:hint="default" w:ascii="Times New Roman" w:hAnsi="Times New Roman" w:cs="Times New Roman"/>
          <w:color w:val="auto"/>
          <w:lang w:val="en-US" w:eastAsia="zh-CN"/>
        </w:rPr>
        <w:t>监测结果</w:t>
      </w:r>
    </w:p>
    <w:p w14:paraId="18BE6DC1">
      <w:pPr>
        <w:pStyle w:val="25"/>
        <w:numPr>
          <w:ilvl w:val="0"/>
          <w:numId w:val="0"/>
        </w:numPr>
        <w:bidi w:val="0"/>
        <w:ind w:firstLine="480" w:firstLineChars="200"/>
        <w:rPr>
          <w:rFonts w:hint="default" w:ascii="Times New Roman" w:hAnsi="Times New Roman" w:cs="Times New Roman"/>
          <w:color w:val="auto"/>
          <w:lang w:eastAsia="zh-CN"/>
        </w:rPr>
      </w:pPr>
      <w:r>
        <w:rPr>
          <w:rFonts w:hint="default" w:ascii="Times New Roman" w:hAnsi="Times New Roman" w:cs="Times New Roman"/>
          <w:color w:val="auto"/>
        </w:rPr>
        <w:t>具体监测结果见下表</w:t>
      </w:r>
      <w:r>
        <w:rPr>
          <w:rFonts w:hint="default" w:ascii="Times New Roman" w:hAnsi="Times New Roman" w:cs="Times New Roman"/>
          <w:color w:val="auto"/>
          <w:lang w:eastAsia="zh-CN"/>
        </w:rPr>
        <w:t>。</w:t>
      </w:r>
    </w:p>
    <w:p w14:paraId="178487A2">
      <w:pPr>
        <w:pStyle w:val="27"/>
        <w:bidi w:val="0"/>
        <w:rPr>
          <w:rFonts w:hint="default" w:ascii="Times New Roman" w:hAnsi="Times New Roman" w:cs="Times New Roman"/>
          <w:color w:val="auto"/>
        </w:rPr>
      </w:pPr>
      <w:r>
        <w:rPr>
          <w:rFonts w:hint="default" w:ascii="Times New Roman" w:hAnsi="Times New Roman" w:cs="Times New Roman"/>
          <w:color w:val="auto"/>
        </w:rPr>
        <w:t>表4-</w:t>
      </w:r>
      <w:r>
        <w:rPr>
          <w:rFonts w:hint="default" w:ascii="Times New Roman" w:hAnsi="Times New Roman" w:cs="Times New Roman"/>
          <w:color w:val="auto"/>
          <w:lang w:val="en-US" w:eastAsia="zh-CN"/>
        </w:rPr>
        <w:t>2</w:t>
      </w:r>
      <w:r>
        <w:rPr>
          <w:rFonts w:hint="default" w:ascii="Times New Roman" w:hAnsi="Times New Roman" w:cs="Times New Roman"/>
          <w:color w:val="auto"/>
        </w:rPr>
        <w:t>-1</w:t>
      </w:r>
      <w:r>
        <w:rPr>
          <w:rFonts w:hint="default" w:ascii="Times New Roman" w:hAnsi="Times New Roman" w:cs="Times New Roman"/>
          <w:color w:val="auto"/>
          <w:lang w:val="en-US" w:eastAsia="zh-CN"/>
        </w:rPr>
        <w:t>6</w:t>
      </w:r>
      <w:r>
        <w:rPr>
          <w:rFonts w:hint="default" w:ascii="Times New Roman" w:hAnsi="Times New Roman" w:cs="Times New Roman"/>
          <w:color w:val="auto"/>
        </w:rPr>
        <w:t xml:space="preserve"> 土壤现状监测结果（</w:t>
      </w:r>
      <w:r>
        <w:rPr>
          <w:rFonts w:hint="default" w:ascii="Times New Roman" w:hAnsi="Times New Roman" w:cs="Times New Roman"/>
          <w:color w:val="auto"/>
          <w:lang w:val="en-US" w:eastAsia="zh-CN"/>
        </w:rPr>
        <w:t>S1</w:t>
      </w:r>
      <w:r>
        <w:rPr>
          <w:rFonts w:hint="default" w:ascii="Times New Roman" w:hAnsi="Times New Roman" w:cs="Times New Roman"/>
          <w:color w:val="auto"/>
        </w:rPr>
        <w:t>）</w:t>
      </w:r>
    </w:p>
    <w:tbl>
      <w:tblPr>
        <w:tblStyle w:val="20"/>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32"/>
        <w:gridCol w:w="2249"/>
        <w:gridCol w:w="1299"/>
        <w:gridCol w:w="1400"/>
        <w:gridCol w:w="861"/>
        <w:gridCol w:w="1071"/>
        <w:gridCol w:w="7"/>
      </w:tblGrid>
      <w:tr w14:paraId="6C9303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57" w:type="pct"/>
            <w:vMerge w:val="restart"/>
            <w:noWrap w:val="0"/>
            <w:vAlign w:val="center"/>
          </w:tcPr>
          <w:p w14:paraId="17D87502">
            <w:pPr>
              <w:pStyle w:val="44"/>
              <w:bidi w:val="0"/>
              <w:rPr>
                <w:rFonts w:hint="default" w:ascii="Times New Roman" w:hAnsi="Times New Roman" w:cs="Times New Roman"/>
                <w:color w:val="auto"/>
              </w:rPr>
            </w:pPr>
            <w:r>
              <w:rPr>
                <w:rFonts w:hint="default" w:ascii="Times New Roman" w:hAnsi="Times New Roman" w:cs="Times New Roman"/>
                <w:color w:val="auto"/>
              </w:rPr>
              <w:t>监测项目</w:t>
            </w:r>
          </w:p>
        </w:tc>
        <w:tc>
          <w:tcPr>
            <w:tcW w:w="1319" w:type="pct"/>
            <w:noWrap w:val="0"/>
            <w:vAlign w:val="center"/>
          </w:tcPr>
          <w:p w14:paraId="10B16528">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S1</w:t>
            </w:r>
          </w:p>
        </w:tc>
        <w:tc>
          <w:tcPr>
            <w:tcW w:w="762" w:type="pct"/>
            <w:vMerge w:val="restart"/>
            <w:noWrap w:val="0"/>
            <w:vAlign w:val="center"/>
          </w:tcPr>
          <w:p w14:paraId="4CBA32E5">
            <w:pPr>
              <w:pStyle w:val="44"/>
              <w:bidi w:val="0"/>
              <w:rPr>
                <w:rFonts w:hint="default" w:ascii="Times New Roman" w:hAnsi="Times New Roman" w:cs="Times New Roman"/>
                <w:color w:val="auto"/>
              </w:rPr>
            </w:pPr>
            <w:r>
              <w:rPr>
                <w:rFonts w:hint="default" w:ascii="Times New Roman" w:hAnsi="Times New Roman" w:cs="Times New Roman"/>
                <w:color w:val="auto"/>
              </w:rPr>
              <w:t>单位</w:t>
            </w:r>
          </w:p>
        </w:tc>
        <w:tc>
          <w:tcPr>
            <w:tcW w:w="821" w:type="pct"/>
            <w:vMerge w:val="restart"/>
            <w:noWrap w:val="0"/>
            <w:vAlign w:val="center"/>
          </w:tcPr>
          <w:p w14:paraId="50DE094E">
            <w:pPr>
              <w:pStyle w:val="44"/>
              <w:bidi w:val="0"/>
              <w:rPr>
                <w:rFonts w:hint="default" w:ascii="Times New Roman" w:hAnsi="Times New Roman" w:cs="Times New Roman"/>
                <w:color w:val="auto"/>
              </w:rPr>
            </w:pPr>
            <w:r>
              <w:rPr>
                <w:rFonts w:hint="default" w:ascii="Times New Roman" w:hAnsi="Times New Roman" w:cs="Times New Roman"/>
                <w:color w:val="auto"/>
              </w:rPr>
              <w:t>标准值（mg/kg）</w:t>
            </w:r>
          </w:p>
        </w:tc>
        <w:tc>
          <w:tcPr>
            <w:tcW w:w="505" w:type="pct"/>
            <w:vMerge w:val="restart"/>
            <w:noWrap w:val="0"/>
            <w:vAlign w:val="center"/>
          </w:tcPr>
          <w:p w14:paraId="3ED9A6E8">
            <w:pPr>
              <w:pStyle w:val="44"/>
              <w:bidi w:val="0"/>
              <w:rPr>
                <w:rFonts w:hint="default" w:ascii="Times New Roman" w:hAnsi="Times New Roman" w:cs="Times New Roman"/>
                <w:color w:val="auto"/>
              </w:rPr>
            </w:pPr>
            <w:r>
              <w:rPr>
                <w:rFonts w:hint="default" w:ascii="Times New Roman" w:hAnsi="Times New Roman" w:cs="Times New Roman"/>
                <w:color w:val="auto"/>
              </w:rPr>
              <w:t>超标率</w:t>
            </w:r>
          </w:p>
        </w:tc>
        <w:tc>
          <w:tcPr>
            <w:tcW w:w="632" w:type="pct"/>
            <w:gridSpan w:val="2"/>
            <w:vMerge w:val="restart"/>
            <w:noWrap w:val="0"/>
            <w:vAlign w:val="center"/>
          </w:tcPr>
          <w:p w14:paraId="00FF4CDE">
            <w:pPr>
              <w:pStyle w:val="44"/>
              <w:bidi w:val="0"/>
              <w:rPr>
                <w:rFonts w:hint="default" w:ascii="Times New Roman" w:hAnsi="Times New Roman" w:cs="Times New Roman"/>
                <w:color w:val="auto"/>
              </w:rPr>
            </w:pPr>
            <w:r>
              <w:rPr>
                <w:rFonts w:hint="default" w:ascii="Times New Roman" w:hAnsi="Times New Roman" w:cs="Times New Roman"/>
                <w:color w:val="auto"/>
              </w:rPr>
              <w:t>达标情况</w:t>
            </w:r>
          </w:p>
        </w:tc>
      </w:tr>
      <w:tr w14:paraId="71FD71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957" w:type="pct"/>
            <w:vMerge w:val="continue"/>
            <w:noWrap w:val="0"/>
            <w:vAlign w:val="center"/>
          </w:tcPr>
          <w:p w14:paraId="305B8B8B">
            <w:pPr>
              <w:pStyle w:val="44"/>
              <w:bidi w:val="0"/>
              <w:rPr>
                <w:rFonts w:hint="default" w:ascii="Times New Roman" w:hAnsi="Times New Roman" w:cs="Times New Roman"/>
                <w:color w:val="auto"/>
              </w:rPr>
            </w:pPr>
          </w:p>
        </w:tc>
        <w:tc>
          <w:tcPr>
            <w:tcW w:w="1319" w:type="pct"/>
            <w:noWrap w:val="0"/>
            <w:vAlign w:val="center"/>
          </w:tcPr>
          <w:p w14:paraId="1657DBD3">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0-0.2m</w:t>
            </w:r>
          </w:p>
        </w:tc>
        <w:tc>
          <w:tcPr>
            <w:tcW w:w="762" w:type="pct"/>
            <w:vMerge w:val="continue"/>
            <w:noWrap w:val="0"/>
            <w:vAlign w:val="center"/>
          </w:tcPr>
          <w:p w14:paraId="39BFFD00">
            <w:pPr>
              <w:pStyle w:val="44"/>
              <w:bidi w:val="0"/>
              <w:rPr>
                <w:rFonts w:hint="default" w:ascii="Times New Roman" w:hAnsi="Times New Roman" w:cs="Times New Roman"/>
                <w:color w:val="auto"/>
              </w:rPr>
            </w:pPr>
          </w:p>
        </w:tc>
        <w:tc>
          <w:tcPr>
            <w:tcW w:w="821" w:type="pct"/>
            <w:vMerge w:val="continue"/>
            <w:noWrap w:val="0"/>
            <w:vAlign w:val="center"/>
          </w:tcPr>
          <w:p w14:paraId="21F92B66">
            <w:pPr>
              <w:pStyle w:val="44"/>
              <w:bidi w:val="0"/>
              <w:rPr>
                <w:rFonts w:hint="default" w:ascii="Times New Roman" w:hAnsi="Times New Roman" w:cs="Times New Roman"/>
                <w:color w:val="auto"/>
              </w:rPr>
            </w:pPr>
          </w:p>
        </w:tc>
        <w:tc>
          <w:tcPr>
            <w:tcW w:w="505" w:type="pct"/>
            <w:vMerge w:val="continue"/>
            <w:noWrap w:val="0"/>
            <w:vAlign w:val="center"/>
          </w:tcPr>
          <w:p w14:paraId="063CD76B">
            <w:pPr>
              <w:pStyle w:val="44"/>
              <w:bidi w:val="0"/>
              <w:rPr>
                <w:rFonts w:hint="default" w:ascii="Times New Roman" w:hAnsi="Times New Roman" w:cs="Times New Roman"/>
                <w:color w:val="auto"/>
              </w:rPr>
            </w:pPr>
          </w:p>
        </w:tc>
        <w:tc>
          <w:tcPr>
            <w:tcW w:w="632" w:type="pct"/>
            <w:gridSpan w:val="2"/>
            <w:vMerge w:val="continue"/>
            <w:noWrap w:val="0"/>
            <w:vAlign w:val="center"/>
          </w:tcPr>
          <w:p w14:paraId="09E951FF">
            <w:pPr>
              <w:pStyle w:val="44"/>
              <w:bidi w:val="0"/>
              <w:rPr>
                <w:rFonts w:hint="default" w:ascii="Times New Roman" w:hAnsi="Times New Roman" w:cs="Times New Roman"/>
                <w:color w:val="auto"/>
              </w:rPr>
            </w:pPr>
          </w:p>
        </w:tc>
      </w:tr>
      <w:tr w14:paraId="49F3FD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97" w:hRule="exact"/>
        </w:trPr>
        <w:tc>
          <w:tcPr>
            <w:tcW w:w="957" w:type="pct"/>
            <w:noWrap w:val="0"/>
            <w:vAlign w:val="center"/>
          </w:tcPr>
          <w:p w14:paraId="37239615">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pH</w:t>
            </w:r>
          </w:p>
        </w:tc>
        <w:tc>
          <w:tcPr>
            <w:tcW w:w="1319" w:type="pct"/>
            <w:noWrap w:val="0"/>
            <w:vAlign w:val="center"/>
          </w:tcPr>
          <w:p w14:paraId="7A7D068E">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6.48</w:t>
            </w:r>
          </w:p>
        </w:tc>
        <w:tc>
          <w:tcPr>
            <w:tcW w:w="762" w:type="pct"/>
            <w:noWrap w:val="0"/>
            <w:vAlign w:val="center"/>
          </w:tcPr>
          <w:p w14:paraId="01C9FC78">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无量纲</w:t>
            </w:r>
          </w:p>
        </w:tc>
        <w:tc>
          <w:tcPr>
            <w:tcW w:w="821" w:type="pct"/>
            <w:noWrap w:val="0"/>
            <w:vAlign w:val="center"/>
          </w:tcPr>
          <w:p w14:paraId="580F09C2">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505" w:type="pct"/>
            <w:noWrap w:val="0"/>
            <w:vAlign w:val="center"/>
          </w:tcPr>
          <w:p w14:paraId="3D7BCAB3">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628" w:type="pct"/>
            <w:noWrap w:val="0"/>
            <w:vAlign w:val="center"/>
          </w:tcPr>
          <w:p w14:paraId="6EC495C8">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r>
      <w:tr w14:paraId="2B5F29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97" w:hRule="exact"/>
        </w:trPr>
        <w:tc>
          <w:tcPr>
            <w:tcW w:w="957" w:type="pct"/>
            <w:noWrap w:val="0"/>
            <w:vAlign w:val="center"/>
          </w:tcPr>
          <w:p w14:paraId="2801917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汞</w:t>
            </w:r>
          </w:p>
        </w:tc>
        <w:tc>
          <w:tcPr>
            <w:tcW w:w="1319" w:type="pct"/>
            <w:noWrap w:val="0"/>
            <w:vAlign w:val="center"/>
          </w:tcPr>
          <w:p w14:paraId="7DBD77D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0.030</w:t>
            </w:r>
          </w:p>
        </w:tc>
        <w:tc>
          <w:tcPr>
            <w:tcW w:w="762" w:type="pct"/>
            <w:noWrap w:val="0"/>
            <w:vAlign w:val="center"/>
          </w:tcPr>
          <w:p w14:paraId="11297F34">
            <w:pPr>
              <w:pStyle w:val="44"/>
              <w:bidi w:val="0"/>
              <w:rPr>
                <w:rFonts w:hint="default" w:ascii="Times New Roman" w:hAnsi="Times New Roman" w:cs="Times New Roman"/>
                <w:color w:val="auto"/>
              </w:rPr>
            </w:pPr>
            <w:r>
              <w:rPr>
                <w:rFonts w:hint="default" w:ascii="Times New Roman" w:hAnsi="Times New Roman" w:cs="Times New Roman"/>
                <w:color w:val="auto"/>
              </w:rPr>
              <w:t>mg/kg</w:t>
            </w:r>
          </w:p>
        </w:tc>
        <w:tc>
          <w:tcPr>
            <w:tcW w:w="1400" w:type="dxa"/>
            <w:noWrap w:val="0"/>
            <w:vAlign w:val="center"/>
          </w:tcPr>
          <w:p w14:paraId="563A8EE6">
            <w:pPr>
              <w:pStyle w:val="44"/>
              <w:bidi w:val="0"/>
              <w:ind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38</w:t>
            </w:r>
          </w:p>
        </w:tc>
        <w:tc>
          <w:tcPr>
            <w:tcW w:w="505" w:type="pct"/>
            <w:noWrap w:val="0"/>
            <w:vAlign w:val="center"/>
          </w:tcPr>
          <w:p w14:paraId="316BD5CF">
            <w:pPr>
              <w:pStyle w:val="44"/>
              <w:bidi w:val="0"/>
              <w:rPr>
                <w:rFonts w:hint="default" w:ascii="Times New Roman" w:hAnsi="Times New Roman" w:cs="Times New Roman"/>
                <w:color w:val="auto"/>
              </w:rPr>
            </w:pPr>
            <w:r>
              <w:rPr>
                <w:rFonts w:hint="default" w:ascii="Times New Roman" w:hAnsi="Times New Roman" w:cs="Times New Roman"/>
                <w:color w:val="auto"/>
              </w:rPr>
              <w:t>0</w:t>
            </w:r>
          </w:p>
        </w:tc>
        <w:tc>
          <w:tcPr>
            <w:tcW w:w="628" w:type="pct"/>
            <w:noWrap w:val="0"/>
            <w:vAlign w:val="center"/>
          </w:tcPr>
          <w:p w14:paraId="737075A4">
            <w:pPr>
              <w:pStyle w:val="44"/>
              <w:bidi w:val="0"/>
              <w:rPr>
                <w:rFonts w:hint="default" w:ascii="Times New Roman" w:hAnsi="Times New Roman" w:cs="Times New Roman"/>
                <w:color w:val="auto"/>
              </w:rPr>
            </w:pPr>
            <w:r>
              <w:rPr>
                <w:rFonts w:hint="default" w:ascii="Times New Roman" w:hAnsi="Times New Roman" w:cs="Times New Roman"/>
                <w:color w:val="auto"/>
              </w:rPr>
              <w:t>达标</w:t>
            </w:r>
          </w:p>
        </w:tc>
      </w:tr>
      <w:tr w14:paraId="2642FC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97" w:hRule="exact"/>
        </w:trPr>
        <w:tc>
          <w:tcPr>
            <w:tcW w:w="957" w:type="pct"/>
            <w:noWrap w:val="0"/>
            <w:vAlign w:val="center"/>
          </w:tcPr>
          <w:p w14:paraId="008916C8">
            <w:pPr>
              <w:pStyle w:val="44"/>
              <w:bidi w:val="0"/>
              <w:rPr>
                <w:rFonts w:hint="default" w:ascii="Times New Roman" w:hAnsi="Times New Roman" w:cs="Times New Roman"/>
                <w:color w:val="auto"/>
              </w:rPr>
            </w:pPr>
            <w:r>
              <w:rPr>
                <w:rFonts w:hint="default" w:ascii="Times New Roman" w:hAnsi="Times New Roman" w:cs="Times New Roman"/>
                <w:color w:val="auto"/>
              </w:rPr>
              <w:t>砷</w:t>
            </w:r>
          </w:p>
        </w:tc>
        <w:tc>
          <w:tcPr>
            <w:tcW w:w="1319" w:type="pct"/>
            <w:noWrap w:val="0"/>
            <w:vAlign w:val="center"/>
          </w:tcPr>
          <w:p w14:paraId="1F1963ED">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10.0</w:t>
            </w:r>
          </w:p>
        </w:tc>
        <w:tc>
          <w:tcPr>
            <w:tcW w:w="762" w:type="pct"/>
            <w:noWrap w:val="0"/>
            <w:vAlign w:val="center"/>
          </w:tcPr>
          <w:p w14:paraId="113EBC38">
            <w:pPr>
              <w:pStyle w:val="44"/>
              <w:bidi w:val="0"/>
              <w:rPr>
                <w:rFonts w:hint="default" w:ascii="Times New Roman" w:hAnsi="Times New Roman" w:cs="Times New Roman"/>
                <w:color w:val="auto"/>
              </w:rPr>
            </w:pPr>
            <w:r>
              <w:rPr>
                <w:rFonts w:hint="default" w:ascii="Times New Roman" w:hAnsi="Times New Roman" w:cs="Times New Roman"/>
                <w:color w:val="auto"/>
              </w:rPr>
              <w:t>mg/kg</w:t>
            </w:r>
          </w:p>
        </w:tc>
        <w:tc>
          <w:tcPr>
            <w:tcW w:w="1400" w:type="dxa"/>
            <w:noWrap w:val="0"/>
            <w:vAlign w:val="center"/>
          </w:tcPr>
          <w:p w14:paraId="7FCFF00C">
            <w:pPr>
              <w:pStyle w:val="44"/>
              <w:bidi w:val="0"/>
              <w:ind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60</w:t>
            </w:r>
          </w:p>
        </w:tc>
        <w:tc>
          <w:tcPr>
            <w:tcW w:w="505" w:type="pct"/>
            <w:noWrap w:val="0"/>
            <w:vAlign w:val="center"/>
          </w:tcPr>
          <w:p w14:paraId="13C0FEC5">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w:t>
            </w:r>
          </w:p>
        </w:tc>
        <w:tc>
          <w:tcPr>
            <w:tcW w:w="628" w:type="pct"/>
            <w:noWrap w:val="0"/>
            <w:vAlign w:val="center"/>
          </w:tcPr>
          <w:p w14:paraId="1B1D8E6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达标</w:t>
            </w:r>
          </w:p>
        </w:tc>
      </w:tr>
      <w:tr w14:paraId="1CEE6F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97" w:hRule="exact"/>
        </w:trPr>
        <w:tc>
          <w:tcPr>
            <w:tcW w:w="957" w:type="pct"/>
            <w:noWrap w:val="0"/>
            <w:vAlign w:val="center"/>
          </w:tcPr>
          <w:p w14:paraId="6B02E617">
            <w:pPr>
              <w:pStyle w:val="44"/>
              <w:bidi w:val="0"/>
              <w:rPr>
                <w:rFonts w:hint="default" w:ascii="Times New Roman" w:hAnsi="Times New Roman" w:cs="Times New Roman"/>
                <w:color w:val="auto"/>
              </w:rPr>
            </w:pPr>
            <w:r>
              <w:rPr>
                <w:rFonts w:hint="default" w:ascii="Times New Roman" w:hAnsi="Times New Roman" w:cs="Times New Roman"/>
                <w:color w:val="auto"/>
              </w:rPr>
              <w:t>铜</w:t>
            </w:r>
          </w:p>
        </w:tc>
        <w:tc>
          <w:tcPr>
            <w:tcW w:w="1319" w:type="pct"/>
            <w:noWrap w:val="0"/>
            <w:vAlign w:val="center"/>
          </w:tcPr>
          <w:p w14:paraId="49EB02C7">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34</w:t>
            </w:r>
          </w:p>
        </w:tc>
        <w:tc>
          <w:tcPr>
            <w:tcW w:w="762" w:type="pct"/>
            <w:noWrap w:val="0"/>
            <w:vAlign w:val="center"/>
          </w:tcPr>
          <w:p w14:paraId="335921B5">
            <w:pPr>
              <w:pStyle w:val="44"/>
              <w:bidi w:val="0"/>
              <w:rPr>
                <w:rFonts w:hint="default" w:ascii="Times New Roman" w:hAnsi="Times New Roman" w:cs="Times New Roman"/>
                <w:color w:val="auto"/>
              </w:rPr>
            </w:pPr>
            <w:r>
              <w:rPr>
                <w:rFonts w:hint="default" w:ascii="Times New Roman" w:hAnsi="Times New Roman" w:cs="Times New Roman"/>
                <w:color w:val="auto"/>
              </w:rPr>
              <w:t>mg/kg</w:t>
            </w:r>
          </w:p>
        </w:tc>
        <w:tc>
          <w:tcPr>
            <w:tcW w:w="1400" w:type="dxa"/>
            <w:noWrap w:val="0"/>
            <w:vAlign w:val="center"/>
          </w:tcPr>
          <w:p w14:paraId="12898FFD">
            <w:pPr>
              <w:pStyle w:val="44"/>
              <w:bidi w:val="0"/>
              <w:ind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18000</w:t>
            </w:r>
          </w:p>
        </w:tc>
        <w:tc>
          <w:tcPr>
            <w:tcW w:w="505" w:type="pct"/>
            <w:noWrap w:val="0"/>
            <w:vAlign w:val="center"/>
          </w:tcPr>
          <w:p w14:paraId="614EA488">
            <w:pPr>
              <w:pStyle w:val="44"/>
              <w:bidi w:val="0"/>
              <w:rPr>
                <w:rFonts w:hint="default" w:ascii="Times New Roman" w:hAnsi="Times New Roman" w:cs="Times New Roman"/>
                <w:color w:val="auto"/>
              </w:rPr>
            </w:pPr>
            <w:r>
              <w:rPr>
                <w:rFonts w:hint="default" w:ascii="Times New Roman" w:hAnsi="Times New Roman" w:cs="Times New Roman"/>
                <w:color w:val="auto"/>
              </w:rPr>
              <w:t>0</w:t>
            </w:r>
          </w:p>
        </w:tc>
        <w:tc>
          <w:tcPr>
            <w:tcW w:w="628" w:type="pct"/>
            <w:noWrap w:val="0"/>
            <w:vAlign w:val="center"/>
          </w:tcPr>
          <w:p w14:paraId="346C14AA">
            <w:pPr>
              <w:pStyle w:val="44"/>
              <w:bidi w:val="0"/>
              <w:rPr>
                <w:rFonts w:hint="default" w:ascii="Times New Roman" w:hAnsi="Times New Roman" w:cs="Times New Roman"/>
                <w:color w:val="auto"/>
              </w:rPr>
            </w:pPr>
            <w:r>
              <w:rPr>
                <w:rFonts w:hint="default" w:ascii="Times New Roman" w:hAnsi="Times New Roman" w:cs="Times New Roman"/>
                <w:color w:val="auto"/>
              </w:rPr>
              <w:t>达标</w:t>
            </w:r>
          </w:p>
        </w:tc>
      </w:tr>
      <w:tr w14:paraId="21C042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97" w:hRule="exact"/>
        </w:trPr>
        <w:tc>
          <w:tcPr>
            <w:tcW w:w="957" w:type="pct"/>
            <w:noWrap w:val="0"/>
            <w:vAlign w:val="center"/>
          </w:tcPr>
          <w:p w14:paraId="460BB240">
            <w:pPr>
              <w:pStyle w:val="44"/>
              <w:bidi w:val="0"/>
              <w:rPr>
                <w:rFonts w:hint="default" w:ascii="Times New Roman" w:hAnsi="Times New Roman" w:cs="Times New Roman"/>
                <w:color w:val="auto"/>
              </w:rPr>
            </w:pPr>
            <w:r>
              <w:rPr>
                <w:rFonts w:hint="default" w:ascii="Times New Roman" w:hAnsi="Times New Roman" w:cs="Times New Roman"/>
                <w:color w:val="auto"/>
              </w:rPr>
              <w:t>镍</w:t>
            </w:r>
          </w:p>
        </w:tc>
        <w:tc>
          <w:tcPr>
            <w:tcW w:w="1319" w:type="pct"/>
            <w:noWrap w:val="0"/>
            <w:vAlign w:val="center"/>
          </w:tcPr>
          <w:p w14:paraId="68B2144B">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50</w:t>
            </w:r>
          </w:p>
        </w:tc>
        <w:tc>
          <w:tcPr>
            <w:tcW w:w="762" w:type="pct"/>
            <w:noWrap w:val="0"/>
            <w:vAlign w:val="center"/>
          </w:tcPr>
          <w:p w14:paraId="2EE306E7">
            <w:pPr>
              <w:pStyle w:val="44"/>
              <w:bidi w:val="0"/>
              <w:rPr>
                <w:rFonts w:hint="default" w:ascii="Times New Roman" w:hAnsi="Times New Roman" w:cs="Times New Roman"/>
                <w:color w:val="auto"/>
              </w:rPr>
            </w:pPr>
            <w:r>
              <w:rPr>
                <w:rFonts w:hint="default" w:ascii="Times New Roman" w:hAnsi="Times New Roman" w:cs="Times New Roman"/>
                <w:color w:val="auto"/>
              </w:rPr>
              <w:t>mg/kg</w:t>
            </w:r>
          </w:p>
        </w:tc>
        <w:tc>
          <w:tcPr>
            <w:tcW w:w="1400" w:type="dxa"/>
            <w:noWrap w:val="0"/>
            <w:vAlign w:val="center"/>
          </w:tcPr>
          <w:p w14:paraId="36CAE95B">
            <w:pPr>
              <w:pStyle w:val="44"/>
              <w:bidi w:val="0"/>
              <w:ind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900</w:t>
            </w:r>
          </w:p>
        </w:tc>
        <w:tc>
          <w:tcPr>
            <w:tcW w:w="505" w:type="pct"/>
            <w:noWrap w:val="0"/>
            <w:vAlign w:val="center"/>
          </w:tcPr>
          <w:p w14:paraId="6C33F28E">
            <w:pPr>
              <w:pStyle w:val="44"/>
              <w:bidi w:val="0"/>
              <w:rPr>
                <w:rFonts w:hint="default" w:ascii="Times New Roman" w:hAnsi="Times New Roman" w:cs="Times New Roman"/>
                <w:color w:val="auto"/>
              </w:rPr>
            </w:pPr>
            <w:r>
              <w:rPr>
                <w:rFonts w:hint="default" w:ascii="Times New Roman" w:hAnsi="Times New Roman" w:cs="Times New Roman"/>
                <w:color w:val="auto"/>
              </w:rPr>
              <w:t>0</w:t>
            </w:r>
          </w:p>
        </w:tc>
        <w:tc>
          <w:tcPr>
            <w:tcW w:w="628" w:type="pct"/>
            <w:noWrap w:val="0"/>
            <w:vAlign w:val="center"/>
          </w:tcPr>
          <w:p w14:paraId="43C85A94">
            <w:pPr>
              <w:pStyle w:val="44"/>
              <w:bidi w:val="0"/>
              <w:rPr>
                <w:rFonts w:hint="default" w:ascii="Times New Roman" w:hAnsi="Times New Roman" w:cs="Times New Roman"/>
                <w:color w:val="auto"/>
              </w:rPr>
            </w:pPr>
            <w:r>
              <w:rPr>
                <w:rFonts w:hint="default" w:ascii="Times New Roman" w:hAnsi="Times New Roman" w:cs="Times New Roman"/>
                <w:color w:val="auto"/>
              </w:rPr>
              <w:t>达标</w:t>
            </w:r>
          </w:p>
        </w:tc>
      </w:tr>
      <w:tr w14:paraId="3700F0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97" w:hRule="exact"/>
        </w:trPr>
        <w:tc>
          <w:tcPr>
            <w:tcW w:w="957" w:type="pct"/>
            <w:noWrap w:val="0"/>
            <w:vAlign w:val="center"/>
          </w:tcPr>
          <w:p w14:paraId="493C21F1">
            <w:pPr>
              <w:pStyle w:val="44"/>
              <w:bidi w:val="0"/>
              <w:rPr>
                <w:rFonts w:hint="default" w:ascii="Times New Roman" w:hAnsi="Times New Roman" w:cs="Times New Roman"/>
                <w:color w:val="auto"/>
              </w:rPr>
            </w:pPr>
            <w:r>
              <w:rPr>
                <w:rFonts w:hint="default" w:ascii="Times New Roman" w:hAnsi="Times New Roman" w:cs="Times New Roman"/>
                <w:color w:val="auto"/>
              </w:rPr>
              <w:t>铅</w:t>
            </w:r>
          </w:p>
        </w:tc>
        <w:tc>
          <w:tcPr>
            <w:tcW w:w="1319" w:type="pct"/>
            <w:noWrap w:val="0"/>
            <w:vAlign w:val="center"/>
          </w:tcPr>
          <w:p w14:paraId="2302CC09">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31.1</w:t>
            </w:r>
          </w:p>
        </w:tc>
        <w:tc>
          <w:tcPr>
            <w:tcW w:w="762" w:type="pct"/>
            <w:noWrap w:val="0"/>
            <w:vAlign w:val="center"/>
          </w:tcPr>
          <w:p w14:paraId="5F47AE9A">
            <w:pPr>
              <w:pStyle w:val="44"/>
              <w:bidi w:val="0"/>
              <w:rPr>
                <w:rFonts w:hint="default" w:ascii="Times New Roman" w:hAnsi="Times New Roman" w:cs="Times New Roman"/>
                <w:color w:val="auto"/>
              </w:rPr>
            </w:pPr>
            <w:r>
              <w:rPr>
                <w:rFonts w:hint="default" w:ascii="Times New Roman" w:hAnsi="Times New Roman" w:cs="Times New Roman"/>
                <w:color w:val="auto"/>
              </w:rPr>
              <w:t>mg/kg</w:t>
            </w:r>
          </w:p>
        </w:tc>
        <w:tc>
          <w:tcPr>
            <w:tcW w:w="1400" w:type="dxa"/>
            <w:noWrap w:val="0"/>
            <w:vAlign w:val="center"/>
          </w:tcPr>
          <w:p w14:paraId="643B63A2">
            <w:pPr>
              <w:pStyle w:val="44"/>
              <w:bidi w:val="0"/>
              <w:ind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800</w:t>
            </w:r>
          </w:p>
        </w:tc>
        <w:tc>
          <w:tcPr>
            <w:tcW w:w="505" w:type="pct"/>
            <w:noWrap w:val="0"/>
            <w:vAlign w:val="center"/>
          </w:tcPr>
          <w:p w14:paraId="7413F2C0">
            <w:pPr>
              <w:pStyle w:val="44"/>
              <w:bidi w:val="0"/>
              <w:rPr>
                <w:rFonts w:hint="default" w:ascii="Times New Roman" w:hAnsi="Times New Roman" w:cs="Times New Roman"/>
                <w:color w:val="auto"/>
              </w:rPr>
            </w:pPr>
            <w:r>
              <w:rPr>
                <w:rFonts w:hint="default" w:ascii="Times New Roman" w:hAnsi="Times New Roman" w:cs="Times New Roman"/>
                <w:color w:val="auto"/>
              </w:rPr>
              <w:t>0</w:t>
            </w:r>
          </w:p>
        </w:tc>
        <w:tc>
          <w:tcPr>
            <w:tcW w:w="628" w:type="pct"/>
            <w:noWrap w:val="0"/>
            <w:vAlign w:val="center"/>
          </w:tcPr>
          <w:p w14:paraId="13093372">
            <w:pPr>
              <w:pStyle w:val="44"/>
              <w:bidi w:val="0"/>
              <w:rPr>
                <w:rFonts w:hint="default" w:ascii="Times New Roman" w:hAnsi="Times New Roman" w:cs="Times New Roman"/>
                <w:color w:val="auto"/>
              </w:rPr>
            </w:pPr>
            <w:r>
              <w:rPr>
                <w:rFonts w:hint="default" w:ascii="Times New Roman" w:hAnsi="Times New Roman" w:cs="Times New Roman"/>
                <w:color w:val="auto"/>
              </w:rPr>
              <w:t>达标</w:t>
            </w:r>
          </w:p>
        </w:tc>
      </w:tr>
      <w:tr w14:paraId="0C04B1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97" w:hRule="exact"/>
        </w:trPr>
        <w:tc>
          <w:tcPr>
            <w:tcW w:w="957" w:type="pct"/>
            <w:noWrap w:val="0"/>
            <w:vAlign w:val="center"/>
          </w:tcPr>
          <w:p w14:paraId="29492A77">
            <w:pPr>
              <w:pStyle w:val="44"/>
              <w:bidi w:val="0"/>
              <w:rPr>
                <w:rFonts w:hint="default" w:ascii="Times New Roman" w:hAnsi="Times New Roman" w:cs="Times New Roman"/>
                <w:color w:val="auto"/>
              </w:rPr>
            </w:pPr>
            <w:r>
              <w:rPr>
                <w:rFonts w:hint="default" w:ascii="Times New Roman" w:hAnsi="Times New Roman" w:cs="Times New Roman"/>
                <w:color w:val="auto"/>
              </w:rPr>
              <w:t>镉</w:t>
            </w:r>
          </w:p>
        </w:tc>
        <w:tc>
          <w:tcPr>
            <w:tcW w:w="1319" w:type="pct"/>
            <w:noWrap w:val="0"/>
            <w:vAlign w:val="center"/>
          </w:tcPr>
          <w:p w14:paraId="3AB4F13E">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0.06</w:t>
            </w:r>
          </w:p>
        </w:tc>
        <w:tc>
          <w:tcPr>
            <w:tcW w:w="762" w:type="pct"/>
            <w:noWrap w:val="0"/>
            <w:vAlign w:val="center"/>
          </w:tcPr>
          <w:p w14:paraId="7090A57B">
            <w:pPr>
              <w:pStyle w:val="44"/>
              <w:bidi w:val="0"/>
              <w:rPr>
                <w:rFonts w:hint="default" w:ascii="Times New Roman" w:hAnsi="Times New Roman" w:cs="Times New Roman"/>
                <w:color w:val="auto"/>
              </w:rPr>
            </w:pPr>
            <w:r>
              <w:rPr>
                <w:rFonts w:hint="default" w:ascii="Times New Roman" w:hAnsi="Times New Roman" w:cs="Times New Roman"/>
                <w:color w:val="auto"/>
              </w:rPr>
              <w:t>mg/kg</w:t>
            </w:r>
          </w:p>
        </w:tc>
        <w:tc>
          <w:tcPr>
            <w:tcW w:w="1400" w:type="dxa"/>
            <w:noWrap w:val="0"/>
            <w:vAlign w:val="center"/>
          </w:tcPr>
          <w:p w14:paraId="2784310B">
            <w:pPr>
              <w:pStyle w:val="44"/>
              <w:bidi w:val="0"/>
              <w:ind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65</w:t>
            </w:r>
          </w:p>
        </w:tc>
        <w:tc>
          <w:tcPr>
            <w:tcW w:w="505" w:type="pct"/>
            <w:noWrap w:val="0"/>
            <w:vAlign w:val="center"/>
          </w:tcPr>
          <w:p w14:paraId="0C703D14">
            <w:pPr>
              <w:pStyle w:val="44"/>
              <w:bidi w:val="0"/>
              <w:rPr>
                <w:rFonts w:hint="default" w:ascii="Times New Roman" w:hAnsi="Times New Roman" w:cs="Times New Roman"/>
                <w:color w:val="auto"/>
              </w:rPr>
            </w:pPr>
            <w:r>
              <w:rPr>
                <w:rFonts w:hint="default" w:ascii="Times New Roman" w:hAnsi="Times New Roman" w:cs="Times New Roman"/>
                <w:color w:val="auto"/>
              </w:rPr>
              <w:t>0</w:t>
            </w:r>
          </w:p>
        </w:tc>
        <w:tc>
          <w:tcPr>
            <w:tcW w:w="628" w:type="pct"/>
            <w:noWrap w:val="0"/>
            <w:vAlign w:val="center"/>
          </w:tcPr>
          <w:p w14:paraId="7997EFA6">
            <w:pPr>
              <w:pStyle w:val="44"/>
              <w:bidi w:val="0"/>
              <w:rPr>
                <w:rFonts w:hint="default" w:ascii="Times New Roman" w:hAnsi="Times New Roman" w:cs="Times New Roman"/>
                <w:color w:val="auto"/>
              </w:rPr>
            </w:pPr>
            <w:r>
              <w:rPr>
                <w:rFonts w:hint="default" w:ascii="Times New Roman" w:hAnsi="Times New Roman" w:cs="Times New Roman"/>
                <w:color w:val="auto"/>
              </w:rPr>
              <w:t>达标</w:t>
            </w:r>
          </w:p>
        </w:tc>
      </w:tr>
      <w:tr w14:paraId="401F02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97" w:hRule="exact"/>
        </w:trPr>
        <w:tc>
          <w:tcPr>
            <w:tcW w:w="957" w:type="pct"/>
            <w:noWrap w:val="0"/>
            <w:vAlign w:val="center"/>
          </w:tcPr>
          <w:p w14:paraId="14B02689">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锌</w:t>
            </w:r>
          </w:p>
        </w:tc>
        <w:tc>
          <w:tcPr>
            <w:tcW w:w="1319" w:type="pct"/>
            <w:noWrap w:val="0"/>
            <w:vAlign w:val="center"/>
          </w:tcPr>
          <w:p w14:paraId="3086FB10">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126</w:t>
            </w:r>
          </w:p>
        </w:tc>
        <w:tc>
          <w:tcPr>
            <w:tcW w:w="762" w:type="pct"/>
            <w:noWrap w:val="0"/>
            <w:vAlign w:val="center"/>
          </w:tcPr>
          <w:p w14:paraId="6D0E2DE2">
            <w:pPr>
              <w:pStyle w:val="44"/>
              <w:bidi w:val="0"/>
              <w:rPr>
                <w:rFonts w:hint="default" w:ascii="Times New Roman" w:hAnsi="Times New Roman" w:cs="Times New Roman"/>
                <w:color w:val="auto"/>
              </w:rPr>
            </w:pPr>
            <w:r>
              <w:rPr>
                <w:rFonts w:hint="default" w:ascii="Times New Roman" w:hAnsi="Times New Roman" w:cs="Times New Roman"/>
                <w:color w:val="auto"/>
              </w:rPr>
              <w:t>mg/kg</w:t>
            </w:r>
          </w:p>
        </w:tc>
        <w:tc>
          <w:tcPr>
            <w:tcW w:w="1400" w:type="dxa"/>
            <w:noWrap w:val="0"/>
            <w:vAlign w:val="center"/>
          </w:tcPr>
          <w:p w14:paraId="505FE65B">
            <w:pPr>
              <w:pStyle w:val="44"/>
              <w:bidi w:val="0"/>
              <w:ind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200</w:t>
            </w:r>
          </w:p>
        </w:tc>
        <w:tc>
          <w:tcPr>
            <w:tcW w:w="505" w:type="pct"/>
            <w:noWrap w:val="0"/>
            <w:vAlign w:val="center"/>
          </w:tcPr>
          <w:p w14:paraId="7379D137">
            <w:pPr>
              <w:pStyle w:val="44"/>
              <w:bidi w:val="0"/>
              <w:rPr>
                <w:rFonts w:hint="default" w:ascii="Times New Roman" w:hAnsi="Times New Roman" w:cs="Times New Roman"/>
                <w:color w:val="auto"/>
              </w:rPr>
            </w:pPr>
            <w:r>
              <w:rPr>
                <w:rFonts w:hint="default" w:ascii="Times New Roman" w:hAnsi="Times New Roman" w:cs="Times New Roman"/>
                <w:color w:val="auto"/>
              </w:rPr>
              <w:t>0</w:t>
            </w:r>
          </w:p>
        </w:tc>
        <w:tc>
          <w:tcPr>
            <w:tcW w:w="628" w:type="pct"/>
            <w:noWrap w:val="0"/>
            <w:vAlign w:val="center"/>
          </w:tcPr>
          <w:p w14:paraId="69B09671">
            <w:pPr>
              <w:pStyle w:val="44"/>
              <w:bidi w:val="0"/>
              <w:rPr>
                <w:rFonts w:hint="default" w:ascii="Times New Roman" w:hAnsi="Times New Roman" w:cs="Times New Roman"/>
                <w:color w:val="auto"/>
              </w:rPr>
            </w:pPr>
            <w:r>
              <w:rPr>
                <w:rFonts w:hint="default" w:ascii="Times New Roman" w:hAnsi="Times New Roman" w:cs="Times New Roman"/>
                <w:color w:val="auto"/>
              </w:rPr>
              <w:t>达标</w:t>
            </w:r>
          </w:p>
        </w:tc>
      </w:tr>
      <w:tr w14:paraId="7798F3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97" w:hRule="exact"/>
        </w:trPr>
        <w:tc>
          <w:tcPr>
            <w:tcW w:w="957" w:type="pct"/>
            <w:noWrap w:val="0"/>
            <w:vAlign w:val="center"/>
          </w:tcPr>
          <w:p w14:paraId="1FDF9FBA">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rPr>
              <w:t>铬</w:t>
            </w:r>
          </w:p>
        </w:tc>
        <w:tc>
          <w:tcPr>
            <w:tcW w:w="1319" w:type="pct"/>
            <w:noWrap w:val="0"/>
            <w:vAlign w:val="center"/>
          </w:tcPr>
          <w:p w14:paraId="2598E33B">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89</w:t>
            </w:r>
          </w:p>
        </w:tc>
        <w:tc>
          <w:tcPr>
            <w:tcW w:w="762" w:type="pct"/>
            <w:noWrap w:val="0"/>
            <w:vAlign w:val="center"/>
          </w:tcPr>
          <w:p w14:paraId="5D581B60">
            <w:pPr>
              <w:pStyle w:val="44"/>
              <w:bidi w:val="0"/>
              <w:rPr>
                <w:rFonts w:hint="default" w:ascii="Times New Roman" w:hAnsi="Times New Roman" w:cs="Times New Roman"/>
                <w:color w:val="auto"/>
              </w:rPr>
            </w:pPr>
            <w:r>
              <w:rPr>
                <w:rFonts w:hint="default" w:ascii="Times New Roman" w:hAnsi="Times New Roman" w:cs="Times New Roman"/>
                <w:color w:val="auto"/>
              </w:rPr>
              <w:t>mg/kg</w:t>
            </w:r>
          </w:p>
        </w:tc>
        <w:tc>
          <w:tcPr>
            <w:tcW w:w="1400" w:type="dxa"/>
            <w:noWrap w:val="0"/>
            <w:vAlign w:val="center"/>
          </w:tcPr>
          <w:p w14:paraId="73BE2861">
            <w:pPr>
              <w:pStyle w:val="44"/>
              <w:bidi w:val="0"/>
              <w:ind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5.7</w:t>
            </w:r>
          </w:p>
        </w:tc>
        <w:tc>
          <w:tcPr>
            <w:tcW w:w="505" w:type="pct"/>
            <w:noWrap w:val="0"/>
            <w:vAlign w:val="center"/>
          </w:tcPr>
          <w:p w14:paraId="6CD0B426">
            <w:pPr>
              <w:pStyle w:val="44"/>
              <w:bidi w:val="0"/>
              <w:rPr>
                <w:rFonts w:hint="default" w:ascii="Times New Roman" w:hAnsi="Times New Roman" w:cs="Times New Roman"/>
                <w:color w:val="auto"/>
              </w:rPr>
            </w:pPr>
            <w:r>
              <w:rPr>
                <w:rFonts w:hint="default" w:ascii="Times New Roman" w:hAnsi="Times New Roman" w:cs="Times New Roman"/>
                <w:color w:val="auto"/>
              </w:rPr>
              <w:t>0</w:t>
            </w:r>
          </w:p>
        </w:tc>
        <w:tc>
          <w:tcPr>
            <w:tcW w:w="628" w:type="pct"/>
            <w:noWrap w:val="0"/>
            <w:vAlign w:val="center"/>
          </w:tcPr>
          <w:p w14:paraId="201C8C56">
            <w:pPr>
              <w:pStyle w:val="44"/>
              <w:bidi w:val="0"/>
              <w:rPr>
                <w:rFonts w:hint="default" w:ascii="Times New Roman" w:hAnsi="Times New Roman" w:cs="Times New Roman"/>
                <w:color w:val="auto"/>
              </w:rPr>
            </w:pPr>
            <w:r>
              <w:rPr>
                <w:rFonts w:hint="default" w:ascii="Times New Roman" w:hAnsi="Times New Roman" w:cs="Times New Roman"/>
                <w:color w:val="auto"/>
              </w:rPr>
              <w:t>达标</w:t>
            </w:r>
          </w:p>
        </w:tc>
      </w:tr>
      <w:tr w14:paraId="6628CE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97" w:hRule="exact"/>
        </w:trPr>
        <w:tc>
          <w:tcPr>
            <w:tcW w:w="957" w:type="pct"/>
            <w:noWrap w:val="0"/>
            <w:vAlign w:val="center"/>
          </w:tcPr>
          <w:p w14:paraId="75B6FF79">
            <w:pPr>
              <w:pStyle w:val="44"/>
              <w:bidi w:val="0"/>
              <w:ind w:firstLine="0" w:firstLineChars="0"/>
              <w:rPr>
                <w:rFonts w:hint="default" w:ascii="Times New Roman" w:hAnsi="Times New Roman" w:cs="Times New Roman"/>
                <w:color w:val="auto"/>
              </w:rPr>
            </w:pPr>
            <w:r>
              <w:rPr>
                <w:rFonts w:hint="default" w:ascii="Times New Roman" w:hAnsi="Times New Roman" w:eastAsia="宋体" w:cs="Times New Roman"/>
                <w:color w:val="auto"/>
                <w:lang w:val="en-US" w:eastAsia="zh-CN"/>
              </w:rPr>
              <w:t>水溶性盐</w:t>
            </w:r>
          </w:p>
        </w:tc>
        <w:tc>
          <w:tcPr>
            <w:tcW w:w="1319" w:type="pct"/>
            <w:noWrap w:val="0"/>
            <w:vAlign w:val="center"/>
          </w:tcPr>
          <w:p w14:paraId="36FF1445">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1.02</w:t>
            </w:r>
          </w:p>
        </w:tc>
        <w:tc>
          <w:tcPr>
            <w:tcW w:w="762" w:type="pct"/>
            <w:noWrap w:val="0"/>
            <w:vAlign w:val="center"/>
          </w:tcPr>
          <w:p w14:paraId="517F7A0A">
            <w:pPr>
              <w:pStyle w:val="44"/>
              <w:bidi w:val="0"/>
              <w:rPr>
                <w:rFonts w:hint="default" w:ascii="Times New Roman" w:hAnsi="Times New Roman" w:cs="Times New Roman"/>
                <w:color w:val="auto"/>
              </w:rPr>
            </w:pPr>
            <w:r>
              <w:rPr>
                <w:rFonts w:hint="default" w:ascii="Times New Roman" w:hAnsi="Times New Roman" w:cs="Times New Roman"/>
                <w:color w:val="auto"/>
              </w:rPr>
              <w:t>g/kg</w:t>
            </w:r>
          </w:p>
        </w:tc>
        <w:tc>
          <w:tcPr>
            <w:tcW w:w="821" w:type="pct"/>
            <w:noWrap w:val="0"/>
            <w:vAlign w:val="center"/>
          </w:tcPr>
          <w:p w14:paraId="3395631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505" w:type="pct"/>
            <w:noWrap w:val="0"/>
            <w:vAlign w:val="center"/>
          </w:tcPr>
          <w:p w14:paraId="733F2E39">
            <w:pPr>
              <w:pStyle w:val="44"/>
              <w:bidi w:val="0"/>
              <w:rPr>
                <w:rFonts w:hint="default" w:ascii="Times New Roman" w:hAnsi="Times New Roman" w:cs="Times New Roman"/>
                <w:color w:val="auto"/>
              </w:rPr>
            </w:pPr>
            <w:r>
              <w:rPr>
                <w:rFonts w:hint="default" w:ascii="Times New Roman" w:hAnsi="Times New Roman" w:cs="Times New Roman"/>
                <w:color w:val="auto"/>
              </w:rPr>
              <w:t>0</w:t>
            </w:r>
          </w:p>
        </w:tc>
        <w:tc>
          <w:tcPr>
            <w:tcW w:w="628" w:type="pct"/>
            <w:noWrap w:val="0"/>
            <w:vAlign w:val="center"/>
          </w:tcPr>
          <w:p w14:paraId="2A21CB75">
            <w:pPr>
              <w:pStyle w:val="44"/>
              <w:bidi w:val="0"/>
              <w:rPr>
                <w:rFonts w:hint="default" w:ascii="Times New Roman" w:hAnsi="Times New Roman" w:cs="Times New Roman"/>
                <w:color w:val="auto"/>
              </w:rPr>
            </w:pPr>
            <w:r>
              <w:rPr>
                <w:rFonts w:hint="default" w:ascii="Times New Roman" w:hAnsi="Times New Roman" w:cs="Times New Roman"/>
                <w:color w:val="auto"/>
              </w:rPr>
              <w:t>达标</w:t>
            </w:r>
          </w:p>
        </w:tc>
      </w:tr>
    </w:tbl>
    <w:p w14:paraId="35A4C878">
      <w:pPr>
        <w:pStyle w:val="27"/>
        <w:bidi w:val="0"/>
        <w:rPr>
          <w:rFonts w:hint="default" w:ascii="Times New Roman" w:hAnsi="Times New Roman" w:cs="Times New Roman"/>
          <w:color w:val="auto"/>
        </w:rPr>
      </w:pPr>
      <w:r>
        <w:rPr>
          <w:rFonts w:hint="default" w:ascii="Times New Roman" w:hAnsi="Times New Roman" w:cs="Times New Roman"/>
          <w:color w:val="auto"/>
        </w:rPr>
        <w:t>表4-2-</w:t>
      </w:r>
      <w:r>
        <w:rPr>
          <w:rFonts w:hint="default" w:ascii="Times New Roman" w:hAnsi="Times New Roman" w:cs="Times New Roman"/>
          <w:color w:val="auto"/>
          <w:lang w:val="en-US" w:eastAsia="zh-CN"/>
        </w:rPr>
        <w:t>17</w:t>
      </w:r>
      <w:r>
        <w:rPr>
          <w:rFonts w:hint="default" w:ascii="Times New Roman" w:hAnsi="Times New Roman" w:cs="Times New Roman"/>
          <w:color w:val="auto"/>
        </w:rPr>
        <w:t>土壤监测结果表</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S2</w:t>
      </w:r>
      <w:r>
        <w:rPr>
          <w:rFonts w:hint="default" w:ascii="Times New Roman" w:hAnsi="Times New Roman" w:cs="Times New Roman"/>
          <w:color w:val="auto"/>
          <w:lang w:eastAsia="zh-CN"/>
        </w:rPr>
        <w:t>）</w:t>
      </w:r>
      <w:r>
        <w:rPr>
          <w:rFonts w:hint="default" w:ascii="Times New Roman" w:hAnsi="Times New Roman" w:cs="Times New Roman"/>
          <w:color w:val="auto"/>
        </w:rPr>
        <w:t xml:space="preserve">           单位：mg/kg</w:t>
      </w:r>
    </w:p>
    <w:tbl>
      <w:tblPr>
        <w:tblStyle w:val="20"/>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57"/>
        <w:gridCol w:w="859"/>
        <w:gridCol w:w="987"/>
        <w:gridCol w:w="962"/>
        <w:gridCol w:w="1125"/>
        <w:gridCol w:w="1560"/>
        <w:gridCol w:w="852"/>
        <w:gridCol w:w="815"/>
      </w:tblGrid>
      <w:tr w14:paraId="24F701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7" w:hRule="atLeast"/>
          <w:tblHeader/>
        </w:trPr>
        <w:tc>
          <w:tcPr>
            <w:tcW w:w="796" w:type="pct"/>
            <w:vMerge w:val="restart"/>
            <w:noWrap w:val="0"/>
            <w:vAlign w:val="center"/>
          </w:tcPr>
          <w:p w14:paraId="23C4AFB3">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监测项目</w:t>
            </w:r>
          </w:p>
        </w:tc>
        <w:tc>
          <w:tcPr>
            <w:tcW w:w="1648" w:type="pct"/>
            <w:gridSpan w:val="3"/>
            <w:noWrap w:val="0"/>
            <w:vAlign w:val="center"/>
          </w:tcPr>
          <w:p w14:paraId="3826B373">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S2柱状样</w:t>
            </w:r>
          </w:p>
        </w:tc>
        <w:tc>
          <w:tcPr>
            <w:tcW w:w="660" w:type="pct"/>
            <w:vMerge w:val="restart"/>
            <w:noWrap w:val="0"/>
            <w:vAlign w:val="center"/>
          </w:tcPr>
          <w:p w14:paraId="14EB7E77">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单位</w:t>
            </w:r>
          </w:p>
        </w:tc>
        <w:tc>
          <w:tcPr>
            <w:tcW w:w="915" w:type="pct"/>
            <w:vMerge w:val="restart"/>
            <w:noWrap w:val="0"/>
            <w:vAlign w:val="center"/>
          </w:tcPr>
          <w:p w14:paraId="75E8378D">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标准值（第二类用地筛选值，mg/kg）</w:t>
            </w:r>
          </w:p>
        </w:tc>
        <w:tc>
          <w:tcPr>
            <w:tcW w:w="500" w:type="pct"/>
            <w:vMerge w:val="restart"/>
            <w:noWrap w:val="0"/>
            <w:vAlign w:val="center"/>
          </w:tcPr>
          <w:p w14:paraId="5AF5A7D7">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超标率</w:t>
            </w:r>
          </w:p>
        </w:tc>
        <w:tc>
          <w:tcPr>
            <w:tcW w:w="478" w:type="pct"/>
            <w:vMerge w:val="restart"/>
            <w:noWrap w:val="0"/>
            <w:vAlign w:val="center"/>
          </w:tcPr>
          <w:p w14:paraId="36E2D475">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达标情况</w:t>
            </w:r>
          </w:p>
        </w:tc>
      </w:tr>
      <w:tr w14:paraId="0A2AEB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7" w:hRule="atLeast"/>
          <w:tblHeader/>
        </w:trPr>
        <w:tc>
          <w:tcPr>
            <w:tcW w:w="796" w:type="pct"/>
            <w:vMerge w:val="continue"/>
            <w:noWrap w:val="0"/>
            <w:vAlign w:val="center"/>
          </w:tcPr>
          <w:p w14:paraId="3B624BD2">
            <w:pPr>
              <w:pStyle w:val="44"/>
              <w:bidi w:val="0"/>
              <w:rPr>
                <w:rFonts w:hint="default" w:ascii="Times New Roman" w:hAnsi="Times New Roman" w:cs="Times New Roman"/>
                <w:color w:val="auto"/>
                <w:sz w:val="21"/>
                <w:szCs w:val="21"/>
              </w:rPr>
            </w:pPr>
          </w:p>
        </w:tc>
        <w:tc>
          <w:tcPr>
            <w:tcW w:w="504" w:type="pct"/>
            <w:noWrap w:val="0"/>
            <w:vAlign w:val="center"/>
          </w:tcPr>
          <w:p w14:paraId="06B5A5CE">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0-0.5m</w:t>
            </w:r>
          </w:p>
        </w:tc>
        <w:tc>
          <w:tcPr>
            <w:tcW w:w="579" w:type="pct"/>
            <w:noWrap w:val="0"/>
            <w:vAlign w:val="center"/>
          </w:tcPr>
          <w:p w14:paraId="5B65424A">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0.5-1.5m</w:t>
            </w:r>
          </w:p>
        </w:tc>
        <w:tc>
          <w:tcPr>
            <w:tcW w:w="564" w:type="pct"/>
            <w:noWrap w:val="0"/>
            <w:vAlign w:val="center"/>
          </w:tcPr>
          <w:p w14:paraId="5B670A42">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1.5-3m</w:t>
            </w:r>
          </w:p>
        </w:tc>
        <w:tc>
          <w:tcPr>
            <w:tcW w:w="660" w:type="pct"/>
            <w:vMerge w:val="continue"/>
            <w:noWrap w:val="0"/>
            <w:vAlign w:val="center"/>
          </w:tcPr>
          <w:p w14:paraId="0DF622BA">
            <w:pPr>
              <w:pStyle w:val="44"/>
              <w:bidi w:val="0"/>
              <w:rPr>
                <w:rFonts w:hint="default" w:ascii="Times New Roman" w:hAnsi="Times New Roman" w:cs="Times New Roman"/>
                <w:color w:val="auto"/>
                <w:sz w:val="21"/>
                <w:szCs w:val="21"/>
              </w:rPr>
            </w:pPr>
          </w:p>
        </w:tc>
        <w:tc>
          <w:tcPr>
            <w:tcW w:w="915" w:type="pct"/>
            <w:vMerge w:val="continue"/>
            <w:noWrap w:val="0"/>
            <w:vAlign w:val="center"/>
          </w:tcPr>
          <w:p w14:paraId="3A140730">
            <w:pPr>
              <w:pStyle w:val="44"/>
              <w:bidi w:val="0"/>
              <w:rPr>
                <w:rFonts w:hint="default" w:ascii="Times New Roman" w:hAnsi="Times New Roman" w:cs="Times New Roman"/>
                <w:color w:val="auto"/>
                <w:sz w:val="21"/>
                <w:szCs w:val="21"/>
              </w:rPr>
            </w:pPr>
          </w:p>
        </w:tc>
        <w:tc>
          <w:tcPr>
            <w:tcW w:w="500" w:type="pct"/>
            <w:vMerge w:val="continue"/>
            <w:noWrap w:val="0"/>
            <w:vAlign w:val="center"/>
          </w:tcPr>
          <w:p w14:paraId="537C7BA7">
            <w:pPr>
              <w:pStyle w:val="44"/>
              <w:bidi w:val="0"/>
              <w:rPr>
                <w:rFonts w:hint="default" w:ascii="Times New Roman" w:hAnsi="Times New Roman" w:cs="Times New Roman"/>
                <w:color w:val="auto"/>
                <w:sz w:val="21"/>
                <w:szCs w:val="21"/>
              </w:rPr>
            </w:pPr>
          </w:p>
        </w:tc>
        <w:tc>
          <w:tcPr>
            <w:tcW w:w="478" w:type="pct"/>
            <w:vMerge w:val="continue"/>
            <w:noWrap w:val="0"/>
            <w:vAlign w:val="center"/>
          </w:tcPr>
          <w:p w14:paraId="427E7DA8">
            <w:pPr>
              <w:pStyle w:val="44"/>
              <w:bidi w:val="0"/>
              <w:rPr>
                <w:rFonts w:hint="default" w:ascii="Times New Roman" w:hAnsi="Times New Roman" w:cs="Times New Roman"/>
                <w:color w:val="auto"/>
                <w:sz w:val="21"/>
                <w:szCs w:val="21"/>
              </w:rPr>
            </w:pPr>
          </w:p>
        </w:tc>
      </w:tr>
      <w:tr w14:paraId="7957B5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96" w:type="pct"/>
            <w:noWrap w:val="0"/>
            <w:vAlign w:val="center"/>
          </w:tcPr>
          <w:p w14:paraId="6BC0DEC2">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铜</w:t>
            </w:r>
          </w:p>
        </w:tc>
        <w:tc>
          <w:tcPr>
            <w:tcW w:w="504" w:type="pct"/>
            <w:noWrap w:val="0"/>
            <w:vAlign w:val="center"/>
          </w:tcPr>
          <w:p w14:paraId="30EF5BC2">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38</w:t>
            </w:r>
          </w:p>
        </w:tc>
        <w:tc>
          <w:tcPr>
            <w:tcW w:w="579" w:type="pct"/>
            <w:noWrap w:val="0"/>
            <w:vAlign w:val="center"/>
          </w:tcPr>
          <w:p w14:paraId="1B80D7A2">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36</w:t>
            </w:r>
          </w:p>
        </w:tc>
        <w:tc>
          <w:tcPr>
            <w:tcW w:w="564" w:type="pct"/>
            <w:noWrap w:val="0"/>
            <w:vAlign w:val="center"/>
          </w:tcPr>
          <w:p w14:paraId="565A8309">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36</w:t>
            </w:r>
          </w:p>
        </w:tc>
        <w:tc>
          <w:tcPr>
            <w:tcW w:w="660" w:type="pct"/>
            <w:noWrap w:val="0"/>
            <w:vAlign w:val="center"/>
          </w:tcPr>
          <w:p w14:paraId="76A966F3">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mg/kg</w:t>
            </w:r>
          </w:p>
        </w:tc>
        <w:tc>
          <w:tcPr>
            <w:tcW w:w="915" w:type="pct"/>
            <w:noWrap w:val="0"/>
            <w:vAlign w:val="center"/>
          </w:tcPr>
          <w:p w14:paraId="4F89ADF8">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18000</w:t>
            </w:r>
          </w:p>
        </w:tc>
        <w:tc>
          <w:tcPr>
            <w:tcW w:w="500" w:type="pct"/>
            <w:noWrap w:val="0"/>
            <w:vAlign w:val="center"/>
          </w:tcPr>
          <w:p w14:paraId="00CF20FD">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4126AB12">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3F94A7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26CB9EE3">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铅</w:t>
            </w:r>
          </w:p>
        </w:tc>
        <w:tc>
          <w:tcPr>
            <w:tcW w:w="504" w:type="pct"/>
            <w:noWrap w:val="0"/>
            <w:vAlign w:val="center"/>
          </w:tcPr>
          <w:p w14:paraId="30F0C950">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33.7</w:t>
            </w:r>
          </w:p>
        </w:tc>
        <w:tc>
          <w:tcPr>
            <w:tcW w:w="579" w:type="pct"/>
            <w:noWrap w:val="0"/>
            <w:vAlign w:val="center"/>
          </w:tcPr>
          <w:p w14:paraId="377A7C69">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33.5</w:t>
            </w:r>
          </w:p>
        </w:tc>
        <w:tc>
          <w:tcPr>
            <w:tcW w:w="564" w:type="pct"/>
            <w:noWrap w:val="0"/>
            <w:vAlign w:val="center"/>
          </w:tcPr>
          <w:p w14:paraId="2EAA3A14">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31.4</w:t>
            </w:r>
          </w:p>
        </w:tc>
        <w:tc>
          <w:tcPr>
            <w:tcW w:w="660" w:type="pct"/>
            <w:noWrap w:val="0"/>
            <w:vAlign w:val="center"/>
          </w:tcPr>
          <w:p w14:paraId="58DD1DA7">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mg/kg</w:t>
            </w:r>
          </w:p>
        </w:tc>
        <w:tc>
          <w:tcPr>
            <w:tcW w:w="915" w:type="pct"/>
            <w:noWrap w:val="0"/>
            <w:vAlign w:val="center"/>
          </w:tcPr>
          <w:p w14:paraId="39E3C380">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800</w:t>
            </w:r>
          </w:p>
        </w:tc>
        <w:tc>
          <w:tcPr>
            <w:tcW w:w="500" w:type="pct"/>
            <w:noWrap w:val="0"/>
            <w:vAlign w:val="center"/>
          </w:tcPr>
          <w:p w14:paraId="570F6B0F">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3911977C">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242661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4F0E1D66">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镉</w:t>
            </w:r>
          </w:p>
        </w:tc>
        <w:tc>
          <w:tcPr>
            <w:tcW w:w="504" w:type="pct"/>
            <w:noWrap w:val="0"/>
            <w:vAlign w:val="center"/>
          </w:tcPr>
          <w:p w14:paraId="72AC866B">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0.</w:t>
            </w:r>
            <w:r>
              <w:rPr>
                <w:rFonts w:hint="default" w:ascii="Times New Roman" w:hAnsi="Times New Roman" w:cs="Times New Roman"/>
                <w:color w:val="auto"/>
                <w:sz w:val="21"/>
                <w:szCs w:val="21"/>
                <w:lang w:val="en-US" w:eastAsia="zh-CN"/>
              </w:rPr>
              <w:t>6</w:t>
            </w:r>
          </w:p>
        </w:tc>
        <w:tc>
          <w:tcPr>
            <w:tcW w:w="579" w:type="pct"/>
            <w:noWrap w:val="0"/>
            <w:vAlign w:val="center"/>
          </w:tcPr>
          <w:p w14:paraId="09B19713">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0.4</w:t>
            </w:r>
          </w:p>
        </w:tc>
        <w:tc>
          <w:tcPr>
            <w:tcW w:w="564" w:type="pct"/>
            <w:noWrap w:val="0"/>
            <w:vAlign w:val="center"/>
          </w:tcPr>
          <w:p w14:paraId="12C18AE9">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0.6</w:t>
            </w:r>
          </w:p>
        </w:tc>
        <w:tc>
          <w:tcPr>
            <w:tcW w:w="660" w:type="pct"/>
            <w:noWrap w:val="0"/>
            <w:vAlign w:val="center"/>
          </w:tcPr>
          <w:p w14:paraId="4526CF47">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mg/kg</w:t>
            </w:r>
          </w:p>
        </w:tc>
        <w:tc>
          <w:tcPr>
            <w:tcW w:w="915" w:type="pct"/>
            <w:noWrap w:val="0"/>
            <w:vAlign w:val="center"/>
          </w:tcPr>
          <w:p w14:paraId="528398DB">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65</w:t>
            </w:r>
          </w:p>
        </w:tc>
        <w:tc>
          <w:tcPr>
            <w:tcW w:w="500" w:type="pct"/>
            <w:noWrap w:val="0"/>
            <w:vAlign w:val="center"/>
          </w:tcPr>
          <w:p w14:paraId="18FD0FCC">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7CC22F3B">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5D4864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96" w:type="pct"/>
            <w:noWrap w:val="0"/>
            <w:vAlign w:val="center"/>
          </w:tcPr>
          <w:p w14:paraId="4A640BC2">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镍</w:t>
            </w:r>
          </w:p>
        </w:tc>
        <w:tc>
          <w:tcPr>
            <w:tcW w:w="504" w:type="pct"/>
            <w:noWrap w:val="0"/>
            <w:vAlign w:val="center"/>
          </w:tcPr>
          <w:p w14:paraId="3509B1C3">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53</w:t>
            </w:r>
          </w:p>
        </w:tc>
        <w:tc>
          <w:tcPr>
            <w:tcW w:w="579" w:type="pct"/>
            <w:noWrap w:val="0"/>
            <w:vAlign w:val="center"/>
          </w:tcPr>
          <w:p w14:paraId="4850907F">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54</w:t>
            </w:r>
          </w:p>
        </w:tc>
        <w:tc>
          <w:tcPr>
            <w:tcW w:w="564" w:type="pct"/>
            <w:noWrap w:val="0"/>
            <w:vAlign w:val="center"/>
          </w:tcPr>
          <w:p w14:paraId="0779C244">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56</w:t>
            </w:r>
          </w:p>
        </w:tc>
        <w:tc>
          <w:tcPr>
            <w:tcW w:w="660" w:type="pct"/>
            <w:noWrap w:val="0"/>
            <w:vAlign w:val="center"/>
          </w:tcPr>
          <w:p w14:paraId="34A485BA">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mg/kg</w:t>
            </w:r>
          </w:p>
        </w:tc>
        <w:tc>
          <w:tcPr>
            <w:tcW w:w="915" w:type="pct"/>
            <w:noWrap w:val="0"/>
            <w:vAlign w:val="center"/>
          </w:tcPr>
          <w:p w14:paraId="24DEC863">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900</w:t>
            </w:r>
          </w:p>
        </w:tc>
        <w:tc>
          <w:tcPr>
            <w:tcW w:w="500" w:type="pct"/>
            <w:noWrap w:val="0"/>
            <w:vAlign w:val="center"/>
          </w:tcPr>
          <w:p w14:paraId="4133E718">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2B5DD6DC">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669518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5125FBE7">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汞</w:t>
            </w:r>
          </w:p>
        </w:tc>
        <w:tc>
          <w:tcPr>
            <w:tcW w:w="504" w:type="pct"/>
            <w:noWrap w:val="0"/>
            <w:vAlign w:val="center"/>
          </w:tcPr>
          <w:p w14:paraId="168DE640">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0.</w:t>
            </w:r>
            <w:r>
              <w:rPr>
                <w:rFonts w:hint="default" w:ascii="Times New Roman" w:hAnsi="Times New Roman" w:cs="Times New Roman"/>
                <w:color w:val="auto"/>
                <w:sz w:val="21"/>
                <w:szCs w:val="21"/>
                <w:lang w:val="en-US" w:eastAsia="zh-CN"/>
              </w:rPr>
              <w:t>030</w:t>
            </w:r>
          </w:p>
        </w:tc>
        <w:tc>
          <w:tcPr>
            <w:tcW w:w="579" w:type="pct"/>
            <w:noWrap w:val="0"/>
            <w:vAlign w:val="center"/>
          </w:tcPr>
          <w:p w14:paraId="72589724">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0.031</w:t>
            </w:r>
          </w:p>
        </w:tc>
        <w:tc>
          <w:tcPr>
            <w:tcW w:w="564" w:type="pct"/>
            <w:noWrap w:val="0"/>
            <w:vAlign w:val="center"/>
          </w:tcPr>
          <w:p w14:paraId="232D5753">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0.030</w:t>
            </w:r>
          </w:p>
        </w:tc>
        <w:tc>
          <w:tcPr>
            <w:tcW w:w="660" w:type="pct"/>
            <w:noWrap w:val="0"/>
            <w:vAlign w:val="center"/>
          </w:tcPr>
          <w:p w14:paraId="78877864">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mg/kg</w:t>
            </w:r>
          </w:p>
        </w:tc>
        <w:tc>
          <w:tcPr>
            <w:tcW w:w="915" w:type="pct"/>
            <w:noWrap w:val="0"/>
            <w:vAlign w:val="center"/>
          </w:tcPr>
          <w:p w14:paraId="5AEF7A67">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38</w:t>
            </w:r>
          </w:p>
        </w:tc>
        <w:tc>
          <w:tcPr>
            <w:tcW w:w="500" w:type="pct"/>
            <w:noWrap w:val="0"/>
            <w:vAlign w:val="center"/>
          </w:tcPr>
          <w:p w14:paraId="568F88CE">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112C917A">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628760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7D00127D">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砷</w:t>
            </w:r>
          </w:p>
        </w:tc>
        <w:tc>
          <w:tcPr>
            <w:tcW w:w="504" w:type="pct"/>
            <w:noWrap w:val="0"/>
            <w:vAlign w:val="center"/>
          </w:tcPr>
          <w:p w14:paraId="304FF15B">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13.4</w:t>
            </w:r>
          </w:p>
        </w:tc>
        <w:tc>
          <w:tcPr>
            <w:tcW w:w="579" w:type="pct"/>
            <w:noWrap w:val="0"/>
            <w:vAlign w:val="center"/>
          </w:tcPr>
          <w:p w14:paraId="01D826F3">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10.2</w:t>
            </w:r>
          </w:p>
        </w:tc>
        <w:tc>
          <w:tcPr>
            <w:tcW w:w="564" w:type="pct"/>
            <w:noWrap w:val="0"/>
            <w:vAlign w:val="center"/>
          </w:tcPr>
          <w:p w14:paraId="6EAD69A3">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10.1</w:t>
            </w:r>
          </w:p>
        </w:tc>
        <w:tc>
          <w:tcPr>
            <w:tcW w:w="660" w:type="pct"/>
            <w:noWrap w:val="0"/>
            <w:vAlign w:val="center"/>
          </w:tcPr>
          <w:p w14:paraId="6FB6ACD4">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mg/kg</w:t>
            </w:r>
          </w:p>
        </w:tc>
        <w:tc>
          <w:tcPr>
            <w:tcW w:w="915" w:type="pct"/>
            <w:noWrap w:val="0"/>
            <w:vAlign w:val="center"/>
          </w:tcPr>
          <w:p w14:paraId="35222CF4">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60</w:t>
            </w:r>
          </w:p>
        </w:tc>
        <w:tc>
          <w:tcPr>
            <w:tcW w:w="500" w:type="pct"/>
            <w:noWrap w:val="0"/>
            <w:vAlign w:val="center"/>
          </w:tcPr>
          <w:p w14:paraId="78F5479D">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21B72A7C">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2211C0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96" w:type="pct"/>
            <w:noWrap w:val="0"/>
            <w:vAlign w:val="center"/>
          </w:tcPr>
          <w:p w14:paraId="24C0514C">
            <w:pPr>
              <w:pStyle w:val="44"/>
              <w:bidi w:val="0"/>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rPr>
              <w:t>铬</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六价</w:t>
            </w:r>
            <w:r>
              <w:rPr>
                <w:rFonts w:hint="default" w:ascii="Times New Roman" w:hAnsi="Times New Roman" w:cs="Times New Roman"/>
                <w:color w:val="auto"/>
                <w:sz w:val="21"/>
                <w:szCs w:val="21"/>
                <w:lang w:eastAsia="zh-CN"/>
              </w:rPr>
              <w:t>）</w:t>
            </w:r>
          </w:p>
        </w:tc>
        <w:tc>
          <w:tcPr>
            <w:tcW w:w="504" w:type="pct"/>
            <w:noWrap w:val="0"/>
            <w:vAlign w:val="center"/>
          </w:tcPr>
          <w:p w14:paraId="539B2AAF">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ND</w:t>
            </w:r>
          </w:p>
        </w:tc>
        <w:tc>
          <w:tcPr>
            <w:tcW w:w="579" w:type="pct"/>
            <w:noWrap w:val="0"/>
            <w:vAlign w:val="center"/>
          </w:tcPr>
          <w:p w14:paraId="2DD74C2F">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564" w:type="pct"/>
            <w:noWrap w:val="0"/>
            <w:vAlign w:val="center"/>
          </w:tcPr>
          <w:p w14:paraId="5D1762BE">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660" w:type="pct"/>
            <w:noWrap w:val="0"/>
            <w:vAlign w:val="center"/>
          </w:tcPr>
          <w:p w14:paraId="2C3FACEE">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mg/kg</w:t>
            </w:r>
          </w:p>
        </w:tc>
        <w:tc>
          <w:tcPr>
            <w:tcW w:w="915" w:type="pct"/>
            <w:noWrap w:val="0"/>
            <w:vAlign w:val="center"/>
          </w:tcPr>
          <w:p w14:paraId="276298C4">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5.7</w:t>
            </w:r>
          </w:p>
        </w:tc>
        <w:tc>
          <w:tcPr>
            <w:tcW w:w="500" w:type="pct"/>
            <w:noWrap w:val="0"/>
            <w:vAlign w:val="center"/>
          </w:tcPr>
          <w:p w14:paraId="37FEC42C">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465EA922">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5063C9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96" w:type="pct"/>
            <w:noWrap w:val="0"/>
            <w:vAlign w:val="center"/>
          </w:tcPr>
          <w:p w14:paraId="6AC6E452">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四氯化碳</w:t>
            </w:r>
          </w:p>
        </w:tc>
        <w:tc>
          <w:tcPr>
            <w:tcW w:w="504" w:type="pct"/>
            <w:noWrap w:val="0"/>
            <w:vAlign w:val="center"/>
          </w:tcPr>
          <w:p w14:paraId="25CD43C2">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ND</w:t>
            </w:r>
          </w:p>
        </w:tc>
        <w:tc>
          <w:tcPr>
            <w:tcW w:w="579" w:type="pct"/>
            <w:noWrap w:val="0"/>
            <w:vAlign w:val="center"/>
          </w:tcPr>
          <w:p w14:paraId="7E591C0E">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564" w:type="pct"/>
            <w:noWrap w:val="0"/>
            <w:vAlign w:val="center"/>
          </w:tcPr>
          <w:p w14:paraId="68598115">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660" w:type="pct"/>
            <w:noWrap w:val="0"/>
            <w:vAlign w:val="center"/>
          </w:tcPr>
          <w:p w14:paraId="790525FA">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μg/kg</w:t>
            </w:r>
          </w:p>
        </w:tc>
        <w:tc>
          <w:tcPr>
            <w:tcW w:w="915" w:type="pct"/>
            <w:noWrap w:val="0"/>
            <w:vAlign w:val="center"/>
          </w:tcPr>
          <w:p w14:paraId="5E7E6D29">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2.8</w:t>
            </w:r>
          </w:p>
        </w:tc>
        <w:tc>
          <w:tcPr>
            <w:tcW w:w="500" w:type="pct"/>
            <w:noWrap w:val="0"/>
            <w:vAlign w:val="center"/>
          </w:tcPr>
          <w:p w14:paraId="5D7A4E33">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7A6998F5">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3EE9E0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57A5E63A">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氯仿</w:t>
            </w:r>
          </w:p>
        </w:tc>
        <w:tc>
          <w:tcPr>
            <w:tcW w:w="504" w:type="pct"/>
            <w:noWrap w:val="0"/>
            <w:vAlign w:val="center"/>
          </w:tcPr>
          <w:p w14:paraId="6794FA82">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ND</w:t>
            </w:r>
          </w:p>
        </w:tc>
        <w:tc>
          <w:tcPr>
            <w:tcW w:w="579" w:type="pct"/>
            <w:noWrap w:val="0"/>
            <w:vAlign w:val="center"/>
          </w:tcPr>
          <w:p w14:paraId="20E67FCB">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564" w:type="pct"/>
            <w:noWrap w:val="0"/>
            <w:vAlign w:val="center"/>
          </w:tcPr>
          <w:p w14:paraId="73148B8E">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660" w:type="pct"/>
            <w:noWrap w:val="0"/>
            <w:vAlign w:val="center"/>
          </w:tcPr>
          <w:p w14:paraId="38DC0D6A">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μg/kg</w:t>
            </w:r>
          </w:p>
        </w:tc>
        <w:tc>
          <w:tcPr>
            <w:tcW w:w="915" w:type="pct"/>
            <w:noWrap w:val="0"/>
            <w:vAlign w:val="center"/>
          </w:tcPr>
          <w:p w14:paraId="34A1BC47">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0.9</w:t>
            </w:r>
          </w:p>
        </w:tc>
        <w:tc>
          <w:tcPr>
            <w:tcW w:w="500" w:type="pct"/>
            <w:noWrap w:val="0"/>
            <w:vAlign w:val="center"/>
          </w:tcPr>
          <w:p w14:paraId="66B85691">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27283A01">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6AF45B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493E67D6">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氯甲烷</w:t>
            </w:r>
          </w:p>
        </w:tc>
        <w:tc>
          <w:tcPr>
            <w:tcW w:w="504" w:type="pct"/>
            <w:noWrap w:val="0"/>
            <w:vAlign w:val="center"/>
          </w:tcPr>
          <w:p w14:paraId="488EFAFB">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ND</w:t>
            </w:r>
          </w:p>
        </w:tc>
        <w:tc>
          <w:tcPr>
            <w:tcW w:w="579" w:type="pct"/>
            <w:noWrap w:val="0"/>
            <w:vAlign w:val="center"/>
          </w:tcPr>
          <w:p w14:paraId="180AA5E0">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564" w:type="pct"/>
            <w:noWrap w:val="0"/>
            <w:vAlign w:val="center"/>
          </w:tcPr>
          <w:p w14:paraId="6B60D8DC">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660" w:type="pct"/>
            <w:noWrap w:val="0"/>
            <w:vAlign w:val="center"/>
          </w:tcPr>
          <w:p w14:paraId="5C002699">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μg/kg</w:t>
            </w:r>
          </w:p>
        </w:tc>
        <w:tc>
          <w:tcPr>
            <w:tcW w:w="915" w:type="pct"/>
            <w:noWrap w:val="0"/>
            <w:vAlign w:val="center"/>
          </w:tcPr>
          <w:p w14:paraId="275CCD0B">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37</w:t>
            </w:r>
          </w:p>
        </w:tc>
        <w:tc>
          <w:tcPr>
            <w:tcW w:w="500" w:type="pct"/>
            <w:noWrap w:val="0"/>
            <w:vAlign w:val="center"/>
          </w:tcPr>
          <w:p w14:paraId="2CAA2D8E">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41149812">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29967A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08511DEB">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1,1-二氯乙烷</w:t>
            </w:r>
          </w:p>
        </w:tc>
        <w:tc>
          <w:tcPr>
            <w:tcW w:w="504" w:type="pct"/>
            <w:noWrap w:val="0"/>
            <w:vAlign w:val="center"/>
          </w:tcPr>
          <w:p w14:paraId="21B6BD55">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ND</w:t>
            </w:r>
          </w:p>
        </w:tc>
        <w:tc>
          <w:tcPr>
            <w:tcW w:w="579" w:type="pct"/>
            <w:noWrap w:val="0"/>
            <w:vAlign w:val="center"/>
          </w:tcPr>
          <w:p w14:paraId="4990E804">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564" w:type="pct"/>
            <w:noWrap w:val="0"/>
            <w:vAlign w:val="center"/>
          </w:tcPr>
          <w:p w14:paraId="430A4722">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660" w:type="pct"/>
            <w:noWrap w:val="0"/>
            <w:vAlign w:val="center"/>
          </w:tcPr>
          <w:p w14:paraId="0CC252DC">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μg/kg</w:t>
            </w:r>
          </w:p>
        </w:tc>
        <w:tc>
          <w:tcPr>
            <w:tcW w:w="915" w:type="pct"/>
            <w:noWrap w:val="0"/>
            <w:vAlign w:val="center"/>
          </w:tcPr>
          <w:p w14:paraId="6674D042">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w:t>
            </w:r>
          </w:p>
        </w:tc>
        <w:tc>
          <w:tcPr>
            <w:tcW w:w="500" w:type="pct"/>
            <w:noWrap w:val="0"/>
            <w:vAlign w:val="center"/>
          </w:tcPr>
          <w:p w14:paraId="7E9EB563">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2B070227">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2D1E01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2C6F64E8">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1,2-二氯乙烷</w:t>
            </w:r>
          </w:p>
        </w:tc>
        <w:tc>
          <w:tcPr>
            <w:tcW w:w="504" w:type="pct"/>
            <w:noWrap w:val="0"/>
            <w:vAlign w:val="center"/>
          </w:tcPr>
          <w:p w14:paraId="65299F15">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ND</w:t>
            </w:r>
          </w:p>
        </w:tc>
        <w:tc>
          <w:tcPr>
            <w:tcW w:w="579" w:type="pct"/>
            <w:noWrap w:val="0"/>
            <w:vAlign w:val="center"/>
          </w:tcPr>
          <w:p w14:paraId="0B5C9515">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564" w:type="pct"/>
            <w:noWrap w:val="0"/>
            <w:vAlign w:val="center"/>
          </w:tcPr>
          <w:p w14:paraId="105976FE">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660" w:type="pct"/>
            <w:noWrap w:val="0"/>
            <w:vAlign w:val="center"/>
          </w:tcPr>
          <w:p w14:paraId="7538478A">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μg/kg</w:t>
            </w:r>
          </w:p>
        </w:tc>
        <w:tc>
          <w:tcPr>
            <w:tcW w:w="915" w:type="pct"/>
            <w:noWrap w:val="0"/>
            <w:vAlign w:val="center"/>
          </w:tcPr>
          <w:p w14:paraId="2358C2E9">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w:t>
            </w:r>
          </w:p>
        </w:tc>
        <w:tc>
          <w:tcPr>
            <w:tcW w:w="500" w:type="pct"/>
            <w:noWrap w:val="0"/>
            <w:vAlign w:val="center"/>
          </w:tcPr>
          <w:p w14:paraId="552002D5">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67B61B18">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1748C0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31F39105">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1,1-二氯乙烯</w:t>
            </w:r>
          </w:p>
        </w:tc>
        <w:tc>
          <w:tcPr>
            <w:tcW w:w="504" w:type="pct"/>
            <w:noWrap w:val="0"/>
            <w:vAlign w:val="center"/>
          </w:tcPr>
          <w:p w14:paraId="16368336">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ND</w:t>
            </w:r>
          </w:p>
        </w:tc>
        <w:tc>
          <w:tcPr>
            <w:tcW w:w="579" w:type="pct"/>
            <w:noWrap w:val="0"/>
            <w:vAlign w:val="center"/>
          </w:tcPr>
          <w:p w14:paraId="3ABD8CD3">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564" w:type="pct"/>
            <w:noWrap w:val="0"/>
            <w:vAlign w:val="center"/>
          </w:tcPr>
          <w:p w14:paraId="027CB355">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660" w:type="pct"/>
            <w:noWrap w:val="0"/>
            <w:vAlign w:val="center"/>
          </w:tcPr>
          <w:p w14:paraId="5A9052BD">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μg/kg</w:t>
            </w:r>
          </w:p>
        </w:tc>
        <w:tc>
          <w:tcPr>
            <w:tcW w:w="915" w:type="pct"/>
            <w:noWrap w:val="0"/>
            <w:vAlign w:val="center"/>
          </w:tcPr>
          <w:p w14:paraId="117426C5">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66</w:t>
            </w:r>
          </w:p>
        </w:tc>
        <w:tc>
          <w:tcPr>
            <w:tcW w:w="500" w:type="pct"/>
            <w:noWrap w:val="0"/>
            <w:vAlign w:val="center"/>
          </w:tcPr>
          <w:p w14:paraId="1BF0C46E">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4D88D672">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753ED6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2F2F95A3">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顺-1,2-二氯乙烯</w:t>
            </w:r>
          </w:p>
        </w:tc>
        <w:tc>
          <w:tcPr>
            <w:tcW w:w="504" w:type="pct"/>
            <w:noWrap w:val="0"/>
            <w:vAlign w:val="center"/>
          </w:tcPr>
          <w:p w14:paraId="27F47F42">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ND</w:t>
            </w:r>
          </w:p>
        </w:tc>
        <w:tc>
          <w:tcPr>
            <w:tcW w:w="579" w:type="pct"/>
            <w:noWrap w:val="0"/>
            <w:vAlign w:val="center"/>
          </w:tcPr>
          <w:p w14:paraId="4392B060">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564" w:type="pct"/>
            <w:noWrap w:val="0"/>
            <w:vAlign w:val="center"/>
          </w:tcPr>
          <w:p w14:paraId="4F4B602B">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660" w:type="pct"/>
            <w:noWrap w:val="0"/>
            <w:vAlign w:val="center"/>
          </w:tcPr>
          <w:p w14:paraId="2FCEEB52">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μg/kg</w:t>
            </w:r>
          </w:p>
        </w:tc>
        <w:tc>
          <w:tcPr>
            <w:tcW w:w="915" w:type="pct"/>
            <w:noWrap w:val="0"/>
            <w:vAlign w:val="center"/>
          </w:tcPr>
          <w:p w14:paraId="391A0DFD">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596</w:t>
            </w:r>
          </w:p>
        </w:tc>
        <w:tc>
          <w:tcPr>
            <w:tcW w:w="500" w:type="pct"/>
            <w:noWrap w:val="0"/>
            <w:vAlign w:val="center"/>
          </w:tcPr>
          <w:p w14:paraId="3CAF80DD">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41154F37">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59B159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703DE4F3">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反-1,2-二氯乙烯</w:t>
            </w:r>
          </w:p>
        </w:tc>
        <w:tc>
          <w:tcPr>
            <w:tcW w:w="504" w:type="pct"/>
            <w:noWrap w:val="0"/>
            <w:vAlign w:val="center"/>
          </w:tcPr>
          <w:p w14:paraId="129D2647">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ND</w:t>
            </w:r>
          </w:p>
        </w:tc>
        <w:tc>
          <w:tcPr>
            <w:tcW w:w="579" w:type="pct"/>
            <w:noWrap w:val="0"/>
            <w:vAlign w:val="center"/>
          </w:tcPr>
          <w:p w14:paraId="0F255F2C">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564" w:type="pct"/>
            <w:noWrap w:val="0"/>
            <w:vAlign w:val="center"/>
          </w:tcPr>
          <w:p w14:paraId="2647063A">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660" w:type="pct"/>
            <w:noWrap w:val="0"/>
            <w:vAlign w:val="center"/>
          </w:tcPr>
          <w:p w14:paraId="47D28020">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μg/kg</w:t>
            </w:r>
          </w:p>
        </w:tc>
        <w:tc>
          <w:tcPr>
            <w:tcW w:w="915" w:type="pct"/>
            <w:noWrap w:val="0"/>
            <w:vAlign w:val="center"/>
          </w:tcPr>
          <w:p w14:paraId="2BC840CD">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54</w:t>
            </w:r>
          </w:p>
        </w:tc>
        <w:tc>
          <w:tcPr>
            <w:tcW w:w="500" w:type="pct"/>
            <w:noWrap w:val="0"/>
            <w:vAlign w:val="center"/>
          </w:tcPr>
          <w:p w14:paraId="385F6D96">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49F47EA0">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0FD900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760AD96F">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二氯甲烷</w:t>
            </w:r>
          </w:p>
        </w:tc>
        <w:tc>
          <w:tcPr>
            <w:tcW w:w="504" w:type="pct"/>
            <w:noWrap w:val="0"/>
            <w:vAlign w:val="center"/>
          </w:tcPr>
          <w:p w14:paraId="1E2798F9">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ND</w:t>
            </w:r>
          </w:p>
        </w:tc>
        <w:tc>
          <w:tcPr>
            <w:tcW w:w="579" w:type="pct"/>
            <w:noWrap w:val="0"/>
            <w:vAlign w:val="center"/>
          </w:tcPr>
          <w:p w14:paraId="6EA7ED4E">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564" w:type="pct"/>
            <w:noWrap w:val="0"/>
            <w:vAlign w:val="center"/>
          </w:tcPr>
          <w:p w14:paraId="6964197D">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660" w:type="pct"/>
            <w:noWrap w:val="0"/>
            <w:vAlign w:val="center"/>
          </w:tcPr>
          <w:p w14:paraId="58A52526">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μg/kg</w:t>
            </w:r>
          </w:p>
        </w:tc>
        <w:tc>
          <w:tcPr>
            <w:tcW w:w="915" w:type="pct"/>
            <w:noWrap w:val="0"/>
            <w:vAlign w:val="center"/>
          </w:tcPr>
          <w:p w14:paraId="45041768">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616</w:t>
            </w:r>
          </w:p>
        </w:tc>
        <w:tc>
          <w:tcPr>
            <w:tcW w:w="500" w:type="pct"/>
            <w:noWrap w:val="0"/>
            <w:vAlign w:val="center"/>
          </w:tcPr>
          <w:p w14:paraId="04002F72">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492BB59F">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3EDDB6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 w:hRule="atLeast"/>
        </w:trPr>
        <w:tc>
          <w:tcPr>
            <w:tcW w:w="796" w:type="pct"/>
            <w:noWrap w:val="0"/>
            <w:vAlign w:val="center"/>
          </w:tcPr>
          <w:p w14:paraId="39DCE162">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1,2-二氯丙烷</w:t>
            </w:r>
          </w:p>
        </w:tc>
        <w:tc>
          <w:tcPr>
            <w:tcW w:w="504" w:type="pct"/>
            <w:noWrap w:val="0"/>
            <w:vAlign w:val="center"/>
          </w:tcPr>
          <w:p w14:paraId="53FDCB59">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ND</w:t>
            </w:r>
          </w:p>
        </w:tc>
        <w:tc>
          <w:tcPr>
            <w:tcW w:w="579" w:type="pct"/>
            <w:noWrap w:val="0"/>
            <w:vAlign w:val="center"/>
          </w:tcPr>
          <w:p w14:paraId="47E927A4">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564" w:type="pct"/>
            <w:noWrap w:val="0"/>
            <w:vAlign w:val="center"/>
          </w:tcPr>
          <w:p w14:paraId="74D8629B">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660" w:type="pct"/>
            <w:noWrap w:val="0"/>
            <w:vAlign w:val="center"/>
          </w:tcPr>
          <w:p w14:paraId="3A9D0EC2">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μg/kg</w:t>
            </w:r>
          </w:p>
        </w:tc>
        <w:tc>
          <w:tcPr>
            <w:tcW w:w="915" w:type="pct"/>
            <w:noWrap w:val="0"/>
            <w:vAlign w:val="center"/>
          </w:tcPr>
          <w:p w14:paraId="7E8594DA">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w:t>
            </w:r>
          </w:p>
        </w:tc>
        <w:tc>
          <w:tcPr>
            <w:tcW w:w="500" w:type="pct"/>
            <w:noWrap w:val="0"/>
            <w:vAlign w:val="center"/>
          </w:tcPr>
          <w:p w14:paraId="13278A7E">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6A651408">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1BB2DB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5027541A">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1,1,1,2-四氯乙烷</w:t>
            </w:r>
          </w:p>
        </w:tc>
        <w:tc>
          <w:tcPr>
            <w:tcW w:w="504" w:type="pct"/>
            <w:noWrap w:val="0"/>
            <w:vAlign w:val="center"/>
          </w:tcPr>
          <w:p w14:paraId="507A91ED">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ND</w:t>
            </w:r>
          </w:p>
        </w:tc>
        <w:tc>
          <w:tcPr>
            <w:tcW w:w="579" w:type="pct"/>
            <w:noWrap w:val="0"/>
            <w:vAlign w:val="center"/>
          </w:tcPr>
          <w:p w14:paraId="54DF9718">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564" w:type="pct"/>
            <w:noWrap w:val="0"/>
            <w:vAlign w:val="center"/>
          </w:tcPr>
          <w:p w14:paraId="77AD10B2">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660" w:type="pct"/>
            <w:noWrap w:val="0"/>
            <w:vAlign w:val="center"/>
          </w:tcPr>
          <w:p w14:paraId="7CCF62BB">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μg/kg</w:t>
            </w:r>
          </w:p>
        </w:tc>
        <w:tc>
          <w:tcPr>
            <w:tcW w:w="915" w:type="pct"/>
            <w:noWrap w:val="0"/>
            <w:vAlign w:val="center"/>
          </w:tcPr>
          <w:p w14:paraId="101EAB45">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w:t>
            </w:r>
          </w:p>
        </w:tc>
        <w:tc>
          <w:tcPr>
            <w:tcW w:w="500" w:type="pct"/>
            <w:noWrap w:val="0"/>
            <w:vAlign w:val="center"/>
          </w:tcPr>
          <w:p w14:paraId="7A98BB04">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2DF3C4DC">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53DDFB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 w:hRule="atLeast"/>
        </w:trPr>
        <w:tc>
          <w:tcPr>
            <w:tcW w:w="796" w:type="pct"/>
            <w:noWrap w:val="0"/>
            <w:vAlign w:val="center"/>
          </w:tcPr>
          <w:p w14:paraId="5139200A">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1,1,2,2-四氯乙烷</w:t>
            </w:r>
          </w:p>
        </w:tc>
        <w:tc>
          <w:tcPr>
            <w:tcW w:w="504" w:type="pct"/>
            <w:noWrap w:val="0"/>
            <w:vAlign w:val="center"/>
          </w:tcPr>
          <w:p w14:paraId="6F2A61E3">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ND</w:t>
            </w:r>
          </w:p>
        </w:tc>
        <w:tc>
          <w:tcPr>
            <w:tcW w:w="579" w:type="pct"/>
            <w:noWrap w:val="0"/>
            <w:vAlign w:val="center"/>
          </w:tcPr>
          <w:p w14:paraId="1E5B7B0E">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564" w:type="pct"/>
            <w:noWrap w:val="0"/>
            <w:vAlign w:val="center"/>
          </w:tcPr>
          <w:p w14:paraId="6D55343D">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660" w:type="pct"/>
            <w:noWrap w:val="0"/>
            <w:vAlign w:val="center"/>
          </w:tcPr>
          <w:p w14:paraId="1617E4F1">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μg/kg</w:t>
            </w:r>
          </w:p>
        </w:tc>
        <w:tc>
          <w:tcPr>
            <w:tcW w:w="915" w:type="pct"/>
            <w:noWrap w:val="0"/>
            <w:vAlign w:val="center"/>
          </w:tcPr>
          <w:p w14:paraId="63E5DB78">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6.8</w:t>
            </w:r>
          </w:p>
        </w:tc>
        <w:tc>
          <w:tcPr>
            <w:tcW w:w="500" w:type="pct"/>
            <w:noWrap w:val="0"/>
            <w:vAlign w:val="center"/>
          </w:tcPr>
          <w:p w14:paraId="3FB1F116">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3FFBF71F">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097078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796" w:type="pct"/>
            <w:noWrap w:val="0"/>
            <w:vAlign w:val="center"/>
          </w:tcPr>
          <w:p w14:paraId="08E64F28">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四氯乙烯</w:t>
            </w:r>
          </w:p>
        </w:tc>
        <w:tc>
          <w:tcPr>
            <w:tcW w:w="504" w:type="pct"/>
            <w:noWrap w:val="0"/>
            <w:vAlign w:val="center"/>
          </w:tcPr>
          <w:p w14:paraId="50FE9920">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ND</w:t>
            </w:r>
          </w:p>
        </w:tc>
        <w:tc>
          <w:tcPr>
            <w:tcW w:w="579" w:type="pct"/>
            <w:noWrap w:val="0"/>
            <w:vAlign w:val="center"/>
          </w:tcPr>
          <w:p w14:paraId="09A2E075">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564" w:type="pct"/>
            <w:noWrap w:val="0"/>
            <w:vAlign w:val="center"/>
          </w:tcPr>
          <w:p w14:paraId="2C8C84CC">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660" w:type="pct"/>
            <w:noWrap w:val="0"/>
            <w:vAlign w:val="center"/>
          </w:tcPr>
          <w:p w14:paraId="79E56CBE">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μg/kg</w:t>
            </w:r>
          </w:p>
        </w:tc>
        <w:tc>
          <w:tcPr>
            <w:tcW w:w="915" w:type="pct"/>
            <w:noWrap w:val="0"/>
            <w:vAlign w:val="center"/>
          </w:tcPr>
          <w:p w14:paraId="55AC0ADC">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53</w:t>
            </w:r>
          </w:p>
        </w:tc>
        <w:tc>
          <w:tcPr>
            <w:tcW w:w="500" w:type="pct"/>
            <w:noWrap w:val="0"/>
            <w:vAlign w:val="center"/>
          </w:tcPr>
          <w:p w14:paraId="0CBA3159">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0E7A22C4">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585400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6CFD26A2">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1,1,1-三氯乙烷</w:t>
            </w:r>
          </w:p>
        </w:tc>
        <w:tc>
          <w:tcPr>
            <w:tcW w:w="504" w:type="pct"/>
            <w:noWrap w:val="0"/>
            <w:vAlign w:val="center"/>
          </w:tcPr>
          <w:p w14:paraId="6C4E6D16">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ND</w:t>
            </w:r>
          </w:p>
        </w:tc>
        <w:tc>
          <w:tcPr>
            <w:tcW w:w="579" w:type="pct"/>
            <w:noWrap w:val="0"/>
            <w:vAlign w:val="center"/>
          </w:tcPr>
          <w:p w14:paraId="2256E231">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564" w:type="pct"/>
            <w:noWrap w:val="0"/>
            <w:vAlign w:val="center"/>
          </w:tcPr>
          <w:p w14:paraId="47B726DF">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660" w:type="pct"/>
            <w:noWrap w:val="0"/>
            <w:vAlign w:val="center"/>
          </w:tcPr>
          <w:p w14:paraId="11B67616">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μg/kg</w:t>
            </w:r>
          </w:p>
        </w:tc>
        <w:tc>
          <w:tcPr>
            <w:tcW w:w="915" w:type="pct"/>
            <w:noWrap w:val="0"/>
            <w:vAlign w:val="center"/>
          </w:tcPr>
          <w:p w14:paraId="2F30D00A">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840</w:t>
            </w:r>
          </w:p>
        </w:tc>
        <w:tc>
          <w:tcPr>
            <w:tcW w:w="500" w:type="pct"/>
            <w:noWrap w:val="0"/>
            <w:vAlign w:val="center"/>
          </w:tcPr>
          <w:p w14:paraId="07CF44D3">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22346DD6">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3A3E2A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3E13EFE5">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1,1,2-三氯乙烷</w:t>
            </w:r>
          </w:p>
        </w:tc>
        <w:tc>
          <w:tcPr>
            <w:tcW w:w="504" w:type="pct"/>
            <w:noWrap w:val="0"/>
            <w:vAlign w:val="center"/>
          </w:tcPr>
          <w:p w14:paraId="22AC4481">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ND</w:t>
            </w:r>
          </w:p>
        </w:tc>
        <w:tc>
          <w:tcPr>
            <w:tcW w:w="579" w:type="pct"/>
            <w:noWrap w:val="0"/>
            <w:vAlign w:val="center"/>
          </w:tcPr>
          <w:p w14:paraId="469BAE79">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564" w:type="pct"/>
            <w:noWrap w:val="0"/>
            <w:vAlign w:val="center"/>
          </w:tcPr>
          <w:p w14:paraId="445B45F4">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660" w:type="pct"/>
            <w:noWrap w:val="0"/>
            <w:vAlign w:val="center"/>
          </w:tcPr>
          <w:p w14:paraId="63459A37">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μg/kg</w:t>
            </w:r>
          </w:p>
        </w:tc>
        <w:tc>
          <w:tcPr>
            <w:tcW w:w="915" w:type="pct"/>
            <w:noWrap w:val="0"/>
            <w:vAlign w:val="center"/>
          </w:tcPr>
          <w:p w14:paraId="3FB95F44">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2.8</w:t>
            </w:r>
          </w:p>
        </w:tc>
        <w:tc>
          <w:tcPr>
            <w:tcW w:w="500" w:type="pct"/>
            <w:noWrap w:val="0"/>
            <w:vAlign w:val="center"/>
          </w:tcPr>
          <w:p w14:paraId="77693532">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25427881">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121D0E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03DE2A0B">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三氯乙烯</w:t>
            </w:r>
          </w:p>
        </w:tc>
        <w:tc>
          <w:tcPr>
            <w:tcW w:w="504" w:type="pct"/>
            <w:noWrap w:val="0"/>
            <w:vAlign w:val="center"/>
          </w:tcPr>
          <w:p w14:paraId="346FB942">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ND</w:t>
            </w:r>
          </w:p>
        </w:tc>
        <w:tc>
          <w:tcPr>
            <w:tcW w:w="579" w:type="pct"/>
            <w:noWrap w:val="0"/>
            <w:vAlign w:val="center"/>
          </w:tcPr>
          <w:p w14:paraId="691C90CB">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564" w:type="pct"/>
            <w:noWrap w:val="0"/>
            <w:vAlign w:val="center"/>
          </w:tcPr>
          <w:p w14:paraId="7B6058E0">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660" w:type="pct"/>
            <w:noWrap w:val="0"/>
            <w:vAlign w:val="center"/>
          </w:tcPr>
          <w:p w14:paraId="659418C7">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μg/kg</w:t>
            </w:r>
          </w:p>
        </w:tc>
        <w:tc>
          <w:tcPr>
            <w:tcW w:w="915" w:type="pct"/>
            <w:noWrap w:val="0"/>
            <w:vAlign w:val="center"/>
          </w:tcPr>
          <w:p w14:paraId="3E1C8AFD">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2.8</w:t>
            </w:r>
          </w:p>
        </w:tc>
        <w:tc>
          <w:tcPr>
            <w:tcW w:w="500" w:type="pct"/>
            <w:noWrap w:val="0"/>
            <w:vAlign w:val="center"/>
          </w:tcPr>
          <w:p w14:paraId="2ACAB382">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2C378B6F">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33DD6A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397470B1">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1,2,3-三氯丙烷</w:t>
            </w:r>
          </w:p>
        </w:tc>
        <w:tc>
          <w:tcPr>
            <w:tcW w:w="504" w:type="pct"/>
            <w:noWrap w:val="0"/>
            <w:vAlign w:val="center"/>
          </w:tcPr>
          <w:p w14:paraId="40DD3D7C">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ND</w:t>
            </w:r>
          </w:p>
        </w:tc>
        <w:tc>
          <w:tcPr>
            <w:tcW w:w="579" w:type="pct"/>
            <w:noWrap w:val="0"/>
            <w:vAlign w:val="center"/>
          </w:tcPr>
          <w:p w14:paraId="188B06D1">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564" w:type="pct"/>
            <w:noWrap w:val="0"/>
            <w:vAlign w:val="center"/>
          </w:tcPr>
          <w:p w14:paraId="18FAC0ED">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660" w:type="pct"/>
            <w:noWrap w:val="0"/>
            <w:vAlign w:val="center"/>
          </w:tcPr>
          <w:p w14:paraId="4283ECB2">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μg/kg</w:t>
            </w:r>
          </w:p>
        </w:tc>
        <w:tc>
          <w:tcPr>
            <w:tcW w:w="915" w:type="pct"/>
            <w:noWrap w:val="0"/>
            <w:vAlign w:val="center"/>
          </w:tcPr>
          <w:p w14:paraId="349483B4">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0.5</w:t>
            </w:r>
          </w:p>
        </w:tc>
        <w:tc>
          <w:tcPr>
            <w:tcW w:w="500" w:type="pct"/>
            <w:noWrap w:val="0"/>
            <w:vAlign w:val="center"/>
          </w:tcPr>
          <w:p w14:paraId="3C4A4ADF">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3BCA0027">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3C1063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32FE5E99">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氯乙烯</w:t>
            </w:r>
          </w:p>
        </w:tc>
        <w:tc>
          <w:tcPr>
            <w:tcW w:w="504" w:type="pct"/>
            <w:noWrap w:val="0"/>
            <w:vAlign w:val="center"/>
          </w:tcPr>
          <w:p w14:paraId="50CDF37E">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ND</w:t>
            </w:r>
          </w:p>
        </w:tc>
        <w:tc>
          <w:tcPr>
            <w:tcW w:w="579" w:type="pct"/>
            <w:noWrap w:val="0"/>
            <w:vAlign w:val="center"/>
          </w:tcPr>
          <w:p w14:paraId="6BC45301">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564" w:type="pct"/>
            <w:noWrap w:val="0"/>
            <w:vAlign w:val="center"/>
          </w:tcPr>
          <w:p w14:paraId="3433125C">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660" w:type="pct"/>
            <w:noWrap w:val="0"/>
            <w:vAlign w:val="center"/>
          </w:tcPr>
          <w:p w14:paraId="0BE6FD7B">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μg/kg</w:t>
            </w:r>
          </w:p>
        </w:tc>
        <w:tc>
          <w:tcPr>
            <w:tcW w:w="915" w:type="pct"/>
            <w:noWrap w:val="0"/>
            <w:vAlign w:val="center"/>
          </w:tcPr>
          <w:p w14:paraId="628D9F40">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0.43</w:t>
            </w:r>
          </w:p>
        </w:tc>
        <w:tc>
          <w:tcPr>
            <w:tcW w:w="500" w:type="pct"/>
            <w:noWrap w:val="0"/>
            <w:vAlign w:val="center"/>
          </w:tcPr>
          <w:p w14:paraId="4F4B16DB">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6A80CC1D">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1E8FE4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0F8E9CC7">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苯</w:t>
            </w:r>
          </w:p>
        </w:tc>
        <w:tc>
          <w:tcPr>
            <w:tcW w:w="504" w:type="pct"/>
            <w:noWrap w:val="0"/>
            <w:vAlign w:val="center"/>
          </w:tcPr>
          <w:p w14:paraId="2506699F">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ND</w:t>
            </w:r>
          </w:p>
        </w:tc>
        <w:tc>
          <w:tcPr>
            <w:tcW w:w="579" w:type="pct"/>
            <w:noWrap w:val="0"/>
            <w:vAlign w:val="center"/>
          </w:tcPr>
          <w:p w14:paraId="253F012B">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564" w:type="pct"/>
            <w:noWrap w:val="0"/>
            <w:vAlign w:val="center"/>
          </w:tcPr>
          <w:p w14:paraId="77196CC8">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660" w:type="pct"/>
            <w:noWrap w:val="0"/>
            <w:vAlign w:val="center"/>
          </w:tcPr>
          <w:p w14:paraId="5B415E3F">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μg/kg</w:t>
            </w:r>
          </w:p>
        </w:tc>
        <w:tc>
          <w:tcPr>
            <w:tcW w:w="915" w:type="pct"/>
            <w:noWrap w:val="0"/>
            <w:vAlign w:val="center"/>
          </w:tcPr>
          <w:p w14:paraId="4EDD0AA6">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w:t>
            </w:r>
          </w:p>
        </w:tc>
        <w:tc>
          <w:tcPr>
            <w:tcW w:w="500" w:type="pct"/>
            <w:noWrap w:val="0"/>
            <w:vAlign w:val="center"/>
          </w:tcPr>
          <w:p w14:paraId="004D5744">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0A848563">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356CE2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08483AE0">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氯苯</w:t>
            </w:r>
          </w:p>
        </w:tc>
        <w:tc>
          <w:tcPr>
            <w:tcW w:w="504" w:type="pct"/>
            <w:noWrap w:val="0"/>
            <w:vAlign w:val="center"/>
          </w:tcPr>
          <w:p w14:paraId="576CB6C9">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ND</w:t>
            </w:r>
          </w:p>
        </w:tc>
        <w:tc>
          <w:tcPr>
            <w:tcW w:w="579" w:type="pct"/>
            <w:noWrap w:val="0"/>
            <w:vAlign w:val="center"/>
          </w:tcPr>
          <w:p w14:paraId="04256DDF">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564" w:type="pct"/>
            <w:noWrap w:val="0"/>
            <w:vAlign w:val="center"/>
          </w:tcPr>
          <w:p w14:paraId="5C8E9577">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660" w:type="pct"/>
            <w:noWrap w:val="0"/>
            <w:vAlign w:val="center"/>
          </w:tcPr>
          <w:p w14:paraId="714D0D0D">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μg/kg</w:t>
            </w:r>
          </w:p>
        </w:tc>
        <w:tc>
          <w:tcPr>
            <w:tcW w:w="915" w:type="pct"/>
            <w:noWrap w:val="0"/>
            <w:vAlign w:val="center"/>
          </w:tcPr>
          <w:p w14:paraId="3454AB5B">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270</w:t>
            </w:r>
          </w:p>
        </w:tc>
        <w:tc>
          <w:tcPr>
            <w:tcW w:w="500" w:type="pct"/>
            <w:noWrap w:val="0"/>
            <w:vAlign w:val="center"/>
          </w:tcPr>
          <w:p w14:paraId="68809174">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507027EC">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5E5839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3EAFBA66">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1,2-二氯苯</w:t>
            </w:r>
          </w:p>
        </w:tc>
        <w:tc>
          <w:tcPr>
            <w:tcW w:w="504" w:type="pct"/>
            <w:noWrap w:val="0"/>
            <w:vAlign w:val="center"/>
          </w:tcPr>
          <w:p w14:paraId="68A18D1C">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ND</w:t>
            </w:r>
          </w:p>
        </w:tc>
        <w:tc>
          <w:tcPr>
            <w:tcW w:w="579" w:type="pct"/>
            <w:noWrap w:val="0"/>
            <w:vAlign w:val="center"/>
          </w:tcPr>
          <w:p w14:paraId="5F44E899">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564" w:type="pct"/>
            <w:noWrap w:val="0"/>
            <w:vAlign w:val="center"/>
          </w:tcPr>
          <w:p w14:paraId="3B44AF35">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660" w:type="pct"/>
            <w:noWrap w:val="0"/>
            <w:vAlign w:val="center"/>
          </w:tcPr>
          <w:p w14:paraId="41C67E1C">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μg/kg</w:t>
            </w:r>
          </w:p>
        </w:tc>
        <w:tc>
          <w:tcPr>
            <w:tcW w:w="915" w:type="pct"/>
            <w:noWrap w:val="0"/>
            <w:vAlign w:val="center"/>
          </w:tcPr>
          <w:p w14:paraId="7BAC0F96">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560</w:t>
            </w:r>
          </w:p>
        </w:tc>
        <w:tc>
          <w:tcPr>
            <w:tcW w:w="500" w:type="pct"/>
            <w:noWrap w:val="0"/>
            <w:vAlign w:val="center"/>
          </w:tcPr>
          <w:p w14:paraId="15C60FA3">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043BE24B">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4FD4E9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349443A3">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1,4-二氯苯</w:t>
            </w:r>
          </w:p>
        </w:tc>
        <w:tc>
          <w:tcPr>
            <w:tcW w:w="504" w:type="pct"/>
            <w:noWrap w:val="0"/>
            <w:vAlign w:val="center"/>
          </w:tcPr>
          <w:p w14:paraId="2D1F8A81">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ND</w:t>
            </w:r>
          </w:p>
        </w:tc>
        <w:tc>
          <w:tcPr>
            <w:tcW w:w="579" w:type="pct"/>
            <w:noWrap w:val="0"/>
            <w:vAlign w:val="center"/>
          </w:tcPr>
          <w:p w14:paraId="41DCD7CD">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564" w:type="pct"/>
            <w:noWrap w:val="0"/>
            <w:vAlign w:val="center"/>
          </w:tcPr>
          <w:p w14:paraId="03375658">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660" w:type="pct"/>
            <w:noWrap w:val="0"/>
            <w:vAlign w:val="center"/>
          </w:tcPr>
          <w:p w14:paraId="429729F4">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μg/kg</w:t>
            </w:r>
          </w:p>
        </w:tc>
        <w:tc>
          <w:tcPr>
            <w:tcW w:w="915" w:type="pct"/>
            <w:noWrap w:val="0"/>
            <w:vAlign w:val="center"/>
          </w:tcPr>
          <w:p w14:paraId="3C2DBAD8">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w:t>
            </w:r>
          </w:p>
        </w:tc>
        <w:tc>
          <w:tcPr>
            <w:tcW w:w="500" w:type="pct"/>
            <w:noWrap w:val="0"/>
            <w:vAlign w:val="center"/>
          </w:tcPr>
          <w:p w14:paraId="198635BF">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6D848BF9">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49EFA6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96" w:type="pct"/>
            <w:noWrap w:val="0"/>
            <w:vAlign w:val="center"/>
          </w:tcPr>
          <w:p w14:paraId="3BFDD1E2">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乙苯</w:t>
            </w:r>
          </w:p>
        </w:tc>
        <w:tc>
          <w:tcPr>
            <w:tcW w:w="504" w:type="pct"/>
            <w:noWrap w:val="0"/>
            <w:vAlign w:val="center"/>
          </w:tcPr>
          <w:p w14:paraId="042F78A8">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ND</w:t>
            </w:r>
          </w:p>
        </w:tc>
        <w:tc>
          <w:tcPr>
            <w:tcW w:w="579" w:type="pct"/>
            <w:noWrap w:val="0"/>
            <w:vAlign w:val="center"/>
          </w:tcPr>
          <w:p w14:paraId="6C8D6228">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564" w:type="pct"/>
            <w:noWrap w:val="0"/>
            <w:vAlign w:val="center"/>
          </w:tcPr>
          <w:p w14:paraId="6EAC8420">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660" w:type="pct"/>
            <w:noWrap w:val="0"/>
            <w:vAlign w:val="center"/>
          </w:tcPr>
          <w:p w14:paraId="027C4AFC">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μg/kg</w:t>
            </w:r>
          </w:p>
        </w:tc>
        <w:tc>
          <w:tcPr>
            <w:tcW w:w="915" w:type="pct"/>
            <w:noWrap w:val="0"/>
            <w:vAlign w:val="center"/>
          </w:tcPr>
          <w:p w14:paraId="33BB9197">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28</w:t>
            </w:r>
          </w:p>
        </w:tc>
        <w:tc>
          <w:tcPr>
            <w:tcW w:w="500" w:type="pct"/>
            <w:noWrap w:val="0"/>
            <w:vAlign w:val="center"/>
          </w:tcPr>
          <w:p w14:paraId="58FE1785">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4E8A5BC4">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6FE8B7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796" w:type="pct"/>
            <w:noWrap w:val="0"/>
            <w:vAlign w:val="center"/>
          </w:tcPr>
          <w:p w14:paraId="488FEDD9">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苯乙烯</w:t>
            </w:r>
          </w:p>
        </w:tc>
        <w:tc>
          <w:tcPr>
            <w:tcW w:w="504" w:type="pct"/>
            <w:noWrap w:val="0"/>
            <w:vAlign w:val="center"/>
          </w:tcPr>
          <w:p w14:paraId="04C49812">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ND</w:t>
            </w:r>
          </w:p>
        </w:tc>
        <w:tc>
          <w:tcPr>
            <w:tcW w:w="579" w:type="pct"/>
            <w:noWrap w:val="0"/>
            <w:vAlign w:val="center"/>
          </w:tcPr>
          <w:p w14:paraId="1C461333">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564" w:type="pct"/>
            <w:noWrap w:val="0"/>
            <w:vAlign w:val="center"/>
          </w:tcPr>
          <w:p w14:paraId="1EECB345">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660" w:type="pct"/>
            <w:noWrap w:val="0"/>
            <w:vAlign w:val="center"/>
          </w:tcPr>
          <w:p w14:paraId="3B6BE537">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μg/kg</w:t>
            </w:r>
          </w:p>
        </w:tc>
        <w:tc>
          <w:tcPr>
            <w:tcW w:w="915" w:type="pct"/>
            <w:noWrap w:val="0"/>
            <w:vAlign w:val="center"/>
          </w:tcPr>
          <w:p w14:paraId="675781A3">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1290</w:t>
            </w:r>
          </w:p>
        </w:tc>
        <w:tc>
          <w:tcPr>
            <w:tcW w:w="500" w:type="pct"/>
            <w:noWrap w:val="0"/>
            <w:vAlign w:val="center"/>
          </w:tcPr>
          <w:p w14:paraId="67106CF0">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085FB704">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64877D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6AF22E49">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甲苯</w:t>
            </w:r>
          </w:p>
        </w:tc>
        <w:tc>
          <w:tcPr>
            <w:tcW w:w="504" w:type="pct"/>
            <w:noWrap w:val="0"/>
            <w:vAlign w:val="center"/>
          </w:tcPr>
          <w:p w14:paraId="280BD9B7">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ND</w:t>
            </w:r>
          </w:p>
        </w:tc>
        <w:tc>
          <w:tcPr>
            <w:tcW w:w="579" w:type="pct"/>
            <w:noWrap w:val="0"/>
            <w:vAlign w:val="center"/>
          </w:tcPr>
          <w:p w14:paraId="19180F92">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564" w:type="pct"/>
            <w:noWrap w:val="0"/>
            <w:vAlign w:val="center"/>
          </w:tcPr>
          <w:p w14:paraId="6A8B8B31">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660" w:type="pct"/>
            <w:noWrap w:val="0"/>
            <w:vAlign w:val="center"/>
          </w:tcPr>
          <w:p w14:paraId="06A19AA1">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μg/kg</w:t>
            </w:r>
          </w:p>
        </w:tc>
        <w:tc>
          <w:tcPr>
            <w:tcW w:w="915" w:type="pct"/>
            <w:noWrap w:val="0"/>
            <w:vAlign w:val="center"/>
          </w:tcPr>
          <w:p w14:paraId="7F0F208C">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1200</w:t>
            </w:r>
          </w:p>
        </w:tc>
        <w:tc>
          <w:tcPr>
            <w:tcW w:w="500" w:type="pct"/>
            <w:noWrap w:val="0"/>
            <w:vAlign w:val="center"/>
          </w:tcPr>
          <w:p w14:paraId="39652EC9">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4128C616">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13DE95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51F72CB5">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间二甲苯+对二甲苯</w:t>
            </w:r>
          </w:p>
        </w:tc>
        <w:tc>
          <w:tcPr>
            <w:tcW w:w="504" w:type="pct"/>
            <w:noWrap w:val="0"/>
            <w:vAlign w:val="center"/>
          </w:tcPr>
          <w:p w14:paraId="5DB94076">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ND</w:t>
            </w:r>
          </w:p>
        </w:tc>
        <w:tc>
          <w:tcPr>
            <w:tcW w:w="579" w:type="pct"/>
            <w:noWrap w:val="0"/>
            <w:vAlign w:val="center"/>
          </w:tcPr>
          <w:p w14:paraId="1AA04D42">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564" w:type="pct"/>
            <w:noWrap w:val="0"/>
            <w:vAlign w:val="center"/>
          </w:tcPr>
          <w:p w14:paraId="1041A6E6">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660" w:type="pct"/>
            <w:noWrap w:val="0"/>
            <w:vAlign w:val="center"/>
          </w:tcPr>
          <w:p w14:paraId="58026AB0">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μg/kg</w:t>
            </w:r>
          </w:p>
        </w:tc>
        <w:tc>
          <w:tcPr>
            <w:tcW w:w="915" w:type="pct"/>
            <w:noWrap w:val="0"/>
            <w:vAlign w:val="center"/>
          </w:tcPr>
          <w:p w14:paraId="76212FA2">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570</w:t>
            </w:r>
          </w:p>
        </w:tc>
        <w:tc>
          <w:tcPr>
            <w:tcW w:w="500" w:type="pct"/>
            <w:noWrap w:val="0"/>
            <w:vAlign w:val="center"/>
          </w:tcPr>
          <w:p w14:paraId="61B93C27">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3B417DC8">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38ADC2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18C28007">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邻二甲苯</w:t>
            </w:r>
          </w:p>
        </w:tc>
        <w:tc>
          <w:tcPr>
            <w:tcW w:w="504" w:type="pct"/>
            <w:noWrap w:val="0"/>
            <w:vAlign w:val="center"/>
          </w:tcPr>
          <w:p w14:paraId="00B5C4D7">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ND</w:t>
            </w:r>
          </w:p>
        </w:tc>
        <w:tc>
          <w:tcPr>
            <w:tcW w:w="579" w:type="pct"/>
            <w:noWrap w:val="0"/>
            <w:vAlign w:val="center"/>
          </w:tcPr>
          <w:p w14:paraId="20844D9B">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564" w:type="pct"/>
            <w:noWrap w:val="0"/>
            <w:vAlign w:val="center"/>
          </w:tcPr>
          <w:p w14:paraId="1AFB8638">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660" w:type="pct"/>
            <w:noWrap w:val="0"/>
            <w:vAlign w:val="center"/>
          </w:tcPr>
          <w:p w14:paraId="1F71918A">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μg/kg</w:t>
            </w:r>
          </w:p>
        </w:tc>
        <w:tc>
          <w:tcPr>
            <w:tcW w:w="915" w:type="pct"/>
            <w:noWrap w:val="0"/>
            <w:vAlign w:val="center"/>
          </w:tcPr>
          <w:p w14:paraId="7E7CDB98">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640</w:t>
            </w:r>
          </w:p>
        </w:tc>
        <w:tc>
          <w:tcPr>
            <w:tcW w:w="500" w:type="pct"/>
            <w:noWrap w:val="0"/>
            <w:vAlign w:val="center"/>
          </w:tcPr>
          <w:p w14:paraId="7F72B945">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19C8D681">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059C40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5D4D494C">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硝基苯</w:t>
            </w:r>
          </w:p>
        </w:tc>
        <w:tc>
          <w:tcPr>
            <w:tcW w:w="504" w:type="pct"/>
            <w:noWrap w:val="0"/>
            <w:vAlign w:val="center"/>
          </w:tcPr>
          <w:p w14:paraId="08CB4E98">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ND</w:t>
            </w:r>
          </w:p>
        </w:tc>
        <w:tc>
          <w:tcPr>
            <w:tcW w:w="579" w:type="pct"/>
            <w:noWrap w:val="0"/>
            <w:vAlign w:val="center"/>
          </w:tcPr>
          <w:p w14:paraId="6FEAB581">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ND</w:t>
            </w:r>
          </w:p>
        </w:tc>
        <w:tc>
          <w:tcPr>
            <w:tcW w:w="564" w:type="pct"/>
            <w:noWrap w:val="0"/>
            <w:vAlign w:val="center"/>
          </w:tcPr>
          <w:p w14:paraId="515714F2">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ND</w:t>
            </w:r>
          </w:p>
        </w:tc>
        <w:tc>
          <w:tcPr>
            <w:tcW w:w="660" w:type="pct"/>
            <w:noWrap w:val="0"/>
            <w:vAlign w:val="center"/>
          </w:tcPr>
          <w:p w14:paraId="5E1D6E81">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mg</w:t>
            </w:r>
            <w:r>
              <w:rPr>
                <w:rFonts w:hint="default" w:ascii="Times New Roman" w:hAnsi="Times New Roman" w:cs="Times New Roman"/>
                <w:color w:val="auto"/>
                <w:sz w:val="21"/>
                <w:szCs w:val="21"/>
              </w:rPr>
              <w:t>/kg</w:t>
            </w:r>
          </w:p>
        </w:tc>
        <w:tc>
          <w:tcPr>
            <w:tcW w:w="915" w:type="pct"/>
            <w:noWrap w:val="0"/>
            <w:vAlign w:val="center"/>
          </w:tcPr>
          <w:p w14:paraId="3C05DC93">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76</w:t>
            </w:r>
          </w:p>
        </w:tc>
        <w:tc>
          <w:tcPr>
            <w:tcW w:w="500" w:type="pct"/>
            <w:noWrap w:val="0"/>
            <w:vAlign w:val="center"/>
          </w:tcPr>
          <w:p w14:paraId="5E284CA9">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2FBE310F">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5DA531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96" w:type="pct"/>
            <w:noWrap w:val="0"/>
            <w:vAlign w:val="center"/>
          </w:tcPr>
          <w:p w14:paraId="18EAD062">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苯胺</w:t>
            </w:r>
          </w:p>
        </w:tc>
        <w:tc>
          <w:tcPr>
            <w:tcW w:w="504" w:type="pct"/>
            <w:noWrap w:val="0"/>
            <w:vAlign w:val="center"/>
          </w:tcPr>
          <w:p w14:paraId="68974465">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ND</w:t>
            </w:r>
          </w:p>
        </w:tc>
        <w:tc>
          <w:tcPr>
            <w:tcW w:w="579" w:type="pct"/>
            <w:noWrap w:val="0"/>
            <w:vAlign w:val="center"/>
          </w:tcPr>
          <w:p w14:paraId="6C78BF0E">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564" w:type="pct"/>
            <w:noWrap w:val="0"/>
            <w:vAlign w:val="center"/>
          </w:tcPr>
          <w:p w14:paraId="7E2F5CF8">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660" w:type="pct"/>
            <w:noWrap w:val="0"/>
            <w:vAlign w:val="center"/>
          </w:tcPr>
          <w:p w14:paraId="7BDC8BFD">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mg/kg</w:t>
            </w:r>
          </w:p>
        </w:tc>
        <w:tc>
          <w:tcPr>
            <w:tcW w:w="915" w:type="pct"/>
            <w:noWrap w:val="0"/>
            <w:vAlign w:val="center"/>
          </w:tcPr>
          <w:p w14:paraId="62BFDA74">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260</w:t>
            </w:r>
          </w:p>
        </w:tc>
        <w:tc>
          <w:tcPr>
            <w:tcW w:w="500" w:type="pct"/>
            <w:noWrap w:val="0"/>
            <w:vAlign w:val="center"/>
          </w:tcPr>
          <w:p w14:paraId="25845C71">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2FA81E08">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383E0F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796" w:type="pct"/>
            <w:noWrap w:val="0"/>
            <w:vAlign w:val="center"/>
          </w:tcPr>
          <w:p w14:paraId="083F549D">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2-氯酚</w:t>
            </w:r>
          </w:p>
        </w:tc>
        <w:tc>
          <w:tcPr>
            <w:tcW w:w="504" w:type="pct"/>
            <w:noWrap w:val="0"/>
            <w:vAlign w:val="center"/>
          </w:tcPr>
          <w:p w14:paraId="238C289D">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ND</w:t>
            </w:r>
          </w:p>
        </w:tc>
        <w:tc>
          <w:tcPr>
            <w:tcW w:w="579" w:type="pct"/>
            <w:noWrap w:val="0"/>
            <w:vAlign w:val="center"/>
          </w:tcPr>
          <w:p w14:paraId="05AA7F03">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ND</w:t>
            </w:r>
          </w:p>
        </w:tc>
        <w:tc>
          <w:tcPr>
            <w:tcW w:w="564" w:type="pct"/>
            <w:noWrap w:val="0"/>
            <w:vAlign w:val="center"/>
          </w:tcPr>
          <w:p w14:paraId="1FFCBF54">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ND</w:t>
            </w:r>
          </w:p>
        </w:tc>
        <w:tc>
          <w:tcPr>
            <w:tcW w:w="660" w:type="pct"/>
            <w:noWrap w:val="0"/>
            <w:vAlign w:val="center"/>
          </w:tcPr>
          <w:p w14:paraId="1310CBB5">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mg</w:t>
            </w:r>
            <w:r>
              <w:rPr>
                <w:rFonts w:hint="default" w:ascii="Times New Roman" w:hAnsi="Times New Roman" w:cs="Times New Roman"/>
                <w:color w:val="auto"/>
                <w:sz w:val="21"/>
                <w:szCs w:val="21"/>
              </w:rPr>
              <w:t>/kg</w:t>
            </w:r>
          </w:p>
        </w:tc>
        <w:tc>
          <w:tcPr>
            <w:tcW w:w="915" w:type="pct"/>
            <w:noWrap w:val="0"/>
            <w:vAlign w:val="center"/>
          </w:tcPr>
          <w:p w14:paraId="6FC863D8">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2256</w:t>
            </w:r>
          </w:p>
        </w:tc>
        <w:tc>
          <w:tcPr>
            <w:tcW w:w="500" w:type="pct"/>
            <w:noWrap w:val="0"/>
            <w:vAlign w:val="center"/>
          </w:tcPr>
          <w:p w14:paraId="4118DD49">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0466CFC8">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762997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68BCE42A">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苯并[a]蒽</w:t>
            </w:r>
          </w:p>
        </w:tc>
        <w:tc>
          <w:tcPr>
            <w:tcW w:w="504" w:type="pct"/>
            <w:noWrap w:val="0"/>
            <w:vAlign w:val="center"/>
          </w:tcPr>
          <w:p w14:paraId="60EF5BA1">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ND</w:t>
            </w:r>
          </w:p>
        </w:tc>
        <w:tc>
          <w:tcPr>
            <w:tcW w:w="579" w:type="pct"/>
            <w:noWrap w:val="0"/>
            <w:vAlign w:val="center"/>
          </w:tcPr>
          <w:p w14:paraId="63535A49">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564" w:type="pct"/>
            <w:noWrap w:val="0"/>
            <w:vAlign w:val="center"/>
          </w:tcPr>
          <w:p w14:paraId="53D7DC7B">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660" w:type="pct"/>
            <w:noWrap w:val="0"/>
            <w:vAlign w:val="center"/>
          </w:tcPr>
          <w:p w14:paraId="076EE9FE">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mg/kg</w:t>
            </w:r>
          </w:p>
        </w:tc>
        <w:tc>
          <w:tcPr>
            <w:tcW w:w="915" w:type="pct"/>
            <w:noWrap w:val="0"/>
            <w:vAlign w:val="center"/>
          </w:tcPr>
          <w:p w14:paraId="6971F665">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w:t>
            </w:r>
          </w:p>
        </w:tc>
        <w:tc>
          <w:tcPr>
            <w:tcW w:w="500" w:type="pct"/>
            <w:noWrap w:val="0"/>
            <w:vAlign w:val="center"/>
          </w:tcPr>
          <w:p w14:paraId="0CD6BADB">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017ED36C">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1FDDCF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12678891">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苯并[a]芘</w:t>
            </w:r>
          </w:p>
        </w:tc>
        <w:tc>
          <w:tcPr>
            <w:tcW w:w="504" w:type="pct"/>
            <w:noWrap w:val="0"/>
            <w:vAlign w:val="center"/>
          </w:tcPr>
          <w:p w14:paraId="4A639DD0">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ND</w:t>
            </w:r>
          </w:p>
        </w:tc>
        <w:tc>
          <w:tcPr>
            <w:tcW w:w="579" w:type="pct"/>
            <w:noWrap w:val="0"/>
            <w:vAlign w:val="center"/>
          </w:tcPr>
          <w:p w14:paraId="49E35663">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564" w:type="pct"/>
            <w:noWrap w:val="0"/>
            <w:vAlign w:val="center"/>
          </w:tcPr>
          <w:p w14:paraId="3623D37F">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660" w:type="pct"/>
            <w:noWrap w:val="0"/>
            <w:vAlign w:val="center"/>
          </w:tcPr>
          <w:p w14:paraId="606CDF6C">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mg/kg</w:t>
            </w:r>
          </w:p>
        </w:tc>
        <w:tc>
          <w:tcPr>
            <w:tcW w:w="915" w:type="pct"/>
            <w:noWrap w:val="0"/>
            <w:vAlign w:val="center"/>
          </w:tcPr>
          <w:p w14:paraId="206D8EFA">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w:t>
            </w:r>
          </w:p>
        </w:tc>
        <w:tc>
          <w:tcPr>
            <w:tcW w:w="500" w:type="pct"/>
            <w:noWrap w:val="0"/>
            <w:vAlign w:val="center"/>
          </w:tcPr>
          <w:p w14:paraId="2184841D">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1048C8F6">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23344F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05986F5B">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苯并[b]荧蒽</w:t>
            </w:r>
          </w:p>
        </w:tc>
        <w:tc>
          <w:tcPr>
            <w:tcW w:w="504" w:type="pct"/>
            <w:noWrap w:val="0"/>
            <w:vAlign w:val="center"/>
          </w:tcPr>
          <w:p w14:paraId="42CFCB2F">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ND</w:t>
            </w:r>
          </w:p>
        </w:tc>
        <w:tc>
          <w:tcPr>
            <w:tcW w:w="579" w:type="pct"/>
            <w:noWrap w:val="0"/>
            <w:vAlign w:val="center"/>
          </w:tcPr>
          <w:p w14:paraId="7B6727EA">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564" w:type="pct"/>
            <w:noWrap w:val="0"/>
            <w:vAlign w:val="center"/>
          </w:tcPr>
          <w:p w14:paraId="69396811">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660" w:type="pct"/>
            <w:noWrap w:val="0"/>
            <w:vAlign w:val="center"/>
          </w:tcPr>
          <w:p w14:paraId="74E0FEE4">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mg/kg</w:t>
            </w:r>
          </w:p>
        </w:tc>
        <w:tc>
          <w:tcPr>
            <w:tcW w:w="915" w:type="pct"/>
            <w:noWrap w:val="0"/>
            <w:vAlign w:val="center"/>
          </w:tcPr>
          <w:p w14:paraId="03FA1202">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w:t>
            </w:r>
          </w:p>
        </w:tc>
        <w:tc>
          <w:tcPr>
            <w:tcW w:w="500" w:type="pct"/>
            <w:noWrap w:val="0"/>
            <w:vAlign w:val="center"/>
          </w:tcPr>
          <w:p w14:paraId="2B2AB468">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43CEF79D">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217F59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1DD9E2F7">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苯并[k]荧蒽</w:t>
            </w:r>
          </w:p>
        </w:tc>
        <w:tc>
          <w:tcPr>
            <w:tcW w:w="504" w:type="pct"/>
            <w:noWrap w:val="0"/>
            <w:vAlign w:val="center"/>
          </w:tcPr>
          <w:p w14:paraId="7DAAD383">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ND</w:t>
            </w:r>
          </w:p>
        </w:tc>
        <w:tc>
          <w:tcPr>
            <w:tcW w:w="579" w:type="pct"/>
            <w:noWrap w:val="0"/>
            <w:vAlign w:val="center"/>
          </w:tcPr>
          <w:p w14:paraId="4B36666A">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564" w:type="pct"/>
            <w:noWrap w:val="0"/>
            <w:vAlign w:val="center"/>
          </w:tcPr>
          <w:p w14:paraId="169FD52F">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660" w:type="pct"/>
            <w:noWrap w:val="0"/>
            <w:vAlign w:val="center"/>
          </w:tcPr>
          <w:p w14:paraId="44BF8E13">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mg/kg</w:t>
            </w:r>
          </w:p>
        </w:tc>
        <w:tc>
          <w:tcPr>
            <w:tcW w:w="915" w:type="pct"/>
            <w:noWrap w:val="0"/>
            <w:vAlign w:val="center"/>
          </w:tcPr>
          <w:p w14:paraId="521AFD43">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151</w:t>
            </w:r>
          </w:p>
        </w:tc>
        <w:tc>
          <w:tcPr>
            <w:tcW w:w="500" w:type="pct"/>
            <w:noWrap w:val="0"/>
            <w:vAlign w:val="center"/>
          </w:tcPr>
          <w:p w14:paraId="3DCD23D7">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67235804">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2CAF6F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6468F0C2">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䓛</w:t>
            </w:r>
          </w:p>
        </w:tc>
        <w:tc>
          <w:tcPr>
            <w:tcW w:w="504" w:type="pct"/>
            <w:noWrap w:val="0"/>
            <w:vAlign w:val="center"/>
          </w:tcPr>
          <w:p w14:paraId="2E3C95FA">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ND</w:t>
            </w:r>
          </w:p>
        </w:tc>
        <w:tc>
          <w:tcPr>
            <w:tcW w:w="579" w:type="pct"/>
            <w:noWrap w:val="0"/>
            <w:vAlign w:val="center"/>
          </w:tcPr>
          <w:p w14:paraId="7B36D3B5">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564" w:type="pct"/>
            <w:noWrap w:val="0"/>
            <w:vAlign w:val="center"/>
          </w:tcPr>
          <w:p w14:paraId="00EE760E">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660" w:type="pct"/>
            <w:noWrap w:val="0"/>
            <w:vAlign w:val="center"/>
          </w:tcPr>
          <w:p w14:paraId="107542AC">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mg/kg</w:t>
            </w:r>
          </w:p>
        </w:tc>
        <w:tc>
          <w:tcPr>
            <w:tcW w:w="915" w:type="pct"/>
            <w:noWrap w:val="0"/>
            <w:vAlign w:val="center"/>
          </w:tcPr>
          <w:p w14:paraId="49BE5786">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1293</w:t>
            </w:r>
          </w:p>
        </w:tc>
        <w:tc>
          <w:tcPr>
            <w:tcW w:w="500" w:type="pct"/>
            <w:noWrap w:val="0"/>
            <w:vAlign w:val="center"/>
          </w:tcPr>
          <w:p w14:paraId="2D052404">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474A6F53">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332E53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09146FA6">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二苯并[a,h]蒽</w:t>
            </w:r>
          </w:p>
        </w:tc>
        <w:tc>
          <w:tcPr>
            <w:tcW w:w="504" w:type="pct"/>
            <w:noWrap w:val="0"/>
            <w:vAlign w:val="center"/>
          </w:tcPr>
          <w:p w14:paraId="6EBA55AB">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ND</w:t>
            </w:r>
          </w:p>
        </w:tc>
        <w:tc>
          <w:tcPr>
            <w:tcW w:w="579" w:type="pct"/>
            <w:noWrap w:val="0"/>
            <w:vAlign w:val="center"/>
          </w:tcPr>
          <w:p w14:paraId="082D6C56">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564" w:type="pct"/>
            <w:noWrap w:val="0"/>
            <w:vAlign w:val="center"/>
          </w:tcPr>
          <w:p w14:paraId="21134141">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660" w:type="pct"/>
            <w:noWrap w:val="0"/>
            <w:vAlign w:val="center"/>
          </w:tcPr>
          <w:p w14:paraId="3DC90B8B">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mg/kg</w:t>
            </w:r>
          </w:p>
        </w:tc>
        <w:tc>
          <w:tcPr>
            <w:tcW w:w="915" w:type="pct"/>
            <w:noWrap w:val="0"/>
            <w:vAlign w:val="center"/>
          </w:tcPr>
          <w:p w14:paraId="5853402D">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w:t>
            </w:r>
          </w:p>
        </w:tc>
        <w:tc>
          <w:tcPr>
            <w:tcW w:w="500" w:type="pct"/>
            <w:noWrap w:val="0"/>
            <w:vAlign w:val="center"/>
          </w:tcPr>
          <w:p w14:paraId="2B57B648">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076A0EC4">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640138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75099ED8">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茚并[1,2,3-cd]芘</w:t>
            </w:r>
          </w:p>
        </w:tc>
        <w:tc>
          <w:tcPr>
            <w:tcW w:w="504" w:type="pct"/>
            <w:noWrap w:val="0"/>
            <w:vAlign w:val="center"/>
          </w:tcPr>
          <w:p w14:paraId="791E8B9E">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ND</w:t>
            </w:r>
          </w:p>
        </w:tc>
        <w:tc>
          <w:tcPr>
            <w:tcW w:w="579" w:type="pct"/>
            <w:noWrap w:val="0"/>
            <w:vAlign w:val="center"/>
          </w:tcPr>
          <w:p w14:paraId="291AEC34">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564" w:type="pct"/>
            <w:noWrap w:val="0"/>
            <w:vAlign w:val="center"/>
          </w:tcPr>
          <w:p w14:paraId="7847850F">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660" w:type="pct"/>
            <w:noWrap w:val="0"/>
            <w:vAlign w:val="center"/>
          </w:tcPr>
          <w:p w14:paraId="6643E4D5">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mg/kg</w:t>
            </w:r>
          </w:p>
        </w:tc>
        <w:tc>
          <w:tcPr>
            <w:tcW w:w="915" w:type="pct"/>
            <w:noWrap w:val="0"/>
            <w:vAlign w:val="center"/>
          </w:tcPr>
          <w:p w14:paraId="27034F71">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w:t>
            </w:r>
          </w:p>
        </w:tc>
        <w:tc>
          <w:tcPr>
            <w:tcW w:w="500" w:type="pct"/>
            <w:noWrap w:val="0"/>
            <w:vAlign w:val="center"/>
          </w:tcPr>
          <w:p w14:paraId="158896CF">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7F2C3CCE">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2C4EF7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167E67DF">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萘</w:t>
            </w:r>
          </w:p>
        </w:tc>
        <w:tc>
          <w:tcPr>
            <w:tcW w:w="504" w:type="pct"/>
            <w:noWrap w:val="0"/>
            <w:vAlign w:val="center"/>
          </w:tcPr>
          <w:p w14:paraId="11E25422">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ND</w:t>
            </w:r>
          </w:p>
        </w:tc>
        <w:tc>
          <w:tcPr>
            <w:tcW w:w="579" w:type="pct"/>
            <w:noWrap w:val="0"/>
            <w:vAlign w:val="center"/>
          </w:tcPr>
          <w:p w14:paraId="79927D18">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564" w:type="pct"/>
            <w:noWrap w:val="0"/>
            <w:vAlign w:val="center"/>
          </w:tcPr>
          <w:p w14:paraId="6BF34E0D">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ND</w:t>
            </w:r>
          </w:p>
        </w:tc>
        <w:tc>
          <w:tcPr>
            <w:tcW w:w="660" w:type="pct"/>
            <w:noWrap w:val="0"/>
            <w:vAlign w:val="center"/>
          </w:tcPr>
          <w:p w14:paraId="2C070D46">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mg/kg</w:t>
            </w:r>
          </w:p>
        </w:tc>
        <w:tc>
          <w:tcPr>
            <w:tcW w:w="915" w:type="pct"/>
            <w:noWrap w:val="0"/>
            <w:vAlign w:val="center"/>
          </w:tcPr>
          <w:p w14:paraId="7CB3DD9C">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70</w:t>
            </w:r>
          </w:p>
        </w:tc>
        <w:tc>
          <w:tcPr>
            <w:tcW w:w="500" w:type="pct"/>
            <w:noWrap w:val="0"/>
            <w:vAlign w:val="center"/>
          </w:tcPr>
          <w:p w14:paraId="7A207AA2">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p>
        </w:tc>
        <w:tc>
          <w:tcPr>
            <w:tcW w:w="478" w:type="pct"/>
            <w:noWrap w:val="0"/>
            <w:vAlign w:val="center"/>
          </w:tcPr>
          <w:p w14:paraId="22F5202D">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7C45D8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1F761A5C">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pH</w:t>
            </w:r>
          </w:p>
        </w:tc>
        <w:tc>
          <w:tcPr>
            <w:tcW w:w="504" w:type="pct"/>
            <w:noWrap w:val="0"/>
            <w:vAlign w:val="center"/>
          </w:tcPr>
          <w:p w14:paraId="7438FD5D">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7.44</w:t>
            </w:r>
          </w:p>
        </w:tc>
        <w:tc>
          <w:tcPr>
            <w:tcW w:w="579" w:type="pct"/>
            <w:noWrap w:val="0"/>
            <w:vAlign w:val="center"/>
          </w:tcPr>
          <w:p w14:paraId="33D2FBB9">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6.77</w:t>
            </w:r>
          </w:p>
        </w:tc>
        <w:tc>
          <w:tcPr>
            <w:tcW w:w="564" w:type="pct"/>
            <w:noWrap w:val="0"/>
            <w:vAlign w:val="center"/>
          </w:tcPr>
          <w:p w14:paraId="4F14CBAA">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7.40</w:t>
            </w:r>
          </w:p>
        </w:tc>
        <w:tc>
          <w:tcPr>
            <w:tcW w:w="660" w:type="pct"/>
            <w:noWrap w:val="0"/>
            <w:vAlign w:val="center"/>
          </w:tcPr>
          <w:p w14:paraId="39A135C6">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无量纲</w:t>
            </w:r>
          </w:p>
        </w:tc>
        <w:tc>
          <w:tcPr>
            <w:tcW w:w="915" w:type="pct"/>
            <w:noWrap w:val="0"/>
            <w:vAlign w:val="center"/>
          </w:tcPr>
          <w:p w14:paraId="0458DB3E">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500" w:type="pct"/>
            <w:noWrap w:val="0"/>
            <w:vAlign w:val="center"/>
          </w:tcPr>
          <w:p w14:paraId="18B5A779">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478" w:type="pct"/>
            <w:noWrap w:val="0"/>
            <w:vAlign w:val="center"/>
          </w:tcPr>
          <w:p w14:paraId="45F5628E">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r>
      <w:tr w14:paraId="2F8D9A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 w:type="pct"/>
            <w:noWrap w:val="0"/>
            <w:vAlign w:val="center"/>
          </w:tcPr>
          <w:p w14:paraId="716708AA">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水溶性盐</w:t>
            </w:r>
          </w:p>
        </w:tc>
        <w:tc>
          <w:tcPr>
            <w:tcW w:w="504" w:type="pct"/>
            <w:noWrap w:val="0"/>
            <w:vAlign w:val="center"/>
          </w:tcPr>
          <w:p w14:paraId="41B312E6">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0.63</w:t>
            </w:r>
          </w:p>
        </w:tc>
        <w:tc>
          <w:tcPr>
            <w:tcW w:w="579" w:type="pct"/>
            <w:noWrap w:val="0"/>
            <w:vAlign w:val="center"/>
          </w:tcPr>
          <w:p w14:paraId="4EEEF033">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1.02</w:t>
            </w:r>
          </w:p>
        </w:tc>
        <w:tc>
          <w:tcPr>
            <w:tcW w:w="564" w:type="pct"/>
            <w:noWrap w:val="0"/>
            <w:vAlign w:val="center"/>
          </w:tcPr>
          <w:p w14:paraId="7234CF21">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1.30</w:t>
            </w:r>
          </w:p>
        </w:tc>
        <w:tc>
          <w:tcPr>
            <w:tcW w:w="660" w:type="pct"/>
            <w:noWrap w:val="0"/>
            <w:vAlign w:val="center"/>
          </w:tcPr>
          <w:p w14:paraId="2663AD33">
            <w:pPr>
              <w:pStyle w:val="44"/>
              <w:bidi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g/kg</w:t>
            </w:r>
          </w:p>
        </w:tc>
        <w:tc>
          <w:tcPr>
            <w:tcW w:w="915" w:type="pct"/>
            <w:noWrap w:val="0"/>
            <w:vAlign w:val="center"/>
          </w:tcPr>
          <w:p w14:paraId="33382061">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500" w:type="pct"/>
            <w:noWrap w:val="0"/>
            <w:vAlign w:val="center"/>
          </w:tcPr>
          <w:p w14:paraId="3BA041A0">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478" w:type="pct"/>
            <w:noWrap w:val="0"/>
            <w:vAlign w:val="center"/>
          </w:tcPr>
          <w:p w14:paraId="22B68E08">
            <w:pPr>
              <w:pStyle w:val="44"/>
              <w:bidi w:val="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r>
    </w:tbl>
    <w:p w14:paraId="4A799785">
      <w:pPr>
        <w:pStyle w:val="2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注：“ND”代表低于检出限，“L”表示未检出，其数值为该项目检出限</w:t>
      </w:r>
    </w:p>
    <w:p w14:paraId="1F52D3B7">
      <w:pPr>
        <w:pStyle w:val="27"/>
        <w:bidi w:val="0"/>
        <w:rPr>
          <w:rFonts w:hint="default" w:ascii="Times New Roman" w:hAnsi="Times New Roman" w:cs="Times New Roman"/>
          <w:color w:val="auto"/>
        </w:rPr>
      </w:pPr>
      <w:r>
        <w:rPr>
          <w:rFonts w:hint="default" w:ascii="Times New Roman" w:hAnsi="Times New Roman" w:cs="Times New Roman"/>
          <w:color w:val="auto"/>
        </w:rPr>
        <w:t>表4-</w:t>
      </w:r>
      <w:r>
        <w:rPr>
          <w:rFonts w:hint="default" w:ascii="Times New Roman" w:hAnsi="Times New Roman" w:cs="Times New Roman"/>
          <w:color w:val="auto"/>
          <w:lang w:val="en-US" w:eastAsia="zh-CN"/>
        </w:rPr>
        <w:t>2</w:t>
      </w:r>
      <w:r>
        <w:rPr>
          <w:rFonts w:hint="default" w:ascii="Times New Roman" w:hAnsi="Times New Roman" w:cs="Times New Roman"/>
          <w:color w:val="auto"/>
        </w:rPr>
        <w:t>-</w:t>
      </w:r>
      <w:r>
        <w:rPr>
          <w:rFonts w:hint="default" w:ascii="Times New Roman" w:hAnsi="Times New Roman" w:cs="Times New Roman"/>
          <w:color w:val="auto"/>
          <w:lang w:val="en-US" w:eastAsia="zh-CN"/>
        </w:rPr>
        <w:t>18</w:t>
      </w:r>
      <w:r>
        <w:rPr>
          <w:rFonts w:hint="default" w:ascii="Times New Roman" w:hAnsi="Times New Roman" w:cs="Times New Roman"/>
          <w:color w:val="auto"/>
        </w:rPr>
        <w:t xml:space="preserve"> 土壤现状监测结果（</w:t>
      </w:r>
      <w:r>
        <w:rPr>
          <w:rFonts w:hint="default" w:ascii="Times New Roman" w:hAnsi="Times New Roman" w:cs="Times New Roman"/>
          <w:color w:val="auto"/>
          <w:lang w:val="en-US" w:eastAsia="zh-CN"/>
        </w:rPr>
        <w:t>S3</w:t>
      </w:r>
      <w:r>
        <w:rPr>
          <w:rFonts w:hint="default" w:ascii="Times New Roman" w:hAnsi="Times New Roman" w:cs="Times New Roman"/>
          <w:color w:val="auto"/>
        </w:rPr>
        <w:t>）</w:t>
      </w:r>
    </w:p>
    <w:tbl>
      <w:tblPr>
        <w:tblStyle w:val="2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25"/>
        <w:gridCol w:w="966"/>
        <w:gridCol w:w="1104"/>
        <w:gridCol w:w="1098"/>
        <w:gridCol w:w="1287"/>
        <w:gridCol w:w="1232"/>
        <w:gridCol w:w="886"/>
        <w:gridCol w:w="821"/>
      </w:tblGrid>
      <w:tr w14:paraId="1E30A7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9" w:hRule="atLeast"/>
          <w:jc w:val="center"/>
        </w:trPr>
        <w:tc>
          <w:tcPr>
            <w:tcW w:w="660" w:type="pct"/>
            <w:vMerge w:val="restart"/>
            <w:tcBorders>
              <w:tl2br w:val="nil"/>
              <w:tr2bl w:val="nil"/>
            </w:tcBorders>
            <w:noWrap w:val="0"/>
            <w:vAlign w:val="center"/>
          </w:tcPr>
          <w:p w14:paraId="636F736E">
            <w:pPr>
              <w:pStyle w:val="44"/>
              <w:bidi w:val="0"/>
              <w:rPr>
                <w:rFonts w:hint="default" w:ascii="Times New Roman" w:hAnsi="Times New Roman" w:cs="Times New Roman"/>
                <w:color w:val="auto"/>
              </w:rPr>
            </w:pPr>
            <w:r>
              <w:rPr>
                <w:rFonts w:hint="default" w:ascii="Times New Roman" w:hAnsi="Times New Roman" w:cs="Times New Roman"/>
                <w:color w:val="auto"/>
              </w:rPr>
              <w:t>监测项目</w:t>
            </w:r>
          </w:p>
        </w:tc>
        <w:tc>
          <w:tcPr>
            <w:tcW w:w="1859" w:type="pct"/>
            <w:gridSpan w:val="3"/>
            <w:tcBorders>
              <w:tl2br w:val="nil"/>
              <w:tr2bl w:val="nil"/>
            </w:tcBorders>
            <w:noWrap w:val="0"/>
            <w:vAlign w:val="center"/>
          </w:tcPr>
          <w:p w14:paraId="2035B7D6">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S3</w:t>
            </w:r>
            <w:r>
              <w:rPr>
                <w:rFonts w:hint="default" w:ascii="Times New Roman" w:hAnsi="Times New Roman" w:cs="Times New Roman"/>
                <w:color w:val="auto"/>
              </w:rPr>
              <w:t>柱状样</w:t>
            </w:r>
          </w:p>
        </w:tc>
        <w:tc>
          <w:tcPr>
            <w:tcW w:w="755" w:type="pct"/>
            <w:vMerge w:val="restart"/>
            <w:tcBorders>
              <w:tl2br w:val="nil"/>
              <w:tr2bl w:val="nil"/>
            </w:tcBorders>
            <w:noWrap w:val="0"/>
            <w:vAlign w:val="center"/>
          </w:tcPr>
          <w:p w14:paraId="7E0B322B">
            <w:pPr>
              <w:pStyle w:val="44"/>
              <w:bidi w:val="0"/>
              <w:rPr>
                <w:rFonts w:hint="default" w:ascii="Times New Roman" w:hAnsi="Times New Roman" w:cs="Times New Roman"/>
                <w:color w:val="auto"/>
              </w:rPr>
            </w:pPr>
            <w:r>
              <w:rPr>
                <w:rFonts w:hint="default" w:ascii="Times New Roman" w:hAnsi="Times New Roman" w:cs="Times New Roman"/>
                <w:color w:val="auto"/>
              </w:rPr>
              <w:t>单位</w:t>
            </w:r>
          </w:p>
        </w:tc>
        <w:tc>
          <w:tcPr>
            <w:tcW w:w="723" w:type="pct"/>
            <w:vMerge w:val="restart"/>
            <w:tcBorders>
              <w:tl2br w:val="nil"/>
              <w:tr2bl w:val="nil"/>
            </w:tcBorders>
            <w:noWrap w:val="0"/>
            <w:vAlign w:val="center"/>
          </w:tcPr>
          <w:p w14:paraId="2A3F93DD">
            <w:pPr>
              <w:pStyle w:val="44"/>
              <w:bidi w:val="0"/>
              <w:rPr>
                <w:rFonts w:hint="default" w:ascii="Times New Roman" w:hAnsi="Times New Roman" w:cs="Times New Roman"/>
                <w:color w:val="auto"/>
              </w:rPr>
            </w:pPr>
            <w:r>
              <w:rPr>
                <w:rFonts w:hint="default" w:ascii="Times New Roman" w:hAnsi="Times New Roman" w:cs="Times New Roman"/>
                <w:color w:val="auto"/>
              </w:rPr>
              <w:t>标准值（mg/kg）</w:t>
            </w:r>
          </w:p>
        </w:tc>
        <w:tc>
          <w:tcPr>
            <w:tcW w:w="520" w:type="pct"/>
            <w:vMerge w:val="restart"/>
            <w:tcBorders>
              <w:tl2br w:val="nil"/>
              <w:tr2bl w:val="nil"/>
            </w:tcBorders>
            <w:noWrap w:val="0"/>
            <w:vAlign w:val="center"/>
          </w:tcPr>
          <w:p w14:paraId="14307BFB">
            <w:pPr>
              <w:pStyle w:val="44"/>
              <w:bidi w:val="0"/>
              <w:rPr>
                <w:rFonts w:hint="default" w:ascii="Times New Roman" w:hAnsi="Times New Roman" w:cs="Times New Roman"/>
                <w:color w:val="auto"/>
              </w:rPr>
            </w:pPr>
            <w:r>
              <w:rPr>
                <w:rFonts w:hint="default" w:ascii="Times New Roman" w:hAnsi="Times New Roman" w:cs="Times New Roman"/>
                <w:color w:val="auto"/>
              </w:rPr>
              <w:t>超标率</w:t>
            </w:r>
          </w:p>
        </w:tc>
        <w:tc>
          <w:tcPr>
            <w:tcW w:w="481" w:type="pct"/>
            <w:vMerge w:val="restart"/>
            <w:tcBorders>
              <w:tl2br w:val="nil"/>
              <w:tr2bl w:val="nil"/>
            </w:tcBorders>
            <w:noWrap w:val="0"/>
            <w:vAlign w:val="center"/>
          </w:tcPr>
          <w:p w14:paraId="51EBC37E">
            <w:pPr>
              <w:pStyle w:val="44"/>
              <w:bidi w:val="0"/>
              <w:rPr>
                <w:rFonts w:hint="default" w:ascii="Times New Roman" w:hAnsi="Times New Roman" w:cs="Times New Roman"/>
                <w:color w:val="auto"/>
              </w:rPr>
            </w:pPr>
            <w:r>
              <w:rPr>
                <w:rFonts w:hint="default" w:ascii="Times New Roman" w:hAnsi="Times New Roman" w:cs="Times New Roman"/>
                <w:color w:val="auto"/>
              </w:rPr>
              <w:t>达标</w:t>
            </w:r>
          </w:p>
          <w:p w14:paraId="3CF5F8B3">
            <w:pPr>
              <w:pStyle w:val="44"/>
              <w:bidi w:val="0"/>
              <w:rPr>
                <w:rFonts w:hint="default" w:ascii="Times New Roman" w:hAnsi="Times New Roman" w:cs="Times New Roman"/>
                <w:color w:val="auto"/>
              </w:rPr>
            </w:pPr>
            <w:r>
              <w:rPr>
                <w:rFonts w:hint="default" w:ascii="Times New Roman" w:hAnsi="Times New Roman" w:cs="Times New Roman"/>
                <w:color w:val="auto"/>
              </w:rPr>
              <w:t>情况</w:t>
            </w:r>
          </w:p>
        </w:tc>
      </w:tr>
      <w:tr w14:paraId="121DA2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31" w:hRule="atLeast"/>
          <w:jc w:val="center"/>
        </w:trPr>
        <w:tc>
          <w:tcPr>
            <w:tcW w:w="660" w:type="pct"/>
            <w:vMerge w:val="continue"/>
            <w:tcBorders>
              <w:tl2br w:val="nil"/>
              <w:tr2bl w:val="nil"/>
            </w:tcBorders>
            <w:noWrap w:val="0"/>
            <w:vAlign w:val="center"/>
          </w:tcPr>
          <w:p w14:paraId="44CD413D">
            <w:pPr>
              <w:pStyle w:val="44"/>
              <w:bidi w:val="0"/>
              <w:rPr>
                <w:rFonts w:hint="default" w:ascii="Times New Roman" w:hAnsi="Times New Roman" w:cs="Times New Roman"/>
                <w:color w:val="auto"/>
              </w:rPr>
            </w:pPr>
          </w:p>
        </w:tc>
        <w:tc>
          <w:tcPr>
            <w:tcW w:w="567" w:type="pct"/>
            <w:tcBorders>
              <w:tl2br w:val="nil"/>
              <w:tr2bl w:val="nil"/>
            </w:tcBorders>
            <w:noWrap w:val="0"/>
            <w:vAlign w:val="center"/>
          </w:tcPr>
          <w:p w14:paraId="45A84556">
            <w:pPr>
              <w:pStyle w:val="44"/>
              <w:bidi w:val="0"/>
              <w:rPr>
                <w:rFonts w:hint="default" w:ascii="Times New Roman" w:hAnsi="Times New Roman" w:cs="Times New Roman"/>
                <w:color w:val="auto"/>
              </w:rPr>
            </w:pPr>
            <w:r>
              <w:rPr>
                <w:rFonts w:hint="default" w:ascii="Times New Roman" w:hAnsi="Times New Roman" w:cs="Times New Roman"/>
                <w:color w:val="auto"/>
              </w:rPr>
              <w:t>0-0.5m</w:t>
            </w:r>
          </w:p>
        </w:tc>
        <w:tc>
          <w:tcPr>
            <w:tcW w:w="648" w:type="pct"/>
            <w:tcBorders>
              <w:tl2br w:val="nil"/>
              <w:tr2bl w:val="nil"/>
            </w:tcBorders>
            <w:noWrap w:val="0"/>
            <w:vAlign w:val="center"/>
          </w:tcPr>
          <w:p w14:paraId="0AC50AEC">
            <w:pPr>
              <w:pStyle w:val="44"/>
              <w:bidi w:val="0"/>
              <w:rPr>
                <w:rFonts w:hint="default" w:ascii="Times New Roman" w:hAnsi="Times New Roman" w:cs="Times New Roman"/>
                <w:color w:val="auto"/>
              </w:rPr>
            </w:pPr>
            <w:r>
              <w:rPr>
                <w:rFonts w:hint="default" w:ascii="Times New Roman" w:hAnsi="Times New Roman" w:cs="Times New Roman"/>
                <w:color w:val="auto"/>
              </w:rPr>
              <w:t>0.5-1.5m</w:t>
            </w:r>
          </w:p>
        </w:tc>
        <w:tc>
          <w:tcPr>
            <w:tcW w:w="643" w:type="pct"/>
            <w:tcBorders>
              <w:tl2br w:val="nil"/>
              <w:tr2bl w:val="nil"/>
            </w:tcBorders>
            <w:noWrap w:val="0"/>
            <w:vAlign w:val="center"/>
          </w:tcPr>
          <w:p w14:paraId="799C9A23">
            <w:pPr>
              <w:pStyle w:val="44"/>
              <w:bidi w:val="0"/>
              <w:rPr>
                <w:rFonts w:hint="default" w:ascii="Times New Roman" w:hAnsi="Times New Roman" w:cs="Times New Roman"/>
                <w:color w:val="auto"/>
              </w:rPr>
            </w:pPr>
            <w:r>
              <w:rPr>
                <w:rFonts w:hint="default" w:ascii="Times New Roman" w:hAnsi="Times New Roman" w:cs="Times New Roman"/>
                <w:color w:val="auto"/>
              </w:rPr>
              <w:t>1.5-3.0m</w:t>
            </w:r>
          </w:p>
        </w:tc>
        <w:tc>
          <w:tcPr>
            <w:tcW w:w="755" w:type="pct"/>
            <w:vMerge w:val="continue"/>
            <w:tcBorders>
              <w:tl2br w:val="nil"/>
              <w:tr2bl w:val="nil"/>
            </w:tcBorders>
            <w:noWrap w:val="0"/>
            <w:vAlign w:val="center"/>
          </w:tcPr>
          <w:p w14:paraId="2E01F1DF">
            <w:pPr>
              <w:pStyle w:val="44"/>
              <w:bidi w:val="0"/>
              <w:rPr>
                <w:rFonts w:hint="default" w:ascii="Times New Roman" w:hAnsi="Times New Roman" w:cs="Times New Roman"/>
                <w:color w:val="auto"/>
              </w:rPr>
            </w:pPr>
          </w:p>
        </w:tc>
        <w:tc>
          <w:tcPr>
            <w:tcW w:w="723" w:type="pct"/>
            <w:vMerge w:val="continue"/>
            <w:tcBorders>
              <w:tl2br w:val="nil"/>
              <w:tr2bl w:val="nil"/>
            </w:tcBorders>
            <w:noWrap w:val="0"/>
            <w:vAlign w:val="center"/>
          </w:tcPr>
          <w:p w14:paraId="24C76014">
            <w:pPr>
              <w:pStyle w:val="44"/>
              <w:bidi w:val="0"/>
              <w:rPr>
                <w:rFonts w:hint="default" w:ascii="Times New Roman" w:hAnsi="Times New Roman" w:cs="Times New Roman"/>
                <w:color w:val="auto"/>
              </w:rPr>
            </w:pPr>
          </w:p>
        </w:tc>
        <w:tc>
          <w:tcPr>
            <w:tcW w:w="520" w:type="pct"/>
            <w:vMerge w:val="continue"/>
            <w:tcBorders>
              <w:tl2br w:val="nil"/>
              <w:tr2bl w:val="nil"/>
            </w:tcBorders>
            <w:noWrap w:val="0"/>
            <w:vAlign w:val="center"/>
          </w:tcPr>
          <w:p w14:paraId="1C34F9D2">
            <w:pPr>
              <w:pStyle w:val="44"/>
              <w:bidi w:val="0"/>
              <w:rPr>
                <w:rFonts w:hint="default" w:ascii="Times New Roman" w:hAnsi="Times New Roman" w:cs="Times New Roman"/>
                <w:color w:val="auto"/>
              </w:rPr>
            </w:pPr>
          </w:p>
        </w:tc>
        <w:tc>
          <w:tcPr>
            <w:tcW w:w="481" w:type="pct"/>
            <w:vMerge w:val="continue"/>
            <w:tcBorders>
              <w:tl2br w:val="nil"/>
              <w:tr2bl w:val="nil"/>
            </w:tcBorders>
            <w:noWrap w:val="0"/>
            <w:vAlign w:val="center"/>
          </w:tcPr>
          <w:p w14:paraId="71E5775D">
            <w:pPr>
              <w:pStyle w:val="44"/>
              <w:bidi w:val="0"/>
              <w:rPr>
                <w:rFonts w:hint="default" w:ascii="Times New Roman" w:hAnsi="Times New Roman" w:cs="Times New Roman"/>
                <w:color w:val="auto"/>
              </w:rPr>
            </w:pPr>
          </w:p>
        </w:tc>
      </w:tr>
      <w:tr w14:paraId="6715F5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02" w:hRule="exact"/>
          <w:jc w:val="center"/>
        </w:trPr>
        <w:tc>
          <w:tcPr>
            <w:tcW w:w="660" w:type="pct"/>
            <w:tcBorders>
              <w:tl2br w:val="nil"/>
              <w:tr2bl w:val="nil"/>
            </w:tcBorders>
            <w:noWrap w:val="0"/>
            <w:vAlign w:val="center"/>
          </w:tcPr>
          <w:p w14:paraId="1CFA0DE4">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pH</w:t>
            </w:r>
          </w:p>
        </w:tc>
        <w:tc>
          <w:tcPr>
            <w:tcW w:w="567" w:type="pct"/>
            <w:tcBorders>
              <w:tl2br w:val="nil"/>
              <w:tr2bl w:val="nil"/>
            </w:tcBorders>
            <w:noWrap w:val="0"/>
            <w:vAlign w:val="center"/>
          </w:tcPr>
          <w:p w14:paraId="3A63EB33">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6.</w:t>
            </w:r>
            <w:r>
              <w:rPr>
                <w:rFonts w:hint="default" w:ascii="Times New Roman" w:hAnsi="Times New Roman" w:cs="Times New Roman"/>
                <w:color w:val="auto"/>
                <w:lang w:val="en-US" w:eastAsia="zh-CN"/>
              </w:rPr>
              <w:t>81</w:t>
            </w:r>
          </w:p>
        </w:tc>
        <w:tc>
          <w:tcPr>
            <w:tcW w:w="648" w:type="pct"/>
            <w:tcBorders>
              <w:tl2br w:val="nil"/>
              <w:tr2bl w:val="nil"/>
            </w:tcBorders>
            <w:noWrap w:val="0"/>
            <w:vAlign w:val="center"/>
          </w:tcPr>
          <w:p w14:paraId="2CAE4640">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7.43</w:t>
            </w:r>
          </w:p>
        </w:tc>
        <w:tc>
          <w:tcPr>
            <w:tcW w:w="643" w:type="pct"/>
            <w:tcBorders>
              <w:tl2br w:val="nil"/>
              <w:tr2bl w:val="nil"/>
            </w:tcBorders>
            <w:noWrap w:val="0"/>
            <w:vAlign w:val="center"/>
          </w:tcPr>
          <w:p w14:paraId="3001CB5C">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7.02</w:t>
            </w:r>
          </w:p>
        </w:tc>
        <w:tc>
          <w:tcPr>
            <w:tcW w:w="755" w:type="pct"/>
            <w:tcBorders>
              <w:tl2br w:val="nil"/>
              <w:tr2bl w:val="nil"/>
            </w:tcBorders>
            <w:noWrap w:val="0"/>
            <w:vAlign w:val="center"/>
          </w:tcPr>
          <w:p w14:paraId="6C0AD03D">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无量纲</w:t>
            </w:r>
          </w:p>
        </w:tc>
        <w:tc>
          <w:tcPr>
            <w:tcW w:w="723" w:type="pct"/>
            <w:tcBorders>
              <w:tl2br w:val="nil"/>
              <w:tr2bl w:val="nil"/>
            </w:tcBorders>
            <w:noWrap w:val="0"/>
            <w:vAlign w:val="center"/>
          </w:tcPr>
          <w:p w14:paraId="55766BB3">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520" w:type="pct"/>
            <w:tcBorders>
              <w:tl2br w:val="nil"/>
              <w:tr2bl w:val="nil"/>
            </w:tcBorders>
            <w:noWrap w:val="0"/>
            <w:vAlign w:val="center"/>
          </w:tcPr>
          <w:p w14:paraId="4D8FD83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481" w:type="pct"/>
            <w:tcBorders>
              <w:tl2br w:val="nil"/>
              <w:tr2bl w:val="nil"/>
            </w:tcBorders>
            <w:noWrap w:val="0"/>
            <w:vAlign w:val="center"/>
          </w:tcPr>
          <w:p w14:paraId="09FE777E">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r>
      <w:tr w14:paraId="13EDAD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660" w:type="pct"/>
            <w:tcBorders>
              <w:tl2br w:val="nil"/>
              <w:tr2bl w:val="nil"/>
            </w:tcBorders>
            <w:noWrap w:val="0"/>
            <w:vAlign w:val="center"/>
          </w:tcPr>
          <w:p w14:paraId="6FD30190">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汞</w:t>
            </w:r>
          </w:p>
        </w:tc>
        <w:tc>
          <w:tcPr>
            <w:tcW w:w="567" w:type="pct"/>
            <w:tcBorders>
              <w:tl2br w:val="nil"/>
              <w:tr2bl w:val="nil"/>
            </w:tcBorders>
            <w:noWrap w:val="0"/>
            <w:vAlign w:val="center"/>
          </w:tcPr>
          <w:p w14:paraId="3342A895">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0.</w:t>
            </w:r>
            <w:r>
              <w:rPr>
                <w:rFonts w:hint="default" w:ascii="Times New Roman" w:hAnsi="Times New Roman" w:cs="Times New Roman"/>
                <w:color w:val="auto"/>
                <w:lang w:val="en-US" w:eastAsia="zh-CN"/>
              </w:rPr>
              <w:t>029</w:t>
            </w:r>
          </w:p>
        </w:tc>
        <w:tc>
          <w:tcPr>
            <w:tcW w:w="648" w:type="pct"/>
            <w:tcBorders>
              <w:tl2br w:val="nil"/>
              <w:tr2bl w:val="nil"/>
            </w:tcBorders>
            <w:noWrap w:val="0"/>
            <w:vAlign w:val="center"/>
          </w:tcPr>
          <w:p w14:paraId="63A0AB10">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0.</w:t>
            </w:r>
            <w:r>
              <w:rPr>
                <w:rFonts w:hint="default" w:ascii="Times New Roman" w:hAnsi="Times New Roman" w:cs="Times New Roman"/>
                <w:color w:val="auto"/>
                <w:lang w:val="en-US" w:eastAsia="zh-CN"/>
              </w:rPr>
              <w:t>042</w:t>
            </w:r>
          </w:p>
        </w:tc>
        <w:tc>
          <w:tcPr>
            <w:tcW w:w="643" w:type="pct"/>
            <w:tcBorders>
              <w:tl2br w:val="nil"/>
              <w:tr2bl w:val="nil"/>
            </w:tcBorders>
            <w:noWrap w:val="0"/>
            <w:vAlign w:val="center"/>
          </w:tcPr>
          <w:p w14:paraId="3B7892CB">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0.</w:t>
            </w:r>
            <w:r>
              <w:rPr>
                <w:rFonts w:hint="default" w:ascii="Times New Roman" w:hAnsi="Times New Roman" w:cs="Times New Roman"/>
                <w:color w:val="auto"/>
                <w:lang w:val="en-US" w:eastAsia="zh-CN"/>
              </w:rPr>
              <w:t>034</w:t>
            </w:r>
          </w:p>
        </w:tc>
        <w:tc>
          <w:tcPr>
            <w:tcW w:w="755" w:type="pct"/>
            <w:tcBorders>
              <w:tl2br w:val="nil"/>
              <w:tr2bl w:val="nil"/>
            </w:tcBorders>
            <w:noWrap w:val="0"/>
            <w:vAlign w:val="center"/>
          </w:tcPr>
          <w:p w14:paraId="42074B54">
            <w:pPr>
              <w:pStyle w:val="44"/>
              <w:bidi w:val="0"/>
              <w:rPr>
                <w:rFonts w:hint="default" w:ascii="Times New Roman" w:hAnsi="Times New Roman" w:cs="Times New Roman"/>
                <w:color w:val="auto"/>
              </w:rPr>
            </w:pPr>
            <w:r>
              <w:rPr>
                <w:rFonts w:hint="default" w:ascii="Times New Roman" w:hAnsi="Times New Roman" w:cs="Times New Roman"/>
                <w:color w:val="auto"/>
              </w:rPr>
              <w:t>mg/kg</w:t>
            </w:r>
          </w:p>
        </w:tc>
        <w:tc>
          <w:tcPr>
            <w:tcW w:w="723" w:type="pct"/>
            <w:tcBorders>
              <w:tl2br w:val="nil"/>
              <w:tr2bl w:val="nil"/>
            </w:tcBorders>
            <w:noWrap w:val="0"/>
            <w:vAlign w:val="center"/>
          </w:tcPr>
          <w:p w14:paraId="79F1F176">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38</w:t>
            </w:r>
          </w:p>
        </w:tc>
        <w:tc>
          <w:tcPr>
            <w:tcW w:w="520" w:type="pct"/>
            <w:tcBorders>
              <w:tl2br w:val="nil"/>
              <w:tr2bl w:val="nil"/>
            </w:tcBorders>
            <w:noWrap w:val="0"/>
            <w:vAlign w:val="center"/>
          </w:tcPr>
          <w:p w14:paraId="77AFAA56">
            <w:pPr>
              <w:pStyle w:val="44"/>
              <w:bidi w:val="0"/>
              <w:rPr>
                <w:rFonts w:hint="default" w:ascii="Times New Roman" w:hAnsi="Times New Roman" w:cs="Times New Roman"/>
                <w:color w:val="auto"/>
              </w:rPr>
            </w:pPr>
            <w:r>
              <w:rPr>
                <w:rFonts w:hint="default" w:ascii="Times New Roman" w:hAnsi="Times New Roman" w:cs="Times New Roman"/>
                <w:color w:val="auto"/>
              </w:rPr>
              <w:t>0</w:t>
            </w:r>
          </w:p>
        </w:tc>
        <w:tc>
          <w:tcPr>
            <w:tcW w:w="481" w:type="pct"/>
            <w:tcBorders>
              <w:tl2br w:val="nil"/>
              <w:tr2bl w:val="nil"/>
            </w:tcBorders>
            <w:noWrap w:val="0"/>
            <w:vAlign w:val="center"/>
          </w:tcPr>
          <w:p w14:paraId="1BF19393">
            <w:pPr>
              <w:pStyle w:val="44"/>
              <w:bidi w:val="0"/>
              <w:rPr>
                <w:rFonts w:hint="default" w:ascii="Times New Roman" w:hAnsi="Times New Roman" w:cs="Times New Roman"/>
                <w:color w:val="auto"/>
              </w:rPr>
            </w:pPr>
            <w:r>
              <w:rPr>
                <w:rFonts w:hint="default" w:ascii="Times New Roman" w:hAnsi="Times New Roman" w:cs="Times New Roman"/>
                <w:color w:val="auto"/>
              </w:rPr>
              <w:t>达标</w:t>
            </w:r>
          </w:p>
        </w:tc>
      </w:tr>
      <w:tr w14:paraId="31C1FA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660" w:type="pct"/>
            <w:tcBorders>
              <w:tl2br w:val="nil"/>
              <w:tr2bl w:val="nil"/>
            </w:tcBorders>
            <w:noWrap w:val="0"/>
            <w:vAlign w:val="center"/>
          </w:tcPr>
          <w:p w14:paraId="6D699C23">
            <w:pPr>
              <w:pStyle w:val="44"/>
              <w:bidi w:val="0"/>
              <w:rPr>
                <w:rFonts w:hint="default" w:ascii="Times New Roman" w:hAnsi="Times New Roman" w:cs="Times New Roman"/>
                <w:color w:val="auto"/>
              </w:rPr>
            </w:pPr>
            <w:r>
              <w:rPr>
                <w:rFonts w:hint="default" w:ascii="Times New Roman" w:hAnsi="Times New Roman" w:cs="Times New Roman"/>
                <w:color w:val="auto"/>
              </w:rPr>
              <w:t>砷</w:t>
            </w:r>
          </w:p>
        </w:tc>
        <w:tc>
          <w:tcPr>
            <w:tcW w:w="567" w:type="pct"/>
            <w:tcBorders>
              <w:tl2br w:val="nil"/>
              <w:tr2bl w:val="nil"/>
            </w:tcBorders>
            <w:noWrap w:val="0"/>
            <w:vAlign w:val="center"/>
          </w:tcPr>
          <w:p w14:paraId="3B845203">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9.60</w:t>
            </w:r>
          </w:p>
        </w:tc>
        <w:tc>
          <w:tcPr>
            <w:tcW w:w="648" w:type="pct"/>
            <w:tcBorders>
              <w:tl2br w:val="nil"/>
              <w:tr2bl w:val="nil"/>
            </w:tcBorders>
            <w:noWrap w:val="0"/>
            <w:vAlign w:val="center"/>
          </w:tcPr>
          <w:p w14:paraId="012FE7D5">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9.05</w:t>
            </w:r>
          </w:p>
        </w:tc>
        <w:tc>
          <w:tcPr>
            <w:tcW w:w="643" w:type="pct"/>
            <w:tcBorders>
              <w:tl2br w:val="nil"/>
              <w:tr2bl w:val="nil"/>
            </w:tcBorders>
            <w:noWrap w:val="0"/>
            <w:vAlign w:val="center"/>
          </w:tcPr>
          <w:p w14:paraId="4A1AACCA">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8.89</w:t>
            </w:r>
          </w:p>
        </w:tc>
        <w:tc>
          <w:tcPr>
            <w:tcW w:w="755" w:type="pct"/>
            <w:tcBorders>
              <w:tl2br w:val="nil"/>
              <w:tr2bl w:val="nil"/>
            </w:tcBorders>
            <w:noWrap w:val="0"/>
            <w:vAlign w:val="center"/>
          </w:tcPr>
          <w:p w14:paraId="42146A14">
            <w:pPr>
              <w:pStyle w:val="44"/>
              <w:bidi w:val="0"/>
              <w:rPr>
                <w:rFonts w:hint="default" w:ascii="Times New Roman" w:hAnsi="Times New Roman" w:cs="Times New Roman"/>
                <w:color w:val="auto"/>
              </w:rPr>
            </w:pPr>
            <w:r>
              <w:rPr>
                <w:rFonts w:hint="default" w:ascii="Times New Roman" w:hAnsi="Times New Roman" w:cs="Times New Roman"/>
                <w:color w:val="auto"/>
              </w:rPr>
              <w:t>mg/kg</w:t>
            </w:r>
          </w:p>
        </w:tc>
        <w:tc>
          <w:tcPr>
            <w:tcW w:w="723" w:type="pct"/>
            <w:tcBorders>
              <w:tl2br w:val="nil"/>
              <w:tr2bl w:val="nil"/>
            </w:tcBorders>
            <w:noWrap w:val="0"/>
            <w:vAlign w:val="center"/>
          </w:tcPr>
          <w:p w14:paraId="65E2D4AC">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60</w:t>
            </w:r>
          </w:p>
        </w:tc>
        <w:tc>
          <w:tcPr>
            <w:tcW w:w="520" w:type="pct"/>
            <w:tcBorders>
              <w:tl2br w:val="nil"/>
              <w:tr2bl w:val="nil"/>
            </w:tcBorders>
            <w:noWrap w:val="0"/>
            <w:vAlign w:val="center"/>
          </w:tcPr>
          <w:p w14:paraId="3AF4C33E">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w:t>
            </w:r>
          </w:p>
        </w:tc>
        <w:tc>
          <w:tcPr>
            <w:tcW w:w="481" w:type="pct"/>
            <w:tcBorders>
              <w:tl2br w:val="nil"/>
              <w:tr2bl w:val="nil"/>
            </w:tcBorders>
            <w:noWrap w:val="0"/>
            <w:vAlign w:val="center"/>
          </w:tcPr>
          <w:p w14:paraId="7F6DFA70">
            <w:pPr>
              <w:pStyle w:val="44"/>
              <w:bidi w:val="0"/>
              <w:rPr>
                <w:rFonts w:hint="default" w:ascii="Times New Roman" w:hAnsi="Times New Roman" w:cs="Times New Roman"/>
                <w:color w:val="auto"/>
              </w:rPr>
            </w:pPr>
            <w:r>
              <w:rPr>
                <w:rFonts w:hint="default" w:ascii="Times New Roman" w:hAnsi="Times New Roman" w:cs="Times New Roman"/>
                <w:color w:val="auto"/>
              </w:rPr>
              <w:t>达标</w:t>
            </w:r>
          </w:p>
        </w:tc>
      </w:tr>
      <w:tr w14:paraId="19403E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660" w:type="pct"/>
            <w:tcBorders>
              <w:tl2br w:val="nil"/>
              <w:tr2bl w:val="nil"/>
            </w:tcBorders>
            <w:noWrap w:val="0"/>
            <w:vAlign w:val="center"/>
          </w:tcPr>
          <w:p w14:paraId="1232B4EA">
            <w:pPr>
              <w:pStyle w:val="44"/>
              <w:bidi w:val="0"/>
              <w:rPr>
                <w:rFonts w:hint="default" w:ascii="Times New Roman" w:hAnsi="Times New Roman" w:cs="Times New Roman"/>
                <w:color w:val="auto"/>
              </w:rPr>
            </w:pPr>
            <w:r>
              <w:rPr>
                <w:rFonts w:hint="default" w:ascii="Times New Roman" w:hAnsi="Times New Roman" w:cs="Times New Roman"/>
                <w:color w:val="auto"/>
              </w:rPr>
              <w:t>铜</w:t>
            </w:r>
          </w:p>
        </w:tc>
        <w:tc>
          <w:tcPr>
            <w:tcW w:w="567" w:type="pct"/>
            <w:tcBorders>
              <w:tl2br w:val="nil"/>
              <w:tr2bl w:val="nil"/>
            </w:tcBorders>
            <w:noWrap w:val="0"/>
            <w:vAlign w:val="center"/>
          </w:tcPr>
          <w:p w14:paraId="68D5A6C8">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34</w:t>
            </w:r>
          </w:p>
        </w:tc>
        <w:tc>
          <w:tcPr>
            <w:tcW w:w="648" w:type="pct"/>
            <w:tcBorders>
              <w:tl2br w:val="nil"/>
              <w:tr2bl w:val="nil"/>
            </w:tcBorders>
            <w:noWrap w:val="0"/>
            <w:vAlign w:val="center"/>
          </w:tcPr>
          <w:p w14:paraId="18E1C79A">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33</w:t>
            </w:r>
          </w:p>
        </w:tc>
        <w:tc>
          <w:tcPr>
            <w:tcW w:w="643" w:type="pct"/>
            <w:tcBorders>
              <w:tl2br w:val="nil"/>
              <w:tr2bl w:val="nil"/>
            </w:tcBorders>
            <w:noWrap w:val="0"/>
            <w:vAlign w:val="center"/>
          </w:tcPr>
          <w:p w14:paraId="440A5410">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32</w:t>
            </w:r>
          </w:p>
        </w:tc>
        <w:tc>
          <w:tcPr>
            <w:tcW w:w="755" w:type="pct"/>
            <w:tcBorders>
              <w:tl2br w:val="nil"/>
              <w:tr2bl w:val="nil"/>
            </w:tcBorders>
            <w:noWrap w:val="0"/>
            <w:vAlign w:val="center"/>
          </w:tcPr>
          <w:p w14:paraId="719D4698">
            <w:pPr>
              <w:pStyle w:val="44"/>
              <w:bidi w:val="0"/>
              <w:rPr>
                <w:rFonts w:hint="default" w:ascii="Times New Roman" w:hAnsi="Times New Roman" w:cs="Times New Roman"/>
                <w:color w:val="auto"/>
              </w:rPr>
            </w:pPr>
            <w:r>
              <w:rPr>
                <w:rFonts w:hint="default" w:ascii="Times New Roman" w:hAnsi="Times New Roman" w:cs="Times New Roman"/>
                <w:color w:val="auto"/>
              </w:rPr>
              <w:t>mg/kg</w:t>
            </w:r>
          </w:p>
        </w:tc>
        <w:tc>
          <w:tcPr>
            <w:tcW w:w="723" w:type="pct"/>
            <w:tcBorders>
              <w:tl2br w:val="nil"/>
              <w:tr2bl w:val="nil"/>
            </w:tcBorders>
            <w:noWrap w:val="0"/>
            <w:vAlign w:val="center"/>
          </w:tcPr>
          <w:p w14:paraId="2002CAF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18000</w:t>
            </w:r>
          </w:p>
        </w:tc>
        <w:tc>
          <w:tcPr>
            <w:tcW w:w="520" w:type="pct"/>
            <w:tcBorders>
              <w:tl2br w:val="nil"/>
              <w:tr2bl w:val="nil"/>
            </w:tcBorders>
            <w:noWrap w:val="0"/>
            <w:vAlign w:val="center"/>
          </w:tcPr>
          <w:p w14:paraId="12FF12A0">
            <w:pPr>
              <w:pStyle w:val="44"/>
              <w:bidi w:val="0"/>
              <w:rPr>
                <w:rFonts w:hint="default" w:ascii="Times New Roman" w:hAnsi="Times New Roman" w:cs="Times New Roman"/>
                <w:color w:val="auto"/>
              </w:rPr>
            </w:pPr>
            <w:r>
              <w:rPr>
                <w:rFonts w:hint="default" w:ascii="Times New Roman" w:hAnsi="Times New Roman" w:cs="Times New Roman"/>
                <w:color w:val="auto"/>
              </w:rPr>
              <w:t>0</w:t>
            </w:r>
          </w:p>
        </w:tc>
        <w:tc>
          <w:tcPr>
            <w:tcW w:w="481" w:type="pct"/>
            <w:tcBorders>
              <w:tl2br w:val="nil"/>
              <w:tr2bl w:val="nil"/>
            </w:tcBorders>
            <w:noWrap w:val="0"/>
            <w:vAlign w:val="center"/>
          </w:tcPr>
          <w:p w14:paraId="17AEC5D0">
            <w:pPr>
              <w:pStyle w:val="44"/>
              <w:bidi w:val="0"/>
              <w:rPr>
                <w:rFonts w:hint="default" w:ascii="Times New Roman" w:hAnsi="Times New Roman" w:cs="Times New Roman"/>
                <w:color w:val="auto"/>
              </w:rPr>
            </w:pPr>
            <w:r>
              <w:rPr>
                <w:rFonts w:hint="default" w:ascii="Times New Roman" w:hAnsi="Times New Roman" w:cs="Times New Roman"/>
                <w:color w:val="auto"/>
              </w:rPr>
              <w:t>达标</w:t>
            </w:r>
          </w:p>
        </w:tc>
      </w:tr>
      <w:tr w14:paraId="4D1C0D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660" w:type="pct"/>
            <w:tcBorders>
              <w:tl2br w:val="nil"/>
              <w:tr2bl w:val="nil"/>
            </w:tcBorders>
            <w:noWrap w:val="0"/>
            <w:vAlign w:val="center"/>
          </w:tcPr>
          <w:p w14:paraId="469C0D1D">
            <w:pPr>
              <w:pStyle w:val="44"/>
              <w:bidi w:val="0"/>
              <w:rPr>
                <w:rFonts w:hint="default" w:ascii="Times New Roman" w:hAnsi="Times New Roman" w:cs="Times New Roman"/>
                <w:color w:val="auto"/>
              </w:rPr>
            </w:pPr>
            <w:r>
              <w:rPr>
                <w:rFonts w:hint="default" w:ascii="Times New Roman" w:hAnsi="Times New Roman" w:cs="Times New Roman"/>
                <w:color w:val="auto"/>
              </w:rPr>
              <w:t>镍</w:t>
            </w:r>
          </w:p>
        </w:tc>
        <w:tc>
          <w:tcPr>
            <w:tcW w:w="567" w:type="pct"/>
            <w:tcBorders>
              <w:tl2br w:val="nil"/>
              <w:tr2bl w:val="nil"/>
            </w:tcBorders>
            <w:noWrap w:val="0"/>
            <w:vAlign w:val="center"/>
          </w:tcPr>
          <w:p w14:paraId="15F344F2">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54</w:t>
            </w:r>
          </w:p>
        </w:tc>
        <w:tc>
          <w:tcPr>
            <w:tcW w:w="648" w:type="pct"/>
            <w:tcBorders>
              <w:tl2br w:val="nil"/>
              <w:tr2bl w:val="nil"/>
            </w:tcBorders>
            <w:noWrap w:val="0"/>
            <w:vAlign w:val="center"/>
          </w:tcPr>
          <w:p w14:paraId="33D26BF7">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50</w:t>
            </w:r>
          </w:p>
        </w:tc>
        <w:tc>
          <w:tcPr>
            <w:tcW w:w="643" w:type="pct"/>
            <w:tcBorders>
              <w:tl2br w:val="nil"/>
              <w:tr2bl w:val="nil"/>
            </w:tcBorders>
            <w:noWrap w:val="0"/>
            <w:vAlign w:val="center"/>
          </w:tcPr>
          <w:p w14:paraId="0790C7C6">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53</w:t>
            </w:r>
          </w:p>
        </w:tc>
        <w:tc>
          <w:tcPr>
            <w:tcW w:w="755" w:type="pct"/>
            <w:tcBorders>
              <w:tl2br w:val="nil"/>
              <w:tr2bl w:val="nil"/>
            </w:tcBorders>
            <w:noWrap w:val="0"/>
            <w:vAlign w:val="center"/>
          </w:tcPr>
          <w:p w14:paraId="70DD6D16">
            <w:pPr>
              <w:pStyle w:val="44"/>
              <w:bidi w:val="0"/>
              <w:rPr>
                <w:rFonts w:hint="default" w:ascii="Times New Roman" w:hAnsi="Times New Roman" w:cs="Times New Roman"/>
                <w:color w:val="auto"/>
              </w:rPr>
            </w:pPr>
            <w:r>
              <w:rPr>
                <w:rFonts w:hint="default" w:ascii="Times New Roman" w:hAnsi="Times New Roman" w:cs="Times New Roman"/>
                <w:color w:val="auto"/>
              </w:rPr>
              <w:t>mg/kg</w:t>
            </w:r>
          </w:p>
        </w:tc>
        <w:tc>
          <w:tcPr>
            <w:tcW w:w="723" w:type="pct"/>
            <w:tcBorders>
              <w:tl2br w:val="nil"/>
              <w:tr2bl w:val="nil"/>
            </w:tcBorders>
            <w:noWrap w:val="0"/>
            <w:vAlign w:val="center"/>
          </w:tcPr>
          <w:p w14:paraId="246867EC">
            <w:pPr>
              <w:pStyle w:val="44"/>
              <w:bidi w:val="0"/>
              <w:rPr>
                <w:rFonts w:hint="default" w:ascii="Times New Roman" w:hAnsi="Times New Roman" w:cs="Times New Roman"/>
                <w:color w:val="auto"/>
                <w:lang w:val="en-US"/>
              </w:rPr>
            </w:pPr>
            <w:r>
              <w:rPr>
                <w:rFonts w:hint="default" w:ascii="Times New Roman" w:hAnsi="Times New Roman" w:cs="Times New Roman"/>
                <w:color w:val="auto"/>
                <w:lang w:val="en-US" w:eastAsia="zh-CN"/>
              </w:rPr>
              <w:t>900</w:t>
            </w:r>
          </w:p>
        </w:tc>
        <w:tc>
          <w:tcPr>
            <w:tcW w:w="520" w:type="pct"/>
            <w:tcBorders>
              <w:tl2br w:val="nil"/>
              <w:tr2bl w:val="nil"/>
            </w:tcBorders>
            <w:noWrap w:val="0"/>
            <w:vAlign w:val="center"/>
          </w:tcPr>
          <w:p w14:paraId="13B24694">
            <w:pPr>
              <w:pStyle w:val="44"/>
              <w:bidi w:val="0"/>
              <w:rPr>
                <w:rFonts w:hint="default" w:ascii="Times New Roman" w:hAnsi="Times New Roman" w:cs="Times New Roman"/>
                <w:color w:val="auto"/>
              </w:rPr>
            </w:pPr>
            <w:r>
              <w:rPr>
                <w:rFonts w:hint="default" w:ascii="Times New Roman" w:hAnsi="Times New Roman" w:cs="Times New Roman"/>
                <w:color w:val="auto"/>
              </w:rPr>
              <w:t>0</w:t>
            </w:r>
          </w:p>
        </w:tc>
        <w:tc>
          <w:tcPr>
            <w:tcW w:w="481" w:type="pct"/>
            <w:tcBorders>
              <w:tl2br w:val="nil"/>
              <w:tr2bl w:val="nil"/>
            </w:tcBorders>
            <w:noWrap w:val="0"/>
            <w:vAlign w:val="center"/>
          </w:tcPr>
          <w:p w14:paraId="0F5DB214">
            <w:pPr>
              <w:pStyle w:val="44"/>
              <w:bidi w:val="0"/>
              <w:rPr>
                <w:rFonts w:hint="default" w:ascii="Times New Roman" w:hAnsi="Times New Roman" w:cs="Times New Roman"/>
                <w:color w:val="auto"/>
              </w:rPr>
            </w:pPr>
            <w:r>
              <w:rPr>
                <w:rFonts w:hint="default" w:ascii="Times New Roman" w:hAnsi="Times New Roman" w:cs="Times New Roman"/>
                <w:color w:val="auto"/>
              </w:rPr>
              <w:t>达标</w:t>
            </w:r>
          </w:p>
        </w:tc>
      </w:tr>
      <w:tr w14:paraId="5B55B3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660" w:type="pct"/>
            <w:tcBorders>
              <w:tl2br w:val="nil"/>
              <w:tr2bl w:val="nil"/>
            </w:tcBorders>
            <w:noWrap w:val="0"/>
            <w:vAlign w:val="center"/>
          </w:tcPr>
          <w:p w14:paraId="33672C3E">
            <w:pPr>
              <w:pStyle w:val="44"/>
              <w:bidi w:val="0"/>
              <w:rPr>
                <w:rFonts w:hint="default" w:ascii="Times New Roman" w:hAnsi="Times New Roman" w:cs="Times New Roman"/>
                <w:color w:val="auto"/>
              </w:rPr>
            </w:pPr>
            <w:r>
              <w:rPr>
                <w:rFonts w:hint="default" w:ascii="Times New Roman" w:hAnsi="Times New Roman" w:cs="Times New Roman"/>
                <w:color w:val="auto"/>
              </w:rPr>
              <w:t>铅</w:t>
            </w:r>
          </w:p>
        </w:tc>
        <w:tc>
          <w:tcPr>
            <w:tcW w:w="567" w:type="pct"/>
            <w:tcBorders>
              <w:tl2br w:val="nil"/>
              <w:tr2bl w:val="nil"/>
            </w:tcBorders>
            <w:noWrap w:val="0"/>
            <w:vAlign w:val="center"/>
          </w:tcPr>
          <w:p w14:paraId="38B4A209">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32.2</w:t>
            </w:r>
          </w:p>
        </w:tc>
        <w:tc>
          <w:tcPr>
            <w:tcW w:w="648" w:type="pct"/>
            <w:tcBorders>
              <w:tl2br w:val="nil"/>
              <w:tr2bl w:val="nil"/>
            </w:tcBorders>
            <w:noWrap w:val="0"/>
            <w:vAlign w:val="center"/>
          </w:tcPr>
          <w:p w14:paraId="62327DB6">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35.4</w:t>
            </w:r>
          </w:p>
        </w:tc>
        <w:tc>
          <w:tcPr>
            <w:tcW w:w="643" w:type="pct"/>
            <w:tcBorders>
              <w:tl2br w:val="nil"/>
              <w:tr2bl w:val="nil"/>
            </w:tcBorders>
            <w:noWrap w:val="0"/>
            <w:vAlign w:val="center"/>
          </w:tcPr>
          <w:p w14:paraId="71A4090F">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29.1</w:t>
            </w:r>
          </w:p>
        </w:tc>
        <w:tc>
          <w:tcPr>
            <w:tcW w:w="755" w:type="pct"/>
            <w:tcBorders>
              <w:tl2br w:val="nil"/>
              <w:tr2bl w:val="nil"/>
            </w:tcBorders>
            <w:noWrap w:val="0"/>
            <w:vAlign w:val="center"/>
          </w:tcPr>
          <w:p w14:paraId="72FBEBA6">
            <w:pPr>
              <w:pStyle w:val="44"/>
              <w:bidi w:val="0"/>
              <w:rPr>
                <w:rFonts w:hint="default" w:ascii="Times New Roman" w:hAnsi="Times New Roman" w:cs="Times New Roman"/>
                <w:color w:val="auto"/>
              </w:rPr>
            </w:pPr>
            <w:r>
              <w:rPr>
                <w:rFonts w:hint="default" w:ascii="Times New Roman" w:hAnsi="Times New Roman" w:cs="Times New Roman"/>
                <w:color w:val="auto"/>
              </w:rPr>
              <w:t>mg/kg</w:t>
            </w:r>
          </w:p>
        </w:tc>
        <w:tc>
          <w:tcPr>
            <w:tcW w:w="723" w:type="pct"/>
            <w:tcBorders>
              <w:tl2br w:val="nil"/>
              <w:tr2bl w:val="nil"/>
            </w:tcBorders>
            <w:noWrap w:val="0"/>
            <w:vAlign w:val="center"/>
          </w:tcPr>
          <w:p w14:paraId="7E1152D0">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800</w:t>
            </w:r>
          </w:p>
        </w:tc>
        <w:tc>
          <w:tcPr>
            <w:tcW w:w="520" w:type="pct"/>
            <w:tcBorders>
              <w:tl2br w:val="nil"/>
              <w:tr2bl w:val="nil"/>
            </w:tcBorders>
            <w:noWrap w:val="0"/>
            <w:vAlign w:val="center"/>
          </w:tcPr>
          <w:p w14:paraId="0D6FFB20">
            <w:pPr>
              <w:pStyle w:val="44"/>
              <w:bidi w:val="0"/>
              <w:rPr>
                <w:rFonts w:hint="default" w:ascii="Times New Roman" w:hAnsi="Times New Roman" w:cs="Times New Roman"/>
                <w:color w:val="auto"/>
              </w:rPr>
            </w:pPr>
            <w:r>
              <w:rPr>
                <w:rFonts w:hint="default" w:ascii="Times New Roman" w:hAnsi="Times New Roman" w:cs="Times New Roman"/>
                <w:color w:val="auto"/>
              </w:rPr>
              <w:t>0</w:t>
            </w:r>
          </w:p>
        </w:tc>
        <w:tc>
          <w:tcPr>
            <w:tcW w:w="481" w:type="pct"/>
            <w:tcBorders>
              <w:tl2br w:val="nil"/>
              <w:tr2bl w:val="nil"/>
            </w:tcBorders>
            <w:noWrap w:val="0"/>
            <w:vAlign w:val="center"/>
          </w:tcPr>
          <w:p w14:paraId="366E2FF9">
            <w:pPr>
              <w:pStyle w:val="44"/>
              <w:bidi w:val="0"/>
              <w:rPr>
                <w:rFonts w:hint="default" w:ascii="Times New Roman" w:hAnsi="Times New Roman" w:cs="Times New Roman"/>
                <w:color w:val="auto"/>
              </w:rPr>
            </w:pPr>
            <w:r>
              <w:rPr>
                <w:rFonts w:hint="default" w:ascii="Times New Roman" w:hAnsi="Times New Roman" w:cs="Times New Roman"/>
                <w:color w:val="auto"/>
              </w:rPr>
              <w:t>达标</w:t>
            </w:r>
          </w:p>
        </w:tc>
      </w:tr>
      <w:tr w14:paraId="5062E1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660" w:type="pct"/>
            <w:tcBorders>
              <w:tl2br w:val="nil"/>
              <w:tr2bl w:val="nil"/>
            </w:tcBorders>
            <w:noWrap w:val="0"/>
            <w:vAlign w:val="center"/>
          </w:tcPr>
          <w:p w14:paraId="3B908D12">
            <w:pPr>
              <w:pStyle w:val="44"/>
              <w:bidi w:val="0"/>
              <w:rPr>
                <w:rFonts w:hint="default" w:ascii="Times New Roman" w:hAnsi="Times New Roman" w:cs="Times New Roman"/>
                <w:color w:val="auto"/>
              </w:rPr>
            </w:pPr>
            <w:r>
              <w:rPr>
                <w:rFonts w:hint="default" w:ascii="Times New Roman" w:hAnsi="Times New Roman" w:cs="Times New Roman"/>
                <w:color w:val="auto"/>
              </w:rPr>
              <w:t>镉</w:t>
            </w:r>
          </w:p>
        </w:tc>
        <w:tc>
          <w:tcPr>
            <w:tcW w:w="567" w:type="pct"/>
            <w:tcBorders>
              <w:tl2br w:val="nil"/>
              <w:tr2bl w:val="nil"/>
            </w:tcBorders>
            <w:noWrap w:val="0"/>
            <w:vAlign w:val="center"/>
          </w:tcPr>
          <w:p w14:paraId="58A1CC1A">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0.06</w:t>
            </w:r>
          </w:p>
        </w:tc>
        <w:tc>
          <w:tcPr>
            <w:tcW w:w="648" w:type="pct"/>
            <w:tcBorders>
              <w:tl2br w:val="nil"/>
              <w:tr2bl w:val="nil"/>
            </w:tcBorders>
            <w:noWrap w:val="0"/>
            <w:vAlign w:val="center"/>
          </w:tcPr>
          <w:p w14:paraId="03845318">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0.</w:t>
            </w:r>
            <w:r>
              <w:rPr>
                <w:rFonts w:hint="default" w:ascii="Times New Roman" w:hAnsi="Times New Roman" w:cs="Times New Roman"/>
                <w:color w:val="auto"/>
                <w:lang w:val="en-US" w:eastAsia="zh-CN"/>
              </w:rPr>
              <w:t>42</w:t>
            </w:r>
          </w:p>
        </w:tc>
        <w:tc>
          <w:tcPr>
            <w:tcW w:w="643" w:type="pct"/>
            <w:tcBorders>
              <w:tl2br w:val="nil"/>
              <w:tr2bl w:val="nil"/>
            </w:tcBorders>
            <w:noWrap w:val="0"/>
            <w:vAlign w:val="center"/>
          </w:tcPr>
          <w:p w14:paraId="31E5B98C">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0.</w:t>
            </w:r>
            <w:r>
              <w:rPr>
                <w:rFonts w:hint="default" w:ascii="Times New Roman" w:hAnsi="Times New Roman" w:cs="Times New Roman"/>
                <w:color w:val="auto"/>
                <w:lang w:val="en-US" w:eastAsia="zh-CN"/>
              </w:rPr>
              <w:t>05</w:t>
            </w:r>
          </w:p>
        </w:tc>
        <w:tc>
          <w:tcPr>
            <w:tcW w:w="755" w:type="pct"/>
            <w:tcBorders>
              <w:tl2br w:val="nil"/>
              <w:tr2bl w:val="nil"/>
            </w:tcBorders>
            <w:noWrap w:val="0"/>
            <w:vAlign w:val="center"/>
          </w:tcPr>
          <w:p w14:paraId="186D5500">
            <w:pPr>
              <w:pStyle w:val="44"/>
              <w:bidi w:val="0"/>
              <w:rPr>
                <w:rFonts w:hint="default" w:ascii="Times New Roman" w:hAnsi="Times New Roman" w:cs="Times New Roman"/>
                <w:color w:val="auto"/>
              </w:rPr>
            </w:pPr>
            <w:r>
              <w:rPr>
                <w:rFonts w:hint="default" w:ascii="Times New Roman" w:hAnsi="Times New Roman" w:cs="Times New Roman"/>
                <w:color w:val="auto"/>
              </w:rPr>
              <w:t>mg/kg</w:t>
            </w:r>
          </w:p>
        </w:tc>
        <w:tc>
          <w:tcPr>
            <w:tcW w:w="723" w:type="pct"/>
            <w:tcBorders>
              <w:tl2br w:val="nil"/>
              <w:tr2bl w:val="nil"/>
            </w:tcBorders>
            <w:noWrap w:val="0"/>
            <w:vAlign w:val="center"/>
          </w:tcPr>
          <w:p w14:paraId="4C6B6DEC">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65</w:t>
            </w:r>
          </w:p>
        </w:tc>
        <w:tc>
          <w:tcPr>
            <w:tcW w:w="520" w:type="pct"/>
            <w:tcBorders>
              <w:tl2br w:val="nil"/>
              <w:tr2bl w:val="nil"/>
            </w:tcBorders>
            <w:noWrap w:val="0"/>
            <w:vAlign w:val="center"/>
          </w:tcPr>
          <w:p w14:paraId="07BE7F04">
            <w:pPr>
              <w:pStyle w:val="44"/>
              <w:bidi w:val="0"/>
              <w:rPr>
                <w:rFonts w:hint="default" w:ascii="Times New Roman" w:hAnsi="Times New Roman" w:cs="Times New Roman"/>
                <w:color w:val="auto"/>
              </w:rPr>
            </w:pPr>
            <w:r>
              <w:rPr>
                <w:rFonts w:hint="default" w:ascii="Times New Roman" w:hAnsi="Times New Roman" w:cs="Times New Roman"/>
                <w:color w:val="auto"/>
              </w:rPr>
              <w:t>0</w:t>
            </w:r>
          </w:p>
        </w:tc>
        <w:tc>
          <w:tcPr>
            <w:tcW w:w="481" w:type="pct"/>
            <w:tcBorders>
              <w:tl2br w:val="nil"/>
              <w:tr2bl w:val="nil"/>
            </w:tcBorders>
            <w:noWrap w:val="0"/>
            <w:vAlign w:val="center"/>
          </w:tcPr>
          <w:p w14:paraId="3B494DF9">
            <w:pPr>
              <w:pStyle w:val="44"/>
              <w:bidi w:val="0"/>
              <w:rPr>
                <w:rFonts w:hint="default" w:ascii="Times New Roman" w:hAnsi="Times New Roman" w:cs="Times New Roman"/>
                <w:color w:val="auto"/>
              </w:rPr>
            </w:pPr>
            <w:r>
              <w:rPr>
                <w:rFonts w:hint="default" w:ascii="Times New Roman" w:hAnsi="Times New Roman" w:cs="Times New Roman"/>
                <w:color w:val="auto"/>
              </w:rPr>
              <w:t>达标</w:t>
            </w:r>
          </w:p>
        </w:tc>
      </w:tr>
      <w:tr w14:paraId="25714D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660" w:type="pct"/>
            <w:tcBorders>
              <w:tl2br w:val="nil"/>
              <w:tr2bl w:val="nil"/>
            </w:tcBorders>
            <w:noWrap w:val="0"/>
            <w:vAlign w:val="center"/>
          </w:tcPr>
          <w:p w14:paraId="29AA755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锌</w:t>
            </w:r>
          </w:p>
        </w:tc>
        <w:tc>
          <w:tcPr>
            <w:tcW w:w="567" w:type="pct"/>
            <w:tcBorders>
              <w:tl2br w:val="nil"/>
              <w:tr2bl w:val="nil"/>
            </w:tcBorders>
            <w:noWrap w:val="0"/>
            <w:vAlign w:val="center"/>
          </w:tcPr>
          <w:p w14:paraId="09A88F69">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122</w:t>
            </w:r>
          </w:p>
        </w:tc>
        <w:tc>
          <w:tcPr>
            <w:tcW w:w="648" w:type="pct"/>
            <w:tcBorders>
              <w:tl2br w:val="nil"/>
              <w:tr2bl w:val="nil"/>
            </w:tcBorders>
            <w:noWrap w:val="0"/>
            <w:vAlign w:val="center"/>
          </w:tcPr>
          <w:p w14:paraId="76CB74AE">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129</w:t>
            </w:r>
          </w:p>
        </w:tc>
        <w:tc>
          <w:tcPr>
            <w:tcW w:w="643" w:type="pct"/>
            <w:tcBorders>
              <w:tl2br w:val="nil"/>
              <w:tr2bl w:val="nil"/>
            </w:tcBorders>
            <w:noWrap w:val="0"/>
            <w:vAlign w:val="center"/>
          </w:tcPr>
          <w:p w14:paraId="624C8F5B">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127</w:t>
            </w:r>
          </w:p>
        </w:tc>
        <w:tc>
          <w:tcPr>
            <w:tcW w:w="755" w:type="pct"/>
            <w:tcBorders>
              <w:tl2br w:val="nil"/>
              <w:tr2bl w:val="nil"/>
            </w:tcBorders>
            <w:noWrap w:val="0"/>
            <w:vAlign w:val="center"/>
          </w:tcPr>
          <w:p w14:paraId="779A4003">
            <w:pPr>
              <w:pStyle w:val="44"/>
              <w:bidi w:val="0"/>
              <w:rPr>
                <w:rFonts w:hint="default" w:ascii="Times New Roman" w:hAnsi="Times New Roman" w:cs="Times New Roman"/>
                <w:color w:val="auto"/>
              </w:rPr>
            </w:pPr>
            <w:r>
              <w:rPr>
                <w:rFonts w:hint="default" w:ascii="Times New Roman" w:hAnsi="Times New Roman" w:cs="Times New Roman"/>
                <w:color w:val="auto"/>
              </w:rPr>
              <w:t>mg/kg</w:t>
            </w:r>
          </w:p>
        </w:tc>
        <w:tc>
          <w:tcPr>
            <w:tcW w:w="723" w:type="pct"/>
            <w:tcBorders>
              <w:tl2br w:val="nil"/>
              <w:tr2bl w:val="nil"/>
            </w:tcBorders>
            <w:noWrap w:val="0"/>
            <w:vAlign w:val="center"/>
          </w:tcPr>
          <w:p w14:paraId="6CA57A87">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200</w:t>
            </w:r>
          </w:p>
        </w:tc>
        <w:tc>
          <w:tcPr>
            <w:tcW w:w="520" w:type="pct"/>
            <w:tcBorders>
              <w:tl2br w:val="nil"/>
              <w:tr2bl w:val="nil"/>
            </w:tcBorders>
            <w:noWrap w:val="0"/>
            <w:vAlign w:val="center"/>
          </w:tcPr>
          <w:p w14:paraId="47E89596">
            <w:pPr>
              <w:pStyle w:val="44"/>
              <w:bidi w:val="0"/>
              <w:rPr>
                <w:rFonts w:hint="default" w:ascii="Times New Roman" w:hAnsi="Times New Roman" w:cs="Times New Roman"/>
                <w:color w:val="auto"/>
              </w:rPr>
            </w:pPr>
            <w:r>
              <w:rPr>
                <w:rFonts w:hint="default" w:ascii="Times New Roman" w:hAnsi="Times New Roman" w:cs="Times New Roman"/>
                <w:color w:val="auto"/>
              </w:rPr>
              <w:t>0</w:t>
            </w:r>
          </w:p>
        </w:tc>
        <w:tc>
          <w:tcPr>
            <w:tcW w:w="481" w:type="pct"/>
            <w:tcBorders>
              <w:tl2br w:val="nil"/>
              <w:tr2bl w:val="nil"/>
            </w:tcBorders>
            <w:noWrap w:val="0"/>
            <w:vAlign w:val="center"/>
          </w:tcPr>
          <w:p w14:paraId="4A659F26">
            <w:pPr>
              <w:pStyle w:val="44"/>
              <w:bidi w:val="0"/>
              <w:rPr>
                <w:rFonts w:hint="default" w:ascii="Times New Roman" w:hAnsi="Times New Roman" w:cs="Times New Roman"/>
                <w:color w:val="auto"/>
              </w:rPr>
            </w:pPr>
            <w:r>
              <w:rPr>
                <w:rFonts w:hint="default" w:ascii="Times New Roman" w:hAnsi="Times New Roman" w:cs="Times New Roman"/>
                <w:color w:val="auto"/>
              </w:rPr>
              <w:t>达标</w:t>
            </w:r>
          </w:p>
        </w:tc>
      </w:tr>
      <w:tr w14:paraId="35078D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660" w:type="pct"/>
            <w:tcBorders>
              <w:tl2br w:val="nil"/>
              <w:tr2bl w:val="nil"/>
            </w:tcBorders>
            <w:noWrap w:val="0"/>
            <w:vAlign w:val="center"/>
          </w:tcPr>
          <w:p w14:paraId="1165FB3B">
            <w:pPr>
              <w:pStyle w:val="44"/>
              <w:bidi w:val="0"/>
              <w:rPr>
                <w:rFonts w:hint="default" w:ascii="Times New Roman" w:hAnsi="Times New Roman" w:cs="Times New Roman"/>
                <w:color w:val="auto"/>
              </w:rPr>
            </w:pPr>
            <w:r>
              <w:rPr>
                <w:rFonts w:hint="default" w:ascii="Times New Roman" w:hAnsi="Times New Roman" w:cs="Times New Roman"/>
                <w:color w:val="auto"/>
              </w:rPr>
              <w:t>铬</w:t>
            </w:r>
          </w:p>
        </w:tc>
        <w:tc>
          <w:tcPr>
            <w:tcW w:w="567" w:type="pct"/>
            <w:tcBorders>
              <w:tl2br w:val="nil"/>
              <w:tr2bl w:val="nil"/>
            </w:tcBorders>
            <w:noWrap w:val="0"/>
            <w:vAlign w:val="center"/>
          </w:tcPr>
          <w:p w14:paraId="0E0C3DA4">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87</w:t>
            </w:r>
          </w:p>
        </w:tc>
        <w:tc>
          <w:tcPr>
            <w:tcW w:w="648" w:type="pct"/>
            <w:tcBorders>
              <w:tl2br w:val="nil"/>
              <w:tr2bl w:val="nil"/>
            </w:tcBorders>
            <w:noWrap w:val="0"/>
            <w:vAlign w:val="center"/>
          </w:tcPr>
          <w:p w14:paraId="1110CA79">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82</w:t>
            </w:r>
          </w:p>
        </w:tc>
        <w:tc>
          <w:tcPr>
            <w:tcW w:w="643" w:type="pct"/>
            <w:tcBorders>
              <w:tl2br w:val="nil"/>
              <w:tr2bl w:val="nil"/>
            </w:tcBorders>
            <w:noWrap w:val="0"/>
            <w:vAlign w:val="center"/>
          </w:tcPr>
          <w:p w14:paraId="7E69B477">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84</w:t>
            </w:r>
          </w:p>
        </w:tc>
        <w:tc>
          <w:tcPr>
            <w:tcW w:w="755" w:type="pct"/>
            <w:tcBorders>
              <w:tl2br w:val="nil"/>
              <w:tr2bl w:val="nil"/>
            </w:tcBorders>
            <w:noWrap w:val="0"/>
            <w:vAlign w:val="center"/>
          </w:tcPr>
          <w:p w14:paraId="4D6CB583">
            <w:pPr>
              <w:pStyle w:val="44"/>
              <w:bidi w:val="0"/>
              <w:rPr>
                <w:rFonts w:hint="default" w:ascii="Times New Roman" w:hAnsi="Times New Roman" w:cs="Times New Roman"/>
                <w:color w:val="auto"/>
              </w:rPr>
            </w:pPr>
            <w:r>
              <w:rPr>
                <w:rFonts w:hint="default" w:ascii="Times New Roman" w:hAnsi="Times New Roman" w:cs="Times New Roman"/>
                <w:color w:val="auto"/>
              </w:rPr>
              <w:t>mg/kg</w:t>
            </w:r>
          </w:p>
        </w:tc>
        <w:tc>
          <w:tcPr>
            <w:tcW w:w="723" w:type="pct"/>
            <w:tcBorders>
              <w:tl2br w:val="nil"/>
              <w:tr2bl w:val="nil"/>
            </w:tcBorders>
            <w:noWrap w:val="0"/>
            <w:vAlign w:val="center"/>
          </w:tcPr>
          <w:p w14:paraId="2D03B495">
            <w:pPr>
              <w:pStyle w:val="44"/>
              <w:bidi w:val="0"/>
              <w:rPr>
                <w:rFonts w:hint="default" w:ascii="Times New Roman" w:hAnsi="Times New Roman" w:cs="Times New Roman"/>
                <w:color w:val="auto"/>
                <w:lang w:val="en-US"/>
              </w:rPr>
            </w:pPr>
            <w:r>
              <w:rPr>
                <w:rFonts w:hint="default" w:ascii="Times New Roman" w:hAnsi="Times New Roman" w:cs="Times New Roman"/>
                <w:color w:val="auto"/>
                <w:lang w:val="en-US" w:eastAsia="zh-CN"/>
              </w:rPr>
              <w:t>5.7</w:t>
            </w:r>
          </w:p>
        </w:tc>
        <w:tc>
          <w:tcPr>
            <w:tcW w:w="520" w:type="pct"/>
            <w:tcBorders>
              <w:tl2br w:val="nil"/>
              <w:tr2bl w:val="nil"/>
            </w:tcBorders>
            <w:noWrap w:val="0"/>
            <w:vAlign w:val="center"/>
          </w:tcPr>
          <w:p w14:paraId="7FEFE224">
            <w:pPr>
              <w:pStyle w:val="44"/>
              <w:bidi w:val="0"/>
              <w:rPr>
                <w:rFonts w:hint="default" w:ascii="Times New Roman" w:hAnsi="Times New Roman" w:cs="Times New Roman"/>
                <w:color w:val="auto"/>
              </w:rPr>
            </w:pPr>
            <w:r>
              <w:rPr>
                <w:rFonts w:hint="default" w:ascii="Times New Roman" w:hAnsi="Times New Roman" w:cs="Times New Roman"/>
                <w:color w:val="auto"/>
              </w:rPr>
              <w:t>0</w:t>
            </w:r>
          </w:p>
        </w:tc>
        <w:tc>
          <w:tcPr>
            <w:tcW w:w="481" w:type="pct"/>
            <w:tcBorders>
              <w:tl2br w:val="nil"/>
              <w:tr2bl w:val="nil"/>
            </w:tcBorders>
            <w:noWrap w:val="0"/>
            <w:vAlign w:val="center"/>
          </w:tcPr>
          <w:p w14:paraId="23BDEC91">
            <w:pPr>
              <w:pStyle w:val="44"/>
              <w:bidi w:val="0"/>
              <w:rPr>
                <w:rFonts w:hint="default" w:ascii="Times New Roman" w:hAnsi="Times New Roman" w:cs="Times New Roman"/>
                <w:color w:val="auto"/>
              </w:rPr>
            </w:pPr>
            <w:r>
              <w:rPr>
                <w:rFonts w:hint="default" w:ascii="Times New Roman" w:hAnsi="Times New Roman" w:cs="Times New Roman"/>
                <w:color w:val="auto"/>
              </w:rPr>
              <w:t>达标</w:t>
            </w:r>
          </w:p>
        </w:tc>
      </w:tr>
      <w:tr w14:paraId="3F21D6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660" w:type="pct"/>
            <w:tcBorders>
              <w:tl2br w:val="nil"/>
              <w:tr2bl w:val="nil"/>
            </w:tcBorders>
            <w:noWrap w:val="0"/>
            <w:vAlign w:val="center"/>
          </w:tcPr>
          <w:p w14:paraId="3415A546">
            <w:pPr>
              <w:pStyle w:val="44"/>
              <w:bidi w:val="0"/>
              <w:rPr>
                <w:rFonts w:hint="default" w:ascii="Times New Roman" w:hAnsi="Times New Roman" w:cs="Times New Roman"/>
                <w:color w:val="auto"/>
              </w:rPr>
            </w:pPr>
            <w:r>
              <w:rPr>
                <w:rFonts w:hint="default" w:ascii="Times New Roman" w:hAnsi="Times New Roman" w:eastAsia="宋体" w:cs="Times New Roman"/>
                <w:color w:val="auto"/>
                <w:lang w:val="en-US" w:eastAsia="zh-CN"/>
              </w:rPr>
              <w:t>水溶性盐</w:t>
            </w:r>
          </w:p>
        </w:tc>
        <w:tc>
          <w:tcPr>
            <w:tcW w:w="567" w:type="pct"/>
            <w:tcBorders>
              <w:tl2br w:val="nil"/>
              <w:tr2bl w:val="nil"/>
            </w:tcBorders>
            <w:noWrap w:val="0"/>
            <w:vAlign w:val="center"/>
          </w:tcPr>
          <w:p w14:paraId="7E18FC73">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0.</w:t>
            </w:r>
            <w:r>
              <w:rPr>
                <w:rFonts w:hint="default" w:ascii="Times New Roman" w:hAnsi="Times New Roman" w:cs="Times New Roman"/>
                <w:color w:val="auto"/>
                <w:lang w:val="en-US" w:eastAsia="zh-CN"/>
              </w:rPr>
              <w:t>17</w:t>
            </w:r>
          </w:p>
        </w:tc>
        <w:tc>
          <w:tcPr>
            <w:tcW w:w="648" w:type="pct"/>
            <w:tcBorders>
              <w:tl2br w:val="nil"/>
              <w:tr2bl w:val="nil"/>
            </w:tcBorders>
            <w:noWrap w:val="0"/>
            <w:vAlign w:val="center"/>
          </w:tcPr>
          <w:p w14:paraId="2B69B59D">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0.</w:t>
            </w:r>
            <w:r>
              <w:rPr>
                <w:rFonts w:hint="default" w:ascii="Times New Roman" w:hAnsi="Times New Roman" w:cs="Times New Roman"/>
                <w:color w:val="auto"/>
                <w:lang w:val="en-US" w:eastAsia="zh-CN"/>
              </w:rPr>
              <w:t>87</w:t>
            </w:r>
          </w:p>
        </w:tc>
        <w:tc>
          <w:tcPr>
            <w:tcW w:w="643" w:type="pct"/>
            <w:tcBorders>
              <w:tl2br w:val="nil"/>
              <w:tr2bl w:val="nil"/>
            </w:tcBorders>
            <w:noWrap w:val="0"/>
            <w:vAlign w:val="center"/>
          </w:tcPr>
          <w:p w14:paraId="345542B0">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0.</w:t>
            </w:r>
            <w:r>
              <w:rPr>
                <w:rFonts w:hint="default" w:ascii="Times New Roman" w:hAnsi="Times New Roman" w:cs="Times New Roman"/>
                <w:color w:val="auto"/>
                <w:lang w:val="en-US" w:eastAsia="zh-CN"/>
              </w:rPr>
              <w:t>88</w:t>
            </w:r>
          </w:p>
        </w:tc>
        <w:tc>
          <w:tcPr>
            <w:tcW w:w="755" w:type="pct"/>
            <w:tcBorders>
              <w:tl2br w:val="nil"/>
              <w:tr2bl w:val="nil"/>
            </w:tcBorders>
            <w:noWrap w:val="0"/>
            <w:vAlign w:val="center"/>
          </w:tcPr>
          <w:p w14:paraId="6CBBC7EB">
            <w:pPr>
              <w:pStyle w:val="44"/>
              <w:bidi w:val="0"/>
              <w:rPr>
                <w:rFonts w:hint="default" w:ascii="Times New Roman" w:hAnsi="Times New Roman" w:cs="Times New Roman"/>
                <w:color w:val="auto"/>
              </w:rPr>
            </w:pPr>
            <w:r>
              <w:rPr>
                <w:rFonts w:hint="default" w:ascii="Times New Roman" w:hAnsi="Times New Roman" w:cs="Times New Roman"/>
                <w:color w:val="auto"/>
              </w:rPr>
              <w:t>g/kg</w:t>
            </w:r>
          </w:p>
        </w:tc>
        <w:tc>
          <w:tcPr>
            <w:tcW w:w="723" w:type="pct"/>
            <w:tcBorders>
              <w:tl2br w:val="nil"/>
              <w:tr2bl w:val="nil"/>
            </w:tcBorders>
            <w:noWrap w:val="0"/>
            <w:vAlign w:val="center"/>
          </w:tcPr>
          <w:p w14:paraId="395AFE6C">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520" w:type="pct"/>
            <w:tcBorders>
              <w:tl2br w:val="nil"/>
              <w:tr2bl w:val="nil"/>
            </w:tcBorders>
            <w:noWrap w:val="0"/>
            <w:vAlign w:val="center"/>
          </w:tcPr>
          <w:p w14:paraId="3EB5B79B">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eastAsia="zh-CN"/>
              </w:rPr>
              <w:t>/</w:t>
            </w:r>
          </w:p>
        </w:tc>
        <w:tc>
          <w:tcPr>
            <w:tcW w:w="481" w:type="pct"/>
            <w:tcBorders>
              <w:tl2br w:val="nil"/>
              <w:tr2bl w:val="nil"/>
            </w:tcBorders>
            <w:noWrap w:val="0"/>
            <w:vAlign w:val="center"/>
          </w:tcPr>
          <w:p w14:paraId="2E3CB826">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eastAsia="zh-CN"/>
              </w:rPr>
              <w:t>/</w:t>
            </w:r>
          </w:p>
        </w:tc>
      </w:tr>
    </w:tbl>
    <w:p w14:paraId="310630EC">
      <w:pPr>
        <w:pStyle w:val="27"/>
        <w:bidi w:val="0"/>
        <w:rPr>
          <w:rFonts w:hint="default" w:ascii="Times New Roman" w:hAnsi="Times New Roman" w:eastAsia="宋体" w:cs="Times New Roman"/>
          <w:color w:val="auto"/>
        </w:rPr>
      </w:pPr>
      <w:r>
        <w:rPr>
          <w:rFonts w:hint="default" w:ascii="Times New Roman" w:hAnsi="Times New Roman" w:eastAsia="宋体" w:cs="Times New Roman"/>
          <w:color w:val="auto"/>
        </w:rPr>
        <w:t>表4-</w:t>
      </w:r>
      <w:r>
        <w:rPr>
          <w:rFonts w:hint="default" w:ascii="Times New Roman" w:hAnsi="Times New Roman" w:eastAsia="宋体" w:cs="Times New Roman"/>
          <w:color w:val="auto"/>
          <w:lang w:val="en-US" w:eastAsia="zh-CN"/>
        </w:rPr>
        <w:t>2</w:t>
      </w:r>
      <w:r>
        <w:rPr>
          <w:rFonts w:hint="default" w:ascii="Times New Roman" w:hAnsi="Times New Roman" w:eastAsia="宋体" w:cs="Times New Roman"/>
          <w:color w:val="auto"/>
        </w:rPr>
        <w:t>-</w:t>
      </w:r>
      <w:r>
        <w:rPr>
          <w:rFonts w:hint="default" w:ascii="Times New Roman" w:hAnsi="Times New Roman" w:cs="Times New Roman"/>
          <w:color w:val="auto"/>
          <w:lang w:val="en-US" w:eastAsia="zh-CN"/>
        </w:rPr>
        <w:t>19</w:t>
      </w:r>
      <w:r>
        <w:rPr>
          <w:rFonts w:hint="default" w:ascii="Times New Roman" w:hAnsi="Times New Roman" w:eastAsia="宋体" w:cs="Times New Roman"/>
          <w:color w:val="auto"/>
        </w:rPr>
        <w:t>土壤现状监测结果（</w:t>
      </w:r>
      <w:r>
        <w:rPr>
          <w:rFonts w:hint="default" w:ascii="Times New Roman" w:hAnsi="Times New Roman" w:eastAsia="宋体" w:cs="Times New Roman"/>
          <w:color w:val="auto"/>
          <w:lang w:val="en-US" w:eastAsia="zh-CN"/>
        </w:rPr>
        <w:t>S4</w:t>
      </w:r>
      <w:r>
        <w:rPr>
          <w:rFonts w:hint="default" w:ascii="Times New Roman" w:hAnsi="Times New Roman" w:eastAsia="宋体" w:cs="Times New Roman"/>
          <w:color w:val="auto"/>
        </w:rPr>
        <w:t>）</w:t>
      </w:r>
    </w:p>
    <w:tbl>
      <w:tblPr>
        <w:tblStyle w:val="2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25"/>
        <w:gridCol w:w="966"/>
        <w:gridCol w:w="1104"/>
        <w:gridCol w:w="1098"/>
        <w:gridCol w:w="1287"/>
        <w:gridCol w:w="1232"/>
        <w:gridCol w:w="886"/>
        <w:gridCol w:w="821"/>
      </w:tblGrid>
      <w:tr w14:paraId="21A89D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9" w:hRule="atLeast"/>
          <w:jc w:val="center"/>
        </w:trPr>
        <w:tc>
          <w:tcPr>
            <w:tcW w:w="660" w:type="pct"/>
            <w:vMerge w:val="restart"/>
            <w:tcBorders>
              <w:tl2br w:val="nil"/>
              <w:tr2bl w:val="nil"/>
            </w:tcBorders>
            <w:noWrap w:val="0"/>
            <w:vAlign w:val="center"/>
          </w:tcPr>
          <w:p w14:paraId="0451C0CB">
            <w:pPr>
              <w:pStyle w:val="44"/>
              <w:bidi w:val="0"/>
              <w:rPr>
                <w:rFonts w:hint="default" w:ascii="Times New Roman" w:hAnsi="Times New Roman" w:cs="Times New Roman"/>
                <w:color w:val="auto"/>
              </w:rPr>
            </w:pPr>
            <w:r>
              <w:rPr>
                <w:rFonts w:hint="default" w:ascii="Times New Roman" w:hAnsi="Times New Roman" w:cs="Times New Roman"/>
                <w:color w:val="auto"/>
              </w:rPr>
              <w:t>监测项目</w:t>
            </w:r>
          </w:p>
        </w:tc>
        <w:tc>
          <w:tcPr>
            <w:tcW w:w="1859" w:type="pct"/>
            <w:gridSpan w:val="3"/>
            <w:tcBorders>
              <w:tl2br w:val="nil"/>
              <w:tr2bl w:val="nil"/>
            </w:tcBorders>
            <w:noWrap w:val="0"/>
            <w:vAlign w:val="center"/>
          </w:tcPr>
          <w:p w14:paraId="50C28837">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S4</w:t>
            </w:r>
            <w:r>
              <w:rPr>
                <w:rFonts w:hint="default" w:ascii="Times New Roman" w:hAnsi="Times New Roman" w:cs="Times New Roman"/>
                <w:color w:val="auto"/>
              </w:rPr>
              <w:t>柱状样</w:t>
            </w:r>
          </w:p>
        </w:tc>
        <w:tc>
          <w:tcPr>
            <w:tcW w:w="755" w:type="pct"/>
            <w:vMerge w:val="restart"/>
            <w:tcBorders>
              <w:tl2br w:val="nil"/>
              <w:tr2bl w:val="nil"/>
            </w:tcBorders>
            <w:noWrap w:val="0"/>
            <w:vAlign w:val="center"/>
          </w:tcPr>
          <w:p w14:paraId="40D5A5B8">
            <w:pPr>
              <w:pStyle w:val="44"/>
              <w:bidi w:val="0"/>
              <w:rPr>
                <w:rFonts w:hint="default" w:ascii="Times New Roman" w:hAnsi="Times New Roman" w:cs="Times New Roman"/>
                <w:color w:val="auto"/>
              </w:rPr>
            </w:pPr>
            <w:r>
              <w:rPr>
                <w:rFonts w:hint="default" w:ascii="Times New Roman" w:hAnsi="Times New Roman" w:cs="Times New Roman"/>
                <w:color w:val="auto"/>
              </w:rPr>
              <w:t>单位</w:t>
            </w:r>
          </w:p>
        </w:tc>
        <w:tc>
          <w:tcPr>
            <w:tcW w:w="723" w:type="pct"/>
            <w:vMerge w:val="restart"/>
            <w:tcBorders>
              <w:tl2br w:val="nil"/>
              <w:tr2bl w:val="nil"/>
            </w:tcBorders>
            <w:noWrap w:val="0"/>
            <w:vAlign w:val="center"/>
          </w:tcPr>
          <w:p w14:paraId="2AF121DC">
            <w:pPr>
              <w:pStyle w:val="44"/>
              <w:bidi w:val="0"/>
              <w:rPr>
                <w:rFonts w:hint="default" w:ascii="Times New Roman" w:hAnsi="Times New Roman" w:cs="Times New Roman"/>
                <w:color w:val="auto"/>
              </w:rPr>
            </w:pPr>
            <w:r>
              <w:rPr>
                <w:rFonts w:hint="default" w:ascii="Times New Roman" w:hAnsi="Times New Roman" w:cs="Times New Roman"/>
                <w:color w:val="auto"/>
              </w:rPr>
              <w:t>标准值（mg/kg）</w:t>
            </w:r>
          </w:p>
        </w:tc>
        <w:tc>
          <w:tcPr>
            <w:tcW w:w="520" w:type="pct"/>
            <w:vMerge w:val="restart"/>
            <w:tcBorders>
              <w:tl2br w:val="nil"/>
              <w:tr2bl w:val="nil"/>
            </w:tcBorders>
            <w:noWrap w:val="0"/>
            <w:vAlign w:val="center"/>
          </w:tcPr>
          <w:p w14:paraId="5D6004D6">
            <w:pPr>
              <w:pStyle w:val="44"/>
              <w:bidi w:val="0"/>
              <w:rPr>
                <w:rFonts w:hint="default" w:ascii="Times New Roman" w:hAnsi="Times New Roman" w:cs="Times New Roman"/>
                <w:color w:val="auto"/>
              </w:rPr>
            </w:pPr>
            <w:r>
              <w:rPr>
                <w:rFonts w:hint="default" w:ascii="Times New Roman" w:hAnsi="Times New Roman" w:cs="Times New Roman"/>
                <w:color w:val="auto"/>
              </w:rPr>
              <w:t>超标率</w:t>
            </w:r>
          </w:p>
        </w:tc>
        <w:tc>
          <w:tcPr>
            <w:tcW w:w="481" w:type="pct"/>
            <w:vMerge w:val="restart"/>
            <w:tcBorders>
              <w:tl2br w:val="nil"/>
              <w:tr2bl w:val="nil"/>
            </w:tcBorders>
            <w:noWrap w:val="0"/>
            <w:vAlign w:val="center"/>
          </w:tcPr>
          <w:p w14:paraId="2502AE33">
            <w:pPr>
              <w:pStyle w:val="44"/>
              <w:bidi w:val="0"/>
              <w:rPr>
                <w:rFonts w:hint="default" w:ascii="Times New Roman" w:hAnsi="Times New Roman" w:cs="Times New Roman"/>
                <w:color w:val="auto"/>
              </w:rPr>
            </w:pPr>
            <w:r>
              <w:rPr>
                <w:rFonts w:hint="default" w:ascii="Times New Roman" w:hAnsi="Times New Roman" w:cs="Times New Roman"/>
                <w:color w:val="auto"/>
              </w:rPr>
              <w:t>达标</w:t>
            </w:r>
          </w:p>
          <w:p w14:paraId="672CAD0E">
            <w:pPr>
              <w:pStyle w:val="44"/>
              <w:bidi w:val="0"/>
              <w:rPr>
                <w:rFonts w:hint="default" w:ascii="Times New Roman" w:hAnsi="Times New Roman" w:cs="Times New Roman"/>
                <w:color w:val="auto"/>
              </w:rPr>
            </w:pPr>
            <w:r>
              <w:rPr>
                <w:rFonts w:hint="default" w:ascii="Times New Roman" w:hAnsi="Times New Roman" w:cs="Times New Roman"/>
                <w:color w:val="auto"/>
              </w:rPr>
              <w:t>情况</w:t>
            </w:r>
          </w:p>
        </w:tc>
      </w:tr>
      <w:tr w14:paraId="60B112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31" w:hRule="atLeast"/>
          <w:jc w:val="center"/>
        </w:trPr>
        <w:tc>
          <w:tcPr>
            <w:tcW w:w="660" w:type="pct"/>
            <w:vMerge w:val="continue"/>
            <w:tcBorders>
              <w:tl2br w:val="nil"/>
              <w:tr2bl w:val="nil"/>
            </w:tcBorders>
            <w:noWrap w:val="0"/>
            <w:vAlign w:val="center"/>
          </w:tcPr>
          <w:p w14:paraId="233DB18B">
            <w:pPr>
              <w:pStyle w:val="44"/>
              <w:bidi w:val="0"/>
              <w:rPr>
                <w:rFonts w:hint="default" w:ascii="Times New Roman" w:hAnsi="Times New Roman" w:cs="Times New Roman"/>
                <w:color w:val="auto"/>
              </w:rPr>
            </w:pPr>
          </w:p>
        </w:tc>
        <w:tc>
          <w:tcPr>
            <w:tcW w:w="567" w:type="pct"/>
            <w:tcBorders>
              <w:tl2br w:val="nil"/>
              <w:tr2bl w:val="nil"/>
            </w:tcBorders>
            <w:noWrap w:val="0"/>
            <w:vAlign w:val="center"/>
          </w:tcPr>
          <w:p w14:paraId="5FB81F39">
            <w:pPr>
              <w:pStyle w:val="44"/>
              <w:bidi w:val="0"/>
              <w:rPr>
                <w:rFonts w:hint="default" w:ascii="Times New Roman" w:hAnsi="Times New Roman" w:cs="Times New Roman"/>
                <w:color w:val="auto"/>
              </w:rPr>
            </w:pPr>
            <w:r>
              <w:rPr>
                <w:rFonts w:hint="default" w:ascii="Times New Roman" w:hAnsi="Times New Roman" w:cs="Times New Roman"/>
                <w:color w:val="auto"/>
              </w:rPr>
              <w:t>0-0.5m</w:t>
            </w:r>
          </w:p>
        </w:tc>
        <w:tc>
          <w:tcPr>
            <w:tcW w:w="648" w:type="pct"/>
            <w:tcBorders>
              <w:tl2br w:val="nil"/>
              <w:tr2bl w:val="nil"/>
            </w:tcBorders>
            <w:noWrap w:val="0"/>
            <w:vAlign w:val="center"/>
          </w:tcPr>
          <w:p w14:paraId="5441CA81">
            <w:pPr>
              <w:pStyle w:val="44"/>
              <w:bidi w:val="0"/>
              <w:rPr>
                <w:rFonts w:hint="default" w:ascii="Times New Roman" w:hAnsi="Times New Roman" w:cs="Times New Roman"/>
                <w:color w:val="auto"/>
              </w:rPr>
            </w:pPr>
            <w:r>
              <w:rPr>
                <w:rFonts w:hint="default" w:ascii="Times New Roman" w:hAnsi="Times New Roman" w:cs="Times New Roman"/>
                <w:color w:val="auto"/>
              </w:rPr>
              <w:t>0.5-1.5m</w:t>
            </w:r>
          </w:p>
        </w:tc>
        <w:tc>
          <w:tcPr>
            <w:tcW w:w="643" w:type="pct"/>
            <w:tcBorders>
              <w:tl2br w:val="nil"/>
              <w:tr2bl w:val="nil"/>
            </w:tcBorders>
            <w:noWrap w:val="0"/>
            <w:vAlign w:val="center"/>
          </w:tcPr>
          <w:p w14:paraId="17421633">
            <w:pPr>
              <w:pStyle w:val="44"/>
              <w:bidi w:val="0"/>
              <w:rPr>
                <w:rFonts w:hint="default" w:ascii="Times New Roman" w:hAnsi="Times New Roman" w:cs="Times New Roman"/>
                <w:color w:val="auto"/>
              </w:rPr>
            </w:pPr>
            <w:r>
              <w:rPr>
                <w:rFonts w:hint="default" w:ascii="Times New Roman" w:hAnsi="Times New Roman" w:cs="Times New Roman"/>
                <w:color w:val="auto"/>
              </w:rPr>
              <w:t>1.5-3.0m</w:t>
            </w:r>
          </w:p>
        </w:tc>
        <w:tc>
          <w:tcPr>
            <w:tcW w:w="755" w:type="pct"/>
            <w:vMerge w:val="continue"/>
            <w:tcBorders>
              <w:tl2br w:val="nil"/>
              <w:tr2bl w:val="nil"/>
            </w:tcBorders>
            <w:noWrap w:val="0"/>
            <w:vAlign w:val="center"/>
          </w:tcPr>
          <w:p w14:paraId="2A0101E6">
            <w:pPr>
              <w:pStyle w:val="44"/>
              <w:bidi w:val="0"/>
              <w:rPr>
                <w:rFonts w:hint="default" w:ascii="Times New Roman" w:hAnsi="Times New Roman" w:cs="Times New Roman"/>
                <w:color w:val="auto"/>
              </w:rPr>
            </w:pPr>
          </w:p>
        </w:tc>
        <w:tc>
          <w:tcPr>
            <w:tcW w:w="723" w:type="pct"/>
            <w:vMerge w:val="continue"/>
            <w:tcBorders>
              <w:tl2br w:val="nil"/>
              <w:tr2bl w:val="nil"/>
            </w:tcBorders>
            <w:noWrap w:val="0"/>
            <w:vAlign w:val="center"/>
          </w:tcPr>
          <w:p w14:paraId="302AE280">
            <w:pPr>
              <w:pStyle w:val="44"/>
              <w:bidi w:val="0"/>
              <w:rPr>
                <w:rFonts w:hint="default" w:ascii="Times New Roman" w:hAnsi="Times New Roman" w:cs="Times New Roman"/>
                <w:color w:val="auto"/>
              </w:rPr>
            </w:pPr>
          </w:p>
        </w:tc>
        <w:tc>
          <w:tcPr>
            <w:tcW w:w="520" w:type="pct"/>
            <w:vMerge w:val="continue"/>
            <w:tcBorders>
              <w:tl2br w:val="nil"/>
              <w:tr2bl w:val="nil"/>
            </w:tcBorders>
            <w:noWrap w:val="0"/>
            <w:vAlign w:val="center"/>
          </w:tcPr>
          <w:p w14:paraId="6CFAC14D">
            <w:pPr>
              <w:pStyle w:val="44"/>
              <w:bidi w:val="0"/>
              <w:rPr>
                <w:rFonts w:hint="default" w:ascii="Times New Roman" w:hAnsi="Times New Roman" w:cs="Times New Roman"/>
                <w:color w:val="auto"/>
              </w:rPr>
            </w:pPr>
          </w:p>
        </w:tc>
        <w:tc>
          <w:tcPr>
            <w:tcW w:w="481" w:type="pct"/>
            <w:vMerge w:val="continue"/>
            <w:tcBorders>
              <w:tl2br w:val="nil"/>
              <w:tr2bl w:val="nil"/>
            </w:tcBorders>
            <w:noWrap w:val="0"/>
            <w:vAlign w:val="center"/>
          </w:tcPr>
          <w:p w14:paraId="228294AA">
            <w:pPr>
              <w:pStyle w:val="44"/>
              <w:bidi w:val="0"/>
              <w:rPr>
                <w:rFonts w:hint="default" w:ascii="Times New Roman" w:hAnsi="Times New Roman" w:cs="Times New Roman"/>
                <w:color w:val="auto"/>
              </w:rPr>
            </w:pPr>
          </w:p>
        </w:tc>
      </w:tr>
      <w:tr w14:paraId="67C8FE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02" w:hRule="exact"/>
          <w:jc w:val="center"/>
        </w:trPr>
        <w:tc>
          <w:tcPr>
            <w:tcW w:w="660" w:type="pct"/>
            <w:tcBorders>
              <w:tl2br w:val="nil"/>
              <w:tr2bl w:val="nil"/>
            </w:tcBorders>
            <w:noWrap w:val="0"/>
            <w:vAlign w:val="center"/>
          </w:tcPr>
          <w:p w14:paraId="15D66E68">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pH</w:t>
            </w:r>
          </w:p>
        </w:tc>
        <w:tc>
          <w:tcPr>
            <w:tcW w:w="567" w:type="pct"/>
            <w:tcBorders>
              <w:tl2br w:val="nil"/>
              <w:tr2bl w:val="nil"/>
            </w:tcBorders>
            <w:noWrap w:val="0"/>
            <w:vAlign w:val="center"/>
          </w:tcPr>
          <w:p w14:paraId="19FDFA1B">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7.64</w:t>
            </w:r>
          </w:p>
        </w:tc>
        <w:tc>
          <w:tcPr>
            <w:tcW w:w="648" w:type="pct"/>
            <w:tcBorders>
              <w:tl2br w:val="nil"/>
              <w:tr2bl w:val="nil"/>
            </w:tcBorders>
            <w:noWrap w:val="0"/>
            <w:vAlign w:val="center"/>
          </w:tcPr>
          <w:p w14:paraId="7496A9BB">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7.53</w:t>
            </w:r>
          </w:p>
        </w:tc>
        <w:tc>
          <w:tcPr>
            <w:tcW w:w="643" w:type="pct"/>
            <w:tcBorders>
              <w:tl2br w:val="nil"/>
              <w:tr2bl w:val="nil"/>
            </w:tcBorders>
            <w:noWrap w:val="0"/>
            <w:vAlign w:val="center"/>
          </w:tcPr>
          <w:p w14:paraId="4F36548C">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7.00</w:t>
            </w:r>
          </w:p>
        </w:tc>
        <w:tc>
          <w:tcPr>
            <w:tcW w:w="755" w:type="pct"/>
            <w:tcBorders>
              <w:tl2br w:val="nil"/>
              <w:tr2bl w:val="nil"/>
            </w:tcBorders>
            <w:noWrap w:val="0"/>
            <w:vAlign w:val="center"/>
          </w:tcPr>
          <w:p w14:paraId="5565E932">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无量纲</w:t>
            </w:r>
          </w:p>
        </w:tc>
        <w:tc>
          <w:tcPr>
            <w:tcW w:w="723" w:type="pct"/>
            <w:tcBorders>
              <w:tl2br w:val="nil"/>
              <w:tr2bl w:val="nil"/>
            </w:tcBorders>
            <w:noWrap w:val="0"/>
            <w:vAlign w:val="center"/>
          </w:tcPr>
          <w:p w14:paraId="0A62ED3E">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520" w:type="pct"/>
            <w:tcBorders>
              <w:tl2br w:val="nil"/>
              <w:tr2bl w:val="nil"/>
            </w:tcBorders>
            <w:noWrap w:val="0"/>
            <w:vAlign w:val="center"/>
          </w:tcPr>
          <w:p w14:paraId="2D932796">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481" w:type="pct"/>
            <w:tcBorders>
              <w:tl2br w:val="nil"/>
              <w:tr2bl w:val="nil"/>
            </w:tcBorders>
            <w:noWrap w:val="0"/>
            <w:vAlign w:val="center"/>
          </w:tcPr>
          <w:p w14:paraId="6146E53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r>
      <w:tr w14:paraId="6F7815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660" w:type="pct"/>
            <w:tcBorders>
              <w:tl2br w:val="nil"/>
              <w:tr2bl w:val="nil"/>
            </w:tcBorders>
            <w:noWrap w:val="0"/>
            <w:vAlign w:val="center"/>
          </w:tcPr>
          <w:p w14:paraId="3D43C57C">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汞</w:t>
            </w:r>
          </w:p>
        </w:tc>
        <w:tc>
          <w:tcPr>
            <w:tcW w:w="567" w:type="pct"/>
            <w:tcBorders>
              <w:tl2br w:val="nil"/>
              <w:tr2bl w:val="nil"/>
            </w:tcBorders>
            <w:noWrap w:val="0"/>
            <w:vAlign w:val="center"/>
          </w:tcPr>
          <w:p w14:paraId="17D87130">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0.</w:t>
            </w:r>
            <w:r>
              <w:rPr>
                <w:rFonts w:hint="default" w:ascii="Times New Roman" w:hAnsi="Times New Roman" w:cs="Times New Roman"/>
                <w:color w:val="auto"/>
                <w:lang w:val="en-US" w:eastAsia="zh-CN"/>
              </w:rPr>
              <w:t>032</w:t>
            </w:r>
          </w:p>
        </w:tc>
        <w:tc>
          <w:tcPr>
            <w:tcW w:w="648" w:type="pct"/>
            <w:tcBorders>
              <w:tl2br w:val="nil"/>
              <w:tr2bl w:val="nil"/>
            </w:tcBorders>
            <w:noWrap w:val="0"/>
            <w:vAlign w:val="center"/>
          </w:tcPr>
          <w:p w14:paraId="48A74A63">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0.</w:t>
            </w:r>
            <w:r>
              <w:rPr>
                <w:rFonts w:hint="default" w:ascii="Times New Roman" w:hAnsi="Times New Roman" w:cs="Times New Roman"/>
                <w:color w:val="auto"/>
                <w:lang w:val="en-US" w:eastAsia="zh-CN"/>
              </w:rPr>
              <w:t>031</w:t>
            </w:r>
          </w:p>
        </w:tc>
        <w:tc>
          <w:tcPr>
            <w:tcW w:w="643" w:type="pct"/>
            <w:tcBorders>
              <w:tl2br w:val="nil"/>
              <w:tr2bl w:val="nil"/>
            </w:tcBorders>
            <w:noWrap w:val="0"/>
            <w:vAlign w:val="center"/>
          </w:tcPr>
          <w:p w14:paraId="790D0656">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0.</w:t>
            </w:r>
            <w:r>
              <w:rPr>
                <w:rFonts w:hint="default" w:ascii="Times New Roman" w:hAnsi="Times New Roman" w:cs="Times New Roman"/>
                <w:color w:val="auto"/>
                <w:lang w:val="en-US" w:eastAsia="zh-CN"/>
              </w:rPr>
              <w:t>032</w:t>
            </w:r>
          </w:p>
        </w:tc>
        <w:tc>
          <w:tcPr>
            <w:tcW w:w="755" w:type="pct"/>
            <w:tcBorders>
              <w:tl2br w:val="nil"/>
              <w:tr2bl w:val="nil"/>
            </w:tcBorders>
            <w:noWrap w:val="0"/>
            <w:vAlign w:val="center"/>
          </w:tcPr>
          <w:p w14:paraId="3230CFAC">
            <w:pPr>
              <w:pStyle w:val="44"/>
              <w:bidi w:val="0"/>
              <w:rPr>
                <w:rFonts w:hint="default" w:ascii="Times New Roman" w:hAnsi="Times New Roman" w:cs="Times New Roman"/>
                <w:color w:val="auto"/>
              </w:rPr>
            </w:pPr>
            <w:r>
              <w:rPr>
                <w:rFonts w:hint="default" w:ascii="Times New Roman" w:hAnsi="Times New Roman" w:cs="Times New Roman"/>
                <w:color w:val="auto"/>
              </w:rPr>
              <w:t>mg/kg</w:t>
            </w:r>
          </w:p>
        </w:tc>
        <w:tc>
          <w:tcPr>
            <w:tcW w:w="1232" w:type="dxa"/>
            <w:tcBorders>
              <w:tl2br w:val="nil"/>
              <w:tr2bl w:val="nil"/>
            </w:tcBorders>
            <w:noWrap w:val="0"/>
            <w:vAlign w:val="center"/>
          </w:tcPr>
          <w:p w14:paraId="37EA87BF">
            <w:pPr>
              <w:pStyle w:val="44"/>
              <w:bidi w:val="0"/>
              <w:ind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38</w:t>
            </w:r>
          </w:p>
        </w:tc>
        <w:tc>
          <w:tcPr>
            <w:tcW w:w="520" w:type="pct"/>
            <w:tcBorders>
              <w:tl2br w:val="nil"/>
              <w:tr2bl w:val="nil"/>
            </w:tcBorders>
            <w:noWrap w:val="0"/>
            <w:vAlign w:val="center"/>
          </w:tcPr>
          <w:p w14:paraId="3DC9EBFB">
            <w:pPr>
              <w:pStyle w:val="44"/>
              <w:bidi w:val="0"/>
              <w:rPr>
                <w:rFonts w:hint="default" w:ascii="Times New Roman" w:hAnsi="Times New Roman" w:cs="Times New Roman"/>
                <w:color w:val="auto"/>
              </w:rPr>
            </w:pPr>
            <w:r>
              <w:rPr>
                <w:rFonts w:hint="default" w:ascii="Times New Roman" w:hAnsi="Times New Roman" w:cs="Times New Roman"/>
                <w:color w:val="auto"/>
              </w:rPr>
              <w:t>0</w:t>
            </w:r>
          </w:p>
        </w:tc>
        <w:tc>
          <w:tcPr>
            <w:tcW w:w="481" w:type="pct"/>
            <w:tcBorders>
              <w:tl2br w:val="nil"/>
              <w:tr2bl w:val="nil"/>
            </w:tcBorders>
            <w:noWrap w:val="0"/>
            <w:vAlign w:val="center"/>
          </w:tcPr>
          <w:p w14:paraId="5B913CAA">
            <w:pPr>
              <w:pStyle w:val="44"/>
              <w:bidi w:val="0"/>
              <w:rPr>
                <w:rFonts w:hint="default" w:ascii="Times New Roman" w:hAnsi="Times New Roman" w:cs="Times New Roman"/>
                <w:color w:val="auto"/>
              </w:rPr>
            </w:pPr>
            <w:r>
              <w:rPr>
                <w:rFonts w:hint="default" w:ascii="Times New Roman" w:hAnsi="Times New Roman" w:cs="Times New Roman"/>
                <w:color w:val="auto"/>
              </w:rPr>
              <w:t>达标</w:t>
            </w:r>
          </w:p>
        </w:tc>
      </w:tr>
      <w:tr w14:paraId="3D0687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660" w:type="pct"/>
            <w:tcBorders>
              <w:tl2br w:val="nil"/>
              <w:tr2bl w:val="nil"/>
            </w:tcBorders>
            <w:noWrap w:val="0"/>
            <w:vAlign w:val="center"/>
          </w:tcPr>
          <w:p w14:paraId="551D0938">
            <w:pPr>
              <w:pStyle w:val="44"/>
              <w:bidi w:val="0"/>
              <w:rPr>
                <w:rFonts w:hint="default" w:ascii="Times New Roman" w:hAnsi="Times New Roman" w:cs="Times New Roman"/>
                <w:color w:val="auto"/>
              </w:rPr>
            </w:pPr>
            <w:r>
              <w:rPr>
                <w:rFonts w:hint="default" w:ascii="Times New Roman" w:hAnsi="Times New Roman" w:cs="Times New Roman"/>
                <w:color w:val="auto"/>
              </w:rPr>
              <w:t>砷</w:t>
            </w:r>
          </w:p>
        </w:tc>
        <w:tc>
          <w:tcPr>
            <w:tcW w:w="567" w:type="pct"/>
            <w:tcBorders>
              <w:tl2br w:val="nil"/>
              <w:tr2bl w:val="nil"/>
            </w:tcBorders>
            <w:noWrap w:val="0"/>
            <w:vAlign w:val="center"/>
          </w:tcPr>
          <w:p w14:paraId="012D0137">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10.1</w:t>
            </w:r>
          </w:p>
        </w:tc>
        <w:tc>
          <w:tcPr>
            <w:tcW w:w="648" w:type="pct"/>
            <w:tcBorders>
              <w:tl2br w:val="nil"/>
              <w:tr2bl w:val="nil"/>
            </w:tcBorders>
            <w:noWrap w:val="0"/>
            <w:vAlign w:val="center"/>
          </w:tcPr>
          <w:p w14:paraId="7CFBCFCD">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10.3</w:t>
            </w:r>
          </w:p>
        </w:tc>
        <w:tc>
          <w:tcPr>
            <w:tcW w:w="643" w:type="pct"/>
            <w:tcBorders>
              <w:tl2br w:val="nil"/>
              <w:tr2bl w:val="nil"/>
            </w:tcBorders>
            <w:noWrap w:val="0"/>
            <w:vAlign w:val="center"/>
          </w:tcPr>
          <w:p w14:paraId="70E212C6">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10.3</w:t>
            </w:r>
          </w:p>
        </w:tc>
        <w:tc>
          <w:tcPr>
            <w:tcW w:w="755" w:type="pct"/>
            <w:tcBorders>
              <w:tl2br w:val="nil"/>
              <w:tr2bl w:val="nil"/>
            </w:tcBorders>
            <w:noWrap w:val="0"/>
            <w:vAlign w:val="center"/>
          </w:tcPr>
          <w:p w14:paraId="08F44E4B">
            <w:pPr>
              <w:pStyle w:val="44"/>
              <w:bidi w:val="0"/>
              <w:rPr>
                <w:rFonts w:hint="default" w:ascii="Times New Roman" w:hAnsi="Times New Roman" w:cs="Times New Roman"/>
                <w:color w:val="auto"/>
              </w:rPr>
            </w:pPr>
            <w:r>
              <w:rPr>
                <w:rFonts w:hint="default" w:ascii="Times New Roman" w:hAnsi="Times New Roman" w:cs="Times New Roman"/>
                <w:color w:val="auto"/>
              </w:rPr>
              <w:t>mg/kg</w:t>
            </w:r>
          </w:p>
        </w:tc>
        <w:tc>
          <w:tcPr>
            <w:tcW w:w="1232" w:type="dxa"/>
            <w:tcBorders>
              <w:tl2br w:val="nil"/>
              <w:tr2bl w:val="nil"/>
            </w:tcBorders>
            <w:noWrap w:val="0"/>
            <w:vAlign w:val="center"/>
          </w:tcPr>
          <w:p w14:paraId="746F04D3">
            <w:pPr>
              <w:pStyle w:val="44"/>
              <w:bidi w:val="0"/>
              <w:ind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60</w:t>
            </w:r>
          </w:p>
        </w:tc>
        <w:tc>
          <w:tcPr>
            <w:tcW w:w="520" w:type="pct"/>
            <w:tcBorders>
              <w:tl2br w:val="nil"/>
              <w:tr2bl w:val="nil"/>
            </w:tcBorders>
            <w:noWrap w:val="0"/>
            <w:vAlign w:val="center"/>
          </w:tcPr>
          <w:p w14:paraId="249FF6BA">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w:t>
            </w:r>
          </w:p>
        </w:tc>
        <w:tc>
          <w:tcPr>
            <w:tcW w:w="481" w:type="pct"/>
            <w:tcBorders>
              <w:tl2br w:val="nil"/>
              <w:tr2bl w:val="nil"/>
            </w:tcBorders>
            <w:noWrap w:val="0"/>
            <w:vAlign w:val="center"/>
          </w:tcPr>
          <w:p w14:paraId="3C079694">
            <w:pPr>
              <w:pStyle w:val="44"/>
              <w:bidi w:val="0"/>
              <w:rPr>
                <w:rFonts w:hint="default" w:ascii="Times New Roman" w:hAnsi="Times New Roman" w:cs="Times New Roman"/>
                <w:color w:val="auto"/>
              </w:rPr>
            </w:pPr>
            <w:r>
              <w:rPr>
                <w:rFonts w:hint="default" w:ascii="Times New Roman" w:hAnsi="Times New Roman" w:cs="Times New Roman"/>
                <w:color w:val="auto"/>
              </w:rPr>
              <w:t>达标</w:t>
            </w:r>
          </w:p>
        </w:tc>
      </w:tr>
      <w:tr w14:paraId="47850E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660" w:type="pct"/>
            <w:tcBorders>
              <w:tl2br w:val="nil"/>
              <w:tr2bl w:val="nil"/>
            </w:tcBorders>
            <w:noWrap w:val="0"/>
            <w:vAlign w:val="center"/>
          </w:tcPr>
          <w:p w14:paraId="798D0D98">
            <w:pPr>
              <w:pStyle w:val="44"/>
              <w:bidi w:val="0"/>
              <w:rPr>
                <w:rFonts w:hint="default" w:ascii="Times New Roman" w:hAnsi="Times New Roman" w:cs="Times New Roman"/>
                <w:color w:val="auto"/>
              </w:rPr>
            </w:pPr>
            <w:r>
              <w:rPr>
                <w:rFonts w:hint="default" w:ascii="Times New Roman" w:hAnsi="Times New Roman" w:cs="Times New Roman"/>
                <w:color w:val="auto"/>
              </w:rPr>
              <w:t>铜</w:t>
            </w:r>
          </w:p>
        </w:tc>
        <w:tc>
          <w:tcPr>
            <w:tcW w:w="567" w:type="pct"/>
            <w:tcBorders>
              <w:tl2br w:val="nil"/>
              <w:tr2bl w:val="nil"/>
            </w:tcBorders>
            <w:noWrap w:val="0"/>
            <w:vAlign w:val="center"/>
          </w:tcPr>
          <w:p w14:paraId="6D536845">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34</w:t>
            </w:r>
          </w:p>
        </w:tc>
        <w:tc>
          <w:tcPr>
            <w:tcW w:w="648" w:type="pct"/>
            <w:tcBorders>
              <w:tl2br w:val="nil"/>
              <w:tr2bl w:val="nil"/>
            </w:tcBorders>
            <w:noWrap w:val="0"/>
            <w:vAlign w:val="center"/>
          </w:tcPr>
          <w:p w14:paraId="11209688">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35</w:t>
            </w:r>
          </w:p>
        </w:tc>
        <w:tc>
          <w:tcPr>
            <w:tcW w:w="643" w:type="pct"/>
            <w:tcBorders>
              <w:tl2br w:val="nil"/>
              <w:tr2bl w:val="nil"/>
            </w:tcBorders>
            <w:noWrap w:val="0"/>
            <w:vAlign w:val="center"/>
          </w:tcPr>
          <w:p w14:paraId="5B47BD0D">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35</w:t>
            </w:r>
          </w:p>
        </w:tc>
        <w:tc>
          <w:tcPr>
            <w:tcW w:w="755" w:type="pct"/>
            <w:tcBorders>
              <w:tl2br w:val="nil"/>
              <w:tr2bl w:val="nil"/>
            </w:tcBorders>
            <w:noWrap w:val="0"/>
            <w:vAlign w:val="center"/>
          </w:tcPr>
          <w:p w14:paraId="6811FDA8">
            <w:pPr>
              <w:pStyle w:val="44"/>
              <w:bidi w:val="0"/>
              <w:rPr>
                <w:rFonts w:hint="default" w:ascii="Times New Roman" w:hAnsi="Times New Roman" w:cs="Times New Roman"/>
                <w:color w:val="auto"/>
              </w:rPr>
            </w:pPr>
            <w:r>
              <w:rPr>
                <w:rFonts w:hint="default" w:ascii="Times New Roman" w:hAnsi="Times New Roman" w:cs="Times New Roman"/>
                <w:color w:val="auto"/>
              </w:rPr>
              <w:t>mg/kg</w:t>
            </w:r>
          </w:p>
        </w:tc>
        <w:tc>
          <w:tcPr>
            <w:tcW w:w="1232" w:type="dxa"/>
            <w:tcBorders>
              <w:tl2br w:val="nil"/>
              <w:tr2bl w:val="nil"/>
            </w:tcBorders>
            <w:noWrap w:val="0"/>
            <w:vAlign w:val="center"/>
          </w:tcPr>
          <w:p w14:paraId="164535DD">
            <w:pPr>
              <w:pStyle w:val="44"/>
              <w:bidi w:val="0"/>
              <w:ind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18000</w:t>
            </w:r>
          </w:p>
        </w:tc>
        <w:tc>
          <w:tcPr>
            <w:tcW w:w="520" w:type="pct"/>
            <w:tcBorders>
              <w:tl2br w:val="nil"/>
              <w:tr2bl w:val="nil"/>
            </w:tcBorders>
            <w:noWrap w:val="0"/>
            <w:vAlign w:val="center"/>
          </w:tcPr>
          <w:p w14:paraId="5FB1317C">
            <w:pPr>
              <w:pStyle w:val="44"/>
              <w:bidi w:val="0"/>
              <w:rPr>
                <w:rFonts w:hint="default" w:ascii="Times New Roman" w:hAnsi="Times New Roman" w:cs="Times New Roman"/>
                <w:color w:val="auto"/>
              </w:rPr>
            </w:pPr>
            <w:r>
              <w:rPr>
                <w:rFonts w:hint="default" w:ascii="Times New Roman" w:hAnsi="Times New Roman" w:cs="Times New Roman"/>
                <w:color w:val="auto"/>
              </w:rPr>
              <w:t>0</w:t>
            </w:r>
          </w:p>
        </w:tc>
        <w:tc>
          <w:tcPr>
            <w:tcW w:w="481" w:type="pct"/>
            <w:tcBorders>
              <w:tl2br w:val="nil"/>
              <w:tr2bl w:val="nil"/>
            </w:tcBorders>
            <w:noWrap w:val="0"/>
            <w:vAlign w:val="center"/>
          </w:tcPr>
          <w:p w14:paraId="31E72AE1">
            <w:pPr>
              <w:pStyle w:val="44"/>
              <w:bidi w:val="0"/>
              <w:rPr>
                <w:rFonts w:hint="default" w:ascii="Times New Roman" w:hAnsi="Times New Roman" w:cs="Times New Roman"/>
                <w:color w:val="auto"/>
              </w:rPr>
            </w:pPr>
            <w:r>
              <w:rPr>
                <w:rFonts w:hint="default" w:ascii="Times New Roman" w:hAnsi="Times New Roman" w:cs="Times New Roman"/>
                <w:color w:val="auto"/>
              </w:rPr>
              <w:t>达标</w:t>
            </w:r>
          </w:p>
        </w:tc>
      </w:tr>
      <w:tr w14:paraId="1AAD2C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660" w:type="pct"/>
            <w:tcBorders>
              <w:tl2br w:val="nil"/>
              <w:tr2bl w:val="nil"/>
            </w:tcBorders>
            <w:noWrap w:val="0"/>
            <w:vAlign w:val="center"/>
          </w:tcPr>
          <w:p w14:paraId="744F6A73">
            <w:pPr>
              <w:pStyle w:val="44"/>
              <w:bidi w:val="0"/>
              <w:rPr>
                <w:rFonts w:hint="default" w:ascii="Times New Roman" w:hAnsi="Times New Roman" w:cs="Times New Roman"/>
                <w:color w:val="auto"/>
              </w:rPr>
            </w:pPr>
            <w:r>
              <w:rPr>
                <w:rFonts w:hint="default" w:ascii="Times New Roman" w:hAnsi="Times New Roman" w:cs="Times New Roman"/>
                <w:color w:val="auto"/>
              </w:rPr>
              <w:t>镍</w:t>
            </w:r>
          </w:p>
        </w:tc>
        <w:tc>
          <w:tcPr>
            <w:tcW w:w="567" w:type="pct"/>
            <w:tcBorders>
              <w:tl2br w:val="nil"/>
              <w:tr2bl w:val="nil"/>
            </w:tcBorders>
            <w:noWrap w:val="0"/>
            <w:vAlign w:val="center"/>
          </w:tcPr>
          <w:p w14:paraId="3848FD29">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54</w:t>
            </w:r>
          </w:p>
        </w:tc>
        <w:tc>
          <w:tcPr>
            <w:tcW w:w="648" w:type="pct"/>
            <w:tcBorders>
              <w:tl2br w:val="nil"/>
              <w:tr2bl w:val="nil"/>
            </w:tcBorders>
            <w:noWrap w:val="0"/>
            <w:vAlign w:val="center"/>
          </w:tcPr>
          <w:p w14:paraId="553855FA">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56</w:t>
            </w:r>
          </w:p>
        </w:tc>
        <w:tc>
          <w:tcPr>
            <w:tcW w:w="643" w:type="pct"/>
            <w:tcBorders>
              <w:tl2br w:val="nil"/>
              <w:tr2bl w:val="nil"/>
            </w:tcBorders>
            <w:noWrap w:val="0"/>
            <w:vAlign w:val="center"/>
          </w:tcPr>
          <w:p w14:paraId="6C996A16">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53</w:t>
            </w:r>
          </w:p>
        </w:tc>
        <w:tc>
          <w:tcPr>
            <w:tcW w:w="755" w:type="pct"/>
            <w:tcBorders>
              <w:tl2br w:val="nil"/>
              <w:tr2bl w:val="nil"/>
            </w:tcBorders>
            <w:noWrap w:val="0"/>
            <w:vAlign w:val="center"/>
          </w:tcPr>
          <w:p w14:paraId="0B568B69">
            <w:pPr>
              <w:pStyle w:val="44"/>
              <w:bidi w:val="0"/>
              <w:rPr>
                <w:rFonts w:hint="default" w:ascii="Times New Roman" w:hAnsi="Times New Roman" w:cs="Times New Roman"/>
                <w:color w:val="auto"/>
              </w:rPr>
            </w:pPr>
            <w:r>
              <w:rPr>
                <w:rFonts w:hint="default" w:ascii="Times New Roman" w:hAnsi="Times New Roman" w:cs="Times New Roman"/>
                <w:color w:val="auto"/>
              </w:rPr>
              <w:t>mg/kg</w:t>
            </w:r>
          </w:p>
        </w:tc>
        <w:tc>
          <w:tcPr>
            <w:tcW w:w="1232" w:type="dxa"/>
            <w:tcBorders>
              <w:tl2br w:val="nil"/>
              <w:tr2bl w:val="nil"/>
            </w:tcBorders>
            <w:noWrap w:val="0"/>
            <w:vAlign w:val="center"/>
          </w:tcPr>
          <w:p w14:paraId="3A8785C1">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900</w:t>
            </w:r>
          </w:p>
        </w:tc>
        <w:tc>
          <w:tcPr>
            <w:tcW w:w="520" w:type="pct"/>
            <w:tcBorders>
              <w:tl2br w:val="nil"/>
              <w:tr2bl w:val="nil"/>
            </w:tcBorders>
            <w:noWrap w:val="0"/>
            <w:vAlign w:val="center"/>
          </w:tcPr>
          <w:p w14:paraId="1BB2F89E">
            <w:pPr>
              <w:pStyle w:val="44"/>
              <w:bidi w:val="0"/>
              <w:rPr>
                <w:rFonts w:hint="default" w:ascii="Times New Roman" w:hAnsi="Times New Roman" w:cs="Times New Roman"/>
                <w:color w:val="auto"/>
              </w:rPr>
            </w:pPr>
            <w:r>
              <w:rPr>
                <w:rFonts w:hint="default" w:ascii="Times New Roman" w:hAnsi="Times New Roman" w:cs="Times New Roman"/>
                <w:color w:val="auto"/>
              </w:rPr>
              <w:t>0</w:t>
            </w:r>
          </w:p>
        </w:tc>
        <w:tc>
          <w:tcPr>
            <w:tcW w:w="481" w:type="pct"/>
            <w:tcBorders>
              <w:tl2br w:val="nil"/>
              <w:tr2bl w:val="nil"/>
            </w:tcBorders>
            <w:noWrap w:val="0"/>
            <w:vAlign w:val="center"/>
          </w:tcPr>
          <w:p w14:paraId="438E7EA6">
            <w:pPr>
              <w:pStyle w:val="44"/>
              <w:bidi w:val="0"/>
              <w:rPr>
                <w:rFonts w:hint="default" w:ascii="Times New Roman" w:hAnsi="Times New Roman" w:cs="Times New Roman"/>
                <w:color w:val="auto"/>
              </w:rPr>
            </w:pPr>
            <w:r>
              <w:rPr>
                <w:rFonts w:hint="default" w:ascii="Times New Roman" w:hAnsi="Times New Roman" w:cs="Times New Roman"/>
                <w:color w:val="auto"/>
              </w:rPr>
              <w:t>达标</w:t>
            </w:r>
          </w:p>
        </w:tc>
      </w:tr>
      <w:tr w14:paraId="3CDAFA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660" w:type="pct"/>
            <w:tcBorders>
              <w:tl2br w:val="nil"/>
              <w:tr2bl w:val="nil"/>
            </w:tcBorders>
            <w:noWrap w:val="0"/>
            <w:vAlign w:val="center"/>
          </w:tcPr>
          <w:p w14:paraId="13C3AD50">
            <w:pPr>
              <w:pStyle w:val="44"/>
              <w:bidi w:val="0"/>
              <w:rPr>
                <w:rFonts w:hint="default" w:ascii="Times New Roman" w:hAnsi="Times New Roman" w:cs="Times New Roman"/>
                <w:color w:val="auto"/>
              </w:rPr>
            </w:pPr>
            <w:r>
              <w:rPr>
                <w:rFonts w:hint="default" w:ascii="Times New Roman" w:hAnsi="Times New Roman" w:cs="Times New Roman"/>
                <w:color w:val="auto"/>
              </w:rPr>
              <w:t>铅</w:t>
            </w:r>
          </w:p>
        </w:tc>
        <w:tc>
          <w:tcPr>
            <w:tcW w:w="567" w:type="pct"/>
            <w:tcBorders>
              <w:tl2br w:val="nil"/>
              <w:tr2bl w:val="nil"/>
            </w:tcBorders>
            <w:noWrap w:val="0"/>
            <w:vAlign w:val="center"/>
          </w:tcPr>
          <w:p w14:paraId="7AE73A6E">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33.7</w:t>
            </w:r>
          </w:p>
        </w:tc>
        <w:tc>
          <w:tcPr>
            <w:tcW w:w="648" w:type="pct"/>
            <w:tcBorders>
              <w:tl2br w:val="nil"/>
              <w:tr2bl w:val="nil"/>
            </w:tcBorders>
            <w:noWrap w:val="0"/>
            <w:vAlign w:val="center"/>
          </w:tcPr>
          <w:p w14:paraId="2871D3A7">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37.0</w:t>
            </w:r>
          </w:p>
        </w:tc>
        <w:tc>
          <w:tcPr>
            <w:tcW w:w="643" w:type="pct"/>
            <w:tcBorders>
              <w:tl2br w:val="nil"/>
              <w:tr2bl w:val="nil"/>
            </w:tcBorders>
            <w:noWrap w:val="0"/>
            <w:vAlign w:val="center"/>
          </w:tcPr>
          <w:p w14:paraId="3B1DDAAF">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33.5</w:t>
            </w:r>
          </w:p>
        </w:tc>
        <w:tc>
          <w:tcPr>
            <w:tcW w:w="755" w:type="pct"/>
            <w:tcBorders>
              <w:tl2br w:val="nil"/>
              <w:tr2bl w:val="nil"/>
            </w:tcBorders>
            <w:noWrap w:val="0"/>
            <w:vAlign w:val="center"/>
          </w:tcPr>
          <w:p w14:paraId="14D22EBB">
            <w:pPr>
              <w:pStyle w:val="44"/>
              <w:bidi w:val="0"/>
              <w:rPr>
                <w:rFonts w:hint="default" w:ascii="Times New Roman" w:hAnsi="Times New Roman" w:cs="Times New Roman"/>
                <w:color w:val="auto"/>
              </w:rPr>
            </w:pPr>
            <w:r>
              <w:rPr>
                <w:rFonts w:hint="default" w:ascii="Times New Roman" w:hAnsi="Times New Roman" w:cs="Times New Roman"/>
                <w:color w:val="auto"/>
              </w:rPr>
              <w:t>mg/kg</w:t>
            </w:r>
          </w:p>
        </w:tc>
        <w:tc>
          <w:tcPr>
            <w:tcW w:w="1232" w:type="dxa"/>
            <w:tcBorders>
              <w:tl2br w:val="nil"/>
              <w:tr2bl w:val="nil"/>
            </w:tcBorders>
            <w:noWrap w:val="0"/>
            <w:vAlign w:val="center"/>
          </w:tcPr>
          <w:p w14:paraId="65D9F0E4">
            <w:pPr>
              <w:pStyle w:val="44"/>
              <w:bidi w:val="0"/>
              <w:ind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800</w:t>
            </w:r>
          </w:p>
        </w:tc>
        <w:tc>
          <w:tcPr>
            <w:tcW w:w="520" w:type="pct"/>
            <w:tcBorders>
              <w:tl2br w:val="nil"/>
              <w:tr2bl w:val="nil"/>
            </w:tcBorders>
            <w:noWrap w:val="0"/>
            <w:vAlign w:val="center"/>
          </w:tcPr>
          <w:p w14:paraId="71D1E858">
            <w:pPr>
              <w:pStyle w:val="44"/>
              <w:bidi w:val="0"/>
              <w:rPr>
                <w:rFonts w:hint="default" w:ascii="Times New Roman" w:hAnsi="Times New Roman" w:cs="Times New Roman"/>
                <w:color w:val="auto"/>
              </w:rPr>
            </w:pPr>
            <w:r>
              <w:rPr>
                <w:rFonts w:hint="default" w:ascii="Times New Roman" w:hAnsi="Times New Roman" w:cs="Times New Roman"/>
                <w:color w:val="auto"/>
              </w:rPr>
              <w:t>0</w:t>
            </w:r>
          </w:p>
        </w:tc>
        <w:tc>
          <w:tcPr>
            <w:tcW w:w="481" w:type="pct"/>
            <w:tcBorders>
              <w:tl2br w:val="nil"/>
              <w:tr2bl w:val="nil"/>
            </w:tcBorders>
            <w:noWrap w:val="0"/>
            <w:vAlign w:val="center"/>
          </w:tcPr>
          <w:p w14:paraId="59F5E6FE">
            <w:pPr>
              <w:pStyle w:val="44"/>
              <w:bidi w:val="0"/>
              <w:rPr>
                <w:rFonts w:hint="default" w:ascii="Times New Roman" w:hAnsi="Times New Roman" w:cs="Times New Roman"/>
                <w:color w:val="auto"/>
              </w:rPr>
            </w:pPr>
            <w:r>
              <w:rPr>
                <w:rFonts w:hint="default" w:ascii="Times New Roman" w:hAnsi="Times New Roman" w:cs="Times New Roman"/>
                <w:color w:val="auto"/>
              </w:rPr>
              <w:t>达标</w:t>
            </w:r>
          </w:p>
        </w:tc>
      </w:tr>
      <w:tr w14:paraId="630F7C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660" w:type="pct"/>
            <w:tcBorders>
              <w:tl2br w:val="nil"/>
              <w:tr2bl w:val="nil"/>
            </w:tcBorders>
            <w:noWrap w:val="0"/>
            <w:vAlign w:val="center"/>
          </w:tcPr>
          <w:p w14:paraId="23BF1B9F">
            <w:pPr>
              <w:pStyle w:val="44"/>
              <w:bidi w:val="0"/>
              <w:rPr>
                <w:rFonts w:hint="default" w:ascii="Times New Roman" w:hAnsi="Times New Roman" w:cs="Times New Roman"/>
                <w:color w:val="auto"/>
              </w:rPr>
            </w:pPr>
            <w:r>
              <w:rPr>
                <w:rFonts w:hint="default" w:ascii="Times New Roman" w:hAnsi="Times New Roman" w:cs="Times New Roman"/>
                <w:color w:val="auto"/>
              </w:rPr>
              <w:t>镉</w:t>
            </w:r>
          </w:p>
        </w:tc>
        <w:tc>
          <w:tcPr>
            <w:tcW w:w="567" w:type="pct"/>
            <w:tcBorders>
              <w:tl2br w:val="nil"/>
              <w:tr2bl w:val="nil"/>
            </w:tcBorders>
            <w:noWrap w:val="0"/>
            <w:vAlign w:val="center"/>
          </w:tcPr>
          <w:p w14:paraId="0ED484DD">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0.06</w:t>
            </w:r>
          </w:p>
        </w:tc>
        <w:tc>
          <w:tcPr>
            <w:tcW w:w="648" w:type="pct"/>
            <w:tcBorders>
              <w:tl2br w:val="nil"/>
              <w:tr2bl w:val="nil"/>
            </w:tcBorders>
            <w:noWrap w:val="0"/>
            <w:vAlign w:val="center"/>
          </w:tcPr>
          <w:p w14:paraId="25C04E5A">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0.</w:t>
            </w:r>
            <w:r>
              <w:rPr>
                <w:rFonts w:hint="default" w:ascii="Times New Roman" w:hAnsi="Times New Roman" w:cs="Times New Roman"/>
                <w:color w:val="auto"/>
                <w:lang w:val="en-US" w:eastAsia="zh-CN"/>
              </w:rPr>
              <w:t>06</w:t>
            </w:r>
          </w:p>
        </w:tc>
        <w:tc>
          <w:tcPr>
            <w:tcW w:w="643" w:type="pct"/>
            <w:tcBorders>
              <w:tl2br w:val="nil"/>
              <w:tr2bl w:val="nil"/>
            </w:tcBorders>
            <w:noWrap w:val="0"/>
            <w:vAlign w:val="center"/>
          </w:tcPr>
          <w:p w14:paraId="5239E337">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rPr>
              <w:t>0.</w:t>
            </w:r>
            <w:r>
              <w:rPr>
                <w:rFonts w:hint="default" w:ascii="Times New Roman" w:hAnsi="Times New Roman" w:cs="Times New Roman"/>
                <w:color w:val="auto"/>
                <w:lang w:val="en-US" w:eastAsia="zh-CN"/>
              </w:rPr>
              <w:t>08</w:t>
            </w:r>
          </w:p>
        </w:tc>
        <w:tc>
          <w:tcPr>
            <w:tcW w:w="755" w:type="pct"/>
            <w:tcBorders>
              <w:tl2br w:val="nil"/>
              <w:tr2bl w:val="nil"/>
            </w:tcBorders>
            <w:noWrap w:val="0"/>
            <w:vAlign w:val="center"/>
          </w:tcPr>
          <w:p w14:paraId="39A4D898">
            <w:pPr>
              <w:pStyle w:val="44"/>
              <w:bidi w:val="0"/>
              <w:rPr>
                <w:rFonts w:hint="default" w:ascii="Times New Roman" w:hAnsi="Times New Roman" w:cs="Times New Roman"/>
                <w:color w:val="auto"/>
              </w:rPr>
            </w:pPr>
            <w:r>
              <w:rPr>
                <w:rFonts w:hint="default" w:ascii="Times New Roman" w:hAnsi="Times New Roman" w:cs="Times New Roman"/>
                <w:color w:val="auto"/>
              </w:rPr>
              <w:t>mg/kg</w:t>
            </w:r>
          </w:p>
        </w:tc>
        <w:tc>
          <w:tcPr>
            <w:tcW w:w="1232" w:type="dxa"/>
            <w:tcBorders>
              <w:tl2br w:val="nil"/>
              <w:tr2bl w:val="nil"/>
            </w:tcBorders>
            <w:noWrap w:val="0"/>
            <w:vAlign w:val="center"/>
          </w:tcPr>
          <w:p w14:paraId="3326635A">
            <w:pPr>
              <w:pStyle w:val="44"/>
              <w:bidi w:val="0"/>
              <w:ind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65</w:t>
            </w:r>
          </w:p>
        </w:tc>
        <w:tc>
          <w:tcPr>
            <w:tcW w:w="520" w:type="pct"/>
            <w:tcBorders>
              <w:tl2br w:val="nil"/>
              <w:tr2bl w:val="nil"/>
            </w:tcBorders>
            <w:noWrap w:val="0"/>
            <w:vAlign w:val="center"/>
          </w:tcPr>
          <w:p w14:paraId="6228FA58">
            <w:pPr>
              <w:pStyle w:val="44"/>
              <w:bidi w:val="0"/>
              <w:rPr>
                <w:rFonts w:hint="default" w:ascii="Times New Roman" w:hAnsi="Times New Roman" w:cs="Times New Roman"/>
                <w:color w:val="auto"/>
              </w:rPr>
            </w:pPr>
            <w:r>
              <w:rPr>
                <w:rFonts w:hint="default" w:ascii="Times New Roman" w:hAnsi="Times New Roman" w:cs="Times New Roman"/>
                <w:color w:val="auto"/>
              </w:rPr>
              <w:t>0</w:t>
            </w:r>
          </w:p>
        </w:tc>
        <w:tc>
          <w:tcPr>
            <w:tcW w:w="481" w:type="pct"/>
            <w:tcBorders>
              <w:tl2br w:val="nil"/>
              <w:tr2bl w:val="nil"/>
            </w:tcBorders>
            <w:noWrap w:val="0"/>
            <w:vAlign w:val="center"/>
          </w:tcPr>
          <w:p w14:paraId="6CF1A61B">
            <w:pPr>
              <w:pStyle w:val="44"/>
              <w:bidi w:val="0"/>
              <w:rPr>
                <w:rFonts w:hint="default" w:ascii="Times New Roman" w:hAnsi="Times New Roman" w:cs="Times New Roman"/>
                <w:color w:val="auto"/>
              </w:rPr>
            </w:pPr>
            <w:r>
              <w:rPr>
                <w:rFonts w:hint="default" w:ascii="Times New Roman" w:hAnsi="Times New Roman" w:cs="Times New Roman"/>
                <w:color w:val="auto"/>
              </w:rPr>
              <w:t>达标</w:t>
            </w:r>
          </w:p>
        </w:tc>
      </w:tr>
      <w:tr w14:paraId="13A164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660" w:type="pct"/>
            <w:tcBorders>
              <w:tl2br w:val="nil"/>
              <w:tr2bl w:val="nil"/>
            </w:tcBorders>
            <w:noWrap w:val="0"/>
            <w:vAlign w:val="center"/>
          </w:tcPr>
          <w:p w14:paraId="53D44812">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锌</w:t>
            </w:r>
          </w:p>
        </w:tc>
        <w:tc>
          <w:tcPr>
            <w:tcW w:w="567" w:type="pct"/>
            <w:tcBorders>
              <w:tl2br w:val="nil"/>
              <w:tr2bl w:val="nil"/>
            </w:tcBorders>
            <w:noWrap w:val="0"/>
            <w:vAlign w:val="center"/>
          </w:tcPr>
          <w:p w14:paraId="34C011BC">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123</w:t>
            </w:r>
          </w:p>
        </w:tc>
        <w:tc>
          <w:tcPr>
            <w:tcW w:w="648" w:type="pct"/>
            <w:tcBorders>
              <w:tl2br w:val="nil"/>
              <w:tr2bl w:val="nil"/>
            </w:tcBorders>
            <w:noWrap w:val="0"/>
            <w:vAlign w:val="center"/>
          </w:tcPr>
          <w:p w14:paraId="2254304D">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124</w:t>
            </w:r>
          </w:p>
        </w:tc>
        <w:tc>
          <w:tcPr>
            <w:tcW w:w="643" w:type="pct"/>
            <w:tcBorders>
              <w:tl2br w:val="nil"/>
              <w:tr2bl w:val="nil"/>
            </w:tcBorders>
            <w:noWrap w:val="0"/>
            <w:vAlign w:val="center"/>
          </w:tcPr>
          <w:p w14:paraId="7941AB57">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124</w:t>
            </w:r>
          </w:p>
        </w:tc>
        <w:tc>
          <w:tcPr>
            <w:tcW w:w="755" w:type="pct"/>
            <w:tcBorders>
              <w:tl2br w:val="nil"/>
              <w:tr2bl w:val="nil"/>
            </w:tcBorders>
            <w:noWrap w:val="0"/>
            <w:vAlign w:val="center"/>
          </w:tcPr>
          <w:p w14:paraId="583421F3">
            <w:pPr>
              <w:pStyle w:val="44"/>
              <w:bidi w:val="0"/>
              <w:rPr>
                <w:rFonts w:hint="default" w:ascii="Times New Roman" w:hAnsi="Times New Roman" w:cs="Times New Roman"/>
                <w:color w:val="auto"/>
              </w:rPr>
            </w:pPr>
            <w:r>
              <w:rPr>
                <w:rFonts w:hint="default" w:ascii="Times New Roman" w:hAnsi="Times New Roman" w:cs="Times New Roman"/>
                <w:color w:val="auto"/>
              </w:rPr>
              <w:t>mg/kg</w:t>
            </w:r>
          </w:p>
        </w:tc>
        <w:tc>
          <w:tcPr>
            <w:tcW w:w="1232" w:type="dxa"/>
            <w:tcBorders>
              <w:tl2br w:val="nil"/>
              <w:tr2bl w:val="nil"/>
            </w:tcBorders>
            <w:noWrap w:val="0"/>
            <w:vAlign w:val="center"/>
          </w:tcPr>
          <w:p w14:paraId="7F58BA58">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200</w:t>
            </w:r>
          </w:p>
        </w:tc>
        <w:tc>
          <w:tcPr>
            <w:tcW w:w="520" w:type="pct"/>
            <w:tcBorders>
              <w:tl2br w:val="nil"/>
              <w:tr2bl w:val="nil"/>
            </w:tcBorders>
            <w:noWrap w:val="0"/>
            <w:vAlign w:val="center"/>
          </w:tcPr>
          <w:p w14:paraId="34C3D971">
            <w:pPr>
              <w:pStyle w:val="44"/>
              <w:bidi w:val="0"/>
              <w:rPr>
                <w:rFonts w:hint="default" w:ascii="Times New Roman" w:hAnsi="Times New Roman" w:cs="Times New Roman"/>
                <w:color w:val="auto"/>
              </w:rPr>
            </w:pPr>
            <w:r>
              <w:rPr>
                <w:rFonts w:hint="default" w:ascii="Times New Roman" w:hAnsi="Times New Roman" w:cs="Times New Roman"/>
                <w:color w:val="auto"/>
              </w:rPr>
              <w:t>0</w:t>
            </w:r>
          </w:p>
        </w:tc>
        <w:tc>
          <w:tcPr>
            <w:tcW w:w="481" w:type="pct"/>
            <w:tcBorders>
              <w:tl2br w:val="nil"/>
              <w:tr2bl w:val="nil"/>
            </w:tcBorders>
            <w:noWrap w:val="0"/>
            <w:vAlign w:val="center"/>
          </w:tcPr>
          <w:p w14:paraId="2FEB391F">
            <w:pPr>
              <w:pStyle w:val="44"/>
              <w:bidi w:val="0"/>
              <w:rPr>
                <w:rFonts w:hint="default" w:ascii="Times New Roman" w:hAnsi="Times New Roman" w:cs="Times New Roman"/>
                <w:color w:val="auto"/>
              </w:rPr>
            </w:pPr>
            <w:r>
              <w:rPr>
                <w:rFonts w:hint="default" w:ascii="Times New Roman" w:hAnsi="Times New Roman" w:cs="Times New Roman"/>
                <w:color w:val="auto"/>
              </w:rPr>
              <w:t>达标</w:t>
            </w:r>
          </w:p>
        </w:tc>
      </w:tr>
      <w:tr w14:paraId="37B863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660" w:type="pct"/>
            <w:tcBorders>
              <w:tl2br w:val="nil"/>
              <w:tr2bl w:val="nil"/>
            </w:tcBorders>
            <w:noWrap w:val="0"/>
            <w:vAlign w:val="center"/>
          </w:tcPr>
          <w:p w14:paraId="56AE2EE7">
            <w:pPr>
              <w:pStyle w:val="44"/>
              <w:bidi w:val="0"/>
              <w:rPr>
                <w:rFonts w:hint="default" w:ascii="Times New Roman" w:hAnsi="Times New Roman" w:cs="Times New Roman"/>
                <w:color w:val="auto"/>
              </w:rPr>
            </w:pPr>
            <w:r>
              <w:rPr>
                <w:rFonts w:hint="default" w:ascii="Times New Roman" w:hAnsi="Times New Roman" w:cs="Times New Roman"/>
                <w:color w:val="auto"/>
              </w:rPr>
              <w:t>铬</w:t>
            </w:r>
          </w:p>
        </w:tc>
        <w:tc>
          <w:tcPr>
            <w:tcW w:w="567" w:type="pct"/>
            <w:tcBorders>
              <w:tl2br w:val="nil"/>
              <w:tr2bl w:val="nil"/>
            </w:tcBorders>
            <w:noWrap w:val="0"/>
            <w:vAlign w:val="center"/>
          </w:tcPr>
          <w:p w14:paraId="1F011045">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90</w:t>
            </w:r>
          </w:p>
        </w:tc>
        <w:tc>
          <w:tcPr>
            <w:tcW w:w="648" w:type="pct"/>
            <w:tcBorders>
              <w:tl2br w:val="nil"/>
              <w:tr2bl w:val="nil"/>
            </w:tcBorders>
            <w:noWrap w:val="0"/>
            <w:vAlign w:val="center"/>
          </w:tcPr>
          <w:p w14:paraId="0931AD2C">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90</w:t>
            </w:r>
          </w:p>
        </w:tc>
        <w:tc>
          <w:tcPr>
            <w:tcW w:w="643" w:type="pct"/>
            <w:tcBorders>
              <w:tl2br w:val="nil"/>
              <w:tr2bl w:val="nil"/>
            </w:tcBorders>
            <w:noWrap w:val="0"/>
            <w:vAlign w:val="center"/>
          </w:tcPr>
          <w:p w14:paraId="089EB97F">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85</w:t>
            </w:r>
          </w:p>
        </w:tc>
        <w:tc>
          <w:tcPr>
            <w:tcW w:w="755" w:type="pct"/>
            <w:tcBorders>
              <w:tl2br w:val="nil"/>
              <w:tr2bl w:val="nil"/>
            </w:tcBorders>
            <w:noWrap w:val="0"/>
            <w:vAlign w:val="center"/>
          </w:tcPr>
          <w:p w14:paraId="3F12D8A5">
            <w:pPr>
              <w:pStyle w:val="44"/>
              <w:bidi w:val="0"/>
              <w:rPr>
                <w:rFonts w:hint="default" w:ascii="Times New Roman" w:hAnsi="Times New Roman" w:cs="Times New Roman"/>
                <w:color w:val="auto"/>
              </w:rPr>
            </w:pPr>
            <w:r>
              <w:rPr>
                <w:rFonts w:hint="default" w:ascii="Times New Roman" w:hAnsi="Times New Roman" w:cs="Times New Roman"/>
                <w:color w:val="auto"/>
              </w:rPr>
              <w:t>mg/kg</w:t>
            </w:r>
          </w:p>
        </w:tc>
        <w:tc>
          <w:tcPr>
            <w:tcW w:w="1232" w:type="dxa"/>
            <w:tcBorders>
              <w:tl2br w:val="nil"/>
              <w:tr2bl w:val="nil"/>
            </w:tcBorders>
            <w:noWrap w:val="0"/>
            <w:vAlign w:val="center"/>
          </w:tcPr>
          <w:p w14:paraId="6D9F2165">
            <w:pPr>
              <w:pStyle w:val="44"/>
              <w:bidi w:val="0"/>
              <w:ind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5.7</w:t>
            </w:r>
          </w:p>
        </w:tc>
        <w:tc>
          <w:tcPr>
            <w:tcW w:w="520" w:type="pct"/>
            <w:tcBorders>
              <w:tl2br w:val="nil"/>
              <w:tr2bl w:val="nil"/>
            </w:tcBorders>
            <w:noWrap w:val="0"/>
            <w:vAlign w:val="center"/>
          </w:tcPr>
          <w:p w14:paraId="54ECC016">
            <w:pPr>
              <w:pStyle w:val="44"/>
              <w:bidi w:val="0"/>
              <w:rPr>
                <w:rFonts w:hint="default" w:ascii="Times New Roman" w:hAnsi="Times New Roman" w:cs="Times New Roman"/>
                <w:color w:val="auto"/>
              </w:rPr>
            </w:pPr>
            <w:r>
              <w:rPr>
                <w:rFonts w:hint="default" w:ascii="Times New Roman" w:hAnsi="Times New Roman" w:cs="Times New Roman"/>
                <w:color w:val="auto"/>
              </w:rPr>
              <w:t>0</w:t>
            </w:r>
          </w:p>
        </w:tc>
        <w:tc>
          <w:tcPr>
            <w:tcW w:w="481" w:type="pct"/>
            <w:tcBorders>
              <w:tl2br w:val="nil"/>
              <w:tr2bl w:val="nil"/>
            </w:tcBorders>
            <w:noWrap w:val="0"/>
            <w:vAlign w:val="center"/>
          </w:tcPr>
          <w:p w14:paraId="3340F7EB">
            <w:pPr>
              <w:pStyle w:val="44"/>
              <w:bidi w:val="0"/>
              <w:rPr>
                <w:rFonts w:hint="default" w:ascii="Times New Roman" w:hAnsi="Times New Roman" w:cs="Times New Roman"/>
                <w:color w:val="auto"/>
              </w:rPr>
            </w:pPr>
            <w:r>
              <w:rPr>
                <w:rFonts w:hint="default" w:ascii="Times New Roman" w:hAnsi="Times New Roman" w:cs="Times New Roman"/>
                <w:color w:val="auto"/>
              </w:rPr>
              <w:t>达标</w:t>
            </w:r>
          </w:p>
        </w:tc>
      </w:tr>
      <w:tr w14:paraId="45D644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660" w:type="pct"/>
            <w:tcBorders>
              <w:tl2br w:val="nil"/>
              <w:tr2bl w:val="nil"/>
            </w:tcBorders>
            <w:noWrap w:val="0"/>
            <w:vAlign w:val="center"/>
          </w:tcPr>
          <w:p w14:paraId="222155CD">
            <w:pPr>
              <w:pStyle w:val="44"/>
              <w:bidi w:val="0"/>
              <w:rPr>
                <w:rFonts w:hint="default" w:ascii="Times New Roman" w:hAnsi="Times New Roman" w:cs="Times New Roman"/>
                <w:color w:val="auto"/>
              </w:rPr>
            </w:pPr>
            <w:r>
              <w:rPr>
                <w:rFonts w:hint="default" w:ascii="Times New Roman" w:hAnsi="Times New Roman" w:eastAsia="宋体" w:cs="Times New Roman"/>
                <w:color w:val="auto"/>
                <w:lang w:val="en-US" w:eastAsia="zh-CN"/>
              </w:rPr>
              <w:t>水溶性盐</w:t>
            </w:r>
          </w:p>
        </w:tc>
        <w:tc>
          <w:tcPr>
            <w:tcW w:w="567" w:type="pct"/>
            <w:tcBorders>
              <w:tl2br w:val="nil"/>
              <w:tr2bl w:val="nil"/>
            </w:tcBorders>
            <w:noWrap w:val="0"/>
            <w:vAlign w:val="center"/>
          </w:tcPr>
          <w:p w14:paraId="4FE9CCB3">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0.</w:t>
            </w:r>
            <w:r>
              <w:rPr>
                <w:rFonts w:hint="default" w:ascii="Times New Roman" w:hAnsi="Times New Roman" w:cs="Times New Roman"/>
                <w:color w:val="auto"/>
                <w:lang w:val="en-US" w:eastAsia="zh-CN"/>
              </w:rPr>
              <w:t>61</w:t>
            </w:r>
          </w:p>
        </w:tc>
        <w:tc>
          <w:tcPr>
            <w:tcW w:w="648" w:type="pct"/>
            <w:tcBorders>
              <w:tl2br w:val="nil"/>
              <w:tr2bl w:val="nil"/>
            </w:tcBorders>
            <w:noWrap w:val="0"/>
            <w:vAlign w:val="center"/>
          </w:tcPr>
          <w:p w14:paraId="25ED5E73">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0.</w:t>
            </w:r>
            <w:r>
              <w:rPr>
                <w:rFonts w:hint="default" w:ascii="Times New Roman" w:hAnsi="Times New Roman" w:cs="Times New Roman"/>
                <w:color w:val="auto"/>
                <w:lang w:val="en-US" w:eastAsia="zh-CN"/>
              </w:rPr>
              <w:t>49</w:t>
            </w:r>
          </w:p>
        </w:tc>
        <w:tc>
          <w:tcPr>
            <w:tcW w:w="643" w:type="pct"/>
            <w:tcBorders>
              <w:tl2br w:val="nil"/>
              <w:tr2bl w:val="nil"/>
            </w:tcBorders>
            <w:noWrap w:val="0"/>
            <w:vAlign w:val="center"/>
          </w:tcPr>
          <w:p w14:paraId="46CDA763">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0.</w:t>
            </w:r>
            <w:r>
              <w:rPr>
                <w:rFonts w:hint="default" w:ascii="Times New Roman" w:hAnsi="Times New Roman" w:cs="Times New Roman"/>
                <w:color w:val="auto"/>
                <w:lang w:val="en-US" w:eastAsia="zh-CN"/>
              </w:rPr>
              <w:t>85</w:t>
            </w:r>
          </w:p>
        </w:tc>
        <w:tc>
          <w:tcPr>
            <w:tcW w:w="755" w:type="pct"/>
            <w:tcBorders>
              <w:tl2br w:val="nil"/>
              <w:tr2bl w:val="nil"/>
            </w:tcBorders>
            <w:noWrap w:val="0"/>
            <w:vAlign w:val="center"/>
          </w:tcPr>
          <w:p w14:paraId="07D98E98">
            <w:pPr>
              <w:pStyle w:val="44"/>
              <w:bidi w:val="0"/>
              <w:rPr>
                <w:rFonts w:hint="default" w:ascii="Times New Roman" w:hAnsi="Times New Roman" w:cs="Times New Roman"/>
                <w:color w:val="auto"/>
              </w:rPr>
            </w:pPr>
            <w:r>
              <w:rPr>
                <w:rFonts w:hint="default" w:ascii="Times New Roman" w:hAnsi="Times New Roman" w:cs="Times New Roman"/>
                <w:color w:val="auto"/>
              </w:rPr>
              <w:t>g/kg</w:t>
            </w:r>
          </w:p>
        </w:tc>
        <w:tc>
          <w:tcPr>
            <w:tcW w:w="723" w:type="pct"/>
            <w:tcBorders>
              <w:tl2br w:val="nil"/>
              <w:tr2bl w:val="nil"/>
            </w:tcBorders>
            <w:noWrap w:val="0"/>
            <w:vAlign w:val="center"/>
          </w:tcPr>
          <w:p w14:paraId="406B6DA7">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520" w:type="pct"/>
            <w:tcBorders>
              <w:tl2br w:val="nil"/>
              <w:tr2bl w:val="nil"/>
            </w:tcBorders>
            <w:noWrap w:val="0"/>
            <w:vAlign w:val="center"/>
          </w:tcPr>
          <w:p w14:paraId="348770F2">
            <w:pPr>
              <w:pStyle w:val="44"/>
              <w:bidi w:val="0"/>
              <w:rPr>
                <w:rFonts w:hint="default" w:ascii="Times New Roman" w:hAnsi="Times New Roman" w:cs="Times New Roman"/>
                <w:color w:val="auto"/>
                <w:lang w:eastAsia="zh-CN"/>
              </w:rPr>
            </w:pPr>
            <w:r>
              <w:rPr>
                <w:rFonts w:hint="default" w:ascii="Times New Roman" w:hAnsi="Times New Roman" w:cs="Times New Roman"/>
                <w:color w:val="auto"/>
                <w:lang w:eastAsia="zh-CN"/>
              </w:rPr>
              <w:t>/</w:t>
            </w:r>
          </w:p>
        </w:tc>
        <w:tc>
          <w:tcPr>
            <w:tcW w:w="481" w:type="pct"/>
            <w:tcBorders>
              <w:tl2br w:val="nil"/>
              <w:tr2bl w:val="nil"/>
            </w:tcBorders>
            <w:noWrap w:val="0"/>
            <w:vAlign w:val="center"/>
          </w:tcPr>
          <w:p w14:paraId="2A3E4AD5">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eastAsia="zh-CN"/>
              </w:rPr>
              <w:t>/</w:t>
            </w:r>
          </w:p>
        </w:tc>
      </w:tr>
    </w:tbl>
    <w:p w14:paraId="0F316493">
      <w:pPr>
        <w:pStyle w:val="27"/>
        <w:bidi w:val="0"/>
        <w:rPr>
          <w:rFonts w:hint="default" w:ascii="Times New Roman" w:hAnsi="Times New Roman" w:eastAsia="宋体" w:cs="Times New Roman"/>
          <w:color w:val="auto"/>
        </w:rPr>
      </w:pPr>
      <w:r>
        <w:rPr>
          <w:rFonts w:hint="default" w:ascii="Times New Roman" w:hAnsi="Times New Roman" w:eastAsia="宋体" w:cs="Times New Roman"/>
          <w:color w:val="auto"/>
        </w:rPr>
        <w:t>表4-</w:t>
      </w:r>
      <w:r>
        <w:rPr>
          <w:rFonts w:hint="default" w:ascii="Times New Roman" w:hAnsi="Times New Roman" w:eastAsia="宋体" w:cs="Times New Roman"/>
          <w:color w:val="auto"/>
          <w:lang w:val="en-US" w:eastAsia="zh-CN"/>
        </w:rPr>
        <w:t>2</w:t>
      </w:r>
      <w:r>
        <w:rPr>
          <w:rFonts w:hint="default" w:ascii="Times New Roman" w:hAnsi="Times New Roman" w:eastAsia="宋体" w:cs="Times New Roman"/>
          <w:color w:val="auto"/>
        </w:rPr>
        <w:t>-</w:t>
      </w:r>
      <w:r>
        <w:rPr>
          <w:rFonts w:hint="default" w:ascii="Times New Roman" w:hAnsi="Times New Roman" w:eastAsia="宋体" w:cs="Times New Roman"/>
          <w:color w:val="auto"/>
          <w:lang w:val="en-US" w:eastAsia="zh-CN"/>
        </w:rPr>
        <w:t>2</w:t>
      </w:r>
      <w:r>
        <w:rPr>
          <w:rFonts w:hint="default" w:ascii="Times New Roman" w:hAnsi="Times New Roman" w:cs="Times New Roman"/>
          <w:color w:val="auto"/>
          <w:lang w:val="en-US" w:eastAsia="zh-CN"/>
        </w:rPr>
        <w:t>0</w:t>
      </w:r>
      <w:r>
        <w:rPr>
          <w:rFonts w:hint="default" w:ascii="Times New Roman" w:hAnsi="Times New Roman" w:eastAsia="宋体" w:cs="Times New Roman"/>
          <w:color w:val="auto"/>
        </w:rPr>
        <w:t>土壤现状监测结果（</w:t>
      </w:r>
      <w:r>
        <w:rPr>
          <w:rFonts w:hint="default" w:ascii="Times New Roman" w:hAnsi="Times New Roman" w:eastAsia="宋体" w:cs="Times New Roman"/>
          <w:color w:val="auto"/>
          <w:lang w:val="en-US" w:eastAsia="zh-CN"/>
        </w:rPr>
        <w:t>S5、S6</w:t>
      </w:r>
      <w:r>
        <w:rPr>
          <w:rFonts w:hint="default" w:ascii="Times New Roman" w:hAnsi="Times New Roman" w:eastAsia="宋体" w:cs="Times New Roman"/>
          <w:color w:val="auto"/>
        </w:rPr>
        <w:t>）</w:t>
      </w:r>
    </w:p>
    <w:tbl>
      <w:tblPr>
        <w:tblStyle w:val="20"/>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16"/>
        <w:gridCol w:w="1619"/>
        <w:gridCol w:w="1461"/>
        <w:gridCol w:w="1127"/>
        <w:gridCol w:w="1215"/>
        <w:gridCol w:w="747"/>
        <w:gridCol w:w="929"/>
        <w:gridCol w:w="5"/>
      </w:tblGrid>
      <w:tr w14:paraId="5BCF7F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31" w:type="pct"/>
            <w:vMerge w:val="restart"/>
            <w:noWrap w:val="0"/>
            <w:vAlign w:val="center"/>
          </w:tcPr>
          <w:p w14:paraId="003A5A48">
            <w:pPr>
              <w:pStyle w:val="44"/>
              <w:bidi w:val="0"/>
              <w:rPr>
                <w:rFonts w:hint="default" w:ascii="Times New Roman" w:hAnsi="Times New Roman" w:cs="Times New Roman"/>
                <w:color w:val="auto"/>
              </w:rPr>
            </w:pPr>
            <w:r>
              <w:rPr>
                <w:rFonts w:hint="default" w:ascii="Times New Roman" w:hAnsi="Times New Roman" w:cs="Times New Roman"/>
                <w:color w:val="auto"/>
              </w:rPr>
              <w:t>监测项目</w:t>
            </w:r>
          </w:p>
        </w:tc>
        <w:tc>
          <w:tcPr>
            <w:tcW w:w="950" w:type="pct"/>
            <w:noWrap w:val="0"/>
            <w:vAlign w:val="center"/>
          </w:tcPr>
          <w:p w14:paraId="77C5F058">
            <w:pPr>
              <w:pStyle w:val="44"/>
              <w:bidi w:val="0"/>
              <w:rPr>
                <w:rFonts w:hint="default" w:ascii="Times New Roman" w:hAnsi="Times New Roman" w:cs="Times New Roman"/>
                <w:color w:val="auto"/>
                <w:lang w:val="en-US"/>
              </w:rPr>
            </w:pPr>
            <w:r>
              <w:rPr>
                <w:rFonts w:hint="default" w:ascii="Times New Roman" w:hAnsi="Times New Roman" w:cs="Times New Roman"/>
                <w:color w:val="auto"/>
                <w:lang w:val="en-US" w:eastAsia="zh-CN"/>
              </w:rPr>
              <w:t>S5（农田）</w:t>
            </w:r>
          </w:p>
        </w:tc>
        <w:tc>
          <w:tcPr>
            <w:tcW w:w="856" w:type="pct"/>
            <w:noWrap w:val="0"/>
            <w:vAlign w:val="center"/>
          </w:tcPr>
          <w:p w14:paraId="2ACC602E">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S6（农田）</w:t>
            </w:r>
          </w:p>
        </w:tc>
        <w:tc>
          <w:tcPr>
            <w:tcW w:w="661" w:type="pct"/>
            <w:vMerge w:val="restart"/>
            <w:noWrap w:val="0"/>
            <w:vAlign w:val="center"/>
          </w:tcPr>
          <w:p w14:paraId="7EE0EC65">
            <w:pPr>
              <w:pStyle w:val="44"/>
              <w:bidi w:val="0"/>
              <w:rPr>
                <w:rFonts w:hint="default" w:ascii="Times New Roman" w:hAnsi="Times New Roman" w:cs="Times New Roman"/>
                <w:color w:val="auto"/>
              </w:rPr>
            </w:pPr>
            <w:r>
              <w:rPr>
                <w:rFonts w:hint="default" w:ascii="Times New Roman" w:hAnsi="Times New Roman" w:cs="Times New Roman"/>
                <w:color w:val="auto"/>
              </w:rPr>
              <w:t>单位</w:t>
            </w:r>
          </w:p>
        </w:tc>
        <w:tc>
          <w:tcPr>
            <w:tcW w:w="713" w:type="pct"/>
            <w:vMerge w:val="restart"/>
            <w:noWrap w:val="0"/>
            <w:vAlign w:val="center"/>
          </w:tcPr>
          <w:p w14:paraId="2A9FB4B7">
            <w:pPr>
              <w:pStyle w:val="44"/>
              <w:bidi w:val="0"/>
              <w:rPr>
                <w:rFonts w:hint="default" w:ascii="Times New Roman" w:hAnsi="Times New Roman" w:cs="Times New Roman"/>
                <w:color w:val="auto"/>
              </w:rPr>
            </w:pPr>
            <w:r>
              <w:rPr>
                <w:rFonts w:hint="default" w:ascii="Times New Roman" w:hAnsi="Times New Roman" w:cs="Times New Roman"/>
                <w:color w:val="auto"/>
              </w:rPr>
              <w:t>标准值（mg/kg）</w:t>
            </w:r>
          </w:p>
        </w:tc>
        <w:tc>
          <w:tcPr>
            <w:tcW w:w="438" w:type="pct"/>
            <w:vMerge w:val="restart"/>
            <w:noWrap w:val="0"/>
            <w:vAlign w:val="center"/>
          </w:tcPr>
          <w:p w14:paraId="530A245E">
            <w:pPr>
              <w:pStyle w:val="44"/>
              <w:bidi w:val="0"/>
              <w:rPr>
                <w:rFonts w:hint="default" w:ascii="Times New Roman" w:hAnsi="Times New Roman" w:cs="Times New Roman"/>
                <w:color w:val="auto"/>
              </w:rPr>
            </w:pPr>
            <w:r>
              <w:rPr>
                <w:rFonts w:hint="default" w:ascii="Times New Roman" w:hAnsi="Times New Roman" w:cs="Times New Roman"/>
                <w:color w:val="auto"/>
              </w:rPr>
              <w:t>超标率</w:t>
            </w:r>
          </w:p>
        </w:tc>
        <w:tc>
          <w:tcPr>
            <w:tcW w:w="548" w:type="pct"/>
            <w:gridSpan w:val="2"/>
            <w:vMerge w:val="restart"/>
            <w:noWrap w:val="0"/>
            <w:vAlign w:val="center"/>
          </w:tcPr>
          <w:p w14:paraId="297C6A06">
            <w:pPr>
              <w:pStyle w:val="44"/>
              <w:bidi w:val="0"/>
              <w:rPr>
                <w:rFonts w:hint="default" w:ascii="Times New Roman" w:hAnsi="Times New Roman" w:cs="Times New Roman"/>
                <w:color w:val="auto"/>
              </w:rPr>
            </w:pPr>
            <w:r>
              <w:rPr>
                <w:rFonts w:hint="default" w:ascii="Times New Roman" w:hAnsi="Times New Roman" w:cs="Times New Roman"/>
                <w:color w:val="auto"/>
              </w:rPr>
              <w:t>达标情况</w:t>
            </w:r>
          </w:p>
        </w:tc>
      </w:tr>
      <w:tr w14:paraId="73C0AA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831" w:type="pct"/>
            <w:vMerge w:val="continue"/>
            <w:noWrap w:val="0"/>
            <w:vAlign w:val="center"/>
          </w:tcPr>
          <w:p w14:paraId="78EB18B1">
            <w:pPr>
              <w:pStyle w:val="44"/>
              <w:bidi w:val="0"/>
              <w:rPr>
                <w:rFonts w:hint="default" w:ascii="Times New Roman" w:hAnsi="Times New Roman" w:cs="Times New Roman"/>
                <w:color w:val="auto"/>
              </w:rPr>
            </w:pPr>
          </w:p>
        </w:tc>
        <w:tc>
          <w:tcPr>
            <w:tcW w:w="1807" w:type="pct"/>
            <w:gridSpan w:val="2"/>
            <w:noWrap w:val="0"/>
            <w:vAlign w:val="center"/>
          </w:tcPr>
          <w:p w14:paraId="674B5893">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0-0.2m</w:t>
            </w:r>
          </w:p>
        </w:tc>
        <w:tc>
          <w:tcPr>
            <w:tcW w:w="661" w:type="pct"/>
            <w:vMerge w:val="continue"/>
            <w:noWrap w:val="0"/>
            <w:vAlign w:val="center"/>
          </w:tcPr>
          <w:p w14:paraId="5426649B">
            <w:pPr>
              <w:pStyle w:val="44"/>
              <w:bidi w:val="0"/>
              <w:rPr>
                <w:rFonts w:hint="default" w:ascii="Times New Roman" w:hAnsi="Times New Roman" w:cs="Times New Roman"/>
                <w:color w:val="auto"/>
              </w:rPr>
            </w:pPr>
          </w:p>
        </w:tc>
        <w:tc>
          <w:tcPr>
            <w:tcW w:w="713" w:type="pct"/>
            <w:vMerge w:val="continue"/>
            <w:noWrap w:val="0"/>
            <w:vAlign w:val="center"/>
          </w:tcPr>
          <w:p w14:paraId="25C1D0B7">
            <w:pPr>
              <w:pStyle w:val="44"/>
              <w:bidi w:val="0"/>
              <w:rPr>
                <w:rFonts w:hint="default" w:ascii="Times New Roman" w:hAnsi="Times New Roman" w:cs="Times New Roman"/>
                <w:color w:val="auto"/>
              </w:rPr>
            </w:pPr>
          </w:p>
        </w:tc>
        <w:tc>
          <w:tcPr>
            <w:tcW w:w="438" w:type="pct"/>
            <w:vMerge w:val="continue"/>
            <w:noWrap w:val="0"/>
            <w:vAlign w:val="center"/>
          </w:tcPr>
          <w:p w14:paraId="3DB81E75">
            <w:pPr>
              <w:pStyle w:val="44"/>
              <w:bidi w:val="0"/>
              <w:rPr>
                <w:rFonts w:hint="default" w:ascii="Times New Roman" w:hAnsi="Times New Roman" w:cs="Times New Roman"/>
                <w:color w:val="auto"/>
              </w:rPr>
            </w:pPr>
          </w:p>
        </w:tc>
        <w:tc>
          <w:tcPr>
            <w:tcW w:w="548" w:type="pct"/>
            <w:gridSpan w:val="2"/>
            <w:vMerge w:val="continue"/>
            <w:noWrap w:val="0"/>
            <w:vAlign w:val="center"/>
          </w:tcPr>
          <w:p w14:paraId="1D02BCD4">
            <w:pPr>
              <w:pStyle w:val="44"/>
              <w:bidi w:val="0"/>
              <w:rPr>
                <w:rFonts w:hint="default" w:ascii="Times New Roman" w:hAnsi="Times New Roman" w:cs="Times New Roman"/>
                <w:color w:val="auto"/>
              </w:rPr>
            </w:pPr>
          </w:p>
        </w:tc>
      </w:tr>
      <w:tr w14:paraId="605874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397" w:hRule="exact"/>
        </w:trPr>
        <w:tc>
          <w:tcPr>
            <w:tcW w:w="831" w:type="pct"/>
            <w:noWrap w:val="0"/>
            <w:vAlign w:val="center"/>
          </w:tcPr>
          <w:p w14:paraId="72483EF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pH</w:t>
            </w:r>
          </w:p>
        </w:tc>
        <w:tc>
          <w:tcPr>
            <w:tcW w:w="950" w:type="pct"/>
            <w:noWrap w:val="0"/>
            <w:vAlign w:val="center"/>
          </w:tcPr>
          <w:p w14:paraId="52E9A22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7.16</w:t>
            </w:r>
          </w:p>
        </w:tc>
        <w:tc>
          <w:tcPr>
            <w:tcW w:w="856" w:type="pct"/>
            <w:noWrap w:val="0"/>
            <w:vAlign w:val="center"/>
          </w:tcPr>
          <w:p w14:paraId="138F4ABA">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6.79</w:t>
            </w:r>
          </w:p>
        </w:tc>
        <w:tc>
          <w:tcPr>
            <w:tcW w:w="661" w:type="pct"/>
            <w:noWrap w:val="0"/>
            <w:vAlign w:val="center"/>
          </w:tcPr>
          <w:p w14:paraId="7EB6FF6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无量纲</w:t>
            </w:r>
          </w:p>
        </w:tc>
        <w:tc>
          <w:tcPr>
            <w:tcW w:w="713" w:type="pct"/>
            <w:noWrap w:val="0"/>
            <w:vAlign w:val="center"/>
          </w:tcPr>
          <w:p w14:paraId="79170A3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438" w:type="pct"/>
            <w:noWrap w:val="0"/>
            <w:vAlign w:val="center"/>
          </w:tcPr>
          <w:p w14:paraId="736A6398">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545" w:type="pct"/>
            <w:noWrap w:val="0"/>
            <w:vAlign w:val="center"/>
          </w:tcPr>
          <w:p w14:paraId="63E9DD9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r>
      <w:tr w14:paraId="2ED423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397" w:hRule="exact"/>
        </w:trPr>
        <w:tc>
          <w:tcPr>
            <w:tcW w:w="831" w:type="pct"/>
            <w:noWrap w:val="0"/>
            <w:vAlign w:val="center"/>
          </w:tcPr>
          <w:p w14:paraId="7ED21C3E">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汞</w:t>
            </w:r>
          </w:p>
        </w:tc>
        <w:tc>
          <w:tcPr>
            <w:tcW w:w="950" w:type="pct"/>
            <w:noWrap w:val="0"/>
            <w:vAlign w:val="center"/>
          </w:tcPr>
          <w:p w14:paraId="40B4E079">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0.034</w:t>
            </w:r>
          </w:p>
        </w:tc>
        <w:tc>
          <w:tcPr>
            <w:tcW w:w="856" w:type="pct"/>
            <w:noWrap w:val="0"/>
            <w:vAlign w:val="center"/>
          </w:tcPr>
          <w:p w14:paraId="74C2F678">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0.057</w:t>
            </w:r>
          </w:p>
        </w:tc>
        <w:tc>
          <w:tcPr>
            <w:tcW w:w="661" w:type="pct"/>
            <w:noWrap w:val="0"/>
            <w:vAlign w:val="center"/>
          </w:tcPr>
          <w:p w14:paraId="52928749">
            <w:pPr>
              <w:pStyle w:val="44"/>
              <w:bidi w:val="0"/>
              <w:rPr>
                <w:rFonts w:hint="default" w:ascii="Times New Roman" w:hAnsi="Times New Roman" w:cs="Times New Roman"/>
                <w:color w:val="auto"/>
              </w:rPr>
            </w:pPr>
            <w:r>
              <w:rPr>
                <w:rFonts w:hint="default" w:ascii="Times New Roman" w:hAnsi="Times New Roman" w:cs="Times New Roman"/>
                <w:color w:val="auto"/>
              </w:rPr>
              <w:t>mg/kg</w:t>
            </w:r>
          </w:p>
        </w:tc>
        <w:tc>
          <w:tcPr>
            <w:tcW w:w="713" w:type="pct"/>
            <w:noWrap w:val="0"/>
            <w:vAlign w:val="center"/>
          </w:tcPr>
          <w:p w14:paraId="576F334A">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1.8</w:t>
            </w:r>
          </w:p>
        </w:tc>
        <w:tc>
          <w:tcPr>
            <w:tcW w:w="438" w:type="pct"/>
            <w:noWrap w:val="0"/>
            <w:vAlign w:val="center"/>
          </w:tcPr>
          <w:p w14:paraId="2B3DB58B">
            <w:pPr>
              <w:pStyle w:val="44"/>
              <w:bidi w:val="0"/>
              <w:rPr>
                <w:rFonts w:hint="default" w:ascii="Times New Roman" w:hAnsi="Times New Roman" w:cs="Times New Roman"/>
                <w:color w:val="auto"/>
              </w:rPr>
            </w:pPr>
            <w:r>
              <w:rPr>
                <w:rFonts w:hint="default" w:ascii="Times New Roman" w:hAnsi="Times New Roman" w:cs="Times New Roman"/>
                <w:color w:val="auto"/>
              </w:rPr>
              <w:t>0</w:t>
            </w:r>
          </w:p>
        </w:tc>
        <w:tc>
          <w:tcPr>
            <w:tcW w:w="545" w:type="pct"/>
            <w:noWrap w:val="0"/>
            <w:vAlign w:val="center"/>
          </w:tcPr>
          <w:p w14:paraId="15922284">
            <w:pPr>
              <w:pStyle w:val="44"/>
              <w:bidi w:val="0"/>
              <w:rPr>
                <w:rFonts w:hint="default" w:ascii="Times New Roman" w:hAnsi="Times New Roman" w:cs="Times New Roman"/>
                <w:color w:val="auto"/>
              </w:rPr>
            </w:pPr>
            <w:r>
              <w:rPr>
                <w:rFonts w:hint="default" w:ascii="Times New Roman" w:hAnsi="Times New Roman" w:cs="Times New Roman"/>
                <w:color w:val="auto"/>
              </w:rPr>
              <w:t>达标</w:t>
            </w:r>
          </w:p>
        </w:tc>
      </w:tr>
      <w:tr w14:paraId="1EBEDB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397" w:hRule="exact"/>
        </w:trPr>
        <w:tc>
          <w:tcPr>
            <w:tcW w:w="831" w:type="pct"/>
            <w:noWrap w:val="0"/>
            <w:vAlign w:val="center"/>
          </w:tcPr>
          <w:p w14:paraId="4D5CEB0A">
            <w:pPr>
              <w:pStyle w:val="44"/>
              <w:bidi w:val="0"/>
              <w:rPr>
                <w:rFonts w:hint="default" w:ascii="Times New Roman" w:hAnsi="Times New Roman" w:cs="Times New Roman"/>
                <w:color w:val="auto"/>
              </w:rPr>
            </w:pPr>
            <w:r>
              <w:rPr>
                <w:rFonts w:hint="default" w:ascii="Times New Roman" w:hAnsi="Times New Roman" w:cs="Times New Roman"/>
                <w:color w:val="auto"/>
              </w:rPr>
              <w:t>砷</w:t>
            </w:r>
          </w:p>
        </w:tc>
        <w:tc>
          <w:tcPr>
            <w:tcW w:w="950" w:type="pct"/>
            <w:noWrap w:val="0"/>
            <w:vAlign w:val="center"/>
          </w:tcPr>
          <w:p w14:paraId="03359625">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10.2</w:t>
            </w:r>
          </w:p>
        </w:tc>
        <w:tc>
          <w:tcPr>
            <w:tcW w:w="856" w:type="pct"/>
            <w:noWrap w:val="0"/>
            <w:vAlign w:val="center"/>
          </w:tcPr>
          <w:p w14:paraId="204CE5A6">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5.89</w:t>
            </w:r>
          </w:p>
        </w:tc>
        <w:tc>
          <w:tcPr>
            <w:tcW w:w="661" w:type="pct"/>
            <w:noWrap w:val="0"/>
            <w:vAlign w:val="center"/>
          </w:tcPr>
          <w:p w14:paraId="3B8DF216">
            <w:pPr>
              <w:pStyle w:val="44"/>
              <w:bidi w:val="0"/>
              <w:rPr>
                <w:rFonts w:hint="default" w:ascii="Times New Roman" w:hAnsi="Times New Roman" w:cs="Times New Roman"/>
                <w:color w:val="auto"/>
              </w:rPr>
            </w:pPr>
            <w:r>
              <w:rPr>
                <w:rFonts w:hint="default" w:ascii="Times New Roman" w:hAnsi="Times New Roman" w:cs="Times New Roman"/>
                <w:color w:val="auto"/>
              </w:rPr>
              <w:t>mg/kg</w:t>
            </w:r>
          </w:p>
        </w:tc>
        <w:tc>
          <w:tcPr>
            <w:tcW w:w="713" w:type="pct"/>
            <w:noWrap w:val="0"/>
            <w:vAlign w:val="center"/>
          </w:tcPr>
          <w:p w14:paraId="58459ABF">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40</w:t>
            </w:r>
          </w:p>
        </w:tc>
        <w:tc>
          <w:tcPr>
            <w:tcW w:w="438" w:type="pct"/>
            <w:noWrap w:val="0"/>
            <w:vAlign w:val="center"/>
          </w:tcPr>
          <w:p w14:paraId="62C1CF5C">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w:t>
            </w:r>
          </w:p>
        </w:tc>
        <w:tc>
          <w:tcPr>
            <w:tcW w:w="545" w:type="pct"/>
            <w:noWrap w:val="0"/>
            <w:vAlign w:val="center"/>
          </w:tcPr>
          <w:p w14:paraId="46EF8868">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达标</w:t>
            </w:r>
          </w:p>
        </w:tc>
      </w:tr>
      <w:tr w14:paraId="61D06F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397" w:hRule="exact"/>
        </w:trPr>
        <w:tc>
          <w:tcPr>
            <w:tcW w:w="831" w:type="pct"/>
            <w:noWrap w:val="0"/>
            <w:vAlign w:val="center"/>
          </w:tcPr>
          <w:p w14:paraId="7324D8CC">
            <w:pPr>
              <w:pStyle w:val="44"/>
              <w:bidi w:val="0"/>
              <w:rPr>
                <w:rFonts w:hint="default" w:ascii="Times New Roman" w:hAnsi="Times New Roman" w:cs="Times New Roman"/>
                <w:color w:val="auto"/>
              </w:rPr>
            </w:pPr>
            <w:r>
              <w:rPr>
                <w:rFonts w:hint="default" w:ascii="Times New Roman" w:hAnsi="Times New Roman" w:cs="Times New Roman"/>
                <w:color w:val="auto"/>
              </w:rPr>
              <w:t>铜</w:t>
            </w:r>
          </w:p>
        </w:tc>
        <w:tc>
          <w:tcPr>
            <w:tcW w:w="950" w:type="pct"/>
            <w:noWrap w:val="0"/>
            <w:vAlign w:val="center"/>
          </w:tcPr>
          <w:p w14:paraId="44FB5072">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34</w:t>
            </w:r>
          </w:p>
        </w:tc>
        <w:tc>
          <w:tcPr>
            <w:tcW w:w="856" w:type="pct"/>
            <w:noWrap w:val="0"/>
            <w:vAlign w:val="center"/>
          </w:tcPr>
          <w:p w14:paraId="359EEE59">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8</w:t>
            </w:r>
          </w:p>
        </w:tc>
        <w:tc>
          <w:tcPr>
            <w:tcW w:w="661" w:type="pct"/>
            <w:noWrap w:val="0"/>
            <w:vAlign w:val="center"/>
          </w:tcPr>
          <w:p w14:paraId="4EAA42C3">
            <w:pPr>
              <w:pStyle w:val="44"/>
              <w:bidi w:val="0"/>
              <w:rPr>
                <w:rFonts w:hint="default" w:ascii="Times New Roman" w:hAnsi="Times New Roman" w:cs="Times New Roman"/>
                <w:color w:val="auto"/>
              </w:rPr>
            </w:pPr>
            <w:r>
              <w:rPr>
                <w:rFonts w:hint="default" w:ascii="Times New Roman" w:hAnsi="Times New Roman" w:cs="Times New Roman"/>
                <w:color w:val="auto"/>
              </w:rPr>
              <w:t>mg/kg</w:t>
            </w:r>
          </w:p>
        </w:tc>
        <w:tc>
          <w:tcPr>
            <w:tcW w:w="713" w:type="pct"/>
            <w:noWrap w:val="0"/>
            <w:vAlign w:val="center"/>
          </w:tcPr>
          <w:p w14:paraId="1431879C">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50</w:t>
            </w:r>
          </w:p>
        </w:tc>
        <w:tc>
          <w:tcPr>
            <w:tcW w:w="438" w:type="pct"/>
            <w:noWrap w:val="0"/>
            <w:vAlign w:val="center"/>
          </w:tcPr>
          <w:p w14:paraId="2952FA1D">
            <w:pPr>
              <w:pStyle w:val="44"/>
              <w:bidi w:val="0"/>
              <w:rPr>
                <w:rFonts w:hint="default" w:ascii="Times New Roman" w:hAnsi="Times New Roman" w:cs="Times New Roman"/>
                <w:color w:val="auto"/>
              </w:rPr>
            </w:pPr>
            <w:r>
              <w:rPr>
                <w:rFonts w:hint="default" w:ascii="Times New Roman" w:hAnsi="Times New Roman" w:cs="Times New Roman"/>
                <w:color w:val="auto"/>
              </w:rPr>
              <w:t>0</w:t>
            </w:r>
          </w:p>
        </w:tc>
        <w:tc>
          <w:tcPr>
            <w:tcW w:w="545" w:type="pct"/>
            <w:noWrap w:val="0"/>
            <w:vAlign w:val="center"/>
          </w:tcPr>
          <w:p w14:paraId="238A1355">
            <w:pPr>
              <w:pStyle w:val="44"/>
              <w:bidi w:val="0"/>
              <w:rPr>
                <w:rFonts w:hint="default" w:ascii="Times New Roman" w:hAnsi="Times New Roman" w:cs="Times New Roman"/>
                <w:color w:val="auto"/>
              </w:rPr>
            </w:pPr>
            <w:r>
              <w:rPr>
                <w:rFonts w:hint="default" w:ascii="Times New Roman" w:hAnsi="Times New Roman" w:cs="Times New Roman"/>
                <w:color w:val="auto"/>
              </w:rPr>
              <w:t>达标</w:t>
            </w:r>
          </w:p>
        </w:tc>
      </w:tr>
      <w:tr w14:paraId="33B6DB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397" w:hRule="exact"/>
        </w:trPr>
        <w:tc>
          <w:tcPr>
            <w:tcW w:w="831" w:type="pct"/>
            <w:noWrap w:val="0"/>
            <w:vAlign w:val="center"/>
          </w:tcPr>
          <w:p w14:paraId="6D6FAE00">
            <w:pPr>
              <w:pStyle w:val="44"/>
              <w:bidi w:val="0"/>
              <w:rPr>
                <w:rFonts w:hint="default" w:ascii="Times New Roman" w:hAnsi="Times New Roman" w:cs="Times New Roman"/>
                <w:color w:val="auto"/>
              </w:rPr>
            </w:pPr>
            <w:r>
              <w:rPr>
                <w:rFonts w:hint="default" w:ascii="Times New Roman" w:hAnsi="Times New Roman" w:cs="Times New Roman"/>
                <w:color w:val="auto"/>
              </w:rPr>
              <w:t>镍</w:t>
            </w:r>
          </w:p>
        </w:tc>
        <w:tc>
          <w:tcPr>
            <w:tcW w:w="950" w:type="pct"/>
            <w:noWrap w:val="0"/>
            <w:vAlign w:val="center"/>
          </w:tcPr>
          <w:p w14:paraId="31B3945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52</w:t>
            </w:r>
          </w:p>
        </w:tc>
        <w:tc>
          <w:tcPr>
            <w:tcW w:w="856" w:type="pct"/>
            <w:noWrap w:val="0"/>
            <w:vAlign w:val="center"/>
          </w:tcPr>
          <w:p w14:paraId="378D8DBC">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17</w:t>
            </w:r>
          </w:p>
        </w:tc>
        <w:tc>
          <w:tcPr>
            <w:tcW w:w="661" w:type="pct"/>
            <w:noWrap w:val="0"/>
            <w:vAlign w:val="center"/>
          </w:tcPr>
          <w:p w14:paraId="6883978A">
            <w:pPr>
              <w:pStyle w:val="44"/>
              <w:bidi w:val="0"/>
              <w:rPr>
                <w:rFonts w:hint="default" w:ascii="Times New Roman" w:hAnsi="Times New Roman" w:cs="Times New Roman"/>
                <w:color w:val="auto"/>
              </w:rPr>
            </w:pPr>
            <w:r>
              <w:rPr>
                <w:rFonts w:hint="default" w:ascii="Times New Roman" w:hAnsi="Times New Roman" w:cs="Times New Roman"/>
                <w:color w:val="auto"/>
              </w:rPr>
              <w:t>mg/kg</w:t>
            </w:r>
          </w:p>
        </w:tc>
        <w:tc>
          <w:tcPr>
            <w:tcW w:w="713" w:type="pct"/>
            <w:noWrap w:val="0"/>
            <w:vAlign w:val="center"/>
          </w:tcPr>
          <w:p w14:paraId="66729DD0">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70</w:t>
            </w:r>
          </w:p>
        </w:tc>
        <w:tc>
          <w:tcPr>
            <w:tcW w:w="438" w:type="pct"/>
            <w:noWrap w:val="0"/>
            <w:vAlign w:val="center"/>
          </w:tcPr>
          <w:p w14:paraId="04339325">
            <w:pPr>
              <w:pStyle w:val="44"/>
              <w:bidi w:val="0"/>
              <w:rPr>
                <w:rFonts w:hint="default" w:ascii="Times New Roman" w:hAnsi="Times New Roman" w:cs="Times New Roman"/>
                <w:color w:val="auto"/>
              </w:rPr>
            </w:pPr>
            <w:r>
              <w:rPr>
                <w:rFonts w:hint="default" w:ascii="Times New Roman" w:hAnsi="Times New Roman" w:cs="Times New Roman"/>
                <w:color w:val="auto"/>
              </w:rPr>
              <w:t>0</w:t>
            </w:r>
          </w:p>
        </w:tc>
        <w:tc>
          <w:tcPr>
            <w:tcW w:w="545" w:type="pct"/>
            <w:noWrap w:val="0"/>
            <w:vAlign w:val="center"/>
          </w:tcPr>
          <w:p w14:paraId="64C34876">
            <w:pPr>
              <w:pStyle w:val="44"/>
              <w:bidi w:val="0"/>
              <w:rPr>
                <w:rFonts w:hint="default" w:ascii="Times New Roman" w:hAnsi="Times New Roman" w:cs="Times New Roman"/>
                <w:color w:val="auto"/>
              </w:rPr>
            </w:pPr>
            <w:r>
              <w:rPr>
                <w:rFonts w:hint="default" w:ascii="Times New Roman" w:hAnsi="Times New Roman" w:cs="Times New Roman"/>
                <w:color w:val="auto"/>
              </w:rPr>
              <w:t>达标</w:t>
            </w:r>
          </w:p>
        </w:tc>
      </w:tr>
      <w:tr w14:paraId="33E21C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397" w:hRule="exact"/>
        </w:trPr>
        <w:tc>
          <w:tcPr>
            <w:tcW w:w="831" w:type="pct"/>
            <w:noWrap w:val="0"/>
            <w:vAlign w:val="center"/>
          </w:tcPr>
          <w:p w14:paraId="460BF291">
            <w:pPr>
              <w:pStyle w:val="44"/>
              <w:bidi w:val="0"/>
              <w:rPr>
                <w:rFonts w:hint="default" w:ascii="Times New Roman" w:hAnsi="Times New Roman" w:cs="Times New Roman"/>
                <w:color w:val="auto"/>
              </w:rPr>
            </w:pPr>
            <w:r>
              <w:rPr>
                <w:rFonts w:hint="default" w:ascii="Times New Roman" w:hAnsi="Times New Roman" w:cs="Times New Roman"/>
                <w:color w:val="auto"/>
              </w:rPr>
              <w:t>铅</w:t>
            </w:r>
          </w:p>
        </w:tc>
        <w:tc>
          <w:tcPr>
            <w:tcW w:w="950" w:type="pct"/>
            <w:noWrap w:val="0"/>
            <w:vAlign w:val="center"/>
          </w:tcPr>
          <w:p w14:paraId="65197CAD">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31.7</w:t>
            </w:r>
          </w:p>
        </w:tc>
        <w:tc>
          <w:tcPr>
            <w:tcW w:w="856" w:type="pct"/>
            <w:noWrap w:val="0"/>
            <w:vAlign w:val="center"/>
          </w:tcPr>
          <w:p w14:paraId="2222B080">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20.7</w:t>
            </w:r>
          </w:p>
        </w:tc>
        <w:tc>
          <w:tcPr>
            <w:tcW w:w="661" w:type="pct"/>
            <w:noWrap w:val="0"/>
            <w:vAlign w:val="center"/>
          </w:tcPr>
          <w:p w14:paraId="5B964215">
            <w:pPr>
              <w:pStyle w:val="44"/>
              <w:bidi w:val="0"/>
              <w:rPr>
                <w:rFonts w:hint="default" w:ascii="Times New Roman" w:hAnsi="Times New Roman" w:cs="Times New Roman"/>
                <w:color w:val="auto"/>
              </w:rPr>
            </w:pPr>
            <w:r>
              <w:rPr>
                <w:rFonts w:hint="default" w:ascii="Times New Roman" w:hAnsi="Times New Roman" w:cs="Times New Roman"/>
                <w:color w:val="auto"/>
              </w:rPr>
              <w:t>mg/kg</w:t>
            </w:r>
          </w:p>
        </w:tc>
        <w:tc>
          <w:tcPr>
            <w:tcW w:w="713" w:type="pct"/>
            <w:noWrap w:val="0"/>
            <w:vAlign w:val="center"/>
          </w:tcPr>
          <w:p w14:paraId="7AF45ADC">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90</w:t>
            </w:r>
          </w:p>
        </w:tc>
        <w:tc>
          <w:tcPr>
            <w:tcW w:w="438" w:type="pct"/>
            <w:noWrap w:val="0"/>
            <w:vAlign w:val="center"/>
          </w:tcPr>
          <w:p w14:paraId="0EF98C58">
            <w:pPr>
              <w:pStyle w:val="44"/>
              <w:bidi w:val="0"/>
              <w:rPr>
                <w:rFonts w:hint="default" w:ascii="Times New Roman" w:hAnsi="Times New Roman" w:cs="Times New Roman"/>
                <w:color w:val="auto"/>
              </w:rPr>
            </w:pPr>
            <w:r>
              <w:rPr>
                <w:rFonts w:hint="default" w:ascii="Times New Roman" w:hAnsi="Times New Roman" w:cs="Times New Roman"/>
                <w:color w:val="auto"/>
              </w:rPr>
              <w:t>0</w:t>
            </w:r>
          </w:p>
        </w:tc>
        <w:tc>
          <w:tcPr>
            <w:tcW w:w="545" w:type="pct"/>
            <w:noWrap w:val="0"/>
            <w:vAlign w:val="center"/>
          </w:tcPr>
          <w:p w14:paraId="3513871D">
            <w:pPr>
              <w:pStyle w:val="44"/>
              <w:bidi w:val="0"/>
              <w:rPr>
                <w:rFonts w:hint="default" w:ascii="Times New Roman" w:hAnsi="Times New Roman" w:cs="Times New Roman"/>
                <w:color w:val="auto"/>
              </w:rPr>
            </w:pPr>
            <w:r>
              <w:rPr>
                <w:rFonts w:hint="default" w:ascii="Times New Roman" w:hAnsi="Times New Roman" w:cs="Times New Roman"/>
                <w:color w:val="auto"/>
              </w:rPr>
              <w:t>达标</w:t>
            </w:r>
          </w:p>
        </w:tc>
      </w:tr>
      <w:tr w14:paraId="6AD1DD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397" w:hRule="exact"/>
        </w:trPr>
        <w:tc>
          <w:tcPr>
            <w:tcW w:w="831" w:type="pct"/>
            <w:noWrap w:val="0"/>
            <w:vAlign w:val="center"/>
          </w:tcPr>
          <w:p w14:paraId="4BDDB4E4">
            <w:pPr>
              <w:pStyle w:val="44"/>
              <w:bidi w:val="0"/>
              <w:rPr>
                <w:rFonts w:hint="default" w:ascii="Times New Roman" w:hAnsi="Times New Roman" w:cs="Times New Roman"/>
                <w:color w:val="auto"/>
              </w:rPr>
            </w:pPr>
            <w:r>
              <w:rPr>
                <w:rFonts w:hint="default" w:ascii="Times New Roman" w:hAnsi="Times New Roman" w:cs="Times New Roman"/>
                <w:color w:val="auto"/>
              </w:rPr>
              <w:t>镉</w:t>
            </w:r>
          </w:p>
        </w:tc>
        <w:tc>
          <w:tcPr>
            <w:tcW w:w="950" w:type="pct"/>
            <w:noWrap w:val="0"/>
            <w:vAlign w:val="center"/>
          </w:tcPr>
          <w:p w14:paraId="471F22A6">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0.08</w:t>
            </w:r>
          </w:p>
        </w:tc>
        <w:tc>
          <w:tcPr>
            <w:tcW w:w="856" w:type="pct"/>
            <w:noWrap w:val="0"/>
            <w:vAlign w:val="center"/>
          </w:tcPr>
          <w:p w14:paraId="199D6EDB">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0.09</w:t>
            </w:r>
          </w:p>
        </w:tc>
        <w:tc>
          <w:tcPr>
            <w:tcW w:w="661" w:type="pct"/>
            <w:noWrap w:val="0"/>
            <w:vAlign w:val="center"/>
          </w:tcPr>
          <w:p w14:paraId="1FC4B736">
            <w:pPr>
              <w:pStyle w:val="44"/>
              <w:bidi w:val="0"/>
              <w:rPr>
                <w:rFonts w:hint="default" w:ascii="Times New Roman" w:hAnsi="Times New Roman" w:cs="Times New Roman"/>
                <w:color w:val="auto"/>
              </w:rPr>
            </w:pPr>
            <w:r>
              <w:rPr>
                <w:rFonts w:hint="default" w:ascii="Times New Roman" w:hAnsi="Times New Roman" w:cs="Times New Roman"/>
                <w:color w:val="auto"/>
              </w:rPr>
              <w:t>mg/kg</w:t>
            </w:r>
          </w:p>
        </w:tc>
        <w:tc>
          <w:tcPr>
            <w:tcW w:w="713" w:type="pct"/>
            <w:noWrap w:val="0"/>
            <w:vAlign w:val="center"/>
          </w:tcPr>
          <w:p w14:paraId="2297B97D">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0.3</w:t>
            </w:r>
          </w:p>
        </w:tc>
        <w:tc>
          <w:tcPr>
            <w:tcW w:w="438" w:type="pct"/>
            <w:noWrap w:val="0"/>
            <w:vAlign w:val="center"/>
          </w:tcPr>
          <w:p w14:paraId="49D8FE79">
            <w:pPr>
              <w:pStyle w:val="44"/>
              <w:bidi w:val="0"/>
              <w:rPr>
                <w:rFonts w:hint="default" w:ascii="Times New Roman" w:hAnsi="Times New Roman" w:cs="Times New Roman"/>
                <w:color w:val="auto"/>
              </w:rPr>
            </w:pPr>
            <w:r>
              <w:rPr>
                <w:rFonts w:hint="default" w:ascii="Times New Roman" w:hAnsi="Times New Roman" w:cs="Times New Roman"/>
                <w:color w:val="auto"/>
              </w:rPr>
              <w:t>0</w:t>
            </w:r>
          </w:p>
        </w:tc>
        <w:tc>
          <w:tcPr>
            <w:tcW w:w="545" w:type="pct"/>
            <w:noWrap w:val="0"/>
            <w:vAlign w:val="center"/>
          </w:tcPr>
          <w:p w14:paraId="097E517C">
            <w:pPr>
              <w:pStyle w:val="44"/>
              <w:bidi w:val="0"/>
              <w:rPr>
                <w:rFonts w:hint="default" w:ascii="Times New Roman" w:hAnsi="Times New Roman" w:cs="Times New Roman"/>
                <w:color w:val="auto"/>
              </w:rPr>
            </w:pPr>
            <w:r>
              <w:rPr>
                <w:rFonts w:hint="default" w:ascii="Times New Roman" w:hAnsi="Times New Roman" w:cs="Times New Roman"/>
                <w:color w:val="auto"/>
              </w:rPr>
              <w:t>达标</w:t>
            </w:r>
          </w:p>
        </w:tc>
      </w:tr>
      <w:tr w14:paraId="28DC7D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397" w:hRule="exact"/>
        </w:trPr>
        <w:tc>
          <w:tcPr>
            <w:tcW w:w="831" w:type="pct"/>
            <w:noWrap w:val="0"/>
            <w:vAlign w:val="center"/>
          </w:tcPr>
          <w:p w14:paraId="448D6EB9">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锌</w:t>
            </w:r>
          </w:p>
        </w:tc>
        <w:tc>
          <w:tcPr>
            <w:tcW w:w="950" w:type="pct"/>
            <w:noWrap w:val="0"/>
            <w:vAlign w:val="center"/>
          </w:tcPr>
          <w:p w14:paraId="61B9E3A1">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121</w:t>
            </w:r>
          </w:p>
        </w:tc>
        <w:tc>
          <w:tcPr>
            <w:tcW w:w="856" w:type="pct"/>
            <w:noWrap w:val="0"/>
            <w:vAlign w:val="center"/>
          </w:tcPr>
          <w:p w14:paraId="1C4BD22B">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84</w:t>
            </w:r>
          </w:p>
        </w:tc>
        <w:tc>
          <w:tcPr>
            <w:tcW w:w="661" w:type="pct"/>
            <w:noWrap w:val="0"/>
            <w:vAlign w:val="center"/>
          </w:tcPr>
          <w:p w14:paraId="56127EDE">
            <w:pPr>
              <w:pStyle w:val="44"/>
              <w:bidi w:val="0"/>
              <w:rPr>
                <w:rFonts w:hint="default" w:ascii="Times New Roman" w:hAnsi="Times New Roman" w:cs="Times New Roman"/>
                <w:color w:val="auto"/>
              </w:rPr>
            </w:pPr>
            <w:r>
              <w:rPr>
                <w:rFonts w:hint="default" w:ascii="Times New Roman" w:hAnsi="Times New Roman" w:cs="Times New Roman"/>
                <w:color w:val="auto"/>
              </w:rPr>
              <w:t>mg/kg</w:t>
            </w:r>
          </w:p>
        </w:tc>
        <w:tc>
          <w:tcPr>
            <w:tcW w:w="713" w:type="pct"/>
            <w:noWrap w:val="0"/>
            <w:vAlign w:val="center"/>
          </w:tcPr>
          <w:p w14:paraId="6D31D963">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200</w:t>
            </w:r>
          </w:p>
        </w:tc>
        <w:tc>
          <w:tcPr>
            <w:tcW w:w="438" w:type="pct"/>
            <w:noWrap w:val="0"/>
            <w:vAlign w:val="center"/>
          </w:tcPr>
          <w:p w14:paraId="31912D51">
            <w:pPr>
              <w:pStyle w:val="44"/>
              <w:bidi w:val="0"/>
              <w:rPr>
                <w:rFonts w:hint="default" w:ascii="Times New Roman" w:hAnsi="Times New Roman" w:cs="Times New Roman"/>
                <w:color w:val="auto"/>
              </w:rPr>
            </w:pPr>
            <w:r>
              <w:rPr>
                <w:rFonts w:hint="default" w:ascii="Times New Roman" w:hAnsi="Times New Roman" w:cs="Times New Roman"/>
                <w:color w:val="auto"/>
              </w:rPr>
              <w:t>0</w:t>
            </w:r>
          </w:p>
        </w:tc>
        <w:tc>
          <w:tcPr>
            <w:tcW w:w="545" w:type="pct"/>
            <w:noWrap w:val="0"/>
            <w:vAlign w:val="center"/>
          </w:tcPr>
          <w:p w14:paraId="31FE26ED">
            <w:pPr>
              <w:pStyle w:val="44"/>
              <w:bidi w:val="0"/>
              <w:rPr>
                <w:rFonts w:hint="default" w:ascii="Times New Roman" w:hAnsi="Times New Roman" w:cs="Times New Roman"/>
                <w:color w:val="auto"/>
              </w:rPr>
            </w:pPr>
            <w:r>
              <w:rPr>
                <w:rFonts w:hint="default" w:ascii="Times New Roman" w:hAnsi="Times New Roman" w:cs="Times New Roman"/>
                <w:color w:val="auto"/>
              </w:rPr>
              <w:t>达标</w:t>
            </w:r>
          </w:p>
        </w:tc>
      </w:tr>
      <w:tr w14:paraId="6DCB84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397" w:hRule="exact"/>
        </w:trPr>
        <w:tc>
          <w:tcPr>
            <w:tcW w:w="831" w:type="pct"/>
            <w:noWrap w:val="0"/>
            <w:vAlign w:val="center"/>
          </w:tcPr>
          <w:p w14:paraId="1A53F750">
            <w:pPr>
              <w:pStyle w:val="44"/>
              <w:bidi w:val="0"/>
              <w:rPr>
                <w:rFonts w:hint="default" w:ascii="Times New Roman" w:hAnsi="Times New Roman" w:cs="Times New Roman"/>
                <w:color w:val="auto"/>
              </w:rPr>
            </w:pPr>
            <w:r>
              <w:rPr>
                <w:rFonts w:hint="default" w:ascii="Times New Roman" w:hAnsi="Times New Roman" w:cs="Times New Roman"/>
                <w:color w:val="auto"/>
              </w:rPr>
              <w:t>铬</w:t>
            </w:r>
          </w:p>
        </w:tc>
        <w:tc>
          <w:tcPr>
            <w:tcW w:w="950" w:type="pct"/>
            <w:noWrap w:val="0"/>
            <w:vAlign w:val="center"/>
          </w:tcPr>
          <w:p w14:paraId="68E49A9A">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47</w:t>
            </w:r>
          </w:p>
        </w:tc>
        <w:tc>
          <w:tcPr>
            <w:tcW w:w="856" w:type="pct"/>
            <w:noWrap w:val="0"/>
            <w:vAlign w:val="center"/>
          </w:tcPr>
          <w:p w14:paraId="5F912222">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38</w:t>
            </w:r>
          </w:p>
        </w:tc>
        <w:tc>
          <w:tcPr>
            <w:tcW w:w="661" w:type="pct"/>
            <w:noWrap w:val="0"/>
            <w:vAlign w:val="center"/>
          </w:tcPr>
          <w:p w14:paraId="32F09897">
            <w:pPr>
              <w:pStyle w:val="44"/>
              <w:bidi w:val="0"/>
              <w:rPr>
                <w:rFonts w:hint="default" w:ascii="Times New Roman" w:hAnsi="Times New Roman" w:cs="Times New Roman"/>
                <w:color w:val="auto"/>
              </w:rPr>
            </w:pPr>
            <w:r>
              <w:rPr>
                <w:rFonts w:hint="default" w:ascii="Times New Roman" w:hAnsi="Times New Roman" w:cs="Times New Roman"/>
                <w:color w:val="auto"/>
              </w:rPr>
              <w:t>mg/kg</w:t>
            </w:r>
          </w:p>
        </w:tc>
        <w:tc>
          <w:tcPr>
            <w:tcW w:w="713" w:type="pct"/>
            <w:noWrap w:val="0"/>
            <w:vAlign w:val="center"/>
          </w:tcPr>
          <w:p w14:paraId="2EB4AA4E">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150</w:t>
            </w:r>
          </w:p>
        </w:tc>
        <w:tc>
          <w:tcPr>
            <w:tcW w:w="438" w:type="pct"/>
            <w:noWrap w:val="0"/>
            <w:vAlign w:val="center"/>
          </w:tcPr>
          <w:p w14:paraId="6B962548">
            <w:pPr>
              <w:pStyle w:val="44"/>
              <w:bidi w:val="0"/>
              <w:rPr>
                <w:rFonts w:hint="default" w:ascii="Times New Roman" w:hAnsi="Times New Roman" w:cs="Times New Roman"/>
                <w:color w:val="auto"/>
              </w:rPr>
            </w:pPr>
            <w:r>
              <w:rPr>
                <w:rFonts w:hint="default" w:ascii="Times New Roman" w:hAnsi="Times New Roman" w:cs="Times New Roman"/>
                <w:color w:val="auto"/>
              </w:rPr>
              <w:t>0</w:t>
            </w:r>
          </w:p>
        </w:tc>
        <w:tc>
          <w:tcPr>
            <w:tcW w:w="545" w:type="pct"/>
            <w:noWrap w:val="0"/>
            <w:vAlign w:val="center"/>
          </w:tcPr>
          <w:p w14:paraId="180F6FFF">
            <w:pPr>
              <w:pStyle w:val="44"/>
              <w:bidi w:val="0"/>
              <w:rPr>
                <w:rFonts w:hint="default" w:ascii="Times New Roman" w:hAnsi="Times New Roman" w:cs="Times New Roman"/>
                <w:color w:val="auto"/>
              </w:rPr>
            </w:pPr>
            <w:r>
              <w:rPr>
                <w:rFonts w:hint="default" w:ascii="Times New Roman" w:hAnsi="Times New Roman" w:cs="Times New Roman"/>
                <w:color w:val="auto"/>
              </w:rPr>
              <w:t>达标</w:t>
            </w:r>
          </w:p>
        </w:tc>
      </w:tr>
      <w:tr w14:paraId="05D2C3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397" w:hRule="exact"/>
        </w:trPr>
        <w:tc>
          <w:tcPr>
            <w:tcW w:w="831" w:type="pct"/>
            <w:noWrap w:val="0"/>
            <w:vAlign w:val="center"/>
          </w:tcPr>
          <w:p w14:paraId="6BD36C74">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水溶性盐</w:t>
            </w:r>
          </w:p>
        </w:tc>
        <w:tc>
          <w:tcPr>
            <w:tcW w:w="950" w:type="pct"/>
            <w:noWrap w:val="0"/>
            <w:vAlign w:val="center"/>
          </w:tcPr>
          <w:p w14:paraId="51E0F0B5">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0.87</w:t>
            </w:r>
          </w:p>
        </w:tc>
        <w:tc>
          <w:tcPr>
            <w:tcW w:w="856" w:type="pct"/>
            <w:noWrap w:val="0"/>
            <w:vAlign w:val="center"/>
          </w:tcPr>
          <w:p w14:paraId="1E8A80BA">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1.05</w:t>
            </w:r>
          </w:p>
        </w:tc>
        <w:tc>
          <w:tcPr>
            <w:tcW w:w="661" w:type="pct"/>
            <w:noWrap w:val="0"/>
            <w:vAlign w:val="center"/>
          </w:tcPr>
          <w:p w14:paraId="582938E8">
            <w:pPr>
              <w:pStyle w:val="44"/>
              <w:bidi w:val="0"/>
              <w:rPr>
                <w:rFonts w:hint="default" w:ascii="Times New Roman" w:hAnsi="Times New Roman" w:cs="Times New Roman"/>
                <w:color w:val="auto"/>
              </w:rPr>
            </w:pPr>
            <w:r>
              <w:rPr>
                <w:rFonts w:hint="default" w:ascii="Times New Roman" w:hAnsi="Times New Roman" w:cs="Times New Roman"/>
                <w:color w:val="auto"/>
              </w:rPr>
              <w:t>g/kg</w:t>
            </w:r>
          </w:p>
        </w:tc>
        <w:tc>
          <w:tcPr>
            <w:tcW w:w="713" w:type="pct"/>
            <w:noWrap w:val="0"/>
            <w:vAlign w:val="center"/>
          </w:tcPr>
          <w:p w14:paraId="73ED6C0B">
            <w:pPr>
              <w:pStyle w:val="4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438" w:type="pct"/>
            <w:noWrap w:val="0"/>
            <w:vAlign w:val="center"/>
          </w:tcPr>
          <w:p w14:paraId="166AF7F9">
            <w:pPr>
              <w:pStyle w:val="44"/>
              <w:bidi w:val="0"/>
              <w:rPr>
                <w:rFonts w:hint="default" w:ascii="Times New Roman" w:hAnsi="Times New Roman" w:cs="Times New Roman"/>
                <w:color w:val="auto"/>
              </w:rPr>
            </w:pPr>
            <w:r>
              <w:rPr>
                <w:rFonts w:hint="default" w:ascii="Times New Roman" w:hAnsi="Times New Roman" w:cs="Times New Roman"/>
                <w:color w:val="auto"/>
              </w:rPr>
              <w:t>0</w:t>
            </w:r>
          </w:p>
        </w:tc>
        <w:tc>
          <w:tcPr>
            <w:tcW w:w="545" w:type="pct"/>
            <w:noWrap w:val="0"/>
            <w:vAlign w:val="center"/>
          </w:tcPr>
          <w:p w14:paraId="2910B2A9">
            <w:pPr>
              <w:pStyle w:val="44"/>
              <w:bidi w:val="0"/>
              <w:rPr>
                <w:rFonts w:hint="default" w:ascii="Times New Roman" w:hAnsi="Times New Roman" w:cs="Times New Roman"/>
                <w:color w:val="auto"/>
              </w:rPr>
            </w:pPr>
            <w:r>
              <w:rPr>
                <w:rFonts w:hint="default" w:ascii="Times New Roman" w:hAnsi="Times New Roman" w:cs="Times New Roman"/>
                <w:color w:val="auto"/>
              </w:rPr>
              <w:t>达标</w:t>
            </w:r>
          </w:p>
        </w:tc>
      </w:tr>
    </w:tbl>
    <w:p w14:paraId="631AF978">
      <w:pPr>
        <w:pStyle w:val="25"/>
        <w:bidi w:val="0"/>
        <w:rPr>
          <w:rFonts w:hint="default" w:ascii="Times New Roman" w:hAnsi="Times New Roman" w:cs="Times New Roman"/>
          <w:color w:val="auto"/>
        </w:rPr>
      </w:pPr>
      <w:r>
        <w:rPr>
          <w:rFonts w:hint="default" w:ascii="Times New Roman" w:hAnsi="Times New Roman" w:cs="Times New Roman"/>
          <w:color w:val="auto"/>
        </w:rPr>
        <w:t>（9）评价结论</w:t>
      </w:r>
    </w:p>
    <w:p w14:paraId="647E1F48">
      <w:pPr>
        <w:pStyle w:val="25"/>
        <w:bidi w:val="0"/>
        <w:rPr>
          <w:rFonts w:hint="default" w:ascii="Times New Roman" w:hAnsi="Times New Roman" w:cs="Times New Roman"/>
          <w:color w:val="auto"/>
        </w:rPr>
      </w:pPr>
      <w:r>
        <w:rPr>
          <w:rFonts w:hint="default" w:ascii="Times New Roman" w:hAnsi="Times New Roman" w:cs="Times New Roman"/>
          <w:color w:val="auto"/>
        </w:rPr>
        <w:t>由表4-</w:t>
      </w:r>
      <w:r>
        <w:rPr>
          <w:rFonts w:hint="default" w:ascii="Times New Roman" w:hAnsi="Times New Roman" w:cs="Times New Roman"/>
          <w:color w:val="auto"/>
          <w:lang w:val="en-US" w:eastAsia="zh-CN"/>
        </w:rPr>
        <w:t>2</w:t>
      </w:r>
      <w:r>
        <w:rPr>
          <w:rFonts w:hint="default" w:ascii="Times New Roman" w:hAnsi="Times New Roman" w:cs="Times New Roman"/>
          <w:color w:val="auto"/>
        </w:rPr>
        <w:t>-1</w:t>
      </w:r>
      <w:r>
        <w:rPr>
          <w:rFonts w:hint="default" w:ascii="Times New Roman" w:hAnsi="Times New Roman" w:cs="Times New Roman"/>
          <w:color w:val="auto"/>
          <w:lang w:val="en-US" w:eastAsia="zh-CN"/>
        </w:rPr>
        <w:t>6~</w:t>
      </w:r>
      <w:r>
        <w:rPr>
          <w:rFonts w:hint="default" w:ascii="Times New Roman" w:hAnsi="Times New Roman" w:cs="Times New Roman"/>
          <w:color w:val="auto"/>
        </w:rPr>
        <w:t>4-</w:t>
      </w:r>
      <w:r>
        <w:rPr>
          <w:rFonts w:hint="default" w:ascii="Times New Roman" w:hAnsi="Times New Roman" w:cs="Times New Roman"/>
          <w:color w:val="auto"/>
          <w:lang w:val="en-US" w:eastAsia="zh-CN"/>
        </w:rPr>
        <w:t>2</w:t>
      </w:r>
      <w:r>
        <w:rPr>
          <w:rFonts w:hint="default" w:ascii="Times New Roman" w:hAnsi="Times New Roman" w:cs="Times New Roman"/>
          <w:color w:val="auto"/>
        </w:rPr>
        <w:t>-</w:t>
      </w:r>
      <w:r>
        <w:rPr>
          <w:rFonts w:hint="default" w:ascii="Times New Roman" w:hAnsi="Times New Roman" w:cs="Times New Roman"/>
          <w:color w:val="auto"/>
          <w:lang w:val="en-US" w:eastAsia="zh-CN"/>
        </w:rPr>
        <w:t>20</w:t>
      </w:r>
      <w:r>
        <w:rPr>
          <w:rFonts w:hint="default" w:ascii="Times New Roman" w:hAnsi="Times New Roman" w:cs="Times New Roman"/>
          <w:color w:val="auto"/>
        </w:rPr>
        <w:t>可见，本工程占地范围内各监测点的土壤环境质量现状均符合《土壤环境质量 建设用地土壤污染风险管控标准（试行）》（GB36600-2018）中的第二类用地风险筛选值，占地范围外各监测点的土壤环境质量现状均符合《土壤环境质量 农用地土壤污染风险管控标准（试行）》（GB 15618-2018）中风险筛选值，本工程土壤环境质量现状满足要求</w:t>
      </w:r>
      <w:r>
        <w:rPr>
          <w:rFonts w:hint="eastAsia" w:cs="Times New Roman"/>
          <w:color w:val="auto"/>
          <w:lang w:eastAsia="zh-CN"/>
        </w:rPr>
        <w:t>，</w:t>
      </w:r>
      <w:r>
        <w:rPr>
          <w:rFonts w:hint="eastAsia" w:cs="Times New Roman"/>
          <w:color w:val="auto"/>
          <w:lang w:val="en-US" w:eastAsia="zh-CN"/>
        </w:rPr>
        <w:t>工程区域土壤未受污染</w:t>
      </w:r>
      <w:r>
        <w:rPr>
          <w:rFonts w:hint="default" w:ascii="Times New Roman" w:hAnsi="Times New Roman" w:cs="Times New Roman"/>
          <w:color w:val="auto"/>
        </w:rPr>
        <w:t>。</w:t>
      </w:r>
    </w:p>
    <w:p w14:paraId="44A377BF">
      <w:pPr>
        <w:pStyle w:val="39"/>
        <w:bidi w:val="0"/>
        <w:rPr>
          <w:rFonts w:hint="default" w:ascii="Times New Roman" w:hAnsi="Times New Roman" w:cs="Times New Roman"/>
          <w:color w:val="auto"/>
        </w:rPr>
      </w:pPr>
      <w:bookmarkStart w:id="257" w:name="_Toc29664"/>
      <w:r>
        <w:rPr>
          <w:rFonts w:hint="default" w:ascii="Times New Roman" w:hAnsi="Times New Roman" w:cs="Times New Roman"/>
          <w:color w:val="auto"/>
        </w:rPr>
        <w:t>4.2.6生态环境现状调查</w:t>
      </w:r>
      <w:bookmarkEnd w:id="257"/>
    </w:p>
    <w:p w14:paraId="7FC3F574">
      <w:pPr>
        <w:pStyle w:val="5"/>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4.2.6.1调查范围</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内容</w:t>
      </w:r>
    </w:p>
    <w:p w14:paraId="213D2D5B">
      <w:pPr>
        <w:pStyle w:val="25"/>
        <w:bidi w:val="0"/>
        <w:rPr>
          <w:rFonts w:hint="default" w:ascii="Times New Roman" w:hAnsi="Times New Roman" w:cs="Times New Roman"/>
          <w:color w:val="auto"/>
        </w:rPr>
      </w:pPr>
      <w:r>
        <w:rPr>
          <w:rFonts w:hint="default" w:ascii="Times New Roman" w:hAnsi="Times New Roman" w:cs="Times New Roman"/>
          <w:color w:val="auto"/>
        </w:rPr>
        <w:t>根据《环境影响评价技术导则 生态影响》（HJ19-2022）及项目所在区域环境特征，本项目生态环境调查范围为回填区外延</w:t>
      </w:r>
      <w:r>
        <w:rPr>
          <w:rFonts w:hint="default" w:ascii="Times New Roman" w:hAnsi="Times New Roman" w:cs="Times New Roman"/>
          <w:color w:val="auto"/>
          <w:lang w:val="en-US" w:eastAsia="zh-CN"/>
        </w:rPr>
        <w:t>5</w:t>
      </w:r>
      <w:r>
        <w:rPr>
          <w:rFonts w:hint="default" w:ascii="Times New Roman" w:hAnsi="Times New Roman" w:cs="Times New Roman"/>
          <w:color w:val="auto"/>
        </w:rPr>
        <w:t>00m。</w:t>
      </w:r>
    </w:p>
    <w:p w14:paraId="7018D4C0">
      <w:pPr>
        <w:pStyle w:val="25"/>
        <w:bidi w:val="0"/>
        <w:rPr>
          <w:rFonts w:hint="default" w:ascii="Times New Roman" w:hAnsi="Times New Roman" w:eastAsia="宋体" w:cs="Times New Roman"/>
          <w:color w:val="auto"/>
          <w:lang w:val="en-US" w:eastAsia="zh-CN"/>
        </w:rPr>
      </w:pPr>
      <w:r>
        <w:rPr>
          <w:rFonts w:hint="eastAsia" w:cs="Times New Roman"/>
          <w:color w:val="auto"/>
          <w:lang w:val="en-US" w:eastAsia="zh-CN"/>
        </w:rPr>
        <w:t>调查内容为生态系统、植被类型、动植物现状、土地利用类型等。</w:t>
      </w:r>
    </w:p>
    <w:p w14:paraId="34D227E5">
      <w:pPr>
        <w:pStyle w:val="5"/>
        <w:bidi w:val="0"/>
        <w:rPr>
          <w:rFonts w:hint="default" w:ascii="Times New Roman" w:hAnsi="Times New Roman" w:cs="Times New Roman"/>
          <w:color w:val="auto"/>
        </w:rPr>
      </w:pPr>
      <w:r>
        <w:rPr>
          <w:rFonts w:hint="default" w:ascii="Times New Roman" w:hAnsi="Times New Roman" w:cs="Times New Roman"/>
          <w:color w:val="auto"/>
        </w:rPr>
        <w:t>4.2.6.2调查方法</w:t>
      </w:r>
    </w:p>
    <w:p w14:paraId="388EAFF1">
      <w:pPr>
        <w:keepNext w:val="0"/>
        <w:keepLines w:val="0"/>
        <w:pageBreakBefore w:val="0"/>
        <w:widowControl w:val="0"/>
        <w:kinsoku/>
        <w:wordWrap/>
        <w:overflowPunct/>
        <w:topLinePunct w:val="0"/>
        <w:bidi w:val="0"/>
        <w:spacing w:line="500" w:lineRule="exact"/>
        <w:ind w:firstLine="480" w:firstLineChars="200"/>
        <w:textAlignment w:val="auto"/>
        <w:rPr>
          <w:rFonts w:hint="eastAsia" w:ascii="宋体" w:hAnsi="Times New Roman" w:eastAsia="宋体" w:cs="Times New Roman"/>
          <w:color w:val="auto"/>
          <w:sz w:val="24"/>
          <w:szCs w:val="22"/>
          <w:lang w:val="en-US" w:eastAsia="zh-CN"/>
        </w:rPr>
      </w:pPr>
      <w:r>
        <w:rPr>
          <w:rFonts w:hint="eastAsia" w:ascii="宋体" w:hAnsi="Times New Roman" w:eastAsia="宋体" w:cs="Times New Roman"/>
          <w:color w:val="auto"/>
          <w:sz w:val="24"/>
          <w:szCs w:val="22"/>
          <w:lang w:val="en-US" w:eastAsia="zh-CN"/>
        </w:rPr>
        <w:t>利用“3S”（GPS、RS、GIS）技术，对调查范围内的现状进行遥感解译，并与历史资料相结合，对调查范围内的生态环境现状进行外业调查</w:t>
      </w:r>
      <w:r>
        <w:rPr>
          <w:rFonts w:hint="eastAsia" w:cs="Times New Roman"/>
          <w:color w:val="auto"/>
          <w:sz w:val="24"/>
          <w:szCs w:val="22"/>
          <w:lang w:val="en-US" w:eastAsia="zh-CN"/>
        </w:rPr>
        <w:t>。</w:t>
      </w:r>
    </w:p>
    <w:p w14:paraId="43785100">
      <w:pPr>
        <w:keepNext w:val="0"/>
        <w:keepLines w:val="0"/>
        <w:pageBreakBefore w:val="0"/>
        <w:widowControl w:val="0"/>
        <w:numPr>
          <w:ilvl w:val="0"/>
          <w:numId w:val="0"/>
        </w:numPr>
        <w:kinsoku/>
        <w:wordWrap/>
        <w:overflowPunct/>
        <w:topLinePunct w:val="0"/>
        <w:autoSpaceDE w:val="0"/>
        <w:autoSpaceDN w:val="0"/>
        <w:bidi w:val="0"/>
        <w:adjustRightInd w:val="0"/>
        <w:snapToGrid w:val="0"/>
        <w:spacing w:line="500" w:lineRule="exact"/>
        <w:ind w:firstLine="488" w:firstLineChars="200"/>
        <w:textAlignment w:val="auto"/>
        <w:rPr>
          <w:rFonts w:hint="default" w:ascii="Times New Roman" w:hAnsi="Times New Roman" w:eastAsia="宋体" w:cs="Times New Roman"/>
          <w:color w:val="auto"/>
          <w:spacing w:val="2"/>
          <w:sz w:val="24"/>
          <w:szCs w:val="24"/>
          <w:highlight w:val="none"/>
          <w:lang w:val="en-US" w:eastAsia="zh-CN"/>
        </w:rPr>
      </w:pPr>
      <w:r>
        <w:rPr>
          <w:rFonts w:hint="eastAsia" w:ascii="Times New Roman" w:hAnsi="Times New Roman" w:eastAsia="宋体" w:cs="Times New Roman"/>
          <w:color w:val="auto"/>
          <w:spacing w:val="2"/>
          <w:sz w:val="24"/>
          <w:szCs w:val="24"/>
          <w:highlight w:val="none"/>
          <w:lang w:val="en-US" w:eastAsia="zh-CN"/>
        </w:rPr>
        <w:fldChar w:fldCharType="begin"/>
      </w:r>
      <w:r>
        <w:rPr>
          <w:rFonts w:hint="eastAsia" w:ascii="Times New Roman" w:hAnsi="Times New Roman" w:eastAsia="宋体" w:cs="Times New Roman"/>
          <w:color w:val="auto"/>
          <w:spacing w:val="2"/>
          <w:sz w:val="24"/>
          <w:szCs w:val="24"/>
          <w:highlight w:val="none"/>
          <w:lang w:val="en-US" w:eastAsia="zh-CN"/>
        </w:rPr>
        <w:instrText xml:space="preserve"> = 1 \* GB3 \* MERGEFORMAT </w:instrText>
      </w:r>
      <w:r>
        <w:rPr>
          <w:rFonts w:hint="eastAsia" w:ascii="Times New Roman" w:hAnsi="Times New Roman" w:eastAsia="宋体" w:cs="Times New Roman"/>
          <w:color w:val="auto"/>
          <w:spacing w:val="2"/>
          <w:sz w:val="24"/>
          <w:szCs w:val="24"/>
          <w:highlight w:val="none"/>
          <w:lang w:val="en-US" w:eastAsia="zh-CN"/>
        </w:rPr>
        <w:fldChar w:fldCharType="separate"/>
      </w:r>
      <w:r>
        <w:rPr>
          <w:color w:val="auto"/>
        </w:rPr>
        <w:t>①</w:t>
      </w:r>
      <w:r>
        <w:rPr>
          <w:rFonts w:hint="eastAsia" w:ascii="Times New Roman" w:hAnsi="Times New Roman" w:eastAsia="宋体" w:cs="Times New Roman"/>
          <w:color w:val="auto"/>
          <w:spacing w:val="2"/>
          <w:sz w:val="24"/>
          <w:szCs w:val="24"/>
          <w:highlight w:val="none"/>
          <w:lang w:val="en-US" w:eastAsia="zh-CN"/>
        </w:rPr>
        <w:fldChar w:fldCharType="end"/>
      </w:r>
      <w:r>
        <w:rPr>
          <w:rFonts w:hint="eastAsia" w:ascii="Times New Roman" w:cs="Times New Roman"/>
          <w:color w:val="auto"/>
          <w:spacing w:val="2"/>
          <w:sz w:val="24"/>
          <w:szCs w:val="24"/>
          <w:highlight w:val="none"/>
          <w:lang w:val="en-US" w:eastAsia="zh-CN"/>
        </w:rPr>
        <w:t>遥感</w:t>
      </w:r>
      <w:r>
        <w:rPr>
          <w:rFonts w:ascii="Times New Roman" w:hAnsi="Times New Roman" w:eastAsia="宋体"/>
          <w:color w:val="auto"/>
          <w:sz w:val="24"/>
        </w:rPr>
        <w:t>解译</w:t>
      </w:r>
    </w:p>
    <w:p w14:paraId="5D1EE93D">
      <w:pPr>
        <w:keepNext w:val="0"/>
        <w:keepLines w:val="0"/>
        <w:pageBreakBefore w:val="0"/>
        <w:widowControl w:val="0"/>
        <w:kinsoku/>
        <w:wordWrap/>
        <w:overflowPunct/>
        <w:topLinePunct w:val="0"/>
        <w:bidi w:val="0"/>
        <w:spacing w:line="500" w:lineRule="exact"/>
        <w:ind w:firstLine="480" w:firstLineChars="200"/>
        <w:textAlignment w:val="auto"/>
        <w:rPr>
          <w:rFonts w:hint="eastAsia" w:ascii="宋体" w:hAnsi="Times New Roman" w:eastAsia="宋体" w:cs="Times New Roman"/>
          <w:color w:val="auto"/>
          <w:sz w:val="24"/>
          <w:szCs w:val="22"/>
          <w:lang w:val="en-US" w:eastAsia="zh-CN"/>
        </w:rPr>
      </w:pPr>
      <w:r>
        <w:rPr>
          <w:rFonts w:hint="eastAsia" w:ascii="宋体" w:hAnsi="Times New Roman" w:eastAsia="宋体" w:cs="Times New Roman"/>
          <w:color w:val="auto"/>
          <w:sz w:val="24"/>
          <w:szCs w:val="22"/>
          <w:lang w:val="en-US" w:eastAsia="zh-CN"/>
        </w:rPr>
        <w:t>感解译使用的信息源主要为欧空局的地球观测卫星Sentinel2遥感影像，空间分辨率10米。数据获取时间为2021年9月13日，选取这一时间段遥感数据，主要考虑到这一时期的地表类型差异在一年中最为明显，该时间段具有植被发育好、地表信息丰富等特点，有利于对各生态环境因子的读判。</w:t>
      </w:r>
    </w:p>
    <w:p w14:paraId="7BD71D3B">
      <w:pPr>
        <w:keepNext w:val="0"/>
        <w:keepLines w:val="0"/>
        <w:pageBreakBefore w:val="0"/>
        <w:widowControl w:val="0"/>
        <w:kinsoku/>
        <w:wordWrap/>
        <w:overflowPunct/>
        <w:topLinePunct w:val="0"/>
        <w:bidi w:val="0"/>
        <w:spacing w:line="500" w:lineRule="exact"/>
        <w:ind w:firstLine="480" w:firstLineChars="200"/>
        <w:textAlignment w:val="auto"/>
        <w:rPr>
          <w:rFonts w:hint="eastAsia" w:ascii="宋体" w:hAnsi="Times New Roman" w:eastAsia="宋体" w:cs="Times New Roman"/>
          <w:color w:val="auto"/>
          <w:sz w:val="24"/>
          <w:szCs w:val="22"/>
          <w:lang w:val="en-US" w:eastAsia="zh-CN"/>
        </w:rPr>
      </w:pPr>
      <w:r>
        <w:rPr>
          <w:rFonts w:hint="eastAsia" w:ascii="宋体" w:hAnsi="Times New Roman" w:eastAsia="宋体" w:cs="Times New Roman"/>
          <w:color w:val="auto"/>
          <w:sz w:val="24"/>
          <w:szCs w:val="22"/>
          <w:lang w:val="en-US" w:eastAsia="zh-CN"/>
        </w:rPr>
        <w:t>选用RGB_583（即光谱段5.8.3组合）合成彩色图像，以此作为解译和矢量化标准。</w:t>
      </w:r>
    </w:p>
    <w:p w14:paraId="7A80C3FD">
      <w:pPr>
        <w:pStyle w:val="27"/>
        <w:bidi w:val="0"/>
        <w:rPr>
          <w:rFonts w:hint="default" w:ascii="Times New Roman" w:hAnsi="Times New Roman" w:eastAsia="宋体" w:cs="Times New Roman"/>
          <w:color w:val="auto"/>
        </w:rPr>
      </w:pPr>
      <w:r>
        <w:rPr>
          <w:rFonts w:hint="default" w:ascii="Times New Roman" w:hAnsi="Times New Roman" w:eastAsia="宋体" w:cs="Times New Roman"/>
          <w:color w:val="auto"/>
        </w:rPr>
        <w:t>表</w:t>
      </w:r>
      <w:r>
        <w:rPr>
          <w:rFonts w:hint="eastAsia" w:ascii="Times New Roman" w:hAnsi="Times New Roman" w:eastAsia="宋体" w:cs="Times New Roman"/>
          <w:color w:val="auto"/>
          <w:lang w:val="en-US" w:eastAsia="zh-CN"/>
        </w:rPr>
        <w:t>4-2-21</w:t>
      </w:r>
      <w:r>
        <w:rPr>
          <w:rFonts w:hint="eastAsia" w:ascii="Times New Roman" w:hAnsi="Times New Roman" w:eastAsia="宋体" w:cs="Times New Roman"/>
          <w:color w:val="auto"/>
        </w:rPr>
        <w:t xml:space="preserve">  sentinel2</w:t>
      </w:r>
      <w:r>
        <w:rPr>
          <w:rFonts w:hint="default" w:ascii="Times New Roman" w:hAnsi="Times New Roman" w:eastAsia="宋体" w:cs="Times New Roman"/>
          <w:color w:val="auto"/>
        </w:rPr>
        <w:t>影像各谱段具体用途表</w:t>
      </w:r>
    </w:p>
    <w:tbl>
      <w:tblPr>
        <w:tblStyle w:val="20"/>
        <w:tblW w:w="8522"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85" w:type="dxa"/>
          <w:left w:w="108" w:type="dxa"/>
          <w:bottom w:w="85" w:type="dxa"/>
          <w:right w:w="108" w:type="dxa"/>
        </w:tblCellMar>
      </w:tblPr>
      <w:tblGrid>
        <w:gridCol w:w="876"/>
        <w:gridCol w:w="2757"/>
        <w:gridCol w:w="4889"/>
      </w:tblGrid>
      <w:tr w14:paraId="1F41A22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85" w:type="dxa"/>
            <w:left w:w="108" w:type="dxa"/>
            <w:bottom w:w="85" w:type="dxa"/>
            <w:right w:w="108" w:type="dxa"/>
          </w:tblCellMar>
        </w:tblPrEx>
        <w:trPr>
          <w:jc w:val="center"/>
        </w:trPr>
        <w:tc>
          <w:tcPr>
            <w:tcW w:w="876" w:type="dxa"/>
            <w:tcBorders>
              <w:left w:val="nil"/>
            </w:tcBorders>
            <w:noWrap w:val="0"/>
            <w:vAlign w:val="center"/>
          </w:tcPr>
          <w:p w14:paraId="11868122">
            <w:pPr>
              <w:pStyle w:val="44"/>
              <w:bidi w:val="0"/>
              <w:rPr>
                <w:rFonts w:hint="default" w:ascii="Times New Roman" w:hAnsi="Times New Roman" w:eastAsia="宋体" w:cs="Times New Roman"/>
                <w:color w:val="auto"/>
              </w:rPr>
            </w:pPr>
            <w:r>
              <w:rPr>
                <w:rFonts w:hint="default" w:ascii="Times New Roman" w:hAnsi="Times New Roman" w:eastAsia="宋体" w:cs="Times New Roman"/>
                <w:color w:val="auto"/>
              </w:rPr>
              <w:t>光谱段</w:t>
            </w:r>
          </w:p>
        </w:tc>
        <w:tc>
          <w:tcPr>
            <w:tcW w:w="2757" w:type="dxa"/>
            <w:noWrap w:val="0"/>
            <w:vAlign w:val="center"/>
          </w:tcPr>
          <w:p w14:paraId="3EEFE979">
            <w:pPr>
              <w:pStyle w:val="44"/>
              <w:bidi w:val="0"/>
              <w:rPr>
                <w:rFonts w:hint="default" w:ascii="Times New Roman" w:hAnsi="Times New Roman" w:eastAsia="宋体" w:cs="Times New Roman"/>
                <w:color w:val="auto"/>
              </w:rPr>
            </w:pPr>
            <w:r>
              <w:rPr>
                <w:rFonts w:hint="default" w:ascii="Times New Roman" w:hAnsi="Times New Roman" w:eastAsia="宋体" w:cs="Times New Roman"/>
                <w:color w:val="auto"/>
              </w:rPr>
              <w:t>中心波长（μm）</w:t>
            </w:r>
          </w:p>
        </w:tc>
        <w:tc>
          <w:tcPr>
            <w:tcW w:w="4889" w:type="dxa"/>
            <w:tcBorders>
              <w:right w:val="nil"/>
            </w:tcBorders>
            <w:noWrap w:val="0"/>
            <w:vAlign w:val="center"/>
          </w:tcPr>
          <w:p w14:paraId="45732064">
            <w:pPr>
              <w:pStyle w:val="44"/>
              <w:bidi w:val="0"/>
              <w:rPr>
                <w:rFonts w:hint="default" w:ascii="Times New Roman" w:hAnsi="Times New Roman" w:eastAsia="宋体" w:cs="Times New Roman"/>
                <w:color w:val="auto"/>
              </w:rPr>
            </w:pPr>
            <w:r>
              <w:rPr>
                <w:rFonts w:hint="default" w:ascii="Times New Roman" w:hAnsi="Times New Roman" w:eastAsia="宋体" w:cs="Times New Roman"/>
                <w:color w:val="auto"/>
              </w:rPr>
              <w:t>功能</w:t>
            </w:r>
          </w:p>
        </w:tc>
      </w:tr>
      <w:tr w14:paraId="3759755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85" w:type="dxa"/>
            <w:left w:w="108" w:type="dxa"/>
            <w:bottom w:w="85" w:type="dxa"/>
            <w:right w:w="108" w:type="dxa"/>
          </w:tblCellMar>
        </w:tblPrEx>
        <w:trPr>
          <w:jc w:val="center"/>
        </w:trPr>
        <w:tc>
          <w:tcPr>
            <w:tcW w:w="876" w:type="dxa"/>
            <w:tcBorders>
              <w:left w:val="nil"/>
            </w:tcBorders>
            <w:noWrap w:val="0"/>
            <w:vAlign w:val="center"/>
          </w:tcPr>
          <w:p w14:paraId="42C56891">
            <w:pPr>
              <w:pStyle w:val="44"/>
              <w:bidi w:val="0"/>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2757" w:type="dxa"/>
            <w:noWrap w:val="0"/>
            <w:vAlign w:val="center"/>
          </w:tcPr>
          <w:p w14:paraId="54A19C9B">
            <w:pPr>
              <w:pStyle w:val="44"/>
              <w:bidi w:val="0"/>
              <w:rPr>
                <w:rFonts w:hint="default" w:ascii="Times New Roman" w:hAnsi="Times New Roman" w:eastAsia="宋体" w:cs="Times New Roman"/>
                <w:color w:val="auto"/>
              </w:rPr>
            </w:pPr>
            <w:r>
              <w:rPr>
                <w:rFonts w:hint="default" w:ascii="Times New Roman" w:hAnsi="Times New Roman" w:eastAsia="宋体" w:cs="Times New Roman"/>
                <w:color w:val="auto"/>
              </w:rPr>
              <w:t>0.443海岸波段</w:t>
            </w:r>
          </w:p>
        </w:tc>
        <w:tc>
          <w:tcPr>
            <w:tcW w:w="4889" w:type="dxa"/>
            <w:tcBorders>
              <w:right w:val="nil"/>
            </w:tcBorders>
            <w:noWrap w:val="0"/>
            <w:vAlign w:val="center"/>
          </w:tcPr>
          <w:p w14:paraId="64102254">
            <w:pPr>
              <w:pStyle w:val="44"/>
              <w:bidi w:val="0"/>
              <w:rPr>
                <w:rFonts w:hint="default" w:ascii="Times New Roman" w:hAnsi="Times New Roman" w:eastAsia="宋体" w:cs="Times New Roman"/>
                <w:color w:val="auto"/>
              </w:rPr>
            </w:pPr>
            <w:r>
              <w:rPr>
                <w:rFonts w:hint="default" w:ascii="Times New Roman" w:hAnsi="Times New Roman" w:eastAsia="宋体" w:cs="Times New Roman"/>
                <w:color w:val="auto"/>
              </w:rPr>
              <w:t>支持测叶绿素和渗水的规格参数表的深海探测研究</w:t>
            </w:r>
          </w:p>
        </w:tc>
      </w:tr>
      <w:tr w14:paraId="0FBF82B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85" w:type="dxa"/>
            <w:left w:w="108" w:type="dxa"/>
            <w:bottom w:w="85" w:type="dxa"/>
            <w:right w:w="108" w:type="dxa"/>
          </w:tblCellMar>
        </w:tblPrEx>
        <w:trPr>
          <w:jc w:val="center"/>
        </w:trPr>
        <w:tc>
          <w:tcPr>
            <w:tcW w:w="876" w:type="dxa"/>
            <w:tcBorders>
              <w:left w:val="nil"/>
            </w:tcBorders>
            <w:noWrap w:val="0"/>
            <w:vAlign w:val="center"/>
          </w:tcPr>
          <w:p w14:paraId="35AB89E7">
            <w:pPr>
              <w:pStyle w:val="44"/>
              <w:bidi w:val="0"/>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2757" w:type="dxa"/>
            <w:noWrap w:val="0"/>
            <w:vAlign w:val="center"/>
          </w:tcPr>
          <w:p w14:paraId="72B22E8E">
            <w:pPr>
              <w:pStyle w:val="44"/>
              <w:bidi w:val="0"/>
              <w:rPr>
                <w:rFonts w:hint="default" w:ascii="Times New Roman" w:hAnsi="Times New Roman" w:eastAsia="宋体" w:cs="Times New Roman"/>
                <w:color w:val="auto"/>
              </w:rPr>
            </w:pPr>
            <w:r>
              <w:rPr>
                <w:rFonts w:hint="default" w:ascii="Times New Roman" w:hAnsi="Times New Roman" w:eastAsia="宋体" w:cs="Times New Roman"/>
                <w:color w:val="auto"/>
              </w:rPr>
              <w:t>0.490蓝光波段</w:t>
            </w:r>
          </w:p>
        </w:tc>
        <w:tc>
          <w:tcPr>
            <w:tcW w:w="4889" w:type="dxa"/>
            <w:tcBorders>
              <w:right w:val="nil"/>
            </w:tcBorders>
            <w:noWrap w:val="0"/>
            <w:vAlign w:val="center"/>
          </w:tcPr>
          <w:p w14:paraId="6352316F">
            <w:pPr>
              <w:pStyle w:val="44"/>
              <w:bidi w:val="0"/>
              <w:rPr>
                <w:rFonts w:hint="default" w:ascii="Times New Roman" w:hAnsi="Times New Roman" w:eastAsia="宋体" w:cs="Times New Roman"/>
                <w:color w:val="auto"/>
              </w:rPr>
            </w:pPr>
            <w:r>
              <w:rPr>
                <w:rFonts w:hint="default" w:ascii="Times New Roman" w:hAnsi="Times New Roman" w:eastAsia="宋体" w:cs="Times New Roman"/>
                <w:color w:val="auto"/>
              </w:rPr>
              <w:t>绘制水系图和森林图，识别土壤和常绿、落叶植被</w:t>
            </w:r>
          </w:p>
        </w:tc>
      </w:tr>
      <w:tr w14:paraId="292583E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85" w:type="dxa"/>
            <w:left w:w="108" w:type="dxa"/>
            <w:bottom w:w="85" w:type="dxa"/>
            <w:right w:w="108" w:type="dxa"/>
          </w:tblCellMar>
        </w:tblPrEx>
        <w:trPr>
          <w:jc w:val="center"/>
        </w:trPr>
        <w:tc>
          <w:tcPr>
            <w:tcW w:w="876" w:type="dxa"/>
            <w:tcBorders>
              <w:left w:val="nil"/>
            </w:tcBorders>
            <w:noWrap w:val="0"/>
            <w:vAlign w:val="center"/>
          </w:tcPr>
          <w:p w14:paraId="3B492747">
            <w:pPr>
              <w:pStyle w:val="44"/>
              <w:bidi w:val="0"/>
              <w:rPr>
                <w:rFonts w:hint="default" w:ascii="Times New Roman" w:hAnsi="Times New Roman" w:eastAsia="宋体" w:cs="Times New Roman"/>
                <w:color w:val="auto"/>
              </w:rPr>
            </w:pPr>
            <w:r>
              <w:rPr>
                <w:rFonts w:hint="default" w:ascii="Times New Roman" w:hAnsi="Times New Roman" w:eastAsia="宋体" w:cs="Times New Roman"/>
                <w:color w:val="auto"/>
              </w:rPr>
              <w:t>3</w:t>
            </w:r>
          </w:p>
        </w:tc>
        <w:tc>
          <w:tcPr>
            <w:tcW w:w="2757" w:type="dxa"/>
            <w:noWrap w:val="0"/>
            <w:vAlign w:val="center"/>
          </w:tcPr>
          <w:p w14:paraId="3332271F">
            <w:pPr>
              <w:pStyle w:val="44"/>
              <w:bidi w:val="0"/>
              <w:rPr>
                <w:rFonts w:hint="default" w:ascii="Times New Roman" w:hAnsi="Times New Roman" w:eastAsia="宋体" w:cs="Times New Roman"/>
                <w:color w:val="auto"/>
              </w:rPr>
            </w:pPr>
            <w:r>
              <w:rPr>
                <w:rFonts w:hint="default" w:ascii="Times New Roman" w:hAnsi="Times New Roman" w:eastAsia="宋体" w:cs="Times New Roman"/>
                <w:color w:val="auto"/>
              </w:rPr>
              <w:t>0.560绿光波段</w:t>
            </w:r>
          </w:p>
        </w:tc>
        <w:tc>
          <w:tcPr>
            <w:tcW w:w="4889" w:type="dxa"/>
            <w:tcBorders>
              <w:right w:val="nil"/>
            </w:tcBorders>
            <w:noWrap w:val="0"/>
            <w:vAlign w:val="center"/>
          </w:tcPr>
          <w:p w14:paraId="7C6D09CA">
            <w:pPr>
              <w:pStyle w:val="44"/>
              <w:bidi w:val="0"/>
              <w:rPr>
                <w:rFonts w:hint="default" w:ascii="Times New Roman" w:hAnsi="Times New Roman" w:eastAsia="宋体" w:cs="Times New Roman"/>
                <w:color w:val="auto"/>
              </w:rPr>
            </w:pPr>
            <w:r>
              <w:rPr>
                <w:rFonts w:hint="default" w:ascii="Times New Roman" w:hAnsi="Times New Roman" w:eastAsia="宋体" w:cs="Times New Roman"/>
                <w:color w:val="auto"/>
              </w:rPr>
              <w:t>探测健康植物绿色反射率和反映水下特征</w:t>
            </w:r>
          </w:p>
        </w:tc>
      </w:tr>
      <w:tr w14:paraId="64F5639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85" w:type="dxa"/>
            <w:left w:w="108" w:type="dxa"/>
            <w:bottom w:w="85" w:type="dxa"/>
            <w:right w:w="108" w:type="dxa"/>
          </w:tblCellMar>
        </w:tblPrEx>
        <w:trPr>
          <w:jc w:val="center"/>
        </w:trPr>
        <w:tc>
          <w:tcPr>
            <w:tcW w:w="876" w:type="dxa"/>
            <w:tcBorders>
              <w:left w:val="nil"/>
            </w:tcBorders>
            <w:noWrap w:val="0"/>
            <w:vAlign w:val="center"/>
          </w:tcPr>
          <w:p w14:paraId="2627D224">
            <w:pPr>
              <w:pStyle w:val="44"/>
              <w:bidi w:val="0"/>
              <w:rPr>
                <w:rFonts w:hint="default" w:ascii="Times New Roman" w:hAnsi="Times New Roman" w:eastAsia="宋体" w:cs="Times New Roman"/>
                <w:color w:val="auto"/>
              </w:rPr>
            </w:pPr>
            <w:r>
              <w:rPr>
                <w:rFonts w:hint="default" w:ascii="Times New Roman" w:hAnsi="Times New Roman" w:eastAsia="宋体" w:cs="Times New Roman"/>
                <w:color w:val="auto"/>
              </w:rPr>
              <w:t>4</w:t>
            </w:r>
          </w:p>
        </w:tc>
        <w:tc>
          <w:tcPr>
            <w:tcW w:w="2757" w:type="dxa"/>
            <w:noWrap w:val="0"/>
            <w:vAlign w:val="center"/>
          </w:tcPr>
          <w:p w14:paraId="7753C77E">
            <w:pPr>
              <w:pStyle w:val="44"/>
              <w:bidi w:val="0"/>
              <w:rPr>
                <w:rFonts w:hint="default" w:ascii="Times New Roman" w:hAnsi="Times New Roman" w:eastAsia="宋体" w:cs="Times New Roman"/>
                <w:color w:val="auto"/>
              </w:rPr>
            </w:pPr>
            <w:r>
              <w:rPr>
                <w:rFonts w:hint="default" w:ascii="Times New Roman" w:hAnsi="Times New Roman" w:eastAsia="宋体" w:cs="Times New Roman"/>
                <w:color w:val="auto"/>
              </w:rPr>
              <w:t>0.665红光波段</w:t>
            </w:r>
          </w:p>
        </w:tc>
        <w:tc>
          <w:tcPr>
            <w:tcW w:w="4889" w:type="dxa"/>
            <w:tcBorders>
              <w:right w:val="nil"/>
            </w:tcBorders>
            <w:noWrap w:val="0"/>
            <w:vAlign w:val="center"/>
          </w:tcPr>
          <w:p w14:paraId="1833FAE9">
            <w:pPr>
              <w:pStyle w:val="44"/>
              <w:bidi w:val="0"/>
              <w:rPr>
                <w:rFonts w:hint="default" w:ascii="Times New Roman" w:hAnsi="Times New Roman" w:eastAsia="宋体" w:cs="Times New Roman"/>
                <w:color w:val="auto"/>
              </w:rPr>
            </w:pPr>
            <w:r>
              <w:rPr>
                <w:rFonts w:hint="default" w:ascii="Times New Roman" w:hAnsi="Times New Roman" w:eastAsia="宋体" w:cs="Times New Roman"/>
                <w:color w:val="auto"/>
              </w:rPr>
              <w:t>进行植被分类，鉴别人工建筑物、水质</w:t>
            </w:r>
          </w:p>
        </w:tc>
      </w:tr>
      <w:tr w14:paraId="181BAE3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85" w:type="dxa"/>
            <w:left w:w="108" w:type="dxa"/>
            <w:bottom w:w="85" w:type="dxa"/>
            <w:right w:w="108" w:type="dxa"/>
          </w:tblCellMar>
        </w:tblPrEx>
        <w:trPr>
          <w:jc w:val="center"/>
        </w:trPr>
        <w:tc>
          <w:tcPr>
            <w:tcW w:w="876" w:type="dxa"/>
            <w:tcBorders>
              <w:left w:val="nil"/>
            </w:tcBorders>
            <w:noWrap w:val="0"/>
            <w:vAlign w:val="center"/>
          </w:tcPr>
          <w:p w14:paraId="52ADEBCA">
            <w:pPr>
              <w:pStyle w:val="44"/>
              <w:bidi w:val="0"/>
              <w:rPr>
                <w:rFonts w:hint="default" w:ascii="Times New Roman" w:hAnsi="Times New Roman" w:eastAsia="宋体" w:cs="Times New Roman"/>
                <w:color w:val="auto"/>
              </w:rPr>
            </w:pPr>
            <w:r>
              <w:rPr>
                <w:rFonts w:hint="default" w:ascii="Times New Roman" w:hAnsi="Times New Roman" w:eastAsia="宋体" w:cs="Times New Roman"/>
                <w:color w:val="auto"/>
              </w:rPr>
              <w:t>5</w:t>
            </w:r>
          </w:p>
        </w:tc>
        <w:tc>
          <w:tcPr>
            <w:tcW w:w="2757" w:type="dxa"/>
            <w:vMerge w:val="restart"/>
            <w:noWrap w:val="0"/>
            <w:vAlign w:val="center"/>
          </w:tcPr>
          <w:p w14:paraId="724E5783">
            <w:pPr>
              <w:pStyle w:val="44"/>
              <w:bidi w:val="0"/>
              <w:rPr>
                <w:rFonts w:hint="default" w:ascii="Times New Roman" w:hAnsi="Times New Roman" w:eastAsia="宋体" w:cs="Times New Roman"/>
                <w:color w:val="auto"/>
              </w:rPr>
            </w:pPr>
            <w:r>
              <w:rPr>
                <w:rFonts w:hint="default" w:ascii="Times New Roman" w:hAnsi="Times New Roman" w:eastAsia="宋体" w:cs="Times New Roman"/>
                <w:color w:val="auto"/>
              </w:rPr>
              <w:t>0.705~0.865红色边缘波段</w:t>
            </w:r>
          </w:p>
        </w:tc>
        <w:tc>
          <w:tcPr>
            <w:tcW w:w="4889" w:type="dxa"/>
            <w:vMerge w:val="restart"/>
            <w:tcBorders>
              <w:right w:val="nil"/>
            </w:tcBorders>
            <w:noWrap w:val="0"/>
            <w:vAlign w:val="center"/>
          </w:tcPr>
          <w:p w14:paraId="7104E755">
            <w:pPr>
              <w:pStyle w:val="44"/>
              <w:bidi w:val="0"/>
              <w:rPr>
                <w:rFonts w:hint="default" w:ascii="Times New Roman" w:hAnsi="Times New Roman" w:eastAsia="宋体" w:cs="Times New Roman"/>
                <w:color w:val="auto"/>
              </w:rPr>
            </w:pPr>
            <w:r>
              <w:rPr>
                <w:rFonts w:hint="default" w:ascii="Times New Roman" w:hAnsi="Times New Roman" w:eastAsia="宋体" w:cs="Times New Roman"/>
                <w:color w:val="auto"/>
              </w:rPr>
              <w:t>辅助分析有关植物生长情况，可以直接反映出植物健康状况有关信息</w:t>
            </w:r>
          </w:p>
        </w:tc>
      </w:tr>
      <w:tr w14:paraId="56CA884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85" w:type="dxa"/>
            <w:left w:w="108" w:type="dxa"/>
            <w:bottom w:w="85" w:type="dxa"/>
            <w:right w:w="108" w:type="dxa"/>
          </w:tblCellMar>
        </w:tblPrEx>
        <w:trPr>
          <w:jc w:val="center"/>
        </w:trPr>
        <w:tc>
          <w:tcPr>
            <w:tcW w:w="876" w:type="dxa"/>
            <w:tcBorders>
              <w:left w:val="nil"/>
            </w:tcBorders>
            <w:noWrap w:val="0"/>
            <w:vAlign w:val="center"/>
          </w:tcPr>
          <w:p w14:paraId="46EC36B8">
            <w:pPr>
              <w:pStyle w:val="44"/>
              <w:bidi w:val="0"/>
              <w:rPr>
                <w:rFonts w:hint="default" w:ascii="Times New Roman" w:hAnsi="Times New Roman" w:eastAsia="宋体" w:cs="Times New Roman"/>
                <w:color w:val="auto"/>
              </w:rPr>
            </w:pPr>
            <w:r>
              <w:rPr>
                <w:rFonts w:hint="default" w:ascii="Times New Roman" w:hAnsi="Times New Roman" w:eastAsia="宋体" w:cs="Times New Roman"/>
                <w:color w:val="auto"/>
              </w:rPr>
              <w:t>6</w:t>
            </w:r>
          </w:p>
        </w:tc>
        <w:tc>
          <w:tcPr>
            <w:tcW w:w="2757" w:type="dxa"/>
            <w:vMerge w:val="continue"/>
            <w:noWrap w:val="0"/>
            <w:vAlign w:val="center"/>
          </w:tcPr>
          <w:p w14:paraId="14B938A7">
            <w:pPr>
              <w:pStyle w:val="44"/>
              <w:bidi w:val="0"/>
              <w:rPr>
                <w:rFonts w:hint="default" w:ascii="Times New Roman" w:hAnsi="Times New Roman" w:eastAsia="宋体" w:cs="Times New Roman"/>
                <w:color w:val="auto"/>
              </w:rPr>
            </w:pPr>
          </w:p>
        </w:tc>
        <w:tc>
          <w:tcPr>
            <w:tcW w:w="4889" w:type="dxa"/>
            <w:vMerge w:val="continue"/>
            <w:tcBorders>
              <w:right w:val="nil"/>
            </w:tcBorders>
            <w:noWrap w:val="0"/>
            <w:vAlign w:val="center"/>
          </w:tcPr>
          <w:p w14:paraId="54F55AD9">
            <w:pPr>
              <w:pStyle w:val="44"/>
              <w:bidi w:val="0"/>
              <w:rPr>
                <w:rFonts w:hint="default" w:ascii="Times New Roman" w:hAnsi="Times New Roman" w:eastAsia="宋体" w:cs="Times New Roman"/>
                <w:color w:val="auto"/>
              </w:rPr>
            </w:pPr>
          </w:p>
        </w:tc>
      </w:tr>
      <w:tr w14:paraId="3A91FD6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85" w:type="dxa"/>
            <w:left w:w="108" w:type="dxa"/>
            <w:bottom w:w="85" w:type="dxa"/>
            <w:right w:w="108" w:type="dxa"/>
          </w:tblCellMar>
        </w:tblPrEx>
        <w:trPr>
          <w:trHeight w:val="90" w:hRule="atLeast"/>
          <w:jc w:val="center"/>
        </w:trPr>
        <w:tc>
          <w:tcPr>
            <w:tcW w:w="876" w:type="dxa"/>
            <w:tcBorders>
              <w:left w:val="nil"/>
            </w:tcBorders>
            <w:noWrap w:val="0"/>
            <w:vAlign w:val="center"/>
          </w:tcPr>
          <w:p w14:paraId="2F22F32E">
            <w:pPr>
              <w:pStyle w:val="44"/>
              <w:bidi w:val="0"/>
              <w:rPr>
                <w:rFonts w:hint="default" w:ascii="Times New Roman" w:hAnsi="Times New Roman" w:eastAsia="宋体" w:cs="Times New Roman"/>
                <w:color w:val="auto"/>
              </w:rPr>
            </w:pPr>
            <w:r>
              <w:rPr>
                <w:rFonts w:hint="default" w:ascii="Times New Roman" w:hAnsi="Times New Roman" w:eastAsia="宋体" w:cs="Times New Roman"/>
                <w:color w:val="auto"/>
              </w:rPr>
              <w:t>7</w:t>
            </w:r>
          </w:p>
        </w:tc>
        <w:tc>
          <w:tcPr>
            <w:tcW w:w="2757" w:type="dxa"/>
            <w:vMerge w:val="continue"/>
            <w:noWrap w:val="0"/>
            <w:vAlign w:val="center"/>
          </w:tcPr>
          <w:p w14:paraId="5B25D33B">
            <w:pPr>
              <w:pStyle w:val="44"/>
              <w:bidi w:val="0"/>
              <w:rPr>
                <w:rFonts w:hint="default" w:ascii="Times New Roman" w:hAnsi="Times New Roman" w:eastAsia="宋体" w:cs="Times New Roman"/>
                <w:color w:val="auto"/>
              </w:rPr>
            </w:pPr>
          </w:p>
        </w:tc>
        <w:tc>
          <w:tcPr>
            <w:tcW w:w="4889" w:type="dxa"/>
            <w:vMerge w:val="continue"/>
            <w:tcBorders>
              <w:right w:val="nil"/>
            </w:tcBorders>
            <w:noWrap w:val="0"/>
            <w:vAlign w:val="center"/>
          </w:tcPr>
          <w:p w14:paraId="6F59B199">
            <w:pPr>
              <w:pStyle w:val="44"/>
              <w:bidi w:val="0"/>
              <w:rPr>
                <w:rFonts w:hint="default" w:ascii="Times New Roman" w:hAnsi="Times New Roman" w:eastAsia="宋体" w:cs="Times New Roman"/>
                <w:color w:val="auto"/>
              </w:rPr>
            </w:pPr>
          </w:p>
        </w:tc>
      </w:tr>
      <w:tr w14:paraId="272676F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85" w:type="dxa"/>
            <w:left w:w="108" w:type="dxa"/>
            <w:bottom w:w="85" w:type="dxa"/>
            <w:right w:w="108" w:type="dxa"/>
          </w:tblCellMar>
        </w:tblPrEx>
        <w:trPr>
          <w:jc w:val="center"/>
        </w:trPr>
        <w:tc>
          <w:tcPr>
            <w:tcW w:w="876" w:type="dxa"/>
            <w:tcBorders>
              <w:left w:val="nil"/>
            </w:tcBorders>
            <w:noWrap w:val="0"/>
            <w:vAlign w:val="center"/>
          </w:tcPr>
          <w:p w14:paraId="09CF3805">
            <w:pPr>
              <w:pStyle w:val="44"/>
              <w:bidi w:val="0"/>
              <w:rPr>
                <w:rFonts w:hint="default" w:ascii="Times New Roman" w:hAnsi="Times New Roman" w:eastAsia="宋体" w:cs="Times New Roman"/>
                <w:color w:val="auto"/>
              </w:rPr>
            </w:pPr>
            <w:r>
              <w:rPr>
                <w:rFonts w:hint="default" w:ascii="Times New Roman" w:hAnsi="Times New Roman" w:eastAsia="宋体" w:cs="Times New Roman"/>
                <w:color w:val="auto"/>
              </w:rPr>
              <w:t>8A</w:t>
            </w:r>
          </w:p>
        </w:tc>
        <w:tc>
          <w:tcPr>
            <w:tcW w:w="2757" w:type="dxa"/>
            <w:vMerge w:val="continue"/>
            <w:noWrap w:val="0"/>
            <w:vAlign w:val="center"/>
          </w:tcPr>
          <w:p w14:paraId="47505458">
            <w:pPr>
              <w:pStyle w:val="44"/>
              <w:bidi w:val="0"/>
              <w:rPr>
                <w:rFonts w:hint="default" w:ascii="Times New Roman" w:hAnsi="Times New Roman" w:eastAsia="宋体" w:cs="Times New Roman"/>
                <w:color w:val="auto"/>
              </w:rPr>
            </w:pPr>
          </w:p>
        </w:tc>
        <w:tc>
          <w:tcPr>
            <w:tcW w:w="4889" w:type="dxa"/>
            <w:vMerge w:val="continue"/>
            <w:tcBorders>
              <w:right w:val="nil"/>
            </w:tcBorders>
            <w:noWrap w:val="0"/>
            <w:vAlign w:val="center"/>
          </w:tcPr>
          <w:p w14:paraId="355D0971">
            <w:pPr>
              <w:pStyle w:val="44"/>
              <w:bidi w:val="0"/>
              <w:rPr>
                <w:rFonts w:hint="default" w:ascii="Times New Roman" w:hAnsi="Times New Roman" w:eastAsia="宋体" w:cs="Times New Roman"/>
                <w:color w:val="auto"/>
              </w:rPr>
            </w:pPr>
          </w:p>
        </w:tc>
      </w:tr>
      <w:tr w14:paraId="4A570C2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85" w:type="dxa"/>
            <w:left w:w="108" w:type="dxa"/>
            <w:bottom w:w="85" w:type="dxa"/>
            <w:right w:w="108" w:type="dxa"/>
          </w:tblCellMar>
        </w:tblPrEx>
        <w:trPr>
          <w:jc w:val="center"/>
        </w:trPr>
        <w:tc>
          <w:tcPr>
            <w:tcW w:w="876" w:type="dxa"/>
            <w:tcBorders>
              <w:left w:val="nil"/>
            </w:tcBorders>
            <w:noWrap w:val="0"/>
            <w:vAlign w:val="center"/>
          </w:tcPr>
          <w:p w14:paraId="29AE9460">
            <w:pPr>
              <w:pStyle w:val="44"/>
              <w:bidi w:val="0"/>
              <w:rPr>
                <w:rFonts w:hint="default" w:ascii="Times New Roman" w:hAnsi="Times New Roman" w:eastAsia="宋体" w:cs="Times New Roman"/>
                <w:color w:val="auto"/>
              </w:rPr>
            </w:pPr>
            <w:r>
              <w:rPr>
                <w:rFonts w:hint="default" w:ascii="Times New Roman" w:hAnsi="Times New Roman" w:eastAsia="宋体" w:cs="Times New Roman"/>
                <w:color w:val="auto"/>
              </w:rPr>
              <w:t>10</w:t>
            </w:r>
          </w:p>
        </w:tc>
        <w:tc>
          <w:tcPr>
            <w:tcW w:w="2757" w:type="dxa"/>
            <w:vMerge w:val="restart"/>
            <w:noWrap w:val="0"/>
            <w:vAlign w:val="center"/>
          </w:tcPr>
          <w:p w14:paraId="690149A3">
            <w:pPr>
              <w:pStyle w:val="44"/>
              <w:bidi w:val="0"/>
              <w:rPr>
                <w:rFonts w:hint="default" w:ascii="Times New Roman" w:hAnsi="Times New Roman" w:eastAsia="宋体" w:cs="Times New Roman"/>
                <w:color w:val="auto"/>
              </w:rPr>
            </w:pPr>
            <w:r>
              <w:rPr>
                <w:rFonts w:hint="default" w:ascii="Times New Roman" w:hAnsi="Times New Roman" w:eastAsia="宋体" w:cs="Times New Roman"/>
                <w:color w:val="auto"/>
              </w:rPr>
              <w:t>1.375~2.390短波红外波段</w:t>
            </w:r>
          </w:p>
        </w:tc>
        <w:tc>
          <w:tcPr>
            <w:tcW w:w="4889" w:type="dxa"/>
            <w:vMerge w:val="restart"/>
            <w:tcBorders>
              <w:right w:val="nil"/>
            </w:tcBorders>
            <w:noWrap w:val="0"/>
            <w:vAlign w:val="center"/>
          </w:tcPr>
          <w:p w14:paraId="5289B39E">
            <w:pPr>
              <w:pStyle w:val="44"/>
              <w:bidi w:val="0"/>
              <w:rPr>
                <w:rFonts w:hint="default" w:ascii="Times New Roman" w:hAnsi="Times New Roman" w:eastAsia="宋体" w:cs="Times New Roman"/>
                <w:color w:val="auto"/>
              </w:rPr>
            </w:pPr>
            <w:r>
              <w:rPr>
                <w:rFonts w:hint="default" w:ascii="Times New Roman" w:hAnsi="Times New Roman" w:eastAsia="宋体" w:cs="Times New Roman"/>
                <w:color w:val="auto"/>
              </w:rPr>
              <w:t>用于矿物勘查、</w:t>
            </w:r>
            <w:r>
              <w:rPr>
                <w:rFonts w:hint="eastAsia" w:ascii="Times New Roman" w:hAnsi="Times New Roman" w:eastAsia="宋体" w:cs="Times New Roman"/>
                <w:color w:val="auto"/>
                <w:lang w:eastAsia="zh-CN"/>
              </w:rPr>
              <w:t>地质</w:t>
            </w:r>
            <w:r>
              <w:rPr>
                <w:rFonts w:hint="default" w:ascii="Times New Roman" w:hAnsi="Times New Roman" w:eastAsia="宋体" w:cs="Times New Roman"/>
                <w:color w:val="auto"/>
              </w:rPr>
              <w:t>构造识别</w:t>
            </w:r>
          </w:p>
        </w:tc>
      </w:tr>
      <w:tr w14:paraId="01B4572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85" w:type="dxa"/>
            <w:left w:w="108" w:type="dxa"/>
            <w:bottom w:w="85" w:type="dxa"/>
            <w:right w:w="108" w:type="dxa"/>
          </w:tblCellMar>
        </w:tblPrEx>
        <w:trPr>
          <w:jc w:val="center"/>
        </w:trPr>
        <w:tc>
          <w:tcPr>
            <w:tcW w:w="876" w:type="dxa"/>
            <w:tcBorders>
              <w:left w:val="nil"/>
            </w:tcBorders>
            <w:noWrap w:val="0"/>
            <w:vAlign w:val="center"/>
          </w:tcPr>
          <w:p w14:paraId="52D72E80">
            <w:pPr>
              <w:pStyle w:val="44"/>
              <w:bidi w:val="0"/>
              <w:rPr>
                <w:rFonts w:hint="eastAsia" w:ascii="Times New Roman" w:hAnsi="Times New Roman" w:eastAsia="宋体" w:cs="Times New Roman"/>
                <w:color w:val="auto"/>
              </w:rPr>
            </w:pPr>
            <w:r>
              <w:rPr>
                <w:rFonts w:hint="eastAsia" w:ascii="Times New Roman" w:hAnsi="Times New Roman" w:eastAsia="宋体" w:cs="Times New Roman"/>
                <w:color w:val="auto"/>
              </w:rPr>
              <w:t>11</w:t>
            </w:r>
          </w:p>
        </w:tc>
        <w:tc>
          <w:tcPr>
            <w:tcW w:w="2757" w:type="dxa"/>
            <w:vMerge w:val="continue"/>
            <w:noWrap w:val="0"/>
            <w:vAlign w:val="center"/>
          </w:tcPr>
          <w:p w14:paraId="5E4502DE">
            <w:pPr>
              <w:pStyle w:val="44"/>
              <w:bidi w:val="0"/>
              <w:rPr>
                <w:rFonts w:hint="eastAsia" w:ascii="Times New Roman" w:hAnsi="Times New Roman" w:eastAsia="宋体" w:cs="Times New Roman"/>
                <w:color w:val="auto"/>
              </w:rPr>
            </w:pPr>
          </w:p>
        </w:tc>
        <w:tc>
          <w:tcPr>
            <w:tcW w:w="4889" w:type="dxa"/>
            <w:vMerge w:val="continue"/>
            <w:tcBorders>
              <w:right w:val="nil"/>
            </w:tcBorders>
            <w:noWrap w:val="0"/>
            <w:vAlign w:val="center"/>
          </w:tcPr>
          <w:p w14:paraId="4B37D4A1">
            <w:pPr>
              <w:pStyle w:val="44"/>
              <w:bidi w:val="0"/>
              <w:rPr>
                <w:rFonts w:hint="eastAsia" w:ascii="Times New Roman" w:hAnsi="Times New Roman" w:eastAsia="宋体" w:cs="Times New Roman"/>
                <w:color w:val="auto"/>
              </w:rPr>
            </w:pPr>
          </w:p>
        </w:tc>
      </w:tr>
      <w:tr w14:paraId="32A78AC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85" w:type="dxa"/>
            <w:left w:w="108" w:type="dxa"/>
            <w:bottom w:w="85" w:type="dxa"/>
            <w:right w:w="108" w:type="dxa"/>
          </w:tblCellMar>
        </w:tblPrEx>
        <w:trPr>
          <w:jc w:val="center"/>
        </w:trPr>
        <w:tc>
          <w:tcPr>
            <w:tcW w:w="876" w:type="dxa"/>
            <w:tcBorders>
              <w:left w:val="nil"/>
            </w:tcBorders>
            <w:noWrap w:val="0"/>
            <w:vAlign w:val="center"/>
          </w:tcPr>
          <w:p w14:paraId="5B3DB47D">
            <w:pPr>
              <w:pStyle w:val="44"/>
              <w:bidi w:val="0"/>
              <w:rPr>
                <w:rFonts w:hint="eastAsia" w:ascii="Times New Roman" w:hAnsi="Times New Roman" w:eastAsia="宋体" w:cs="Times New Roman"/>
                <w:color w:val="auto"/>
              </w:rPr>
            </w:pPr>
            <w:r>
              <w:rPr>
                <w:rFonts w:hint="eastAsia" w:ascii="Times New Roman" w:hAnsi="Times New Roman" w:eastAsia="宋体" w:cs="Times New Roman"/>
                <w:color w:val="auto"/>
              </w:rPr>
              <w:t>12</w:t>
            </w:r>
          </w:p>
        </w:tc>
        <w:tc>
          <w:tcPr>
            <w:tcW w:w="2757" w:type="dxa"/>
            <w:vMerge w:val="continue"/>
            <w:noWrap w:val="0"/>
            <w:vAlign w:val="center"/>
          </w:tcPr>
          <w:p w14:paraId="2526838D">
            <w:pPr>
              <w:pStyle w:val="44"/>
              <w:bidi w:val="0"/>
              <w:rPr>
                <w:rFonts w:hint="eastAsia" w:ascii="Times New Roman" w:hAnsi="Times New Roman" w:eastAsia="宋体" w:cs="Times New Roman"/>
                <w:color w:val="auto"/>
              </w:rPr>
            </w:pPr>
          </w:p>
        </w:tc>
        <w:tc>
          <w:tcPr>
            <w:tcW w:w="4889" w:type="dxa"/>
            <w:vMerge w:val="continue"/>
            <w:tcBorders>
              <w:right w:val="nil"/>
            </w:tcBorders>
            <w:noWrap w:val="0"/>
            <w:vAlign w:val="center"/>
          </w:tcPr>
          <w:p w14:paraId="302D874A">
            <w:pPr>
              <w:pStyle w:val="44"/>
              <w:bidi w:val="0"/>
              <w:rPr>
                <w:rFonts w:hint="eastAsia" w:ascii="Times New Roman" w:hAnsi="Times New Roman" w:eastAsia="宋体" w:cs="Times New Roman"/>
                <w:color w:val="auto"/>
              </w:rPr>
            </w:pPr>
          </w:p>
        </w:tc>
      </w:tr>
    </w:tbl>
    <w:p w14:paraId="1F0096CC">
      <w:pPr>
        <w:pStyle w:val="5"/>
        <w:bidi w:val="0"/>
        <w:rPr>
          <w:rFonts w:hint="default" w:ascii="Times New Roman" w:hAnsi="Times New Roman" w:cs="Times New Roman"/>
          <w:color w:val="auto"/>
        </w:rPr>
      </w:pPr>
      <w:r>
        <w:rPr>
          <w:rFonts w:hint="default" w:ascii="Times New Roman" w:hAnsi="Times New Roman" w:cs="Times New Roman"/>
          <w:color w:val="auto"/>
        </w:rPr>
        <w:t>4.2.6.3生态功能区划</w:t>
      </w:r>
    </w:p>
    <w:p w14:paraId="16D51FA9">
      <w:pPr>
        <w:spacing w:line="360" w:lineRule="auto"/>
        <w:ind w:firstLine="480" w:firstLineChars="200"/>
        <w:rPr>
          <w:rStyle w:val="26"/>
          <w:rFonts w:hint="default" w:ascii="Times New Roman" w:hAnsi="Times New Roman" w:cs="Times New Roman"/>
          <w:color w:val="auto"/>
          <w:lang w:val="en-US" w:eastAsia="zh-CN"/>
        </w:rPr>
      </w:pPr>
      <w:r>
        <w:rPr>
          <w:rFonts w:hint="default" w:ascii="Times New Roman" w:hAnsi="Times New Roman" w:cs="Times New Roman"/>
          <w:color w:val="auto"/>
          <w:lang w:val="zh-CN"/>
        </w:rPr>
        <w:t>根据《黑龙江省生态功能区规划》，本项目位于</w:t>
      </w:r>
      <w:r>
        <w:rPr>
          <w:rFonts w:hint="default" w:ascii="Times New Roman" w:hAnsi="Times New Roman" w:cs="Times New Roman"/>
          <w:color w:val="auto"/>
          <w:lang w:val="zh-CN"/>
        </w:rPr>
        <w:fldChar w:fldCharType="begin"/>
      </w:r>
      <w:r>
        <w:rPr>
          <w:rFonts w:hint="default" w:ascii="Times New Roman" w:hAnsi="Times New Roman" w:cs="Times New Roman"/>
          <w:color w:val="auto"/>
          <w:lang w:val="zh-CN"/>
        </w:rPr>
        <w:instrText xml:space="preserve"> = 1 \* ROMAN </w:instrText>
      </w:r>
      <w:r>
        <w:rPr>
          <w:rFonts w:hint="default" w:ascii="Times New Roman" w:hAnsi="Times New Roman" w:cs="Times New Roman"/>
          <w:color w:val="auto"/>
          <w:lang w:val="zh-CN"/>
        </w:rPr>
        <w:fldChar w:fldCharType="separate"/>
      </w:r>
      <w:r>
        <w:rPr>
          <w:rFonts w:hint="default" w:ascii="Times New Roman" w:hAnsi="Times New Roman" w:cs="Times New Roman"/>
          <w:color w:val="auto"/>
          <w:lang w:val="zh-CN"/>
        </w:rPr>
        <w:t>I</w:t>
      </w:r>
      <w:r>
        <w:rPr>
          <w:rFonts w:hint="default" w:ascii="Times New Roman" w:hAnsi="Times New Roman" w:cs="Times New Roman"/>
          <w:color w:val="auto"/>
          <w:lang w:val="zh-CN"/>
        </w:rPr>
        <w:fldChar w:fldCharType="end"/>
      </w:r>
      <w:r>
        <w:rPr>
          <w:rFonts w:hint="default" w:ascii="Times New Roman" w:hAnsi="Times New Roman" w:cs="Times New Roman"/>
          <w:color w:val="auto"/>
          <w:lang w:val="zh-CN"/>
        </w:rPr>
        <w:t>-3-2-6鸡西矿、农业、林业生态功能区，主要生态环境问题为植被覆盖率低，矿产开采的生态恢复措施未跟上，引发严重的次生生态环境问题；该区南部小片地区土壤侵蚀敏感性为高度敏</w:t>
      </w:r>
      <w:r>
        <w:rPr>
          <w:rStyle w:val="26"/>
          <w:rFonts w:hint="default" w:ascii="Times New Roman" w:hAnsi="Times New Roman" w:cs="Times New Roman"/>
          <w:color w:val="auto"/>
          <w:lang w:val="zh-CN"/>
        </w:rPr>
        <w:t>感；主要生态系统服务功能为土壤保持、林矿农业生产；保护措施与发展方向为合理地进行矿产开发，禁止野蛮开采的情况出现，大力发展生态林业和生态农业。</w:t>
      </w:r>
      <w:r>
        <w:rPr>
          <w:rStyle w:val="26"/>
          <w:rFonts w:hint="default" w:ascii="Times New Roman" w:hAnsi="Times New Roman" w:cs="Times New Roman"/>
          <w:color w:val="auto"/>
          <w:lang w:val="en-US" w:eastAsia="zh-CN"/>
        </w:rPr>
        <w:t>本项目服务期满后进行覆土绿化，可以更好的缓解水土流失，保持生物多样性。因此工程建设总体上与环境保护规划相协调。</w:t>
      </w:r>
    </w:p>
    <w:p w14:paraId="5F2FB2CA">
      <w:pPr>
        <w:spacing w:line="360" w:lineRule="auto"/>
        <w:ind w:left="0" w:leftChars="0" w:firstLine="0" w:firstLineChars="0"/>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drawing>
          <wp:inline distT="0" distB="0" distL="114300" distR="114300">
            <wp:extent cx="5238750" cy="6466840"/>
            <wp:effectExtent l="0" t="0" r="0" b="10160"/>
            <wp:docPr id="66"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87"/>
                    <pic:cNvPicPr>
                      <a:picLocks noChangeAspect="1"/>
                    </pic:cNvPicPr>
                  </pic:nvPicPr>
                  <pic:blipFill>
                    <a:blip r:embed="rId76"/>
                    <a:srcRect l="3671" t="172" r="3230" b="92"/>
                    <a:stretch>
                      <a:fillRect/>
                    </a:stretch>
                  </pic:blipFill>
                  <pic:spPr>
                    <a:xfrm>
                      <a:off x="0" y="0"/>
                      <a:ext cx="5238750" cy="6466840"/>
                    </a:xfrm>
                    <a:prstGeom prst="rect">
                      <a:avLst/>
                    </a:prstGeom>
                    <a:noFill/>
                    <a:ln>
                      <a:noFill/>
                    </a:ln>
                  </pic:spPr>
                </pic:pic>
              </a:graphicData>
            </a:graphic>
          </wp:inline>
        </w:drawing>
      </w:r>
    </w:p>
    <w:p w14:paraId="3DF8150B">
      <w:pPr>
        <w:pStyle w:val="27"/>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rPr>
        <w:t>图</w:t>
      </w:r>
      <w:r>
        <w:rPr>
          <w:rFonts w:hint="default" w:ascii="Times New Roman" w:hAnsi="Times New Roman" w:eastAsia="宋体" w:cs="Times New Roman"/>
          <w:color w:val="auto"/>
          <w:lang w:val="en-US" w:eastAsia="zh-CN"/>
        </w:rPr>
        <w:t>4</w:t>
      </w:r>
      <w:r>
        <w:rPr>
          <w:rFonts w:hint="default" w:ascii="Times New Roman" w:hAnsi="Times New Roman" w:eastAsia="宋体" w:cs="Times New Roman"/>
          <w:color w:val="auto"/>
        </w:rPr>
        <w:t>-</w:t>
      </w:r>
      <w:r>
        <w:rPr>
          <w:rFonts w:hint="default" w:ascii="Times New Roman" w:hAnsi="Times New Roman" w:eastAsia="宋体" w:cs="Times New Roman"/>
          <w:color w:val="auto"/>
          <w:lang w:val="en-US" w:eastAsia="zh-CN"/>
        </w:rPr>
        <w:t>2</w:t>
      </w:r>
      <w:r>
        <w:rPr>
          <w:rFonts w:hint="default" w:ascii="Times New Roman" w:hAnsi="Times New Roman" w:eastAsia="宋体" w:cs="Times New Roman"/>
          <w:color w:val="auto"/>
        </w:rPr>
        <w:t>-</w:t>
      </w:r>
      <w:r>
        <w:rPr>
          <w:rFonts w:hint="default" w:ascii="Times New Roman" w:hAnsi="Times New Roman" w:eastAsia="宋体" w:cs="Times New Roman"/>
          <w:color w:val="auto"/>
          <w:lang w:val="en-US" w:eastAsia="zh-CN"/>
        </w:rPr>
        <w:t>8</w:t>
      </w:r>
      <w:r>
        <w:rPr>
          <w:rFonts w:hint="default" w:ascii="Times New Roman" w:hAnsi="Times New Roman" w:eastAsia="宋体" w:cs="Times New Roman"/>
          <w:color w:val="auto"/>
        </w:rPr>
        <w:t xml:space="preserve">  黑龙江省生态功能区划</w:t>
      </w:r>
    </w:p>
    <w:p w14:paraId="4EF22622">
      <w:pPr>
        <w:pStyle w:val="5"/>
        <w:bidi w:val="0"/>
        <w:rPr>
          <w:rFonts w:hint="default" w:ascii="Times New Roman" w:hAnsi="Times New Roman" w:cs="Times New Roman"/>
          <w:color w:val="auto"/>
        </w:rPr>
      </w:pPr>
      <w:r>
        <w:rPr>
          <w:rFonts w:hint="default" w:ascii="Times New Roman" w:hAnsi="Times New Roman" w:cs="Times New Roman"/>
          <w:color w:val="auto"/>
        </w:rPr>
        <w:t>4.2.6.4土地利用现状</w:t>
      </w:r>
    </w:p>
    <w:p w14:paraId="60E368A5">
      <w:pPr>
        <w:pStyle w:val="25"/>
        <w:bidi w:val="0"/>
        <w:rPr>
          <w:rFonts w:hint="default" w:ascii="Times New Roman" w:hAnsi="Times New Roman" w:cs="Times New Roman"/>
          <w:color w:val="auto"/>
        </w:rPr>
      </w:pPr>
      <w:r>
        <w:rPr>
          <w:rFonts w:hint="default" w:ascii="Times New Roman" w:hAnsi="Times New Roman" w:cs="Times New Roman"/>
          <w:color w:val="auto"/>
        </w:rPr>
        <w:t>根据本项目建设内容、环境污染物排放特征及建设地点等具体情况，对项目周围的生态环境现状进行了调查，调查主要以收集区域相关生态条件资料和现场踏勘相结合的方法。生态评价范围内主要用地现状主要为采矿用地，其次为旱地和乔木林地等。根据土地利用现状图及实地调查，区域内无国家、省、市级自然保护区、风景名胜区等保护目标，周边林地为一般林地，非公益林及天然林。</w:t>
      </w:r>
    </w:p>
    <w:p w14:paraId="6F19248F">
      <w:pPr>
        <w:pStyle w:val="25"/>
        <w:spacing w:line="240" w:lineRule="auto"/>
        <w:ind w:firstLine="0" w:firstLineChars="0"/>
        <w:rPr>
          <w:rFonts w:hint="default" w:ascii="Times New Roman" w:hAnsi="Times New Roman" w:eastAsia="宋体" w:cs="Times New Roman"/>
          <w:color w:val="auto"/>
          <w:lang w:eastAsia="zh-CN"/>
        </w:rPr>
      </w:pPr>
      <w:r>
        <w:rPr>
          <w:rFonts w:hint="default" w:ascii="Times New Roman" w:hAnsi="Times New Roman" w:cs="Times New Roman"/>
          <w:color w:val="auto"/>
        </w:rPr>
        <w:drawing>
          <wp:inline distT="0" distB="0" distL="114300" distR="114300">
            <wp:extent cx="5269230" cy="3728085"/>
            <wp:effectExtent l="0" t="0" r="7620" b="5715"/>
            <wp:docPr id="69" name="图片 69" descr="6e695409344b904d5ad0d426640db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6e695409344b904d5ad0d426640db84"/>
                    <pic:cNvPicPr>
                      <a:picLocks noChangeAspect="1"/>
                    </pic:cNvPicPr>
                  </pic:nvPicPr>
                  <pic:blipFill>
                    <a:blip r:embed="rId77"/>
                    <a:stretch>
                      <a:fillRect/>
                    </a:stretch>
                  </pic:blipFill>
                  <pic:spPr>
                    <a:xfrm>
                      <a:off x="0" y="0"/>
                      <a:ext cx="5269230" cy="3728085"/>
                    </a:xfrm>
                    <a:prstGeom prst="rect">
                      <a:avLst/>
                    </a:prstGeom>
                  </pic:spPr>
                </pic:pic>
              </a:graphicData>
            </a:graphic>
          </wp:inline>
        </w:drawing>
      </w:r>
    </w:p>
    <w:p w14:paraId="3B90E004">
      <w:pPr>
        <w:pStyle w:val="27"/>
        <w:bidi w:val="0"/>
        <w:rPr>
          <w:rFonts w:hint="eastAsia" w:cs="Times New Roman"/>
          <w:color w:val="auto"/>
          <w:lang w:eastAsia="zh-CN"/>
        </w:rPr>
      </w:pPr>
      <w:r>
        <w:rPr>
          <w:rFonts w:hint="default" w:ascii="Times New Roman" w:hAnsi="Times New Roman" w:cs="Times New Roman"/>
          <w:color w:val="auto"/>
        </w:rPr>
        <w:t>图4-2-</w:t>
      </w:r>
      <w:r>
        <w:rPr>
          <w:rFonts w:hint="default" w:ascii="Times New Roman" w:hAnsi="Times New Roman" w:cs="Times New Roman"/>
          <w:color w:val="auto"/>
          <w:lang w:val="en-US" w:eastAsia="zh-CN"/>
        </w:rPr>
        <w:t>9</w:t>
      </w:r>
      <w:r>
        <w:rPr>
          <w:rFonts w:hint="default" w:ascii="Times New Roman" w:hAnsi="Times New Roman" w:cs="Times New Roman"/>
          <w:color w:val="auto"/>
        </w:rPr>
        <w:t>评价区</w:t>
      </w:r>
      <w:r>
        <w:rPr>
          <w:rFonts w:hint="eastAsia" w:cs="Times New Roman"/>
          <w:color w:val="auto"/>
          <w:lang w:val="en-US" w:eastAsia="zh-CN"/>
        </w:rPr>
        <w:t>2#</w:t>
      </w:r>
      <w:r>
        <w:rPr>
          <w:rFonts w:hint="default" w:ascii="Times New Roman" w:hAnsi="Times New Roman" w:cs="Times New Roman"/>
          <w:color w:val="auto"/>
        </w:rPr>
        <w:t>土地利用现状图</w:t>
      </w:r>
    </w:p>
    <w:p w14:paraId="778E29A5">
      <w:pPr>
        <w:pStyle w:val="27"/>
        <w:bidi w:val="0"/>
        <w:rPr>
          <w:rFonts w:hint="default" w:ascii="Times New Roman" w:hAnsi="Times New Roman" w:cs="Times New Roman"/>
          <w:color w:val="auto"/>
        </w:rPr>
      </w:pPr>
      <w:r>
        <w:rPr>
          <w:rFonts w:hint="default" w:ascii="Times New Roman" w:hAnsi="Times New Roman" w:cs="Times New Roman"/>
          <w:color w:val="auto"/>
        </w:rPr>
        <w:t>表4-2-2</w:t>
      </w:r>
      <w:r>
        <w:rPr>
          <w:rFonts w:hint="default" w:ascii="Times New Roman" w:hAnsi="Times New Roman" w:cs="Times New Roman"/>
          <w:color w:val="auto"/>
          <w:lang w:val="en-US" w:eastAsia="zh-CN"/>
        </w:rPr>
        <w:t>1</w:t>
      </w:r>
      <w:r>
        <w:rPr>
          <w:rFonts w:hint="eastAsia" w:cs="Times New Roman"/>
          <w:color w:val="auto"/>
          <w:lang w:val="en-US" w:eastAsia="zh-CN"/>
        </w:rPr>
        <w:t xml:space="preserve"> 2#地块</w:t>
      </w:r>
      <w:r>
        <w:rPr>
          <w:rFonts w:hint="default" w:ascii="Times New Roman" w:hAnsi="Times New Roman" w:cs="Times New Roman"/>
          <w:color w:val="auto"/>
        </w:rPr>
        <w:t>评价范围内土地利用类型统计表</w:t>
      </w:r>
    </w:p>
    <w:tbl>
      <w:tblPr>
        <w:tblStyle w:val="20"/>
        <w:tblW w:w="8678" w:type="dxa"/>
        <w:tblInd w:w="93"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2464"/>
        <w:gridCol w:w="3218"/>
        <w:gridCol w:w="2996"/>
      </w:tblGrid>
      <w:tr w14:paraId="344919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45" w:hRule="atLeast"/>
        </w:trPr>
        <w:tc>
          <w:tcPr>
            <w:tcW w:w="2464" w:type="dxa"/>
            <w:tcBorders>
              <w:tl2br w:val="nil"/>
              <w:tr2bl w:val="nil"/>
            </w:tcBorders>
            <w:shd w:val="clear" w:color="auto" w:fill="auto"/>
            <w:noWrap/>
            <w:vAlign w:val="center"/>
          </w:tcPr>
          <w:p w14:paraId="28FDE2AC">
            <w:pPr>
              <w:pStyle w:val="44"/>
              <w:bidi w:val="0"/>
              <w:rPr>
                <w:rFonts w:hint="default" w:ascii="Times New Roman" w:hAnsi="Times New Roman" w:cs="Times New Roman"/>
                <w:b/>
                <w:bCs/>
                <w:color w:val="auto"/>
              </w:rPr>
            </w:pPr>
            <w:r>
              <w:rPr>
                <w:rFonts w:hint="default" w:ascii="Times New Roman" w:hAnsi="Times New Roman" w:cs="Times New Roman"/>
                <w:b/>
                <w:bCs/>
                <w:color w:val="auto"/>
                <w:lang w:val="en-US" w:eastAsia="zh-CN"/>
              </w:rPr>
              <w:t>利用类型</w:t>
            </w:r>
          </w:p>
        </w:tc>
        <w:tc>
          <w:tcPr>
            <w:tcW w:w="3218" w:type="dxa"/>
            <w:tcBorders>
              <w:tl2br w:val="nil"/>
              <w:tr2bl w:val="nil"/>
            </w:tcBorders>
            <w:shd w:val="clear" w:color="auto" w:fill="auto"/>
            <w:noWrap/>
            <w:vAlign w:val="center"/>
          </w:tcPr>
          <w:p w14:paraId="411E7141">
            <w:pPr>
              <w:pStyle w:val="44"/>
              <w:bidi w:val="0"/>
              <w:rPr>
                <w:rFonts w:hint="default" w:ascii="Times New Roman" w:hAnsi="Times New Roman" w:cs="Times New Roman"/>
                <w:b/>
                <w:bCs/>
                <w:color w:val="auto"/>
              </w:rPr>
            </w:pPr>
            <w:r>
              <w:rPr>
                <w:rFonts w:hint="default" w:ascii="Times New Roman" w:hAnsi="Times New Roman" w:cs="Times New Roman"/>
                <w:b/>
                <w:bCs/>
                <w:color w:val="auto"/>
                <w:lang w:val="en-US" w:eastAsia="zh-CN"/>
              </w:rPr>
              <w:t>面积</w:t>
            </w:r>
            <w:r>
              <w:rPr>
                <w:rFonts w:hint="eastAsia" w:cs="Times New Roman"/>
                <w:b/>
                <w:bCs/>
                <w:color w:val="auto"/>
                <w:lang w:val="en-US" w:eastAsia="zh-CN"/>
              </w:rPr>
              <w:t>（hm</w:t>
            </w:r>
            <w:r>
              <w:rPr>
                <w:rFonts w:hint="eastAsia" w:cs="Times New Roman"/>
                <w:b/>
                <w:bCs/>
                <w:color w:val="auto"/>
                <w:vertAlign w:val="superscript"/>
                <w:lang w:val="en-US" w:eastAsia="zh-CN"/>
              </w:rPr>
              <w:t>2</w:t>
            </w:r>
            <w:r>
              <w:rPr>
                <w:rFonts w:hint="eastAsia" w:cs="Times New Roman"/>
                <w:b/>
                <w:bCs/>
                <w:color w:val="auto"/>
                <w:lang w:val="en-US" w:eastAsia="zh-CN"/>
              </w:rPr>
              <w:t>）</w:t>
            </w:r>
          </w:p>
        </w:tc>
        <w:tc>
          <w:tcPr>
            <w:tcW w:w="2996" w:type="dxa"/>
            <w:tcBorders>
              <w:tl2br w:val="nil"/>
              <w:tr2bl w:val="nil"/>
            </w:tcBorders>
            <w:shd w:val="clear" w:color="auto" w:fill="auto"/>
            <w:noWrap/>
            <w:vAlign w:val="center"/>
          </w:tcPr>
          <w:p w14:paraId="0AA2ECE3">
            <w:pPr>
              <w:pStyle w:val="44"/>
              <w:bidi w:val="0"/>
              <w:rPr>
                <w:rFonts w:hint="default" w:ascii="Times New Roman" w:hAnsi="Times New Roman" w:cs="Times New Roman"/>
                <w:b/>
                <w:bCs/>
                <w:color w:val="auto"/>
                <w:lang w:val="en-US"/>
              </w:rPr>
            </w:pPr>
            <w:r>
              <w:rPr>
                <w:rFonts w:hint="default" w:ascii="Times New Roman" w:hAnsi="Times New Roman" w:cs="Times New Roman"/>
                <w:b/>
                <w:bCs/>
                <w:color w:val="auto"/>
                <w:lang w:val="en-US" w:eastAsia="zh-CN"/>
              </w:rPr>
              <w:t>占比</w:t>
            </w:r>
            <w:r>
              <w:rPr>
                <w:rFonts w:hint="eastAsia" w:cs="Times New Roman"/>
                <w:b/>
                <w:bCs/>
                <w:color w:val="auto"/>
                <w:lang w:val="en-US" w:eastAsia="zh-CN"/>
              </w:rPr>
              <w:t>（%）</w:t>
            </w:r>
          </w:p>
        </w:tc>
      </w:tr>
      <w:tr w14:paraId="09D76D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45" w:hRule="atLeast"/>
        </w:trPr>
        <w:tc>
          <w:tcPr>
            <w:tcW w:w="0" w:type="auto"/>
            <w:tcBorders>
              <w:tl2br w:val="nil"/>
              <w:tr2bl w:val="nil"/>
            </w:tcBorders>
            <w:shd w:val="clear" w:color="auto" w:fill="auto"/>
            <w:noWrap/>
            <w:vAlign w:val="center"/>
          </w:tcPr>
          <w:p w14:paraId="75F60CF5">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工矿企业用地</w:t>
            </w:r>
          </w:p>
        </w:tc>
        <w:tc>
          <w:tcPr>
            <w:tcW w:w="0" w:type="auto"/>
            <w:tcBorders>
              <w:tl2br w:val="nil"/>
              <w:tr2bl w:val="nil"/>
            </w:tcBorders>
            <w:shd w:val="clear" w:color="auto" w:fill="auto"/>
            <w:noWrap/>
            <w:vAlign w:val="center"/>
          </w:tcPr>
          <w:p w14:paraId="2FADF54D">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127873</w:t>
            </w:r>
          </w:p>
        </w:tc>
        <w:tc>
          <w:tcPr>
            <w:tcW w:w="0" w:type="auto"/>
            <w:tcBorders>
              <w:tl2br w:val="nil"/>
              <w:tr2bl w:val="nil"/>
            </w:tcBorders>
            <w:shd w:val="clear" w:color="auto" w:fill="auto"/>
            <w:noWrap/>
            <w:vAlign w:val="center"/>
          </w:tcPr>
          <w:p w14:paraId="40F79A4E">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10.13%</w:t>
            </w:r>
          </w:p>
        </w:tc>
      </w:tr>
      <w:tr w14:paraId="088215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45" w:hRule="atLeast"/>
        </w:trPr>
        <w:tc>
          <w:tcPr>
            <w:tcW w:w="0" w:type="auto"/>
            <w:tcBorders>
              <w:tl2br w:val="nil"/>
              <w:tr2bl w:val="nil"/>
            </w:tcBorders>
            <w:shd w:val="clear" w:color="auto" w:fill="auto"/>
            <w:noWrap/>
            <w:vAlign w:val="center"/>
          </w:tcPr>
          <w:p w14:paraId="4D27CDE4">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公路用地</w:t>
            </w:r>
          </w:p>
        </w:tc>
        <w:tc>
          <w:tcPr>
            <w:tcW w:w="0" w:type="auto"/>
            <w:tcBorders>
              <w:tl2br w:val="nil"/>
              <w:tr2bl w:val="nil"/>
            </w:tcBorders>
            <w:shd w:val="clear" w:color="auto" w:fill="auto"/>
            <w:noWrap/>
            <w:vAlign w:val="center"/>
          </w:tcPr>
          <w:p w14:paraId="331D1F92">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12264.1</w:t>
            </w:r>
          </w:p>
        </w:tc>
        <w:tc>
          <w:tcPr>
            <w:tcW w:w="0" w:type="auto"/>
            <w:tcBorders>
              <w:tl2br w:val="nil"/>
              <w:tr2bl w:val="nil"/>
            </w:tcBorders>
            <w:shd w:val="clear" w:color="auto" w:fill="auto"/>
            <w:noWrap/>
            <w:vAlign w:val="center"/>
          </w:tcPr>
          <w:p w14:paraId="0A409C4E">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0.97%</w:t>
            </w:r>
          </w:p>
        </w:tc>
      </w:tr>
      <w:tr w14:paraId="7424EB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45" w:hRule="atLeast"/>
        </w:trPr>
        <w:tc>
          <w:tcPr>
            <w:tcW w:w="0" w:type="auto"/>
            <w:tcBorders>
              <w:tl2br w:val="nil"/>
              <w:tr2bl w:val="nil"/>
            </w:tcBorders>
            <w:shd w:val="clear" w:color="auto" w:fill="auto"/>
            <w:noWrap/>
            <w:vAlign w:val="center"/>
          </w:tcPr>
          <w:p w14:paraId="32C6C0D8">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旱地</w:t>
            </w:r>
          </w:p>
        </w:tc>
        <w:tc>
          <w:tcPr>
            <w:tcW w:w="0" w:type="auto"/>
            <w:tcBorders>
              <w:tl2br w:val="nil"/>
              <w:tr2bl w:val="nil"/>
            </w:tcBorders>
            <w:shd w:val="clear" w:color="auto" w:fill="auto"/>
            <w:noWrap/>
            <w:vAlign w:val="center"/>
          </w:tcPr>
          <w:p w14:paraId="3095FF87">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268337</w:t>
            </w:r>
          </w:p>
        </w:tc>
        <w:tc>
          <w:tcPr>
            <w:tcW w:w="0" w:type="auto"/>
            <w:tcBorders>
              <w:tl2br w:val="nil"/>
              <w:tr2bl w:val="nil"/>
            </w:tcBorders>
            <w:shd w:val="clear" w:color="auto" w:fill="auto"/>
            <w:noWrap/>
            <w:vAlign w:val="center"/>
          </w:tcPr>
          <w:p w14:paraId="4321D367">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21.26%</w:t>
            </w:r>
          </w:p>
        </w:tc>
      </w:tr>
      <w:tr w14:paraId="28DD6A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45" w:hRule="atLeast"/>
        </w:trPr>
        <w:tc>
          <w:tcPr>
            <w:tcW w:w="0" w:type="auto"/>
            <w:tcBorders>
              <w:tl2br w:val="nil"/>
              <w:tr2bl w:val="nil"/>
            </w:tcBorders>
            <w:shd w:val="clear" w:color="auto" w:fill="auto"/>
            <w:noWrap/>
            <w:vAlign w:val="center"/>
          </w:tcPr>
          <w:p w14:paraId="44DC5D53">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河流水面</w:t>
            </w:r>
          </w:p>
        </w:tc>
        <w:tc>
          <w:tcPr>
            <w:tcW w:w="0" w:type="auto"/>
            <w:tcBorders>
              <w:tl2br w:val="nil"/>
              <w:tr2bl w:val="nil"/>
            </w:tcBorders>
            <w:shd w:val="clear" w:color="auto" w:fill="auto"/>
            <w:noWrap/>
            <w:vAlign w:val="center"/>
          </w:tcPr>
          <w:p w14:paraId="6DAEF0DE">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5499.25</w:t>
            </w:r>
          </w:p>
        </w:tc>
        <w:tc>
          <w:tcPr>
            <w:tcW w:w="0" w:type="auto"/>
            <w:tcBorders>
              <w:tl2br w:val="nil"/>
              <w:tr2bl w:val="nil"/>
            </w:tcBorders>
            <w:shd w:val="clear" w:color="auto" w:fill="auto"/>
            <w:noWrap/>
            <w:vAlign w:val="center"/>
          </w:tcPr>
          <w:p w14:paraId="70815526">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0.44%</w:t>
            </w:r>
          </w:p>
        </w:tc>
      </w:tr>
      <w:tr w14:paraId="49FF95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45" w:hRule="atLeast"/>
        </w:trPr>
        <w:tc>
          <w:tcPr>
            <w:tcW w:w="0" w:type="auto"/>
            <w:tcBorders>
              <w:tl2br w:val="nil"/>
              <w:tr2bl w:val="nil"/>
            </w:tcBorders>
            <w:shd w:val="clear" w:color="auto" w:fill="auto"/>
            <w:noWrap/>
            <w:vAlign w:val="center"/>
          </w:tcPr>
          <w:p w14:paraId="1E0A6252">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坑塘水面</w:t>
            </w:r>
          </w:p>
        </w:tc>
        <w:tc>
          <w:tcPr>
            <w:tcW w:w="0" w:type="auto"/>
            <w:tcBorders>
              <w:tl2br w:val="nil"/>
              <w:tr2bl w:val="nil"/>
            </w:tcBorders>
            <w:shd w:val="clear" w:color="auto" w:fill="auto"/>
            <w:noWrap/>
            <w:vAlign w:val="center"/>
          </w:tcPr>
          <w:p w14:paraId="59FDF487">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23388</w:t>
            </w:r>
          </w:p>
        </w:tc>
        <w:tc>
          <w:tcPr>
            <w:tcW w:w="0" w:type="auto"/>
            <w:tcBorders>
              <w:tl2br w:val="nil"/>
              <w:tr2bl w:val="nil"/>
            </w:tcBorders>
            <w:shd w:val="clear" w:color="auto" w:fill="auto"/>
            <w:noWrap/>
            <w:vAlign w:val="center"/>
          </w:tcPr>
          <w:p w14:paraId="0705F710">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1.85%</w:t>
            </w:r>
          </w:p>
        </w:tc>
      </w:tr>
      <w:tr w14:paraId="5DAD70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5" w:hRule="atLeast"/>
        </w:trPr>
        <w:tc>
          <w:tcPr>
            <w:tcW w:w="0" w:type="auto"/>
            <w:tcBorders>
              <w:tl2br w:val="nil"/>
              <w:tr2bl w:val="nil"/>
            </w:tcBorders>
            <w:shd w:val="clear" w:color="auto" w:fill="auto"/>
            <w:noWrap/>
            <w:vAlign w:val="center"/>
          </w:tcPr>
          <w:p w14:paraId="1A595382">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农村道路</w:t>
            </w:r>
          </w:p>
        </w:tc>
        <w:tc>
          <w:tcPr>
            <w:tcW w:w="0" w:type="auto"/>
            <w:tcBorders>
              <w:tl2br w:val="nil"/>
              <w:tr2bl w:val="nil"/>
            </w:tcBorders>
            <w:shd w:val="clear" w:color="auto" w:fill="auto"/>
            <w:noWrap/>
            <w:vAlign w:val="center"/>
          </w:tcPr>
          <w:p w14:paraId="0E9C8C2D">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6231.7</w:t>
            </w:r>
          </w:p>
        </w:tc>
        <w:tc>
          <w:tcPr>
            <w:tcW w:w="0" w:type="auto"/>
            <w:tcBorders>
              <w:tl2br w:val="nil"/>
              <w:tr2bl w:val="nil"/>
            </w:tcBorders>
            <w:shd w:val="clear" w:color="auto" w:fill="auto"/>
            <w:noWrap/>
            <w:vAlign w:val="center"/>
          </w:tcPr>
          <w:p w14:paraId="2055A252">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0.49%</w:t>
            </w:r>
          </w:p>
        </w:tc>
      </w:tr>
      <w:tr w14:paraId="3742D1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45" w:hRule="atLeast"/>
        </w:trPr>
        <w:tc>
          <w:tcPr>
            <w:tcW w:w="0" w:type="auto"/>
            <w:tcBorders>
              <w:tl2br w:val="nil"/>
              <w:tr2bl w:val="nil"/>
            </w:tcBorders>
            <w:shd w:val="clear" w:color="auto" w:fill="auto"/>
            <w:noWrap/>
            <w:vAlign w:val="center"/>
          </w:tcPr>
          <w:p w14:paraId="1808DBCF">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农村宅基地</w:t>
            </w:r>
          </w:p>
        </w:tc>
        <w:tc>
          <w:tcPr>
            <w:tcW w:w="0" w:type="auto"/>
            <w:tcBorders>
              <w:tl2br w:val="nil"/>
              <w:tr2bl w:val="nil"/>
            </w:tcBorders>
            <w:shd w:val="clear" w:color="auto" w:fill="auto"/>
            <w:noWrap/>
            <w:vAlign w:val="center"/>
          </w:tcPr>
          <w:p w14:paraId="6BE449D7">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71839.3</w:t>
            </w:r>
          </w:p>
        </w:tc>
        <w:tc>
          <w:tcPr>
            <w:tcW w:w="0" w:type="auto"/>
            <w:tcBorders>
              <w:tl2br w:val="nil"/>
              <w:tr2bl w:val="nil"/>
            </w:tcBorders>
            <w:shd w:val="clear" w:color="auto" w:fill="auto"/>
            <w:noWrap/>
            <w:vAlign w:val="center"/>
          </w:tcPr>
          <w:p w14:paraId="7DA2F17B">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5.69%</w:t>
            </w:r>
          </w:p>
        </w:tc>
      </w:tr>
      <w:tr w14:paraId="36F4D4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45" w:hRule="atLeast"/>
        </w:trPr>
        <w:tc>
          <w:tcPr>
            <w:tcW w:w="0" w:type="auto"/>
            <w:tcBorders>
              <w:tl2br w:val="nil"/>
              <w:tr2bl w:val="nil"/>
            </w:tcBorders>
            <w:shd w:val="clear" w:color="auto" w:fill="auto"/>
            <w:noWrap/>
            <w:vAlign w:val="center"/>
          </w:tcPr>
          <w:p w14:paraId="02EAF6E8">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其他草地</w:t>
            </w:r>
          </w:p>
        </w:tc>
        <w:tc>
          <w:tcPr>
            <w:tcW w:w="0" w:type="auto"/>
            <w:tcBorders>
              <w:tl2br w:val="nil"/>
              <w:tr2bl w:val="nil"/>
            </w:tcBorders>
            <w:shd w:val="clear" w:color="auto" w:fill="auto"/>
            <w:noWrap/>
            <w:vAlign w:val="center"/>
          </w:tcPr>
          <w:p w14:paraId="4CBAA2FB">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71001.2</w:t>
            </w:r>
          </w:p>
        </w:tc>
        <w:tc>
          <w:tcPr>
            <w:tcW w:w="0" w:type="auto"/>
            <w:tcBorders>
              <w:tl2br w:val="nil"/>
              <w:tr2bl w:val="nil"/>
            </w:tcBorders>
            <w:shd w:val="clear" w:color="auto" w:fill="auto"/>
            <w:noWrap/>
            <w:vAlign w:val="center"/>
          </w:tcPr>
          <w:p w14:paraId="1822E379">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5.63%</w:t>
            </w:r>
          </w:p>
        </w:tc>
      </w:tr>
      <w:tr w14:paraId="41BB00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5" w:hRule="atLeast"/>
        </w:trPr>
        <w:tc>
          <w:tcPr>
            <w:tcW w:w="0" w:type="auto"/>
            <w:tcBorders>
              <w:tl2br w:val="nil"/>
              <w:tr2bl w:val="nil"/>
            </w:tcBorders>
            <w:shd w:val="clear" w:color="auto" w:fill="auto"/>
            <w:noWrap/>
            <w:vAlign w:val="center"/>
          </w:tcPr>
          <w:p w14:paraId="5003B677">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乔木林地</w:t>
            </w:r>
          </w:p>
        </w:tc>
        <w:tc>
          <w:tcPr>
            <w:tcW w:w="0" w:type="auto"/>
            <w:tcBorders>
              <w:tl2br w:val="nil"/>
              <w:tr2bl w:val="nil"/>
            </w:tcBorders>
            <w:shd w:val="clear" w:color="auto" w:fill="auto"/>
            <w:noWrap/>
            <w:vAlign w:val="center"/>
          </w:tcPr>
          <w:p w14:paraId="2AD49491">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600661</w:t>
            </w:r>
          </w:p>
        </w:tc>
        <w:tc>
          <w:tcPr>
            <w:tcW w:w="0" w:type="auto"/>
            <w:tcBorders>
              <w:tl2br w:val="nil"/>
              <w:tr2bl w:val="nil"/>
            </w:tcBorders>
            <w:shd w:val="clear" w:color="auto" w:fill="auto"/>
            <w:noWrap/>
            <w:vAlign w:val="center"/>
          </w:tcPr>
          <w:p w14:paraId="682D0B3F">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47.59%</w:t>
            </w:r>
          </w:p>
        </w:tc>
      </w:tr>
      <w:tr w14:paraId="3FA54A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45" w:hRule="atLeast"/>
        </w:trPr>
        <w:tc>
          <w:tcPr>
            <w:tcW w:w="0" w:type="auto"/>
            <w:tcBorders>
              <w:tl2br w:val="nil"/>
              <w:tr2bl w:val="nil"/>
            </w:tcBorders>
            <w:shd w:val="clear" w:color="auto" w:fill="auto"/>
            <w:noWrap/>
            <w:vAlign w:val="center"/>
          </w:tcPr>
          <w:p w14:paraId="62162EAC">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未利用地</w:t>
            </w:r>
          </w:p>
        </w:tc>
        <w:tc>
          <w:tcPr>
            <w:tcW w:w="0" w:type="auto"/>
            <w:tcBorders>
              <w:tl2br w:val="nil"/>
              <w:tr2bl w:val="nil"/>
            </w:tcBorders>
            <w:shd w:val="clear" w:color="auto" w:fill="auto"/>
            <w:noWrap/>
            <w:vAlign w:val="center"/>
          </w:tcPr>
          <w:p w14:paraId="4BC8C7F9">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75015.2</w:t>
            </w:r>
          </w:p>
        </w:tc>
        <w:tc>
          <w:tcPr>
            <w:tcW w:w="0" w:type="auto"/>
            <w:tcBorders>
              <w:tl2br w:val="nil"/>
              <w:tr2bl w:val="nil"/>
            </w:tcBorders>
            <w:shd w:val="clear" w:color="auto" w:fill="auto"/>
            <w:noWrap/>
            <w:vAlign w:val="center"/>
          </w:tcPr>
          <w:p w14:paraId="247DC18B">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5.94%</w:t>
            </w:r>
          </w:p>
        </w:tc>
      </w:tr>
      <w:tr w14:paraId="1A1E94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5" w:hRule="atLeast"/>
        </w:trPr>
        <w:tc>
          <w:tcPr>
            <w:tcW w:w="0" w:type="auto"/>
            <w:tcBorders>
              <w:tl2br w:val="nil"/>
              <w:tr2bl w:val="nil"/>
            </w:tcBorders>
            <w:shd w:val="clear" w:color="auto" w:fill="auto"/>
            <w:noWrap/>
            <w:vAlign w:val="center"/>
          </w:tcPr>
          <w:p w14:paraId="7579EF3E">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合计</w:t>
            </w:r>
          </w:p>
        </w:tc>
        <w:tc>
          <w:tcPr>
            <w:tcW w:w="0" w:type="auto"/>
            <w:tcBorders>
              <w:tl2br w:val="nil"/>
              <w:tr2bl w:val="nil"/>
            </w:tcBorders>
            <w:shd w:val="clear" w:color="auto" w:fill="auto"/>
            <w:noWrap/>
            <w:vAlign w:val="center"/>
          </w:tcPr>
          <w:p w14:paraId="42FBC99B">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1262109.75</w:t>
            </w:r>
          </w:p>
        </w:tc>
        <w:tc>
          <w:tcPr>
            <w:tcW w:w="0" w:type="auto"/>
            <w:tcBorders>
              <w:tl2br w:val="nil"/>
              <w:tr2bl w:val="nil"/>
            </w:tcBorders>
            <w:shd w:val="clear" w:color="auto" w:fill="auto"/>
            <w:noWrap/>
            <w:vAlign w:val="center"/>
          </w:tcPr>
          <w:p w14:paraId="51FB49F9">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100.00%</w:t>
            </w:r>
          </w:p>
        </w:tc>
      </w:tr>
    </w:tbl>
    <w:p w14:paraId="0922EE3E">
      <w:pPr>
        <w:rPr>
          <w:rFonts w:hint="eastAsia"/>
          <w:color w:val="auto"/>
          <w:lang w:eastAsia="zh-CN"/>
        </w:rPr>
      </w:pPr>
    </w:p>
    <w:p w14:paraId="79C6D9EE">
      <w:pPr>
        <w:pStyle w:val="27"/>
        <w:bidi w:val="0"/>
        <w:ind w:left="0" w:leftChars="0" w:firstLine="0" w:firstLineChars="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262880" cy="4026535"/>
            <wp:effectExtent l="0" t="0" r="13970" b="12065"/>
            <wp:docPr id="31" name="图片 31" descr="土地利用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土地利用4"/>
                    <pic:cNvPicPr>
                      <a:picLocks noChangeAspect="1"/>
                    </pic:cNvPicPr>
                  </pic:nvPicPr>
                  <pic:blipFill>
                    <a:blip r:embed="rId78"/>
                    <a:stretch>
                      <a:fillRect/>
                    </a:stretch>
                  </pic:blipFill>
                  <pic:spPr>
                    <a:xfrm>
                      <a:off x="0" y="0"/>
                      <a:ext cx="5262880" cy="4026535"/>
                    </a:xfrm>
                    <a:prstGeom prst="rect">
                      <a:avLst/>
                    </a:prstGeom>
                  </pic:spPr>
                </pic:pic>
              </a:graphicData>
            </a:graphic>
          </wp:inline>
        </w:drawing>
      </w:r>
      <w:r>
        <w:rPr>
          <w:rFonts w:hint="default" w:ascii="Times New Roman" w:hAnsi="Times New Roman" w:cs="Times New Roman"/>
          <w:color w:val="auto"/>
        </w:rPr>
        <w:t>图4-2-</w:t>
      </w:r>
      <w:r>
        <w:rPr>
          <w:rFonts w:hint="eastAsia" w:cs="Times New Roman"/>
          <w:color w:val="auto"/>
          <w:lang w:val="en-US" w:eastAsia="zh-CN"/>
        </w:rPr>
        <w:t>10</w:t>
      </w:r>
      <w:r>
        <w:rPr>
          <w:rFonts w:hint="default" w:ascii="Times New Roman" w:hAnsi="Times New Roman" w:cs="Times New Roman"/>
          <w:color w:val="auto"/>
        </w:rPr>
        <w:t>评价区</w:t>
      </w:r>
      <w:r>
        <w:rPr>
          <w:rFonts w:hint="eastAsia" w:cs="Times New Roman"/>
          <w:color w:val="auto"/>
          <w:lang w:val="en-US" w:eastAsia="zh-CN"/>
        </w:rPr>
        <w:t>14#、15#、16#</w:t>
      </w:r>
      <w:r>
        <w:rPr>
          <w:rFonts w:hint="default" w:ascii="Times New Roman" w:hAnsi="Times New Roman" w:cs="Times New Roman"/>
          <w:color w:val="auto"/>
        </w:rPr>
        <w:t>土地利用现状图</w:t>
      </w:r>
    </w:p>
    <w:p w14:paraId="042C24BF">
      <w:pPr>
        <w:pStyle w:val="27"/>
        <w:bidi w:val="0"/>
        <w:ind w:left="0" w:leftChars="0" w:firstLine="0" w:firstLineChars="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262880" cy="4026535"/>
            <wp:effectExtent l="0" t="0" r="13970" b="12065"/>
            <wp:docPr id="30" name="图片 30" descr="土地利用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土地利用3"/>
                    <pic:cNvPicPr>
                      <a:picLocks noChangeAspect="1"/>
                    </pic:cNvPicPr>
                  </pic:nvPicPr>
                  <pic:blipFill>
                    <a:blip r:embed="rId79"/>
                    <a:stretch>
                      <a:fillRect/>
                    </a:stretch>
                  </pic:blipFill>
                  <pic:spPr>
                    <a:xfrm>
                      <a:off x="0" y="0"/>
                      <a:ext cx="5262880" cy="4026535"/>
                    </a:xfrm>
                    <a:prstGeom prst="rect">
                      <a:avLst/>
                    </a:prstGeom>
                  </pic:spPr>
                </pic:pic>
              </a:graphicData>
            </a:graphic>
          </wp:inline>
        </w:drawing>
      </w:r>
      <w:r>
        <w:rPr>
          <w:rFonts w:hint="default" w:ascii="Times New Roman" w:hAnsi="Times New Roman" w:cs="Times New Roman"/>
          <w:color w:val="auto"/>
        </w:rPr>
        <w:t>图4-2-</w:t>
      </w:r>
      <w:r>
        <w:rPr>
          <w:rFonts w:hint="eastAsia" w:cs="Times New Roman"/>
          <w:color w:val="auto"/>
          <w:lang w:val="en-US" w:eastAsia="zh-CN"/>
        </w:rPr>
        <w:t>11</w:t>
      </w:r>
      <w:r>
        <w:rPr>
          <w:rFonts w:hint="default" w:ascii="Times New Roman" w:hAnsi="Times New Roman" w:cs="Times New Roman"/>
          <w:color w:val="auto"/>
        </w:rPr>
        <w:t>评价区</w:t>
      </w:r>
      <w:r>
        <w:rPr>
          <w:rFonts w:hint="eastAsia" w:cs="Times New Roman"/>
          <w:color w:val="auto"/>
          <w:lang w:val="en-US" w:eastAsia="zh-CN"/>
        </w:rPr>
        <w:t>21#</w:t>
      </w:r>
      <w:r>
        <w:rPr>
          <w:rFonts w:hint="default" w:ascii="Times New Roman" w:hAnsi="Times New Roman" w:cs="Times New Roman"/>
          <w:color w:val="auto"/>
        </w:rPr>
        <w:t>土地利用现状图</w:t>
      </w:r>
    </w:p>
    <w:p w14:paraId="38A66D30">
      <w:pPr>
        <w:ind w:left="0" w:leftChars="0" w:firstLine="0" w:firstLineChars="0"/>
        <w:rPr>
          <w:rFonts w:hint="eastAsia" w:eastAsia="宋体"/>
          <w:color w:val="auto"/>
          <w:lang w:eastAsia="zh-CN"/>
        </w:rPr>
      </w:pPr>
      <w:r>
        <w:rPr>
          <w:rFonts w:hint="eastAsia" w:eastAsia="宋体"/>
          <w:color w:val="auto"/>
          <w:lang w:eastAsia="zh-CN"/>
        </w:rPr>
        <w:drawing>
          <wp:inline distT="0" distB="0" distL="114300" distR="114300">
            <wp:extent cx="5262880" cy="3908425"/>
            <wp:effectExtent l="0" t="0" r="0" b="0"/>
            <wp:docPr id="32" name="图片 32" descr="土地利用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土地利用5"/>
                    <pic:cNvPicPr>
                      <a:picLocks noChangeAspect="1"/>
                    </pic:cNvPicPr>
                  </pic:nvPicPr>
                  <pic:blipFill>
                    <a:blip r:embed="rId80"/>
                    <a:srcRect b="2933"/>
                    <a:stretch>
                      <a:fillRect/>
                    </a:stretch>
                  </pic:blipFill>
                  <pic:spPr>
                    <a:xfrm>
                      <a:off x="0" y="0"/>
                      <a:ext cx="5262880" cy="3908425"/>
                    </a:xfrm>
                    <a:prstGeom prst="rect">
                      <a:avLst/>
                    </a:prstGeom>
                  </pic:spPr>
                </pic:pic>
              </a:graphicData>
            </a:graphic>
          </wp:inline>
        </w:drawing>
      </w:r>
    </w:p>
    <w:p w14:paraId="4A52075C">
      <w:pPr>
        <w:pStyle w:val="27"/>
        <w:bidi w:val="0"/>
        <w:rPr>
          <w:rFonts w:hint="eastAsia"/>
          <w:color w:val="auto"/>
          <w:lang w:eastAsia="zh-CN"/>
        </w:rPr>
      </w:pPr>
      <w:r>
        <w:rPr>
          <w:rFonts w:hint="default" w:ascii="Times New Roman" w:hAnsi="Times New Roman" w:cs="Times New Roman"/>
          <w:color w:val="auto"/>
        </w:rPr>
        <w:t>图4-2-</w:t>
      </w:r>
      <w:r>
        <w:rPr>
          <w:rFonts w:hint="eastAsia" w:cs="Times New Roman"/>
          <w:color w:val="auto"/>
          <w:lang w:val="en-US" w:eastAsia="zh-CN"/>
        </w:rPr>
        <w:t>12</w:t>
      </w:r>
      <w:r>
        <w:rPr>
          <w:rFonts w:hint="default" w:ascii="Times New Roman" w:hAnsi="Times New Roman" w:cs="Times New Roman"/>
          <w:color w:val="auto"/>
        </w:rPr>
        <w:t>评价区</w:t>
      </w:r>
      <w:r>
        <w:rPr>
          <w:rFonts w:hint="eastAsia" w:cs="Times New Roman"/>
          <w:color w:val="auto"/>
          <w:lang w:val="en-US" w:eastAsia="zh-CN"/>
        </w:rPr>
        <w:t>25#</w:t>
      </w:r>
      <w:r>
        <w:rPr>
          <w:rFonts w:hint="default" w:ascii="Times New Roman" w:hAnsi="Times New Roman" w:cs="Times New Roman"/>
          <w:color w:val="auto"/>
        </w:rPr>
        <w:t>土地利用现状图</w:t>
      </w:r>
    </w:p>
    <w:p w14:paraId="6ACDD57D">
      <w:pPr>
        <w:pStyle w:val="27"/>
        <w:bidi w:val="0"/>
        <w:ind w:left="0" w:leftChars="0" w:firstLine="0" w:firstLineChars="0"/>
        <w:jc w:val="both"/>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drawing>
          <wp:inline distT="0" distB="0" distL="114300" distR="114300">
            <wp:extent cx="5262880" cy="4026535"/>
            <wp:effectExtent l="0" t="0" r="13970" b="12065"/>
            <wp:docPr id="23" name="图片 23" descr="土地利用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土地利用1"/>
                    <pic:cNvPicPr>
                      <a:picLocks noChangeAspect="1"/>
                    </pic:cNvPicPr>
                  </pic:nvPicPr>
                  <pic:blipFill>
                    <a:blip r:embed="rId81"/>
                    <a:stretch>
                      <a:fillRect/>
                    </a:stretch>
                  </pic:blipFill>
                  <pic:spPr>
                    <a:xfrm>
                      <a:off x="0" y="0"/>
                      <a:ext cx="5262880" cy="4026535"/>
                    </a:xfrm>
                    <a:prstGeom prst="rect">
                      <a:avLst/>
                    </a:prstGeom>
                  </pic:spPr>
                </pic:pic>
              </a:graphicData>
            </a:graphic>
          </wp:inline>
        </w:drawing>
      </w:r>
    </w:p>
    <w:p w14:paraId="4DCE08FD">
      <w:pPr>
        <w:pStyle w:val="27"/>
        <w:bidi w:val="0"/>
        <w:rPr>
          <w:rFonts w:hint="default" w:ascii="Times New Roman" w:hAnsi="Times New Roman" w:cs="Times New Roman"/>
          <w:color w:val="auto"/>
        </w:rPr>
      </w:pPr>
      <w:r>
        <w:rPr>
          <w:rFonts w:hint="default" w:ascii="Times New Roman" w:hAnsi="Times New Roman" w:cs="Times New Roman"/>
          <w:color w:val="auto"/>
        </w:rPr>
        <w:t>图4-2-</w:t>
      </w:r>
      <w:r>
        <w:rPr>
          <w:rFonts w:hint="eastAsia" w:cs="Times New Roman"/>
          <w:color w:val="auto"/>
          <w:lang w:val="en-US" w:eastAsia="zh-CN"/>
        </w:rPr>
        <w:t>13</w:t>
      </w:r>
      <w:r>
        <w:rPr>
          <w:rFonts w:hint="default" w:ascii="Times New Roman" w:hAnsi="Times New Roman" w:cs="Times New Roman"/>
          <w:color w:val="auto"/>
        </w:rPr>
        <w:t>评价区</w:t>
      </w:r>
      <w:r>
        <w:rPr>
          <w:rFonts w:hint="eastAsia" w:cs="Times New Roman"/>
          <w:color w:val="auto"/>
          <w:lang w:val="en-US" w:eastAsia="zh-CN"/>
        </w:rPr>
        <w:t>31#、45#、47#</w:t>
      </w:r>
      <w:r>
        <w:rPr>
          <w:rFonts w:hint="default" w:ascii="Times New Roman" w:hAnsi="Times New Roman" w:cs="Times New Roman"/>
          <w:color w:val="auto"/>
        </w:rPr>
        <w:t>土地利用现状图</w:t>
      </w:r>
    </w:p>
    <w:p w14:paraId="4F8A638F">
      <w:pPr>
        <w:ind w:left="0" w:leftChars="0" w:firstLine="0" w:firstLineChars="0"/>
        <w:rPr>
          <w:rFonts w:hint="eastAsia"/>
          <w:color w:val="auto"/>
          <w:lang w:eastAsia="zh-CN"/>
        </w:rPr>
      </w:pPr>
      <w:r>
        <w:rPr>
          <w:rFonts w:hint="eastAsia"/>
          <w:color w:val="auto"/>
          <w:lang w:eastAsia="zh-CN"/>
        </w:rPr>
        <w:drawing>
          <wp:inline distT="0" distB="0" distL="114300" distR="114300">
            <wp:extent cx="5262880" cy="3900170"/>
            <wp:effectExtent l="0" t="0" r="0" b="0"/>
            <wp:docPr id="27" name="图片 27" descr="土地利用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土地利用2"/>
                    <pic:cNvPicPr>
                      <a:picLocks noChangeAspect="1"/>
                    </pic:cNvPicPr>
                  </pic:nvPicPr>
                  <pic:blipFill>
                    <a:blip r:embed="rId82"/>
                    <a:srcRect b="3138"/>
                    <a:stretch>
                      <a:fillRect/>
                    </a:stretch>
                  </pic:blipFill>
                  <pic:spPr>
                    <a:xfrm>
                      <a:off x="0" y="0"/>
                      <a:ext cx="5262880" cy="3900170"/>
                    </a:xfrm>
                    <a:prstGeom prst="rect">
                      <a:avLst/>
                    </a:prstGeom>
                  </pic:spPr>
                </pic:pic>
              </a:graphicData>
            </a:graphic>
          </wp:inline>
        </w:drawing>
      </w:r>
    </w:p>
    <w:p w14:paraId="20D8EE11">
      <w:pPr>
        <w:pStyle w:val="27"/>
        <w:bidi w:val="0"/>
        <w:rPr>
          <w:rFonts w:hint="default" w:ascii="Times New Roman" w:hAnsi="Times New Roman" w:cs="Times New Roman"/>
          <w:color w:val="auto"/>
        </w:rPr>
      </w:pPr>
      <w:r>
        <w:rPr>
          <w:rFonts w:hint="default" w:ascii="Times New Roman" w:hAnsi="Times New Roman" w:cs="Times New Roman"/>
          <w:color w:val="auto"/>
        </w:rPr>
        <w:t>图4-2-</w:t>
      </w:r>
      <w:r>
        <w:rPr>
          <w:rFonts w:hint="eastAsia" w:cs="Times New Roman"/>
          <w:color w:val="auto"/>
          <w:lang w:val="en-US" w:eastAsia="zh-CN"/>
        </w:rPr>
        <w:t>14</w:t>
      </w:r>
      <w:r>
        <w:rPr>
          <w:rFonts w:hint="default" w:ascii="Times New Roman" w:hAnsi="Times New Roman" w:cs="Times New Roman"/>
          <w:color w:val="auto"/>
        </w:rPr>
        <w:t>评价区</w:t>
      </w:r>
      <w:r>
        <w:rPr>
          <w:rFonts w:hint="eastAsia" w:cs="Times New Roman"/>
          <w:color w:val="auto"/>
          <w:lang w:val="en-US" w:eastAsia="zh-CN"/>
        </w:rPr>
        <w:t>41#</w:t>
      </w:r>
      <w:r>
        <w:rPr>
          <w:rFonts w:hint="default" w:ascii="Times New Roman" w:hAnsi="Times New Roman" w:cs="Times New Roman"/>
          <w:color w:val="auto"/>
        </w:rPr>
        <w:t>土地利用现状图</w:t>
      </w:r>
    </w:p>
    <w:p w14:paraId="76CB0683">
      <w:pPr>
        <w:pStyle w:val="27"/>
        <w:bidi w:val="0"/>
        <w:ind w:left="0" w:leftChars="0" w:firstLine="0" w:firstLineChars="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069840" cy="3748405"/>
            <wp:effectExtent l="0" t="0" r="0" b="0"/>
            <wp:docPr id="40" name="图片 40" descr="土地利用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土地利用6"/>
                    <pic:cNvPicPr>
                      <a:picLocks noChangeAspect="1"/>
                    </pic:cNvPicPr>
                  </pic:nvPicPr>
                  <pic:blipFill>
                    <a:blip r:embed="rId83"/>
                    <a:srcRect b="3372"/>
                    <a:stretch>
                      <a:fillRect/>
                    </a:stretch>
                  </pic:blipFill>
                  <pic:spPr>
                    <a:xfrm>
                      <a:off x="0" y="0"/>
                      <a:ext cx="5069840" cy="3748405"/>
                    </a:xfrm>
                    <a:prstGeom prst="rect">
                      <a:avLst/>
                    </a:prstGeom>
                  </pic:spPr>
                </pic:pic>
              </a:graphicData>
            </a:graphic>
          </wp:inline>
        </w:drawing>
      </w:r>
    </w:p>
    <w:p w14:paraId="39866663">
      <w:pPr>
        <w:pStyle w:val="27"/>
        <w:bidi w:val="0"/>
        <w:ind w:left="0" w:leftChars="0" w:firstLine="0" w:firstLineChars="0"/>
        <w:jc w:val="center"/>
        <w:rPr>
          <w:rFonts w:hint="eastAsia"/>
          <w:color w:val="auto"/>
          <w:lang w:eastAsia="zh-CN"/>
        </w:rPr>
      </w:pPr>
      <w:r>
        <w:rPr>
          <w:rFonts w:hint="default" w:ascii="Times New Roman" w:hAnsi="Times New Roman" w:cs="Times New Roman"/>
          <w:color w:val="auto"/>
        </w:rPr>
        <w:t>图4-2-</w:t>
      </w:r>
      <w:r>
        <w:rPr>
          <w:rFonts w:hint="eastAsia" w:cs="Times New Roman"/>
          <w:color w:val="auto"/>
          <w:lang w:val="en-US" w:eastAsia="zh-CN"/>
        </w:rPr>
        <w:t>15</w:t>
      </w:r>
      <w:r>
        <w:rPr>
          <w:rFonts w:hint="default" w:ascii="Times New Roman" w:hAnsi="Times New Roman" w:cs="Times New Roman"/>
          <w:color w:val="auto"/>
        </w:rPr>
        <w:t>评价区</w:t>
      </w:r>
      <w:r>
        <w:rPr>
          <w:rFonts w:hint="eastAsia" w:cs="Times New Roman"/>
          <w:color w:val="auto"/>
          <w:lang w:val="en-US" w:eastAsia="zh-CN"/>
        </w:rPr>
        <w:t>59#、60#</w:t>
      </w:r>
      <w:r>
        <w:rPr>
          <w:rFonts w:hint="default" w:ascii="Times New Roman" w:hAnsi="Times New Roman" w:cs="Times New Roman"/>
          <w:color w:val="auto"/>
        </w:rPr>
        <w:t>土地利用现状图</w:t>
      </w:r>
    </w:p>
    <w:p w14:paraId="7CD4AAA8">
      <w:pPr>
        <w:pStyle w:val="27"/>
        <w:bidi w:val="0"/>
        <w:rPr>
          <w:rFonts w:hint="default" w:ascii="Times New Roman" w:hAnsi="Times New Roman" w:cs="Times New Roman"/>
          <w:color w:val="auto"/>
        </w:rPr>
      </w:pPr>
    </w:p>
    <w:p w14:paraId="298B1484">
      <w:pPr>
        <w:pStyle w:val="27"/>
        <w:bidi w:val="0"/>
        <w:rPr>
          <w:rFonts w:hint="default" w:ascii="Times New Roman" w:hAnsi="Times New Roman" w:cs="Times New Roman"/>
          <w:color w:val="auto"/>
        </w:rPr>
      </w:pPr>
      <w:r>
        <w:rPr>
          <w:rFonts w:hint="default" w:ascii="Times New Roman" w:hAnsi="Times New Roman" w:cs="Times New Roman"/>
          <w:color w:val="auto"/>
        </w:rPr>
        <w:t>表4-2-</w:t>
      </w:r>
      <w:r>
        <w:rPr>
          <w:rFonts w:hint="eastAsia" w:cs="Times New Roman"/>
          <w:color w:val="auto"/>
          <w:lang w:val="en-US" w:eastAsia="zh-CN"/>
        </w:rPr>
        <w:t>22 其余</w:t>
      </w:r>
      <w:r>
        <w:rPr>
          <w:rFonts w:hint="default" w:ascii="Times New Roman" w:hAnsi="Times New Roman" w:cs="Times New Roman"/>
          <w:color w:val="auto"/>
        </w:rPr>
        <w:t>评价范围内</w:t>
      </w:r>
      <w:r>
        <w:rPr>
          <w:rFonts w:hint="eastAsia" w:cs="Times New Roman"/>
          <w:color w:val="auto"/>
          <w:lang w:val="en-US" w:eastAsia="zh-CN"/>
        </w:rPr>
        <w:t>地块（除2#）</w:t>
      </w:r>
      <w:r>
        <w:rPr>
          <w:rFonts w:hint="default" w:ascii="Times New Roman" w:hAnsi="Times New Roman" w:cs="Times New Roman"/>
          <w:color w:val="auto"/>
        </w:rPr>
        <w:t>土地利用类型统计表</w:t>
      </w:r>
    </w:p>
    <w:tbl>
      <w:tblPr>
        <w:tblStyle w:val="20"/>
        <w:tblW w:w="8678" w:type="dxa"/>
        <w:tblInd w:w="93"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2464"/>
        <w:gridCol w:w="3218"/>
        <w:gridCol w:w="2996"/>
      </w:tblGrid>
      <w:tr w14:paraId="19A40C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9" w:hRule="atLeast"/>
        </w:trPr>
        <w:tc>
          <w:tcPr>
            <w:tcW w:w="2464" w:type="dxa"/>
            <w:tcBorders>
              <w:tl2br w:val="nil"/>
              <w:tr2bl w:val="nil"/>
            </w:tcBorders>
            <w:shd w:val="clear" w:color="auto" w:fill="auto"/>
            <w:noWrap/>
            <w:vAlign w:val="center"/>
          </w:tcPr>
          <w:p w14:paraId="0C0C47C0">
            <w:pPr>
              <w:pStyle w:val="44"/>
              <w:bidi w:val="0"/>
              <w:rPr>
                <w:rFonts w:hint="default" w:ascii="Times New Roman" w:hAnsi="Times New Roman" w:cs="Times New Roman"/>
                <w:b/>
                <w:bCs/>
                <w:color w:val="auto"/>
              </w:rPr>
            </w:pPr>
            <w:r>
              <w:rPr>
                <w:rFonts w:hint="default" w:ascii="Times New Roman" w:hAnsi="Times New Roman" w:cs="Times New Roman"/>
                <w:b/>
                <w:bCs/>
                <w:color w:val="auto"/>
                <w:lang w:val="en-US" w:eastAsia="zh-CN"/>
              </w:rPr>
              <w:t>利用类型</w:t>
            </w:r>
          </w:p>
        </w:tc>
        <w:tc>
          <w:tcPr>
            <w:tcW w:w="3218" w:type="dxa"/>
            <w:tcBorders>
              <w:tl2br w:val="nil"/>
              <w:tr2bl w:val="nil"/>
            </w:tcBorders>
            <w:shd w:val="clear" w:color="auto" w:fill="auto"/>
            <w:noWrap/>
            <w:vAlign w:val="center"/>
          </w:tcPr>
          <w:p w14:paraId="377AFE1A">
            <w:pPr>
              <w:pStyle w:val="44"/>
              <w:bidi w:val="0"/>
              <w:rPr>
                <w:rFonts w:hint="default" w:ascii="Times New Roman" w:hAnsi="Times New Roman" w:cs="Times New Roman"/>
                <w:b/>
                <w:bCs/>
                <w:color w:val="auto"/>
              </w:rPr>
            </w:pPr>
            <w:r>
              <w:rPr>
                <w:rFonts w:hint="default" w:ascii="Times New Roman" w:hAnsi="Times New Roman" w:cs="Times New Roman"/>
                <w:b/>
                <w:bCs/>
                <w:color w:val="auto"/>
                <w:lang w:val="en-US" w:eastAsia="zh-CN"/>
              </w:rPr>
              <w:t>面积</w:t>
            </w:r>
            <w:r>
              <w:rPr>
                <w:rFonts w:hint="eastAsia" w:cs="Times New Roman"/>
                <w:b/>
                <w:bCs/>
                <w:color w:val="auto"/>
                <w:lang w:val="en-US" w:eastAsia="zh-CN"/>
              </w:rPr>
              <w:t>(km</w:t>
            </w:r>
            <w:r>
              <w:rPr>
                <w:rFonts w:hint="eastAsia" w:cs="Times New Roman"/>
                <w:b/>
                <w:bCs/>
                <w:color w:val="auto"/>
                <w:vertAlign w:val="superscript"/>
                <w:lang w:val="en-US" w:eastAsia="zh-CN"/>
              </w:rPr>
              <w:t>2</w:t>
            </w:r>
            <w:r>
              <w:rPr>
                <w:rFonts w:hint="eastAsia" w:cs="Times New Roman"/>
                <w:b/>
                <w:bCs/>
                <w:color w:val="auto"/>
                <w:lang w:val="en-US" w:eastAsia="zh-CN"/>
              </w:rPr>
              <w:t>)</w:t>
            </w:r>
          </w:p>
        </w:tc>
        <w:tc>
          <w:tcPr>
            <w:tcW w:w="2996" w:type="dxa"/>
            <w:tcBorders>
              <w:tl2br w:val="nil"/>
              <w:tr2bl w:val="nil"/>
            </w:tcBorders>
            <w:shd w:val="clear" w:color="auto" w:fill="auto"/>
            <w:noWrap/>
            <w:vAlign w:val="center"/>
          </w:tcPr>
          <w:p w14:paraId="22F4C28D">
            <w:pPr>
              <w:pStyle w:val="44"/>
              <w:bidi w:val="0"/>
              <w:rPr>
                <w:rFonts w:hint="default" w:ascii="Times New Roman" w:hAnsi="Times New Roman" w:cs="Times New Roman"/>
                <w:color w:val="auto"/>
                <w:lang w:val="en-US" w:eastAsia="zh-CN"/>
              </w:rPr>
            </w:pPr>
            <w:r>
              <w:rPr>
                <w:rFonts w:hint="default" w:ascii="Times New Roman" w:hAnsi="Times New Roman" w:cs="Times New Roman"/>
                <w:b/>
                <w:bCs/>
                <w:color w:val="auto"/>
                <w:lang w:val="en-US" w:eastAsia="zh-CN"/>
              </w:rPr>
              <w:t>占比</w:t>
            </w:r>
            <w:r>
              <w:rPr>
                <w:rFonts w:hint="eastAsia" w:cs="Times New Roman"/>
                <w:b/>
                <w:bCs/>
                <w:color w:val="auto"/>
                <w:lang w:val="en-US" w:eastAsia="zh-CN"/>
              </w:rPr>
              <w:t>(%）</w:t>
            </w:r>
          </w:p>
        </w:tc>
      </w:tr>
      <w:tr w14:paraId="36353C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5" w:hRule="atLeast"/>
        </w:trPr>
        <w:tc>
          <w:tcPr>
            <w:tcW w:w="2464" w:type="dxa"/>
            <w:tcBorders>
              <w:tl2br w:val="nil"/>
              <w:tr2bl w:val="nil"/>
            </w:tcBorders>
            <w:shd w:val="clear" w:color="auto" w:fill="auto"/>
            <w:noWrap/>
            <w:vAlign w:val="center"/>
          </w:tcPr>
          <w:p w14:paraId="2FB369BB">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旱地</w:t>
            </w:r>
          </w:p>
        </w:tc>
        <w:tc>
          <w:tcPr>
            <w:tcW w:w="3218" w:type="dxa"/>
            <w:tcBorders>
              <w:tl2br w:val="nil"/>
              <w:tr2bl w:val="nil"/>
            </w:tcBorders>
            <w:shd w:val="clear" w:color="auto" w:fill="auto"/>
            <w:noWrap/>
            <w:vAlign w:val="center"/>
          </w:tcPr>
          <w:p w14:paraId="02A08D5B">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186.28 </w:t>
            </w:r>
          </w:p>
        </w:tc>
        <w:tc>
          <w:tcPr>
            <w:tcW w:w="2996" w:type="dxa"/>
            <w:tcBorders>
              <w:tl2br w:val="nil"/>
              <w:tr2bl w:val="nil"/>
            </w:tcBorders>
            <w:shd w:val="clear" w:color="auto" w:fill="auto"/>
            <w:noWrap/>
            <w:vAlign w:val="center"/>
          </w:tcPr>
          <w:p w14:paraId="234181F7">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18.88 </w:t>
            </w:r>
          </w:p>
        </w:tc>
      </w:tr>
      <w:tr w14:paraId="3FEF67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45" w:hRule="atLeast"/>
        </w:trPr>
        <w:tc>
          <w:tcPr>
            <w:tcW w:w="2464" w:type="dxa"/>
            <w:tcBorders>
              <w:tl2br w:val="nil"/>
              <w:tr2bl w:val="nil"/>
            </w:tcBorders>
            <w:shd w:val="clear" w:color="auto" w:fill="auto"/>
            <w:noWrap/>
            <w:vAlign w:val="center"/>
          </w:tcPr>
          <w:p w14:paraId="2DDA9B48">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乔木林地</w:t>
            </w:r>
          </w:p>
        </w:tc>
        <w:tc>
          <w:tcPr>
            <w:tcW w:w="3218" w:type="dxa"/>
            <w:tcBorders>
              <w:tl2br w:val="nil"/>
              <w:tr2bl w:val="nil"/>
            </w:tcBorders>
            <w:shd w:val="clear" w:color="auto" w:fill="auto"/>
            <w:noWrap/>
            <w:vAlign w:val="center"/>
          </w:tcPr>
          <w:p w14:paraId="7EA18ECE">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475.46 </w:t>
            </w:r>
          </w:p>
        </w:tc>
        <w:tc>
          <w:tcPr>
            <w:tcW w:w="2996" w:type="dxa"/>
            <w:tcBorders>
              <w:tl2br w:val="nil"/>
              <w:tr2bl w:val="nil"/>
            </w:tcBorders>
            <w:shd w:val="clear" w:color="auto" w:fill="auto"/>
            <w:noWrap/>
            <w:vAlign w:val="center"/>
          </w:tcPr>
          <w:p w14:paraId="40E74330">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48.18 </w:t>
            </w:r>
          </w:p>
        </w:tc>
      </w:tr>
      <w:tr w14:paraId="00ED1C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5" w:hRule="atLeast"/>
        </w:trPr>
        <w:tc>
          <w:tcPr>
            <w:tcW w:w="2464" w:type="dxa"/>
            <w:tcBorders>
              <w:tl2br w:val="nil"/>
              <w:tr2bl w:val="nil"/>
            </w:tcBorders>
            <w:shd w:val="clear" w:color="auto" w:fill="auto"/>
            <w:noWrap/>
            <w:vAlign w:val="center"/>
          </w:tcPr>
          <w:p w14:paraId="38FC5E35">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其他草地</w:t>
            </w:r>
          </w:p>
        </w:tc>
        <w:tc>
          <w:tcPr>
            <w:tcW w:w="3218" w:type="dxa"/>
            <w:tcBorders>
              <w:tl2br w:val="nil"/>
              <w:tr2bl w:val="nil"/>
            </w:tcBorders>
            <w:shd w:val="clear" w:color="auto" w:fill="auto"/>
            <w:noWrap/>
            <w:vAlign w:val="center"/>
          </w:tcPr>
          <w:p w14:paraId="310919E1">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133.15 </w:t>
            </w:r>
          </w:p>
        </w:tc>
        <w:tc>
          <w:tcPr>
            <w:tcW w:w="2996" w:type="dxa"/>
            <w:tcBorders>
              <w:tl2br w:val="nil"/>
              <w:tr2bl w:val="nil"/>
            </w:tcBorders>
            <w:shd w:val="clear" w:color="auto" w:fill="auto"/>
            <w:noWrap/>
            <w:vAlign w:val="center"/>
          </w:tcPr>
          <w:p w14:paraId="0299355A">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13.49 </w:t>
            </w:r>
          </w:p>
        </w:tc>
      </w:tr>
      <w:tr w14:paraId="531ECC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5" w:hRule="atLeast"/>
        </w:trPr>
        <w:tc>
          <w:tcPr>
            <w:tcW w:w="2464" w:type="dxa"/>
            <w:tcBorders>
              <w:tl2br w:val="nil"/>
              <w:tr2bl w:val="nil"/>
            </w:tcBorders>
            <w:shd w:val="clear" w:color="auto" w:fill="auto"/>
            <w:noWrap/>
            <w:vAlign w:val="center"/>
          </w:tcPr>
          <w:p w14:paraId="6FC9F14A">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工业用地</w:t>
            </w:r>
          </w:p>
        </w:tc>
        <w:tc>
          <w:tcPr>
            <w:tcW w:w="3218" w:type="dxa"/>
            <w:tcBorders>
              <w:tl2br w:val="nil"/>
              <w:tr2bl w:val="nil"/>
            </w:tcBorders>
            <w:shd w:val="clear" w:color="auto" w:fill="auto"/>
            <w:noWrap/>
            <w:vAlign w:val="center"/>
          </w:tcPr>
          <w:p w14:paraId="53D3AD59">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59.90 </w:t>
            </w:r>
          </w:p>
        </w:tc>
        <w:tc>
          <w:tcPr>
            <w:tcW w:w="2996" w:type="dxa"/>
            <w:tcBorders>
              <w:tl2br w:val="nil"/>
              <w:tr2bl w:val="nil"/>
            </w:tcBorders>
            <w:shd w:val="clear" w:color="auto" w:fill="auto"/>
            <w:noWrap/>
            <w:vAlign w:val="center"/>
          </w:tcPr>
          <w:p w14:paraId="62CAD8DD">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6.07 </w:t>
            </w:r>
          </w:p>
        </w:tc>
      </w:tr>
      <w:tr w14:paraId="473036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5" w:hRule="atLeast"/>
        </w:trPr>
        <w:tc>
          <w:tcPr>
            <w:tcW w:w="2464" w:type="dxa"/>
            <w:tcBorders>
              <w:tl2br w:val="nil"/>
              <w:tr2bl w:val="nil"/>
            </w:tcBorders>
            <w:shd w:val="clear" w:color="auto" w:fill="auto"/>
            <w:noWrap/>
            <w:vAlign w:val="center"/>
          </w:tcPr>
          <w:p w14:paraId="63DD3053">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采矿用地</w:t>
            </w:r>
          </w:p>
        </w:tc>
        <w:tc>
          <w:tcPr>
            <w:tcW w:w="3218" w:type="dxa"/>
            <w:tcBorders>
              <w:tl2br w:val="nil"/>
              <w:tr2bl w:val="nil"/>
            </w:tcBorders>
            <w:shd w:val="clear" w:color="auto" w:fill="auto"/>
            <w:noWrap/>
            <w:vAlign w:val="center"/>
          </w:tcPr>
          <w:p w14:paraId="769644BD">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70.16 </w:t>
            </w:r>
          </w:p>
        </w:tc>
        <w:tc>
          <w:tcPr>
            <w:tcW w:w="2996" w:type="dxa"/>
            <w:tcBorders>
              <w:tl2br w:val="nil"/>
              <w:tr2bl w:val="nil"/>
            </w:tcBorders>
            <w:shd w:val="clear" w:color="auto" w:fill="auto"/>
            <w:noWrap/>
            <w:vAlign w:val="center"/>
          </w:tcPr>
          <w:p w14:paraId="0AEE2580">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7.11 </w:t>
            </w:r>
          </w:p>
        </w:tc>
      </w:tr>
      <w:tr w14:paraId="5A4171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5" w:hRule="atLeast"/>
        </w:trPr>
        <w:tc>
          <w:tcPr>
            <w:tcW w:w="2464" w:type="dxa"/>
            <w:tcBorders>
              <w:tl2br w:val="nil"/>
              <w:tr2bl w:val="nil"/>
            </w:tcBorders>
            <w:shd w:val="clear" w:color="auto" w:fill="auto"/>
            <w:noWrap/>
            <w:vAlign w:val="center"/>
          </w:tcPr>
          <w:p w14:paraId="7A17DC92">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农村宅基地</w:t>
            </w:r>
          </w:p>
        </w:tc>
        <w:tc>
          <w:tcPr>
            <w:tcW w:w="3218" w:type="dxa"/>
            <w:tcBorders>
              <w:tl2br w:val="nil"/>
              <w:tr2bl w:val="nil"/>
            </w:tcBorders>
            <w:shd w:val="clear" w:color="auto" w:fill="auto"/>
            <w:noWrap/>
            <w:vAlign w:val="center"/>
          </w:tcPr>
          <w:p w14:paraId="551ACFED">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21.01 </w:t>
            </w:r>
          </w:p>
        </w:tc>
        <w:tc>
          <w:tcPr>
            <w:tcW w:w="2996" w:type="dxa"/>
            <w:tcBorders>
              <w:tl2br w:val="nil"/>
              <w:tr2bl w:val="nil"/>
            </w:tcBorders>
            <w:shd w:val="clear" w:color="auto" w:fill="auto"/>
            <w:noWrap/>
            <w:vAlign w:val="center"/>
          </w:tcPr>
          <w:p w14:paraId="22B9ECF6">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2.13 </w:t>
            </w:r>
          </w:p>
        </w:tc>
      </w:tr>
      <w:tr w14:paraId="16DDC3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5" w:hRule="atLeast"/>
        </w:trPr>
        <w:tc>
          <w:tcPr>
            <w:tcW w:w="2464" w:type="dxa"/>
            <w:tcBorders>
              <w:tl2br w:val="nil"/>
              <w:tr2bl w:val="nil"/>
            </w:tcBorders>
            <w:shd w:val="clear" w:color="auto" w:fill="auto"/>
            <w:noWrap/>
            <w:vAlign w:val="center"/>
          </w:tcPr>
          <w:p w14:paraId="148603D0">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公路用地</w:t>
            </w:r>
          </w:p>
        </w:tc>
        <w:tc>
          <w:tcPr>
            <w:tcW w:w="3218" w:type="dxa"/>
            <w:tcBorders>
              <w:tl2br w:val="nil"/>
              <w:tr2bl w:val="nil"/>
            </w:tcBorders>
            <w:shd w:val="clear" w:color="auto" w:fill="auto"/>
            <w:noWrap/>
            <w:vAlign w:val="center"/>
          </w:tcPr>
          <w:p w14:paraId="16E2C535">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10.35 </w:t>
            </w:r>
          </w:p>
        </w:tc>
        <w:tc>
          <w:tcPr>
            <w:tcW w:w="2996" w:type="dxa"/>
            <w:tcBorders>
              <w:tl2br w:val="nil"/>
              <w:tr2bl w:val="nil"/>
            </w:tcBorders>
            <w:shd w:val="clear" w:color="auto" w:fill="auto"/>
            <w:noWrap/>
            <w:vAlign w:val="center"/>
          </w:tcPr>
          <w:p w14:paraId="5C12D8E2">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1.05 </w:t>
            </w:r>
          </w:p>
        </w:tc>
      </w:tr>
      <w:tr w14:paraId="21C454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5" w:hRule="atLeast"/>
        </w:trPr>
        <w:tc>
          <w:tcPr>
            <w:tcW w:w="2464" w:type="dxa"/>
            <w:tcBorders>
              <w:tl2br w:val="nil"/>
              <w:tr2bl w:val="nil"/>
            </w:tcBorders>
            <w:shd w:val="clear" w:color="auto" w:fill="auto"/>
            <w:noWrap/>
            <w:vAlign w:val="center"/>
          </w:tcPr>
          <w:p w14:paraId="20087037">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农村道路</w:t>
            </w:r>
          </w:p>
        </w:tc>
        <w:tc>
          <w:tcPr>
            <w:tcW w:w="3218" w:type="dxa"/>
            <w:tcBorders>
              <w:tl2br w:val="nil"/>
              <w:tr2bl w:val="nil"/>
            </w:tcBorders>
            <w:shd w:val="clear" w:color="auto" w:fill="auto"/>
            <w:noWrap/>
            <w:vAlign w:val="center"/>
          </w:tcPr>
          <w:p w14:paraId="4420373F">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23.27 </w:t>
            </w:r>
          </w:p>
        </w:tc>
        <w:tc>
          <w:tcPr>
            <w:tcW w:w="2996" w:type="dxa"/>
            <w:tcBorders>
              <w:tl2br w:val="nil"/>
              <w:tr2bl w:val="nil"/>
            </w:tcBorders>
            <w:shd w:val="clear" w:color="auto" w:fill="auto"/>
            <w:noWrap/>
            <w:vAlign w:val="center"/>
          </w:tcPr>
          <w:p w14:paraId="0E81CD84">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2.36 </w:t>
            </w:r>
          </w:p>
        </w:tc>
      </w:tr>
      <w:tr w14:paraId="09F133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5" w:hRule="atLeast"/>
        </w:trPr>
        <w:tc>
          <w:tcPr>
            <w:tcW w:w="2464" w:type="dxa"/>
            <w:tcBorders>
              <w:tl2br w:val="nil"/>
              <w:tr2bl w:val="nil"/>
            </w:tcBorders>
            <w:shd w:val="clear" w:color="auto" w:fill="auto"/>
            <w:noWrap/>
            <w:vAlign w:val="center"/>
          </w:tcPr>
          <w:p w14:paraId="107A0FC9">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河流水面</w:t>
            </w:r>
          </w:p>
        </w:tc>
        <w:tc>
          <w:tcPr>
            <w:tcW w:w="3218" w:type="dxa"/>
            <w:tcBorders>
              <w:tl2br w:val="nil"/>
              <w:tr2bl w:val="nil"/>
            </w:tcBorders>
            <w:shd w:val="clear" w:color="auto" w:fill="auto"/>
            <w:noWrap/>
            <w:vAlign w:val="center"/>
          </w:tcPr>
          <w:p w14:paraId="411A3D25">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0.48 </w:t>
            </w:r>
          </w:p>
        </w:tc>
        <w:tc>
          <w:tcPr>
            <w:tcW w:w="2996" w:type="dxa"/>
            <w:tcBorders>
              <w:tl2br w:val="nil"/>
              <w:tr2bl w:val="nil"/>
            </w:tcBorders>
            <w:shd w:val="clear" w:color="auto" w:fill="auto"/>
            <w:noWrap/>
            <w:vAlign w:val="center"/>
          </w:tcPr>
          <w:p w14:paraId="4F1BABA4">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0.05 </w:t>
            </w:r>
          </w:p>
        </w:tc>
      </w:tr>
      <w:tr w14:paraId="6B5F36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45" w:hRule="atLeast"/>
        </w:trPr>
        <w:tc>
          <w:tcPr>
            <w:tcW w:w="2464" w:type="dxa"/>
            <w:tcBorders>
              <w:tl2br w:val="nil"/>
              <w:tr2bl w:val="nil"/>
            </w:tcBorders>
            <w:shd w:val="clear" w:color="auto" w:fill="auto"/>
            <w:noWrap/>
            <w:vAlign w:val="center"/>
          </w:tcPr>
          <w:p w14:paraId="4044E769">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坑塘水面</w:t>
            </w:r>
          </w:p>
        </w:tc>
        <w:tc>
          <w:tcPr>
            <w:tcW w:w="3218" w:type="dxa"/>
            <w:tcBorders>
              <w:tl2br w:val="nil"/>
              <w:tr2bl w:val="nil"/>
            </w:tcBorders>
            <w:shd w:val="clear" w:color="auto" w:fill="auto"/>
            <w:noWrap/>
            <w:vAlign w:val="center"/>
          </w:tcPr>
          <w:p w14:paraId="420DDE60">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1.16 </w:t>
            </w:r>
          </w:p>
        </w:tc>
        <w:tc>
          <w:tcPr>
            <w:tcW w:w="2996" w:type="dxa"/>
            <w:tcBorders>
              <w:tl2br w:val="nil"/>
              <w:tr2bl w:val="nil"/>
            </w:tcBorders>
            <w:shd w:val="clear" w:color="auto" w:fill="auto"/>
            <w:noWrap/>
            <w:vAlign w:val="center"/>
          </w:tcPr>
          <w:p w14:paraId="1D8BABDD">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0.12 </w:t>
            </w:r>
          </w:p>
        </w:tc>
      </w:tr>
      <w:tr w14:paraId="2F97C0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5" w:hRule="atLeast"/>
        </w:trPr>
        <w:tc>
          <w:tcPr>
            <w:tcW w:w="2464" w:type="dxa"/>
            <w:tcBorders>
              <w:tl2br w:val="nil"/>
              <w:tr2bl w:val="nil"/>
            </w:tcBorders>
            <w:shd w:val="clear" w:color="auto" w:fill="auto"/>
            <w:noWrap/>
            <w:vAlign w:val="center"/>
          </w:tcPr>
          <w:p w14:paraId="7AD6FA69">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沟渠</w:t>
            </w:r>
          </w:p>
        </w:tc>
        <w:tc>
          <w:tcPr>
            <w:tcW w:w="3218" w:type="dxa"/>
            <w:tcBorders>
              <w:tl2br w:val="nil"/>
              <w:tr2bl w:val="nil"/>
            </w:tcBorders>
            <w:shd w:val="clear" w:color="auto" w:fill="auto"/>
            <w:noWrap/>
            <w:vAlign w:val="center"/>
          </w:tcPr>
          <w:p w14:paraId="1D3E0C57">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5.66 </w:t>
            </w:r>
          </w:p>
        </w:tc>
        <w:tc>
          <w:tcPr>
            <w:tcW w:w="2996" w:type="dxa"/>
            <w:tcBorders>
              <w:tl2br w:val="nil"/>
              <w:tr2bl w:val="nil"/>
            </w:tcBorders>
            <w:shd w:val="clear" w:color="auto" w:fill="auto"/>
            <w:noWrap/>
            <w:vAlign w:val="center"/>
          </w:tcPr>
          <w:p w14:paraId="41438579">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0.57 </w:t>
            </w:r>
          </w:p>
        </w:tc>
      </w:tr>
      <w:tr w14:paraId="3CB3F4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5" w:hRule="atLeast"/>
        </w:trPr>
        <w:tc>
          <w:tcPr>
            <w:tcW w:w="2464" w:type="dxa"/>
            <w:tcBorders>
              <w:tl2br w:val="nil"/>
              <w:tr2bl w:val="nil"/>
            </w:tcBorders>
            <w:shd w:val="clear" w:color="auto" w:fill="auto"/>
            <w:noWrap/>
            <w:vAlign w:val="center"/>
          </w:tcPr>
          <w:p w14:paraId="08F63A70">
            <w:pPr>
              <w:pStyle w:val="44"/>
              <w:bidi w:val="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合计</w:t>
            </w:r>
          </w:p>
        </w:tc>
        <w:tc>
          <w:tcPr>
            <w:tcW w:w="3218" w:type="dxa"/>
            <w:tcBorders>
              <w:tl2br w:val="nil"/>
              <w:tr2bl w:val="nil"/>
            </w:tcBorders>
            <w:shd w:val="clear" w:color="auto" w:fill="auto"/>
            <w:noWrap/>
            <w:vAlign w:val="center"/>
          </w:tcPr>
          <w:p w14:paraId="1B604098">
            <w:pPr>
              <w:pStyle w:val="44"/>
              <w:bidi w:val="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986.88 </w:t>
            </w:r>
          </w:p>
        </w:tc>
        <w:tc>
          <w:tcPr>
            <w:tcW w:w="2996" w:type="dxa"/>
            <w:tcBorders>
              <w:tl2br w:val="nil"/>
              <w:tr2bl w:val="nil"/>
            </w:tcBorders>
            <w:shd w:val="clear" w:color="auto" w:fill="auto"/>
            <w:noWrap/>
            <w:vAlign w:val="center"/>
          </w:tcPr>
          <w:p w14:paraId="021A1F91">
            <w:pPr>
              <w:pStyle w:val="44"/>
              <w:bidi w:val="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100.00 </w:t>
            </w:r>
          </w:p>
        </w:tc>
      </w:tr>
    </w:tbl>
    <w:p w14:paraId="441B6350">
      <w:pPr>
        <w:pStyle w:val="5"/>
        <w:bidi w:val="0"/>
        <w:rPr>
          <w:rFonts w:hint="default" w:ascii="Times New Roman" w:hAnsi="Times New Roman" w:eastAsia="宋体" w:cs="Times New Roman"/>
          <w:color w:val="auto"/>
        </w:rPr>
      </w:pPr>
      <w:r>
        <w:rPr>
          <w:rFonts w:hint="default" w:ascii="Times New Roman" w:hAnsi="Times New Roman" w:eastAsia="宋体" w:cs="Times New Roman"/>
          <w:color w:val="auto"/>
        </w:rPr>
        <w:t>4.2.6.5植被现状</w:t>
      </w:r>
    </w:p>
    <w:p w14:paraId="34A1B7C9">
      <w:pPr>
        <w:pStyle w:val="25"/>
        <w:ind w:firstLine="480"/>
        <w:rPr>
          <w:rFonts w:hint="default" w:ascii="Times New Roman" w:hAnsi="Times New Roman" w:cs="Times New Roman"/>
          <w:color w:val="auto"/>
        </w:rPr>
      </w:pPr>
      <w:bookmarkStart w:id="258" w:name="_Toc490807013"/>
      <w:bookmarkStart w:id="259" w:name="_Toc514938163"/>
      <w:r>
        <w:rPr>
          <w:rFonts w:hint="default" w:ascii="Times New Roman" w:hAnsi="Times New Roman" w:cs="Times New Roman"/>
          <w:color w:val="auto"/>
        </w:rPr>
        <w:t>评价范围内的植被以农田植被和林地为主，无野生珍稀或濒危植物分布，植物群落的物种组成及结构较为单一，均为该地区的广布种、常见种。耕地种植作物主要是大豆、玉米等，乔木林地主要树种为松树，林下草本植物为青蒿、狗尾巴草、等草本植物。</w:t>
      </w:r>
    </w:p>
    <w:p w14:paraId="6648699C">
      <w:pPr>
        <w:pStyle w:val="25"/>
        <w:ind w:left="0" w:leftChars="0" w:firstLine="0" w:firstLineChars="0"/>
        <w:jc w:val="both"/>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drawing>
          <wp:inline distT="0" distB="0" distL="114300" distR="114300">
            <wp:extent cx="5269230" cy="3728085"/>
            <wp:effectExtent l="0" t="0" r="7620" b="5715"/>
            <wp:docPr id="68" name="图片 68" descr="92bee13238a32c6afd67fd4858047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92bee13238a32c6afd67fd4858047fb"/>
                    <pic:cNvPicPr>
                      <a:picLocks noChangeAspect="1"/>
                    </pic:cNvPicPr>
                  </pic:nvPicPr>
                  <pic:blipFill>
                    <a:blip r:embed="rId84"/>
                    <a:stretch>
                      <a:fillRect/>
                    </a:stretch>
                  </pic:blipFill>
                  <pic:spPr>
                    <a:xfrm>
                      <a:off x="0" y="0"/>
                      <a:ext cx="5269230" cy="3728085"/>
                    </a:xfrm>
                    <a:prstGeom prst="rect">
                      <a:avLst/>
                    </a:prstGeom>
                  </pic:spPr>
                </pic:pic>
              </a:graphicData>
            </a:graphic>
          </wp:inline>
        </w:drawing>
      </w:r>
    </w:p>
    <w:p w14:paraId="082AA7C4">
      <w:pPr>
        <w:pStyle w:val="27"/>
        <w:bidi w:val="0"/>
        <w:rPr>
          <w:rFonts w:hint="default" w:ascii="Times New Roman" w:hAnsi="Times New Roman" w:cs="Times New Roman"/>
          <w:color w:val="auto"/>
        </w:rPr>
      </w:pPr>
      <w:r>
        <w:rPr>
          <w:rFonts w:hint="default" w:ascii="Times New Roman" w:hAnsi="Times New Roman" w:cs="Times New Roman"/>
          <w:color w:val="auto"/>
        </w:rPr>
        <w:t>图4-2-</w:t>
      </w:r>
      <w:r>
        <w:rPr>
          <w:rFonts w:hint="default" w:ascii="Times New Roman" w:hAnsi="Times New Roman" w:cs="Times New Roman"/>
          <w:color w:val="auto"/>
          <w:lang w:val="en-US" w:eastAsia="zh-CN"/>
        </w:rPr>
        <w:t>1</w:t>
      </w:r>
      <w:r>
        <w:rPr>
          <w:rFonts w:hint="eastAsia" w:cs="Times New Roman"/>
          <w:color w:val="auto"/>
          <w:lang w:val="en-US" w:eastAsia="zh-CN"/>
        </w:rPr>
        <w:t>6</w:t>
      </w:r>
      <w:r>
        <w:rPr>
          <w:rFonts w:hint="default" w:ascii="Times New Roman" w:hAnsi="Times New Roman" w:cs="Times New Roman"/>
          <w:color w:val="auto"/>
        </w:rPr>
        <w:t>评价区</w:t>
      </w:r>
      <w:r>
        <w:rPr>
          <w:rFonts w:hint="eastAsia" w:cs="Times New Roman"/>
          <w:color w:val="auto"/>
          <w:lang w:val="en-US" w:eastAsia="zh-CN"/>
        </w:rPr>
        <w:t>2#地块</w:t>
      </w:r>
      <w:r>
        <w:rPr>
          <w:rFonts w:hint="default" w:ascii="Times New Roman" w:hAnsi="Times New Roman" w:cs="Times New Roman"/>
          <w:color w:val="auto"/>
        </w:rPr>
        <w:t>植被类型图</w:t>
      </w:r>
    </w:p>
    <w:p w14:paraId="6A1B9FB3">
      <w:pPr>
        <w:pStyle w:val="27"/>
        <w:bidi w:val="0"/>
        <w:rPr>
          <w:rFonts w:hint="default" w:ascii="Times New Roman" w:hAnsi="Times New Roman" w:cs="Times New Roman"/>
          <w:color w:val="auto"/>
        </w:rPr>
      </w:pPr>
    </w:p>
    <w:p w14:paraId="74C02014">
      <w:pPr>
        <w:pStyle w:val="27"/>
        <w:bidi w:val="0"/>
        <w:rPr>
          <w:rFonts w:hint="default" w:ascii="Times New Roman" w:hAnsi="Times New Roman" w:cs="Times New Roman"/>
          <w:color w:val="auto"/>
        </w:rPr>
      </w:pPr>
      <w:r>
        <w:rPr>
          <w:rFonts w:hint="default" w:ascii="Times New Roman" w:hAnsi="Times New Roman" w:cs="Times New Roman"/>
          <w:color w:val="auto"/>
        </w:rPr>
        <w:t>表4-2-2</w:t>
      </w:r>
      <w:r>
        <w:rPr>
          <w:rFonts w:hint="eastAsia" w:cs="Times New Roman"/>
          <w:color w:val="auto"/>
          <w:lang w:val="en-US" w:eastAsia="zh-CN"/>
        </w:rPr>
        <w:t>3 2#地块</w:t>
      </w:r>
      <w:r>
        <w:rPr>
          <w:rFonts w:hint="default" w:ascii="Times New Roman" w:hAnsi="Times New Roman" w:cs="Times New Roman"/>
          <w:color w:val="auto"/>
        </w:rPr>
        <w:t>评价范围内植被类型统计表</w:t>
      </w:r>
    </w:p>
    <w:tbl>
      <w:tblPr>
        <w:tblStyle w:val="20"/>
        <w:tblW w:w="8479" w:type="dxa"/>
        <w:tblInd w:w="93"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4497"/>
        <w:gridCol w:w="3982"/>
      </w:tblGrid>
      <w:tr w14:paraId="2A740A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89" w:hRule="atLeast"/>
        </w:trPr>
        <w:tc>
          <w:tcPr>
            <w:tcW w:w="4497" w:type="dxa"/>
            <w:tcBorders>
              <w:tl2br w:val="nil"/>
              <w:tr2bl w:val="nil"/>
            </w:tcBorders>
            <w:shd w:val="clear" w:color="auto" w:fill="auto"/>
            <w:noWrap/>
            <w:vAlign w:val="center"/>
          </w:tcPr>
          <w:p w14:paraId="78B307DE">
            <w:pPr>
              <w:pStyle w:val="44"/>
              <w:bidi w:val="0"/>
              <w:rPr>
                <w:rFonts w:hint="default" w:ascii="Times New Roman" w:hAnsi="Times New Roman" w:cs="Times New Roman"/>
                <w:b/>
                <w:bCs/>
                <w:color w:val="auto"/>
              </w:rPr>
            </w:pPr>
            <w:r>
              <w:rPr>
                <w:rFonts w:hint="default" w:ascii="Times New Roman" w:hAnsi="Times New Roman" w:cs="Times New Roman"/>
                <w:b/>
                <w:bCs/>
                <w:color w:val="auto"/>
                <w:lang w:val="en-US" w:eastAsia="zh-CN"/>
              </w:rPr>
              <w:t>植被类型</w:t>
            </w:r>
          </w:p>
        </w:tc>
        <w:tc>
          <w:tcPr>
            <w:tcW w:w="3982" w:type="dxa"/>
            <w:tcBorders>
              <w:tl2br w:val="nil"/>
              <w:tr2bl w:val="nil"/>
            </w:tcBorders>
            <w:shd w:val="clear" w:color="auto" w:fill="auto"/>
            <w:noWrap/>
            <w:vAlign w:val="center"/>
          </w:tcPr>
          <w:p w14:paraId="12F59039">
            <w:pPr>
              <w:pStyle w:val="44"/>
              <w:bidi w:val="0"/>
              <w:rPr>
                <w:rFonts w:hint="default" w:ascii="Times New Roman" w:hAnsi="Times New Roman" w:cs="Times New Roman"/>
                <w:b/>
                <w:bCs/>
                <w:color w:val="auto"/>
                <w:lang w:val="en-US"/>
              </w:rPr>
            </w:pPr>
            <w:r>
              <w:rPr>
                <w:rFonts w:hint="default" w:ascii="Times New Roman" w:hAnsi="Times New Roman" w:cs="Times New Roman"/>
                <w:b/>
                <w:bCs/>
                <w:color w:val="auto"/>
                <w:lang w:val="en-US" w:eastAsia="zh-CN"/>
              </w:rPr>
              <w:t>面积</w:t>
            </w:r>
            <w:r>
              <w:rPr>
                <w:rFonts w:hint="eastAsia" w:cs="Times New Roman"/>
                <w:b/>
                <w:bCs/>
                <w:color w:val="auto"/>
                <w:lang w:val="en-US" w:eastAsia="zh-CN"/>
              </w:rPr>
              <w:t>（hm</w:t>
            </w:r>
            <w:r>
              <w:rPr>
                <w:rFonts w:hint="eastAsia" w:cs="Times New Roman"/>
                <w:b/>
                <w:bCs/>
                <w:color w:val="auto"/>
                <w:vertAlign w:val="superscript"/>
                <w:lang w:val="en-US" w:eastAsia="zh-CN"/>
              </w:rPr>
              <w:t>2</w:t>
            </w:r>
            <w:r>
              <w:rPr>
                <w:rFonts w:hint="eastAsia" w:cs="Times New Roman"/>
                <w:b/>
                <w:bCs/>
                <w:color w:val="auto"/>
                <w:lang w:val="en-US" w:eastAsia="zh-CN"/>
              </w:rPr>
              <w:t>）</w:t>
            </w:r>
          </w:p>
        </w:tc>
      </w:tr>
      <w:tr w14:paraId="2A1ED6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0" w:type="auto"/>
            <w:tcBorders>
              <w:tl2br w:val="nil"/>
              <w:tr2bl w:val="nil"/>
            </w:tcBorders>
            <w:shd w:val="clear" w:color="auto" w:fill="auto"/>
            <w:noWrap/>
            <w:vAlign w:val="center"/>
          </w:tcPr>
          <w:p w14:paraId="14B55CA8">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大豆、玉米等</w:t>
            </w:r>
          </w:p>
        </w:tc>
        <w:tc>
          <w:tcPr>
            <w:tcW w:w="0" w:type="auto"/>
            <w:tcBorders>
              <w:tl2br w:val="nil"/>
              <w:tr2bl w:val="nil"/>
            </w:tcBorders>
            <w:shd w:val="clear" w:color="auto" w:fill="auto"/>
            <w:noWrap/>
            <w:vAlign w:val="center"/>
          </w:tcPr>
          <w:p w14:paraId="4435D596">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26</w:t>
            </w:r>
            <w:r>
              <w:rPr>
                <w:rFonts w:hint="eastAsia" w:cs="Times New Roman"/>
                <w:color w:val="auto"/>
                <w:lang w:val="en-US" w:eastAsia="zh-CN"/>
              </w:rPr>
              <w:t>.</w:t>
            </w:r>
            <w:r>
              <w:rPr>
                <w:rFonts w:hint="default" w:ascii="Times New Roman" w:hAnsi="Times New Roman" w:cs="Times New Roman"/>
                <w:color w:val="auto"/>
                <w:lang w:val="en-US" w:eastAsia="zh-CN"/>
              </w:rPr>
              <w:t>8337</w:t>
            </w:r>
          </w:p>
        </w:tc>
      </w:tr>
      <w:tr w14:paraId="0096F2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89" w:hRule="atLeast"/>
        </w:trPr>
        <w:tc>
          <w:tcPr>
            <w:tcW w:w="0" w:type="auto"/>
            <w:tcBorders>
              <w:tl2br w:val="nil"/>
              <w:tr2bl w:val="nil"/>
            </w:tcBorders>
            <w:shd w:val="clear" w:color="auto" w:fill="auto"/>
            <w:noWrap/>
            <w:vAlign w:val="center"/>
          </w:tcPr>
          <w:p w14:paraId="1A7CA845">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青蒿、狗尾巴草等</w:t>
            </w:r>
          </w:p>
        </w:tc>
        <w:tc>
          <w:tcPr>
            <w:tcW w:w="0" w:type="auto"/>
            <w:tcBorders>
              <w:tl2br w:val="nil"/>
              <w:tr2bl w:val="nil"/>
            </w:tcBorders>
            <w:shd w:val="clear" w:color="auto" w:fill="auto"/>
            <w:noWrap/>
            <w:vAlign w:val="center"/>
          </w:tcPr>
          <w:p w14:paraId="4D80EEC0">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7</w:t>
            </w:r>
            <w:r>
              <w:rPr>
                <w:rFonts w:hint="eastAsia" w:cs="Times New Roman"/>
                <w:color w:val="auto"/>
                <w:lang w:val="en-US" w:eastAsia="zh-CN"/>
              </w:rPr>
              <w:t>.</w:t>
            </w:r>
            <w:r>
              <w:rPr>
                <w:rFonts w:hint="default" w:ascii="Times New Roman" w:hAnsi="Times New Roman" w:cs="Times New Roman"/>
                <w:color w:val="auto"/>
                <w:lang w:val="en-US" w:eastAsia="zh-CN"/>
              </w:rPr>
              <w:t>10012</w:t>
            </w:r>
          </w:p>
        </w:tc>
      </w:tr>
      <w:tr w14:paraId="1E7C24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0" w:type="auto"/>
            <w:tcBorders>
              <w:tl2br w:val="nil"/>
              <w:tr2bl w:val="nil"/>
            </w:tcBorders>
            <w:shd w:val="clear" w:color="auto" w:fill="auto"/>
            <w:noWrap/>
            <w:vAlign w:val="center"/>
          </w:tcPr>
          <w:p w14:paraId="33CC8D08">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松树</w:t>
            </w:r>
          </w:p>
        </w:tc>
        <w:tc>
          <w:tcPr>
            <w:tcW w:w="0" w:type="auto"/>
            <w:tcBorders>
              <w:tl2br w:val="nil"/>
              <w:tr2bl w:val="nil"/>
            </w:tcBorders>
            <w:shd w:val="clear" w:color="auto" w:fill="auto"/>
            <w:noWrap/>
            <w:vAlign w:val="center"/>
          </w:tcPr>
          <w:p w14:paraId="53F9CCCE">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60</w:t>
            </w:r>
            <w:r>
              <w:rPr>
                <w:rFonts w:hint="eastAsia" w:cs="Times New Roman"/>
                <w:color w:val="auto"/>
                <w:lang w:val="en-US" w:eastAsia="zh-CN"/>
              </w:rPr>
              <w:t>.</w:t>
            </w:r>
            <w:r>
              <w:rPr>
                <w:rFonts w:hint="default" w:ascii="Times New Roman" w:hAnsi="Times New Roman" w:cs="Times New Roman"/>
                <w:color w:val="auto"/>
                <w:lang w:val="en-US" w:eastAsia="zh-CN"/>
              </w:rPr>
              <w:t>0661</w:t>
            </w:r>
          </w:p>
        </w:tc>
      </w:tr>
    </w:tbl>
    <w:p w14:paraId="465A7AD3">
      <w:pPr>
        <w:pStyle w:val="27"/>
        <w:bidi w:val="0"/>
        <w:ind w:left="0" w:leftChars="0" w:firstLine="0" w:firstLineChars="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262880" cy="4026535"/>
            <wp:effectExtent l="0" t="0" r="13970" b="12065"/>
            <wp:docPr id="90" name="图片 90" descr="植被类型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植被类型4"/>
                    <pic:cNvPicPr>
                      <a:picLocks noChangeAspect="1"/>
                    </pic:cNvPicPr>
                  </pic:nvPicPr>
                  <pic:blipFill>
                    <a:blip r:embed="rId85"/>
                    <a:stretch>
                      <a:fillRect/>
                    </a:stretch>
                  </pic:blipFill>
                  <pic:spPr>
                    <a:xfrm>
                      <a:off x="0" y="0"/>
                      <a:ext cx="5262880" cy="4026535"/>
                    </a:xfrm>
                    <a:prstGeom prst="rect">
                      <a:avLst/>
                    </a:prstGeom>
                  </pic:spPr>
                </pic:pic>
              </a:graphicData>
            </a:graphic>
          </wp:inline>
        </w:drawing>
      </w:r>
      <w:r>
        <w:rPr>
          <w:rFonts w:hint="default" w:ascii="Times New Roman" w:hAnsi="Times New Roman" w:cs="Times New Roman"/>
          <w:color w:val="auto"/>
        </w:rPr>
        <w:t>图4-2-</w:t>
      </w:r>
      <w:r>
        <w:rPr>
          <w:rFonts w:hint="eastAsia" w:cs="Times New Roman"/>
          <w:color w:val="auto"/>
          <w:lang w:val="en-US" w:eastAsia="zh-CN"/>
        </w:rPr>
        <w:t>10</w:t>
      </w:r>
      <w:r>
        <w:rPr>
          <w:rFonts w:hint="default" w:ascii="Times New Roman" w:hAnsi="Times New Roman" w:cs="Times New Roman"/>
          <w:color w:val="auto"/>
        </w:rPr>
        <w:t>评价区</w:t>
      </w:r>
      <w:r>
        <w:rPr>
          <w:rFonts w:hint="eastAsia" w:cs="Times New Roman"/>
          <w:color w:val="auto"/>
          <w:lang w:val="en-US" w:eastAsia="zh-CN"/>
        </w:rPr>
        <w:t>14#、15#、16#</w:t>
      </w:r>
      <w:r>
        <w:rPr>
          <w:rFonts w:hint="default" w:ascii="Times New Roman" w:hAnsi="Times New Roman" w:cs="Times New Roman"/>
          <w:color w:val="auto"/>
        </w:rPr>
        <w:t>植被类型图</w:t>
      </w:r>
    </w:p>
    <w:p w14:paraId="0E117A85">
      <w:pPr>
        <w:pStyle w:val="27"/>
        <w:bidi w:val="0"/>
        <w:ind w:left="0" w:leftChars="0" w:firstLine="0" w:firstLineChars="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262880" cy="4026535"/>
            <wp:effectExtent l="0" t="0" r="13970" b="12065"/>
            <wp:docPr id="89" name="图片 89" descr="植被类型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植被类型3"/>
                    <pic:cNvPicPr>
                      <a:picLocks noChangeAspect="1"/>
                    </pic:cNvPicPr>
                  </pic:nvPicPr>
                  <pic:blipFill>
                    <a:blip r:embed="rId86"/>
                    <a:stretch>
                      <a:fillRect/>
                    </a:stretch>
                  </pic:blipFill>
                  <pic:spPr>
                    <a:xfrm>
                      <a:off x="0" y="0"/>
                      <a:ext cx="5262880" cy="4026535"/>
                    </a:xfrm>
                    <a:prstGeom prst="rect">
                      <a:avLst/>
                    </a:prstGeom>
                  </pic:spPr>
                </pic:pic>
              </a:graphicData>
            </a:graphic>
          </wp:inline>
        </w:drawing>
      </w:r>
      <w:r>
        <w:rPr>
          <w:rFonts w:hint="default" w:ascii="Times New Roman" w:hAnsi="Times New Roman" w:cs="Times New Roman"/>
          <w:color w:val="auto"/>
        </w:rPr>
        <w:t>图4-2-</w:t>
      </w:r>
      <w:r>
        <w:rPr>
          <w:rFonts w:hint="eastAsia" w:cs="Times New Roman"/>
          <w:color w:val="auto"/>
          <w:lang w:val="en-US" w:eastAsia="zh-CN"/>
        </w:rPr>
        <w:t>17</w:t>
      </w:r>
      <w:r>
        <w:rPr>
          <w:rFonts w:hint="default" w:ascii="Times New Roman" w:hAnsi="Times New Roman" w:cs="Times New Roman"/>
          <w:color w:val="auto"/>
        </w:rPr>
        <w:t>评价区</w:t>
      </w:r>
      <w:r>
        <w:rPr>
          <w:rFonts w:hint="eastAsia" w:cs="Times New Roman"/>
          <w:color w:val="auto"/>
          <w:lang w:val="en-US" w:eastAsia="zh-CN"/>
        </w:rPr>
        <w:t>21#</w:t>
      </w:r>
      <w:r>
        <w:rPr>
          <w:rFonts w:hint="default" w:ascii="Times New Roman" w:hAnsi="Times New Roman" w:cs="Times New Roman"/>
          <w:color w:val="auto"/>
        </w:rPr>
        <w:t>植被类型图</w:t>
      </w:r>
    </w:p>
    <w:p w14:paraId="3ABC4192">
      <w:pPr>
        <w:ind w:left="0" w:leftChars="0" w:firstLine="0" w:firstLineChars="0"/>
        <w:rPr>
          <w:rFonts w:hint="eastAsia" w:eastAsia="宋体"/>
          <w:color w:val="auto"/>
          <w:lang w:eastAsia="zh-CN"/>
        </w:rPr>
      </w:pPr>
      <w:r>
        <w:rPr>
          <w:rFonts w:hint="eastAsia" w:eastAsia="宋体"/>
          <w:color w:val="auto"/>
          <w:lang w:eastAsia="zh-CN"/>
        </w:rPr>
        <w:drawing>
          <wp:inline distT="0" distB="0" distL="114300" distR="114300">
            <wp:extent cx="5262880" cy="4026535"/>
            <wp:effectExtent l="0" t="0" r="13970" b="12065"/>
            <wp:docPr id="91" name="图片 91" descr="植被类型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植被类型5A"/>
                    <pic:cNvPicPr>
                      <a:picLocks noChangeAspect="1"/>
                    </pic:cNvPicPr>
                  </pic:nvPicPr>
                  <pic:blipFill>
                    <a:blip r:embed="rId87"/>
                    <a:stretch>
                      <a:fillRect/>
                    </a:stretch>
                  </pic:blipFill>
                  <pic:spPr>
                    <a:xfrm>
                      <a:off x="0" y="0"/>
                      <a:ext cx="5262880" cy="4026535"/>
                    </a:xfrm>
                    <a:prstGeom prst="rect">
                      <a:avLst/>
                    </a:prstGeom>
                  </pic:spPr>
                </pic:pic>
              </a:graphicData>
            </a:graphic>
          </wp:inline>
        </w:drawing>
      </w:r>
    </w:p>
    <w:p w14:paraId="3133987D">
      <w:pPr>
        <w:pStyle w:val="27"/>
        <w:bidi w:val="0"/>
        <w:rPr>
          <w:rFonts w:hint="eastAsia"/>
          <w:color w:val="auto"/>
          <w:lang w:eastAsia="zh-CN"/>
        </w:rPr>
      </w:pPr>
      <w:r>
        <w:rPr>
          <w:rFonts w:hint="default" w:ascii="Times New Roman" w:hAnsi="Times New Roman" w:cs="Times New Roman"/>
          <w:color w:val="auto"/>
        </w:rPr>
        <w:t>图4-2-</w:t>
      </w:r>
      <w:r>
        <w:rPr>
          <w:rFonts w:hint="eastAsia" w:cs="Times New Roman"/>
          <w:color w:val="auto"/>
          <w:lang w:val="en-US" w:eastAsia="zh-CN"/>
        </w:rPr>
        <w:t>18</w:t>
      </w:r>
      <w:r>
        <w:rPr>
          <w:rFonts w:hint="default" w:ascii="Times New Roman" w:hAnsi="Times New Roman" w:cs="Times New Roman"/>
          <w:color w:val="auto"/>
        </w:rPr>
        <w:t>评价区</w:t>
      </w:r>
      <w:r>
        <w:rPr>
          <w:rFonts w:hint="eastAsia" w:cs="Times New Roman"/>
          <w:color w:val="auto"/>
          <w:lang w:val="en-US" w:eastAsia="zh-CN"/>
        </w:rPr>
        <w:t>25#</w:t>
      </w:r>
      <w:r>
        <w:rPr>
          <w:rFonts w:hint="default" w:ascii="Times New Roman" w:hAnsi="Times New Roman" w:cs="Times New Roman"/>
          <w:color w:val="auto"/>
        </w:rPr>
        <w:t>植被类型图</w:t>
      </w:r>
    </w:p>
    <w:p w14:paraId="45275A8E">
      <w:pPr>
        <w:pStyle w:val="27"/>
        <w:bidi w:val="0"/>
        <w:ind w:left="0" w:leftChars="0" w:firstLine="0" w:firstLineChars="0"/>
        <w:jc w:val="both"/>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drawing>
          <wp:inline distT="0" distB="0" distL="114300" distR="114300">
            <wp:extent cx="5262880" cy="4026535"/>
            <wp:effectExtent l="0" t="0" r="13970" b="12065"/>
            <wp:docPr id="61" name="图片 61" descr="植被类型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植被类型1"/>
                    <pic:cNvPicPr>
                      <a:picLocks noChangeAspect="1"/>
                    </pic:cNvPicPr>
                  </pic:nvPicPr>
                  <pic:blipFill>
                    <a:blip r:embed="rId88"/>
                    <a:stretch>
                      <a:fillRect/>
                    </a:stretch>
                  </pic:blipFill>
                  <pic:spPr>
                    <a:xfrm>
                      <a:off x="0" y="0"/>
                      <a:ext cx="5262880" cy="4026535"/>
                    </a:xfrm>
                    <a:prstGeom prst="rect">
                      <a:avLst/>
                    </a:prstGeom>
                  </pic:spPr>
                </pic:pic>
              </a:graphicData>
            </a:graphic>
          </wp:inline>
        </w:drawing>
      </w:r>
    </w:p>
    <w:p w14:paraId="6D4EB884">
      <w:pPr>
        <w:pStyle w:val="27"/>
        <w:bidi w:val="0"/>
        <w:rPr>
          <w:rFonts w:hint="default" w:ascii="Times New Roman" w:hAnsi="Times New Roman" w:cs="Times New Roman"/>
          <w:color w:val="auto"/>
        </w:rPr>
      </w:pPr>
      <w:r>
        <w:rPr>
          <w:rFonts w:hint="default" w:ascii="Times New Roman" w:hAnsi="Times New Roman" w:cs="Times New Roman"/>
          <w:color w:val="auto"/>
        </w:rPr>
        <w:t>图4-2-</w:t>
      </w:r>
      <w:r>
        <w:rPr>
          <w:rFonts w:hint="eastAsia" w:cs="Times New Roman"/>
          <w:color w:val="auto"/>
          <w:lang w:val="en-US" w:eastAsia="zh-CN"/>
        </w:rPr>
        <w:t>19</w:t>
      </w:r>
      <w:r>
        <w:rPr>
          <w:rFonts w:hint="default" w:ascii="Times New Roman" w:hAnsi="Times New Roman" w:cs="Times New Roman"/>
          <w:color w:val="auto"/>
        </w:rPr>
        <w:t>评价区</w:t>
      </w:r>
      <w:r>
        <w:rPr>
          <w:rFonts w:hint="eastAsia" w:cs="Times New Roman"/>
          <w:color w:val="auto"/>
          <w:lang w:val="en-US" w:eastAsia="zh-CN"/>
        </w:rPr>
        <w:t>31#、45#、47#</w:t>
      </w:r>
      <w:r>
        <w:rPr>
          <w:rFonts w:hint="default" w:ascii="Times New Roman" w:hAnsi="Times New Roman" w:cs="Times New Roman"/>
          <w:color w:val="auto"/>
        </w:rPr>
        <w:t>植被类型图</w:t>
      </w:r>
    </w:p>
    <w:p w14:paraId="07CB2589">
      <w:pPr>
        <w:ind w:left="0" w:leftChars="0" w:firstLine="0" w:firstLineChars="0"/>
        <w:rPr>
          <w:rFonts w:hint="eastAsia"/>
          <w:color w:val="auto"/>
          <w:lang w:eastAsia="zh-CN"/>
        </w:rPr>
      </w:pPr>
      <w:r>
        <w:rPr>
          <w:rFonts w:hint="eastAsia"/>
          <w:color w:val="auto"/>
          <w:lang w:eastAsia="zh-CN"/>
        </w:rPr>
        <w:drawing>
          <wp:inline distT="0" distB="0" distL="114300" distR="114300">
            <wp:extent cx="5262880" cy="3896995"/>
            <wp:effectExtent l="0" t="0" r="0" b="0"/>
            <wp:docPr id="88" name="图片 88" descr="植被类型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植被类型2"/>
                    <pic:cNvPicPr>
                      <a:picLocks noChangeAspect="1"/>
                    </pic:cNvPicPr>
                  </pic:nvPicPr>
                  <pic:blipFill>
                    <a:blip r:embed="rId89"/>
                    <a:srcRect b="3217"/>
                    <a:stretch>
                      <a:fillRect/>
                    </a:stretch>
                  </pic:blipFill>
                  <pic:spPr>
                    <a:xfrm>
                      <a:off x="0" y="0"/>
                      <a:ext cx="5262880" cy="3896995"/>
                    </a:xfrm>
                    <a:prstGeom prst="rect">
                      <a:avLst/>
                    </a:prstGeom>
                  </pic:spPr>
                </pic:pic>
              </a:graphicData>
            </a:graphic>
          </wp:inline>
        </w:drawing>
      </w:r>
    </w:p>
    <w:p w14:paraId="0BA448A9">
      <w:pPr>
        <w:pStyle w:val="27"/>
        <w:bidi w:val="0"/>
        <w:rPr>
          <w:rFonts w:hint="default" w:ascii="Times New Roman" w:hAnsi="Times New Roman" w:cs="Times New Roman"/>
          <w:color w:val="auto"/>
        </w:rPr>
      </w:pPr>
      <w:r>
        <w:rPr>
          <w:rFonts w:hint="default" w:ascii="Times New Roman" w:hAnsi="Times New Roman" w:cs="Times New Roman"/>
          <w:color w:val="auto"/>
        </w:rPr>
        <w:t>图4-2-</w:t>
      </w:r>
      <w:r>
        <w:rPr>
          <w:rFonts w:hint="eastAsia" w:cs="Times New Roman"/>
          <w:color w:val="auto"/>
          <w:lang w:val="en-US" w:eastAsia="zh-CN"/>
        </w:rPr>
        <w:t>20</w:t>
      </w:r>
      <w:r>
        <w:rPr>
          <w:rFonts w:hint="default" w:ascii="Times New Roman" w:hAnsi="Times New Roman" w:cs="Times New Roman"/>
          <w:color w:val="auto"/>
        </w:rPr>
        <w:t>评价区</w:t>
      </w:r>
      <w:r>
        <w:rPr>
          <w:rFonts w:hint="eastAsia" w:cs="Times New Roman"/>
          <w:color w:val="auto"/>
          <w:lang w:val="en-US" w:eastAsia="zh-CN"/>
        </w:rPr>
        <w:t>41#</w:t>
      </w:r>
      <w:r>
        <w:rPr>
          <w:rFonts w:hint="default" w:ascii="Times New Roman" w:hAnsi="Times New Roman" w:cs="Times New Roman"/>
          <w:color w:val="auto"/>
        </w:rPr>
        <w:t>植被类型图</w:t>
      </w:r>
    </w:p>
    <w:p w14:paraId="4DAA20DE">
      <w:pPr>
        <w:pStyle w:val="27"/>
        <w:bidi w:val="0"/>
        <w:ind w:left="0" w:leftChars="0" w:firstLine="0" w:firstLineChars="0"/>
        <w:jc w:val="center"/>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drawing>
          <wp:inline distT="0" distB="0" distL="114300" distR="114300">
            <wp:extent cx="5262880" cy="4026535"/>
            <wp:effectExtent l="0" t="0" r="13970" b="12065"/>
            <wp:docPr id="92" name="图片 92" descr="植被类型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植被类型6A"/>
                    <pic:cNvPicPr>
                      <a:picLocks noChangeAspect="1"/>
                    </pic:cNvPicPr>
                  </pic:nvPicPr>
                  <pic:blipFill>
                    <a:blip r:embed="rId90"/>
                    <a:stretch>
                      <a:fillRect/>
                    </a:stretch>
                  </pic:blipFill>
                  <pic:spPr>
                    <a:xfrm>
                      <a:off x="0" y="0"/>
                      <a:ext cx="5262880" cy="4026535"/>
                    </a:xfrm>
                    <a:prstGeom prst="rect">
                      <a:avLst/>
                    </a:prstGeom>
                  </pic:spPr>
                </pic:pic>
              </a:graphicData>
            </a:graphic>
          </wp:inline>
        </w:drawing>
      </w:r>
    </w:p>
    <w:p w14:paraId="1CC06B85">
      <w:pPr>
        <w:pStyle w:val="27"/>
        <w:bidi w:val="0"/>
        <w:ind w:left="0" w:leftChars="0" w:firstLine="0" w:firstLineChars="0"/>
        <w:jc w:val="center"/>
        <w:rPr>
          <w:rFonts w:hint="eastAsia"/>
          <w:color w:val="auto"/>
          <w:lang w:eastAsia="zh-CN"/>
        </w:rPr>
      </w:pPr>
      <w:r>
        <w:rPr>
          <w:rFonts w:hint="default" w:ascii="Times New Roman" w:hAnsi="Times New Roman" w:cs="Times New Roman"/>
          <w:color w:val="auto"/>
        </w:rPr>
        <w:t>图4-2-</w:t>
      </w:r>
      <w:r>
        <w:rPr>
          <w:rFonts w:hint="eastAsia" w:cs="Times New Roman"/>
          <w:color w:val="auto"/>
          <w:lang w:val="en-US" w:eastAsia="zh-CN"/>
        </w:rPr>
        <w:t>21</w:t>
      </w:r>
      <w:r>
        <w:rPr>
          <w:rFonts w:hint="default" w:ascii="Times New Roman" w:hAnsi="Times New Roman" w:cs="Times New Roman"/>
          <w:color w:val="auto"/>
        </w:rPr>
        <w:t>评价区</w:t>
      </w:r>
      <w:r>
        <w:rPr>
          <w:rFonts w:hint="eastAsia" w:cs="Times New Roman"/>
          <w:color w:val="auto"/>
          <w:lang w:val="en-US" w:eastAsia="zh-CN"/>
        </w:rPr>
        <w:t>59#、60#</w:t>
      </w:r>
      <w:r>
        <w:rPr>
          <w:rFonts w:hint="default" w:ascii="Times New Roman" w:hAnsi="Times New Roman" w:cs="Times New Roman"/>
          <w:color w:val="auto"/>
        </w:rPr>
        <w:t>植被类型图</w:t>
      </w:r>
    </w:p>
    <w:p w14:paraId="1786D024">
      <w:pPr>
        <w:pStyle w:val="27"/>
        <w:bidi w:val="0"/>
        <w:rPr>
          <w:rFonts w:hint="default" w:ascii="Times New Roman" w:hAnsi="Times New Roman" w:cs="Times New Roman"/>
          <w:color w:val="auto"/>
        </w:rPr>
      </w:pPr>
      <w:r>
        <w:rPr>
          <w:rFonts w:hint="default" w:ascii="Times New Roman" w:hAnsi="Times New Roman" w:cs="Times New Roman"/>
          <w:color w:val="auto"/>
        </w:rPr>
        <w:t>表4-2-2</w:t>
      </w:r>
      <w:r>
        <w:rPr>
          <w:rFonts w:hint="eastAsia" w:cs="Times New Roman"/>
          <w:color w:val="auto"/>
          <w:lang w:val="en-US" w:eastAsia="zh-CN"/>
        </w:rPr>
        <w:t xml:space="preserve">4 </w:t>
      </w:r>
      <w:r>
        <w:rPr>
          <w:rFonts w:hint="default" w:ascii="Times New Roman" w:hAnsi="Times New Roman" w:cs="Times New Roman"/>
          <w:color w:val="auto"/>
        </w:rPr>
        <w:t>评价范围内</w:t>
      </w:r>
      <w:r>
        <w:rPr>
          <w:rFonts w:hint="eastAsia" w:cs="Times New Roman"/>
          <w:color w:val="auto"/>
          <w:lang w:val="en-US" w:eastAsia="zh-CN"/>
        </w:rPr>
        <w:t>其他地块（除2#）</w:t>
      </w:r>
      <w:r>
        <w:rPr>
          <w:rFonts w:hint="default" w:ascii="Times New Roman" w:hAnsi="Times New Roman" w:cs="Times New Roman"/>
          <w:color w:val="auto"/>
        </w:rPr>
        <w:t>植被类型统计表</w:t>
      </w:r>
    </w:p>
    <w:tbl>
      <w:tblPr>
        <w:tblStyle w:val="20"/>
        <w:tblW w:w="8479" w:type="dxa"/>
        <w:tblInd w:w="93"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4497"/>
        <w:gridCol w:w="3982"/>
      </w:tblGrid>
      <w:tr w14:paraId="181B25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89" w:hRule="atLeast"/>
        </w:trPr>
        <w:tc>
          <w:tcPr>
            <w:tcW w:w="4497" w:type="dxa"/>
            <w:tcBorders>
              <w:tl2br w:val="nil"/>
              <w:tr2bl w:val="nil"/>
            </w:tcBorders>
            <w:shd w:val="clear" w:color="auto" w:fill="auto"/>
            <w:noWrap/>
            <w:vAlign w:val="center"/>
          </w:tcPr>
          <w:p w14:paraId="13FCE379">
            <w:pPr>
              <w:pStyle w:val="44"/>
              <w:bidi w:val="0"/>
              <w:rPr>
                <w:rFonts w:hint="default" w:ascii="Times New Roman" w:hAnsi="Times New Roman" w:cs="Times New Roman"/>
                <w:b/>
                <w:bCs/>
                <w:color w:val="auto"/>
              </w:rPr>
            </w:pPr>
            <w:r>
              <w:rPr>
                <w:rFonts w:hint="default" w:ascii="Times New Roman" w:hAnsi="Times New Roman" w:cs="Times New Roman"/>
                <w:b/>
                <w:bCs/>
                <w:color w:val="auto"/>
                <w:lang w:val="en-US" w:eastAsia="zh-CN"/>
              </w:rPr>
              <w:t>植被类型</w:t>
            </w:r>
          </w:p>
        </w:tc>
        <w:tc>
          <w:tcPr>
            <w:tcW w:w="3982" w:type="dxa"/>
            <w:tcBorders>
              <w:tl2br w:val="nil"/>
              <w:tr2bl w:val="nil"/>
            </w:tcBorders>
            <w:shd w:val="clear" w:color="auto" w:fill="auto"/>
            <w:noWrap/>
            <w:vAlign w:val="center"/>
          </w:tcPr>
          <w:p w14:paraId="031F4FDC">
            <w:pPr>
              <w:pStyle w:val="44"/>
              <w:bidi w:val="0"/>
              <w:rPr>
                <w:rFonts w:hint="default" w:ascii="Times New Roman" w:hAnsi="Times New Roman" w:cs="Times New Roman"/>
                <w:b/>
                <w:bCs/>
                <w:color w:val="auto"/>
                <w:lang w:val="en-US"/>
              </w:rPr>
            </w:pPr>
            <w:r>
              <w:rPr>
                <w:rFonts w:hint="default" w:ascii="Times New Roman" w:hAnsi="Times New Roman" w:cs="Times New Roman"/>
                <w:b/>
                <w:bCs/>
                <w:color w:val="auto"/>
                <w:lang w:val="en-US" w:eastAsia="zh-CN"/>
              </w:rPr>
              <w:t>面积</w:t>
            </w:r>
            <w:r>
              <w:rPr>
                <w:rFonts w:hint="eastAsia" w:cs="Times New Roman"/>
                <w:b/>
                <w:bCs/>
                <w:color w:val="auto"/>
                <w:lang w:val="en-US" w:eastAsia="zh-CN"/>
              </w:rPr>
              <w:t>(km</w:t>
            </w:r>
            <w:r>
              <w:rPr>
                <w:rFonts w:hint="eastAsia" w:cs="Times New Roman"/>
                <w:b/>
                <w:bCs/>
                <w:color w:val="auto"/>
                <w:vertAlign w:val="superscript"/>
                <w:lang w:val="en-US" w:eastAsia="zh-CN"/>
              </w:rPr>
              <w:t>2</w:t>
            </w:r>
            <w:r>
              <w:rPr>
                <w:rFonts w:hint="eastAsia" w:cs="Times New Roman"/>
                <w:b/>
                <w:bCs/>
                <w:color w:val="auto"/>
                <w:lang w:val="en-US" w:eastAsia="zh-CN"/>
              </w:rPr>
              <w:t>)</w:t>
            </w:r>
          </w:p>
        </w:tc>
      </w:tr>
      <w:tr w14:paraId="6C2194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4497" w:type="dxa"/>
            <w:tcBorders>
              <w:tl2br w:val="nil"/>
              <w:tr2bl w:val="nil"/>
            </w:tcBorders>
            <w:shd w:val="clear" w:color="auto" w:fill="auto"/>
            <w:noWrap/>
            <w:vAlign w:val="center"/>
          </w:tcPr>
          <w:p w14:paraId="64D1BA0A">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玉米、大豆等农作物</w:t>
            </w:r>
          </w:p>
        </w:tc>
        <w:tc>
          <w:tcPr>
            <w:tcW w:w="3982" w:type="dxa"/>
            <w:tcBorders>
              <w:tl2br w:val="nil"/>
              <w:tr2bl w:val="nil"/>
            </w:tcBorders>
            <w:shd w:val="clear" w:color="auto" w:fill="auto"/>
            <w:noWrap/>
            <w:vAlign w:val="center"/>
          </w:tcPr>
          <w:p w14:paraId="75AFF023">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186.28 </w:t>
            </w:r>
          </w:p>
        </w:tc>
      </w:tr>
      <w:tr w14:paraId="1FD894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4497" w:type="dxa"/>
            <w:tcBorders>
              <w:tl2br w:val="nil"/>
              <w:tr2bl w:val="nil"/>
            </w:tcBorders>
            <w:shd w:val="clear" w:color="auto" w:fill="auto"/>
            <w:noWrap/>
            <w:vAlign w:val="center"/>
          </w:tcPr>
          <w:p w14:paraId="2E2D9FD0">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蒙古栎林</w:t>
            </w:r>
          </w:p>
        </w:tc>
        <w:tc>
          <w:tcPr>
            <w:tcW w:w="3982" w:type="dxa"/>
            <w:tcBorders>
              <w:tl2br w:val="nil"/>
              <w:tr2bl w:val="nil"/>
            </w:tcBorders>
            <w:shd w:val="clear" w:color="auto" w:fill="auto"/>
            <w:noWrap/>
            <w:vAlign w:val="center"/>
          </w:tcPr>
          <w:p w14:paraId="6CC517DD">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109.75 </w:t>
            </w:r>
          </w:p>
        </w:tc>
      </w:tr>
      <w:tr w14:paraId="79F66A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4497" w:type="dxa"/>
            <w:tcBorders>
              <w:tl2br w:val="nil"/>
              <w:tr2bl w:val="nil"/>
            </w:tcBorders>
            <w:shd w:val="clear" w:color="auto" w:fill="auto"/>
            <w:noWrap/>
            <w:vAlign w:val="center"/>
          </w:tcPr>
          <w:p w14:paraId="2B230E00">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蒙古栎+兴安落叶松林</w:t>
            </w:r>
          </w:p>
        </w:tc>
        <w:tc>
          <w:tcPr>
            <w:tcW w:w="3982" w:type="dxa"/>
            <w:tcBorders>
              <w:tl2br w:val="nil"/>
              <w:tr2bl w:val="nil"/>
            </w:tcBorders>
            <w:shd w:val="clear" w:color="auto" w:fill="auto"/>
            <w:noWrap/>
            <w:vAlign w:val="center"/>
          </w:tcPr>
          <w:p w14:paraId="5B7B1879">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155.54 </w:t>
            </w:r>
          </w:p>
        </w:tc>
      </w:tr>
      <w:tr w14:paraId="39A2E7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89" w:hRule="atLeast"/>
        </w:trPr>
        <w:tc>
          <w:tcPr>
            <w:tcW w:w="4497" w:type="dxa"/>
            <w:tcBorders>
              <w:tl2br w:val="nil"/>
              <w:tr2bl w:val="nil"/>
            </w:tcBorders>
            <w:shd w:val="clear" w:color="auto" w:fill="auto"/>
            <w:noWrap/>
            <w:vAlign w:val="center"/>
          </w:tcPr>
          <w:p w14:paraId="74504A36">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白桦、山杨林</w:t>
            </w:r>
          </w:p>
        </w:tc>
        <w:tc>
          <w:tcPr>
            <w:tcW w:w="3982" w:type="dxa"/>
            <w:tcBorders>
              <w:tl2br w:val="nil"/>
              <w:tr2bl w:val="nil"/>
            </w:tcBorders>
            <w:shd w:val="clear" w:color="auto" w:fill="auto"/>
            <w:noWrap/>
            <w:vAlign w:val="center"/>
          </w:tcPr>
          <w:p w14:paraId="099F6BB3">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93.17 </w:t>
            </w:r>
          </w:p>
        </w:tc>
      </w:tr>
      <w:tr w14:paraId="71C3A0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89" w:hRule="atLeast"/>
        </w:trPr>
        <w:tc>
          <w:tcPr>
            <w:tcW w:w="4497" w:type="dxa"/>
            <w:tcBorders>
              <w:tl2br w:val="nil"/>
              <w:tr2bl w:val="nil"/>
            </w:tcBorders>
            <w:shd w:val="clear" w:color="auto" w:fill="auto"/>
            <w:noWrap/>
            <w:vAlign w:val="center"/>
          </w:tcPr>
          <w:p w14:paraId="56B284C1">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红松林</w:t>
            </w:r>
          </w:p>
        </w:tc>
        <w:tc>
          <w:tcPr>
            <w:tcW w:w="3982" w:type="dxa"/>
            <w:tcBorders>
              <w:tl2br w:val="nil"/>
              <w:tr2bl w:val="nil"/>
            </w:tcBorders>
            <w:shd w:val="clear" w:color="auto" w:fill="auto"/>
            <w:noWrap/>
            <w:vAlign w:val="center"/>
          </w:tcPr>
          <w:p w14:paraId="7EDE37E8">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116.99 </w:t>
            </w:r>
          </w:p>
        </w:tc>
      </w:tr>
      <w:tr w14:paraId="03CCDA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4497" w:type="dxa"/>
            <w:tcBorders>
              <w:tl2br w:val="nil"/>
              <w:tr2bl w:val="nil"/>
            </w:tcBorders>
            <w:shd w:val="clear" w:color="auto" w:fill="auto"/>
            <w:noWrap/>
            <w:vAlign w:val="center"/>
          </w:tcPr>
          <w:p w14:paraId="2CBDDEF7">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含胡枝子的蒿草草地</w:t>
            </w:r>
          </w:p>
        </w:tc>
        <w:tc>
          <w:tcPr>
            <w:tcW w:w="3982" w:type="dxa"/>
            <w:tcBorders>
              <w:tl2br w:val="nil"/>
              <w:tr2bl w:val="nil"/>
            </w:tcBorders>
            <w:shd w:val="clear" w:color="auto" w:fill="auto"/>
            <w:noWrap/>
            <w:vAlign w:val="center"/>
          </w:tcPr>
          <w:p w14:paraId="0CEEEDC3">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133.15 </w:t>
            </w:r>
          </w:p>
        </w:tc>
      </w:tr>
      <w:tr w14:paraId="6473C0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89" w:hRule="atLeast"/>
        </w:trPr>
        <w:tc>
          <w:tcPr>
            <w:tcW w:w="4497" w:type="dxa"/>
            <w:tcBorders>
              <w:tl2br w:val="nil"/>
              <w:tr2bl w:val="nil"/>
            </w:tcBorders>
            <w:shd w:val="clear" w:color="auto" w:fill="auto"/>
            <w:noWrap/>
            <w:vAlign w:val="center"/>
          </w:tcPr>
          <w:p w14:paraId="62FAB476">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07工矿区</w:t>
            </w:r>
          </w:p>
        </w:tc>
        <w:tc>
          <w:tcPr>
            <w:tcW w:w="3982" w:type="dxa"/>
            <w:tcBorders>
              <w:tl2br w:val="nil"/>
              <w:tr2bl w:val="nil"/>
            </w:tcBorders>
            <w:shd w:val="clear" w:color="auto" w:fill="auto"/>
            <w:noWrap/>
            <w:vAlign w:val="center"/>
          </w:tcPr>
          <w:p w14:paraId="2167CECB">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130.06 </w:t>
            </w:r>
          </w:p>
        </w:tc>
      </w:tr>
      <w:tr w14:paraId="7C17D6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4497" w:type="dxa"/>
            <w:tcBorders>
              <w:tl2br w:val="nil"/>
              <w:tr2bl w:val="nil"/>
            </w:tcBorders>
            <w:shd w:val="clear" w:color="auto" w:fill="auto"/>
            <w:noWrap/>
            <w:vAlign w:val="center"/>
          </w:tcPr>
          <w:p w14:paraId="5326C607">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08居民点</w:t>
            </w:r>
          </w:p>
        </w:tc>
        <w:tc>
          <w:tcPr>
            <w:tcW w:w="3982" w:type="dxa"/>
            <w:tcBorders>
              <w:tl2br w:val="nil"/>
              <w:tr2bl w:val="nil"/>
            </w:tcBorders>
            <w:shd w:val="clear" w:color="auto" w:fill="auto"/>
            <w:noWrap/>
            <w:vAlign w:val="center"/>
          </w:tcPr>
          <w:p w14:paraId="791394F1">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21.01 </w:t>
            </w:r>
          </w:p>
        </w:tc>
      </w:tr>
      <w:tr w14:paraId="0948A3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4497" w:type="dxa"/>
            <w:tcBorders>
              <w:tl2br w:val="nil"/>
              <w:tr2bl w:val="nil"/>
            </w:tcBorders>
            <w:shd w:val="clear" w:color="auto" w:fill="auto"/>
            <w:noWrap/>
            <w:vAlign w:val="center"/>
          </w:tcPr>
          <w:p w14:paraId="33B3D490">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09交通道路</w:t>
            </w:r>
          </w:p>
        </w:tc>
        <w:tc>
          <w:tcPr>
            <w:tcW w:w="3982" w:type="dxa"/>
            <w:tcBorders>
              <w:tl2br w:val="nil"/>
              <w:tr2bl w:val="nil"/>
            </w:tcBorders>
            <w:shd w:val="clear" w:color="auto" w:fill="auto"/>
            <w:noWrap/>
            <w:vAlign w:val="center"/>
          </w:tcPr>
          <w:p w14:paraId="0A346D19">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33.62 </w:t>
            </w:r>
          </w:p>
        </w:tc>
      </w:tr>
      <w:tr w14:paraId="1CCDAB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4497" w:type="dxa"/>
            <w:tcBorders>
              <w:tl2br w:val="nil"/>
              <w:tr2bl w:val="nil"/>
            </w:tcBorders>
            <w:shd w:val="clear" w:color="auto" w:fill="auto"/>
            <w:noWrap/>
            <w:vAlign w:val="center"/>
          </w:tcPr>
          <w:p w14:paraId="1E4BF32B">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10水域</w:t>
            </w:r>
          </w:p>
        </w:tc>
        <w:tc>
          <w:tcPr>
            <w:tcW w:w="3982" w:type="dxa"/>
            <w:tcBorders>
              <w:tl2br w:val="nil"/>
              <w:tr2bl w:val="nil"/>
            </w:tcBorders>
            <w:shd w:val="clear" w:color="auto" w:fill="auto"/>
            <w:noWrap/>
            <w:vAlign w:val="center"/>
          </w:tcPr>
          <w:p w14:paraId="70D56261">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7.30 </w:t>
            </w:r>
          </w:p>
        </w:tc>
      </w:tr>
      <w:tr w14:paraId="3660A2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4497" w:type="dxa"/>
            <w:tcBorders>
              <w:tl2br w:val="nil"/>
              <w:tr2bl w:val="nil"/>
            </w:tcBorders>
            <w:shd w:val="clear" w:color="auto" w:fill="auto"/>
            <w:noWrap/>
            <w:vAlign w:val="center"/>
          </w:tcPr>
          <w:p w14:paraId="53DBC8EE">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合计</w:t>
            </w:r>
          </w:p>
        </w:tc>
        <w:tc>
          <w:tcPr>
            <w:tcW w:w="3982" w:type="dxa"/>
            <w:tcBorders>
              <w:tl2br w:val="nil"/>
              <w:tr2bl w:val="nil"/>
            </w:tcBorders>
            <w:shd w:val="clear" w:color="auto" w:fill="auto"/>
            <w:noWrap/>
            <w:vAlign w:val="center"/>
          </w:tcPr>
          <w:p w14:paraId="79B6A7C2">
            <w:pPr>
              <w:pStyle w:val="44"/>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986.88 </w:t>
            </w:r>
          </w:p>
        </w:tc>
      </w:tr>
    </w:tbl>
    <w:p w14:paraId="4A8931C8">
      <w:pPr>
        <w:pStyle w:val="5"/>
        <w:bidi w:val="0"/>
        <w:rPr>
          <w:rFonts w:hint="default" w:ascii="Times New Roman" w:hAnsi="Times New Roman" w:cs="Times New Roman"/>
          <w:color w:val="auto"/>
        </w:rPr>
      </w:pPr>
      <w:r>
        <w:rPr>
          <w:rFonts w:hint="default" w:ascii="Times New Roman" w:hAnsi="Times New Roman" w:cs="Times New Roman"/>
          <w:color w:val="auto"/>
        </w:rPr>
        <w:t>4.2.6.6野生动物现状</w:t>
      </w:r>
    </w:p>
    <w:p w14:paraId="307E43EB">
      <w:pPr>
        <w:pStyle w:val="25"/>
        <w:ind w:firstLine="480"/>
        <w:rPr>
          <w:rFonts w:hint="default" w:ascii="Times New Roman" w:hAnsi="Times New Roman" w:cs="Times New Roman"/>
          <w:color w:val="auto"/>
        </w:rPr>
      </w:pPr>
      <w:r>
        <w:rPr>
          <w:rFonts w:hint="default" w:ascii="Times New Roman" w:hAnsi="Times New Roman" w:cs="Times New Roman"/>
          <w:color w:val="auto"/>
        </w:rPr>
        <w:t>评价范围内的鸟类主要有麻雀、家燕、喜鹊、乌鸦等，野生动物以小型动物为主，主要有松鼠、田鼠以及小型啮齿类动物，广泛分布于农田与居民集中居住的村屯周围区域中。</w:t>
      </w:r>
    </w:p>
    <w:p w14:paraId="1C549270">
      <w:pPr>
        <w:pStyle w:val="5"/>
        <w:bidi w:val="0"/>
        <w:rPr>
          <w:rFonts w:hint="default" w:ascii="Times New Roman" w:hAnsi="Times New Roman" w:cs="Times New Roman"/>
          <w:color w:val="auto"/>
        </w:rPr>
      </w:pPr>
      <w:r>
        <w:rPr>
          <w:rFonts w:hint="default" w:ascii="Times New Roman" w:hAnsi="Times New Roman" w:cs="Times New Roman"/>
          <w:color w:val="auto"/>
        </w:rPr>
        <w:t>4.2.6.</w:t>
      </w:r>
      <w:r>
        <w:rPr>
          <w:rFonts w:hint="eastAsia" w:ascii="Times New Roman" w:hAnsi="Times New Roman" w:cs="Times New Roman"/>
          <w:color w:val="auto"/>
          <w:lang w:val="en-US" w:eastAsia="zh-CN"/>
        </w:rPr>
        <w:t>7水土流失</w:t>
      </w:r>
      <w:r>
        <w:rPr>
          <w:rFonts w:hint="default" w:ascii="Times New Roman" w:hAnsi="Times New Roman" w:cs="Times New Roman"/>
          <w:color w:val="auto"/>
        </w:rPr>
        <w:t>现状</w:t>
      </w:r>
    </w:p>
    <w:p w14:paraId="2C1E714A">
      <w:pPr>
        <w:pStyle w:val="25"/>
        <w:ind w:firstLine="480"/>
        <w:rPr>
          <w:rFonts w:hint="eastAsia" w:ascii="Times New Roman" w:hAnsi="Times New Roman" w:eastAsia="宋体" w:cs="Times New Roman"/>
          <w:color w:val="auto"/>
          <w:lang w:val="en-US" w:eastAsia="zh-CN"/>
        </w:rPr>
      </w:pPr>
      <w:r>
        <w:rPr>
          <w:rFonts w:hint="default" w:ascii="Times New Roman" w:hAnsi="Times New Roman" w:eastAsia="宋体" w:cs="Times New Roman"/>
          <w:color w:val="auto"/>
        </w:rPr>
        <w:t>依据《黑龙江省人民政府关于黑龙江省水土保持规划的批复》（黑政函[2016]77号）的规定，黑龙江省水土流失两区划分为水土流失重点防治区和重点重点治理区。本工程地处重点防治区。项目区属轻度水力侵蚀区，土壤容许流失量为200t/km</w:t>
      </w:r>
      <w:r>
        <w:rPr>
          <w:rFonts w:hint="default" w:ascii="Times New Roman" w:hAnsi="Times New Roman" w:eastAsia="宋体" w:cs="Times New Roman"/>
          <w:color w:val="auto"/>
          <w:vertAlign w:val="superscript"/>
        </w:rPr>
        <w:t>2</w:t>
      </w:r>
      <w:r>
        <w:rPr>
          <w:rFonts w:hint="default" w:ascii="Times New Roman" w:hAnsi="Times New Roman" w:eastAsia="宋体" w:cs="Times New Roman"/>
          <w:color w:val="auto"/>
        </w:rPr>
        <w:t>·a。黑龙江省水土流失两区划分现状见图4-</w:t>
      </w:r>
      <w:r>
        <w:rPr>
          <w:rFonts w:hint="eastAsia" w:ascii="Times New Roman" w:hAnsi="Times New Roman" w:eastAsia="宋体" w:cs="Times New Roman"/>
          <w:color w:val="auto"/>
          <w:lang w:val="en-US" w:eastAsia="zh-CN"/>
        </w:rPr>
        <w:t>2</w:t>
      </w:r>
      <w:r>
        <w:rPr>
          <w:rFonts w:hint="default" w:ascii="Times New Roman" w:hAnsi="Times New Roman" w:eastAsia="宋体" w:cs="Times New Roman"/>
          <w:color w:val="auto"/>
        </w:rPr>
        <w:t>-</w:t>
      </w:r>
      <w:r>
        <w:rPr>
          <w:rFonts w:hint="eastAsia" w:ascii="Times New Roman" w:hAnsi="Times New Roman" w:eastAsia="宋体" w:cs="Times New Roman"/>
          <w:color w:val="auto"/>
          <w:lang w:val="en-US" w:eastAsia="zh-CN"/>
        </w:rPr>
        <w:t>11。</w:t>
      </w:r>
    </w:p>
    <w:p w14:paraId="21F20213">
      <w:pPr>
        <w:pStyle w:val="5"/>
        <w:bidi w:val="0"/>
        <w:rPr>
          <w:rFonts w:hint="eastAsia" w:ascii="Times New Roman" w:hAnsi="Times New Roman" w:cs="Times New Roman"/>
          <w:color w:val="auto"/>
          <w:lang w:val="en-US" w:eastAsia="zh-CN"/>
        </w:rPr>
      </w:pPr>
      <w:r>
        <w:rPr>
          <w:rFonts w:hint="default" w:ascii="Times New Roman" w:hAnsi="Times New Roman" w:cs="Times New Roman"/>
          <w:color w:val="auto"/>
        </w:rPr>
        <w:t>4.2.6.</w:t>
      </w:r>
      <w:r>
        <w:rPr>
          <w:rFonts w:hint="eastAsia" w:ascii="Times New Roman" w:hAnsi="Times New Roman" w:cs="Times New Roman"/>
          <w:color w:val="auto"/>
          <w:lang w:val="en-US" w:eastAsia="zh-CN"/>
        </w:rPr>
        <w:t>8生态调查与回顾评价</w:t>
      </w:r>
    </w:p>
    <w:p w14:paraId="43B0E6DE">
      <w:pPr>
        <w:pStyle w:val="25"/>
        <w:ind w:firstLine="48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本工程涉及的12处历史遗留矿山存在矿山地质环境较差，长期开采导致裸露开采面无植被，</w:t>
      </w:r>
      <w:r>
        <w:rPr>
          <w:rFonts w:hint="default" w:ascii="Times New Roman" w:hAnsi="Times New Roman" w:eastAsia="宋体" w:cs="Times New Roman"/>
          <w:color w:val="auto"/>
        </w:rPr>
        <w:t>采坑堆积了废弃土石</w:t>
      </w: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煤矸石等环境问题。</w:t>
      </w:r>
    </w:p>
    <w:p w14:paraId="0B590683">
      <w:pPr>
        <w:pStyle w:val="25"/>
        <w:ind w:firstLine="48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本次工程对现有12处历史遗留矿山进行修复，对12处矿山进行土地平整后，将其复垦为林地，大大改善了原有生态环境。</w:t>
      </w:r>
    </w:p>
    <w:p w14:paraId="1A5FBD35">
      <w:pPr>
        <w:pStyle w:val="5"/>
        <w:bidi w:val="0"/>
        <w:rPr>
          <w:rFonts w:hint="default" w:ascii="Times New Roman" w:hAnsi="Times New Roman" w:cs="Times New Roman"/>
          <w:color w:val="auto"/>
          <w:lang w:val="en-US" w:eastAsia="zh-CN"/>
        </w:rPr>
      </w:pPr>
      <w:r>
        <w:rPr>
          <w:rFonts w:hint="default" w:ascii="Times New Roman" w:hAnsi="Times New Roman" w:cs="Times New Roman"/>
          <w:color w:val="auto"/>
        </w:rPr>
        <w:t>4.2.6.</w:t>
      </w:r>
      <w:r>
        <w:rPr>
          <w:rFonts w:hint="eastAsia" w:ascii="Times New Roman" w:hAnsi="Times New Roman" w:cs="Times New Roman"/>
          <w:color w:val="auto"/>
          <w:lang w:val="en-US" w:eastAsia="zh-CN"/>
        </w:rPr>
        <w:t>9生态环境现状小结</w:t>
      </w:r>
    </w:p>
    <w:p w14:paraId="1988F240">
      <w:pPr>
        <w:pStyle w:val="25"/>
        <w:ind w:firstLine="480"/>
        <w:rPr>
          <w:rFonts w:hint="default" w:ascii="Times New Roman" w:hAnsi="Times New Roman" w:eastAsia="宋体" w:cs="Times New Roman"/>
          <w:color w:val="auto"/>
          <w:lang w:val="en-US" w:eastAsia="zh-CN"/>
        </w:rPr>
      </w:pPr>
      <w:r>
        <w:rPr>
          <w:rFonts w:hint="eastAsia" w:ascii="Times New Roman" w:hAnsi="Times New Roman" w:cs="Times New Roman"/>
          <w:color w:val="auto"/>
          <w:spacing w:val="2"/>
          <w:sz w:val="24"/>
          <w:szCs w:val="24"/>
          <w:highlight w:val="none"/>
          <w:lang w:val="en-US" w:eastAsia="zh-CN"/>
        </w:rPr>
        <w:t>根据土地利用分析图及植被类型图，</w:t>
      </w:r>
      <w:r>
        <w:rPr>
          <w:rFonts w:hint="default" w:ascii="Times New Roman" w:hAnsi="Times New Roman" w:cs="Times New Roman"/>
          <w:color w:val="auto"/>
          <w:spacing w:val="2"/>
          <w:sz w:val="24"/>
          <w:szCs w:val="24"/>
          <w:highlight w:val="none"/>
        </w:rPr>
        <w:t>综合评价结果表明，评价区</w:t>
      </w:r>
      <w:r>
        <w:rPr>
          <w:rFonts w:hint="eastAsia" w:ascii="Times New Roman" w:hAnsi="Times New Roman" w:cs="Times New Roman"/>
          <w:color w:val="auto"/>
          <w:spacing w:val="2"/>
          <w:sz w:val="24"/>
          <w:szCs w:val="24"/>
          <w:highlight w:val="none"/>
          <w:lang w:val="en-US" w:eastAsia="zh-CN"/>
        </w:rPr>
        <w:t>主要存在</w:t>
      </w:r>
      <w:r>
        <w:rPr>
          <w:rFonts w:hint="default" w:ascii="Times New Roman" w:hAnsi="Times New Roman" w:cs="Times New Roman"/>
          <w:color w:val="auto"/>
          <w:spacing w:val="2"/>
          <w:sz w:val="24"/>
          <w:szCs w:val="24"/>
          <w:highlight w:val="none"/>
        </w:rPr>
        <w:t>森林生态系统</w:t>
      </w:r>
      <w:r>
        <w:rPr>
          <w:rFonts w:hint="eastAsia" w:ascii="Times New Roman" w:hAnsi="Times New Roman" w:cs="Times New Roman"/>
          <w:color w:val="auto"/>
          <w:spacing w:val="2"/>
          <w:sz w:val="24"/>
          <w:szCs w:val="24"/>
          <w:highlight w:val="none"/>
          <w:lang w:eastAsia="zh-CN"/>
        </w:rPr>
        <w:t>、</w:t>
      </w:r>
      <w:r>
        <w:rPr>
          <w:rFonts w:hint="eastAsia" w:ascii="Times New Roman" w:hAnsi="Times New Roman" w:cs="Times New Roman"/>
          <w:color w:val="auto"/>
          <w:spacing w:val="2"/>
          <w:sz w:val="24"/>
          <w:szCs w:val="24"/>
          <w:highlight w:val="none"/>
          <w:lang w:val="en-US" w:eastAsia="zh-CN"/>
        </w:rPr>
        <w:t>农田生态系统和人工生态系统</w:t>
      </w:r>
      <w:r>
        <w:rPr>
          <w:rFonts w:hint="default" w:ascii="Times New Roman" w:hAnsi="Times New Roman" w:cs="Times New Roman"/>
          <w:color w:val="auto"/>
          <w:spacing w:val="2"/>
          <w:sz w:val="24"/>
          <w:szCs w:val="24"/>
          <w:highlight w:val="none"/>
        </w:rPr>
        <w:t>，人类活动对自然生态系统的破坏和干扰</w:t>
      </w:r>
      <w:r>
        <w:rPr>
          <w:rFonts w:hint="eastAsia" w:ascii="Times New Roman" w:hAnsi="Times New Roman" w:cs="Times New Roman"/>
          <w:color w:val="auto"/>
          <w:spacing w:val="2"/>
          <w:sz w:val="24"/>
          <w:szCs w:val="24"/>
          <w:highlight w:val="none"/>
          <w:lang w:val="en-US" w:eastAsia="zh-CN"/>
        </w:rPr>
        <w:t>较高</w:t>
      </w:r>
      <w:r>
        <w:rPr>
          <w:rFonts w:hint="default" w:ascii="Times New Roman" w:hAnsi="Times New Roman" w:cs="Times New Roman"/>
          <w:color w:val="auto"/>
          <w:spacing w:val="2"/>
          <w:sz w:val="24"/>
          <w:szCs w:val="24"/>
          <w:highlight w:val="none"/>
        </w:rPr>
        <w:t>，生态系统完整</w:t>
      </w:r>
      <w:r>
        <w:rPr>
          <w:rFonts w:hint="eastAsia" w:ascii="Times New Roman" w:hAnsi="Times New Roman" w:cs="Times New Roman"/>
          <w:color w:val="auto"/>
          <w:spacing w:val="2"/>
          <w:sz w:val="24"/>
          <w:szCs w:val="24"/>
          <w:highlight w:val="none"/>
          <w:lang w:val="en-US" w:eastAsia="zh-CN"/>
        </w:rPr>
        <w:t>较差。在评价区生态系统以</w:t>
      </w:r>
      <w:r>
        <w:rPr>
          <w:rFonts w:hint="default" w:ascii="Times New Roman" w:hAnsi="Times New Roman" w:cs="Times New Roman"/>
          <w:color w:val="auto"/>
          <w:spacing w:val="2"/>
          <w:sz w:val="24"/>
          <w:szCs w:val="24"/>
          <w:highlight w:val="none"/>
        </w:rPr>
        <w:t>林地生态系统</w:t>
      </w:r>
      <w:r>
        <w:rPr>
          <w:rFonts w:hint="eastAsia" w:ascii="Times New Roman" w:hAnsi="Times New Roman" w:cs="Times New Roman"/>
          <w:color w:val="auto"/>
          <w:spacing w:val="2"/>
          <w:sz w:val="24"/>
          <w:szCs w:val="24"/>
          <w:highlight w:val="none"/>
          <w:lang w:val="en-US" w:eastAsia="zh-CN"/>
        </w:rPr>
        <w:t>为主</w:t>
      </w:r>
      <w:r>
        <w:rPr>
          <w:rFonts w:hint="default" w:ascii="Times New Roman" w:hAnsi="Times New Roman" w:cs="Times New Roman"/>
          <w:color w:val="auto"/>
          <w:spacing w:val="2"/>
          <w:sz w:val="24"/>
          <w:szCs w:val="24"/>
          <w:highlight w:val="none"/>
        </w:rPr>
        <w:t>，主要树种为</w:t>
      </w:r>
      <w:r>
        <w:rPr>
          <w:rFonts w:hint="eastAsia" w:ascii="Times New Roman" w:cs="Times New Roman"/>
          <w:color w:val="auto"/>
          <w:spacing w:val="2"/>
          <w:sz w:val="24"/>
          <w:szCs w:val="24"/>
          <w:highlight w:val="none"/>
          <w:lang w:val="en-US" w:eastAsia="zh-CN"/>
        </w:rPr>
        <w:t>蒙古栎林、兴安落叶松林、白桦、山杨林、红松林等</w:t>
      </w:r>
      <w:r>
        <w:rPr>
          <w:rFonts w:hint="default" w:ascii="Times New Roman" w:hAnsi="Times New Roman" w:cs="Times New Roman"/>
          <w:color w:val="auto"/>
          <w:spacing w:val="2"/>
          <w:sz w:val="24"/>
          <w:szCs w:val="24"/>
          <w:highlight w:val="none"/>
        </w:rPr>
        <w:t>。本</w:t>
      </w:r>
      <w:r>
        <w:rPr>
          <w:rFonts w:hint="eastAsia" w:ascii="Times New Roman" w:cs="Times New Roman"/>
          <w:color w:val="auto"/>
          <w:spacing w:val="2"/>
          <w:sz w:val="24"/>
          <w:szCs w:val="24"/>
          <w:highlight w:val="none"/>
          <w:lang w:val="en-US" w:eastAsia="zh-CN"/>
        </w:rPr>
        <w:t>项目评价区</w:t>
      </w:r>
      <w:r>
        <w:rPr>
          <w:rFonts w:hint="default" w:ascii="Times New Roman" w:hAnsi="Times New Roman" w:cs="Times New Roman"/>
          <w:color w:val="auto"/>
          <w:spacing w:val="2"/>
          <w:sz w:val="24"/>
          <w:szCs w:val="24"/>
          <w:highlight w:val="none"/>
        </w:rPr>
        <w:t>及周边未发现国家、省重点保护类野生动植物资源</w:t>
      </w:r>
      <w:r>
        <w:rPr>
          <w:rFonts w:hint="eastAsia" w:ascii="Times New Roman" w:hAnsi="Times New Roman" w:cs="Times New Roman"/>
          <w:color w:val="auto"/>
          <w:spacing w:val="2"/>
          <w:sz w:val="24"/>
          <w:szCs w:val="24"/>
          <w:highlight w:val="none"/>
          <w:lang w:eastAsia="zh-CN"/>
        </w:rPr>
        <w:t>。</w:t>
      </w:r>
    </w:p>
    <w:p w14:paraId="761F78B9">
      <w:pPr>
        <w:pStyle w:val="55"/>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color w:val="auto"/>
          <w:spacing w:val="2"/>
          <w:sz w:val="24"/>
          <w:szCs w:val="24"/>
          <w:highlight w:val="none"/>
        </w:rPr>
      </w:pPr>
      <w:r>
        <w:rPr>
          <w:color w:val="auto"/>
          <w:sz w:val="24"/>
          <w:highlight w:val="none"/>
        </w:rPr>
        <mc:AlternateContent>
          <mc:Choice Requires="wps">
            <w:drawing>
              <wp:anchor distT="0" distB="0" distL="114300" distR="114300" simplePos="0" relativeHeight="251678720" behindDoc="0" locked="0" layoutInCell="1" allowOverlap="1">
                <wp:simplePos x="0" y="0"/>
                <wp:positionH relativeFrom="column">
                  <wp:posOffset>3197225</wp:posOffset>
                </wp:positionH>
                <wp:positionV relativeFrom="paragraph">
                  <wp:posOffset>5295900</wp:posOffset>
                </wp:positionV>
                <wp:extent cx="1447165" cy="295910"/>
                <wp:effectExtent l="0" t="0" r="0" b="0"/>
                <wp:wrapNone/>
                <wp:docPr id="165" name="文本框 165"/>
                <wp:cNvGraphicFramePr/>
                <a:graphic xmlns:a="http://schemas.openxmlformats.org/drawingml/2006/main">
                  <a:graphicData uri="http://schemas.microsoft.com/office/word/2010/wordprocessingShape">
                    <wps:wsp>
                      <wps:cNvSpPr txBox="1"/>
                      <wps:spPr>
                        <a:xfrm>
                          <a:off x="0" y="0"/>
                          <a:ext cx="1447165" cy="295910"/>
                        </a:xfrm>
                        <a:prstGeom prst="rect">
                          <a:avLst/>
                        </a:prstGeom>
                        <a:noFill/>
                        <a:ln>
                          <a:noFill/>
                        </a:ln>
                      </wps:spPr>
                      <wps:txbx>
                        <w:txbxContent>
                          <w:p w14:paraId="27F33178">
                            <w:pPr>
                              <w:rPr>
                                <w:rFonts w:hint="eastAsia" w:eastAsia="宋体"/>
                                <w:color w:val="FF0000"/>
                                <w:lang w:val="en-US" w:eastAsia="zh-CN"/>
                              </w:rPr>
                            </w:pPr>
                            <w:r>
                              <w:rPr>
                                <w:rFonts w:hint="eastAsia" w:ascii="宋体" w:hAnsi="宋体" w:eastAsia="宋体" w:cs="宋体"/>
                                <w:color w:val="FF0000"/>
                                <w:lang w:val="en-US" w:eastAsia="zh-CN"/>
                              </w:rPr>
                              <w:t>★</w:t>
                            </w:r>
                            <w:r>
                              <w:rPr>
                                <w:rFonts w:hint="eastAsia"/>
                                <w:b/>
                                <w:bCs/>
                                <w:color w:val="FF0000"/>
                                <w:lang w:val="en-US" w:eastAsia="zh-CN"/>
                              </w:rPr>
                              <w:t>本工程</w:t>
                            </w:r>
                          </w:p>
                        </w:txbxContent>
                      </wps:txbx>
                      <wps:bodyPr upright="1"/>
                    </wps:wsp>
                  </a:graphicData>
                </a:graphic>
              </wp:anchor>
            </w:drawing>
          </mc:Choice>
          <mc:Fallback>
            <w:pict>
              <v:shape id="_x0000_s1026" o:spid="_x0000_s1026" o:spt="202" type="#_x0000_t202" style="position:absolute;left:0pt;margin-left:251.75pt;margin-top:417pt;height:23.3pt;width:113.95pt;z-index:251678720;mso-width-relative:page;mso-height-relative:page;" filled="f" stroked="f" coordsize="21600,21600" o:gfxdata="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COfery1wAA&#10;AAsBAAAPAAAAAAAAAAEAIAAAACIAAABkcnMvZG93bnJldi54bWxQSwECFAAUAAAACACHTuJAX+j4&#10;w60BAABSAwAADgAAAAAAAAABACAAAAAmAQAAZHJzL2Uyb0RvYy54bWxQSwUGAAAAAAYABgBZAQAA&#10;RQUAAAAA&#10;">
                <v:fill on="f" focussize="0,0"/>
                <v:stroke on="f"/>
                <v:imagedata o:title=""/>
                <o:lock v:ext="edit" aspectratio="f"/>
                <v:textbox>
                  <w:txbxContent>
                    <w:p w14:paraId="27F33178">
                      <w:pPr>
                        <w:rPr>
                          <w:rFonts w:hint="eastAsia" w:eastAsia="宋体"/>
                          <w:color w:val="FF0000"/>
                          <w:lang w:val="en-US" w:eastAsia="zh-CN"/>
                        </w:rPr>
                      </w:pPr>
                      <w:r>
                        <w:rPr>
                          <w:rFonts w:hint="eastAsia" w:ascii="宋体" w:hAnsi="宋体" w:eastAsia="宋体" w:cs="宋体"/>
                          <w:color w:val="FF0000"/>
                          <w:lang w:val="en-US" w:eastAsia="zh-CN"/>
                        </w:rPr>
                        <w:t>★</w:t>
                      </w:r>
                      <w:r>
                        <w:rPr>
                          <w:rFonts w:hint="eastAsia"/>
                          <w:b/>
                          <w:bCs/>
                          <w:color w:val="FF0000"/>
                          <w:lang w:val="en-US" w:eastAsia="zh-CN"/>
                        </w:rPr>
                        <w:t>本工程</w:t>
                      </w:r>
                    </w:p>
                  </w:txbxContent>
                </v:textbox>
              </v:shape>
            </w:pict>
          </mc:Fallback>
        </mc:AlternateContent>
      </w:r>
      <w:r>
        <w:rPr>
          <w:color w:val="auto"/>
          <w:highlight w:val="none"/>
        </w:rPr>
        <w:drawing>
          <wp:inline distT="0" distB="0" distL="114300" distR="114300">
            <wp:extent cx="5364480" cy="7733030"/>
            <wp:effectExtent l="0" t="0" r="7620" b="1270"/>
            <wp:docPr id="168"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93"/>
                    <pic:cNvPicPr>
                      <a:picLocks noChangeAspect="1"/>
                    </pic:cNvPicPr>
                  </pic:nvPicPr>
                  <pic:blipFill>
                    <a:blip r:embed="rId91"/>
                    <a:srcRect r="542" b="-76"/>
                    <a:stretch>
                      <a:fillRect/>
                    </a:stretch>
                  </pic:blipFill>
                  <pic:spPr>
                    <a:xfrm>
                      <a:off x="0" y="0"/>
                      <a:ext cx="5364480" cy="7733030"/>
                    </a:xfrm>
                    <a:prstGeom prst="rect">
                      <a:avLst/>
                    </a:prstGeom>
                    <a:noFill/>
                    <a:ln>
                      <a:noFill/>
                    </a:ln>
                  </pic:spPr>
                </pic:pic>
              </a:graphicData>
            </a:graphic>
          </wp:inline>
        </w:drawing>
      </w:r>
    </w:p>
    <w:p w14:paraId="098E60CB">
      <w:pPr>
        <w:pStyle w:val="27"/>
        <w:bidi w:val="0"/>
        <w:rPr>
          <w:rFonts w:hint="default" w:ascii="Times New Roman" w:hAnsi="Times New Roman" w:eastAsia="宋体" w:cs="Times New Roman"/>
          <w:color w:val="auto"/>
        </w:rPr>
      </w:pPr>
      <w:r>
        <w:rPr>
          <w:rFonts w:hint="default" w:ascii="Times New Roman" w:hAnsi="Times New Roman" w:eastAsia="宋体" w:cs="Times New Roman"/>
          <w:color w:val="auto"/>
        </w:rPr>
        <w:t>图4-</w:t>
      </w:r>
      <w:r>
        <w:rPr>
          <w:rFonts w:hint="eastAsia" w:ascii="Times New Roman" w:hAnsi="Times New Roman" w:eastAsia="宋体" w:cs="Times New Roman"/>
          <w:color w:val="auto"/>
          <w:lang w:val="en-US" w:eastAsia="zh-CN"/>
        </w:rPr>
        <w:t>2</w:t>
      </w:r>
      <w:r>
        <w:rPr>
          <w:rFonts w:hint="default" w:ascii="Times New Roman" w:hAnsi="Times New Roman" w:eastAsia="宋体" w:cs="Times New Roman"/>
          <w:color w:val="auto"/>
        </w:rPr>
        <w:t>-</w:t>
      </w:r>
      <w:r>
        <w:rPr>
          <w:rFonts w:hint="eastAsia" w:ascii="Times New Roman" w:hAnsi="Times New Roman" w:eastAsia="宋体" w:cs="Times New Roman"/>
          <w:color w:val="auto"/>
          <w:lang w:val="en-US" w:eastAsia="zh-CN"/>
        </w:rPr>
        <w:t>1</w:t>
      </w:r>
      <w:r>
        <w:rPr>
          <w:rFonts w:hint="eastAsia" w:cs="Times New Roman"/>
          <w:color w:val="auto"/>
          <w:lang w:val="en-US" w:eastAsia="zh-CN"/>
        </w:rPr>
        <w:t>2</w:t>
      </w:r>
      <w:r>
        <w:rPr>
          <w:rFonts w:hint="default" w:ascii="Times New Roman" w:hAnsi="Times New Roman" w:eastAsia="宋体" w:cs="Times New Roman"/>
          <w:color w:val="auto"/>
        </w:rPr>
        <w:t xml:space="preserve">  黑龙江省水土流失三区划分现状图</w:t>
      </w:r>
    </w:p>
    <w:p w14:paraId="0D040B24">
      <w:pPr>
        <w:pStyle w:val="27"/>
        <w:bidi w:val="0"/>
        <w:rPr>
          <w:rFonts w:hint="default" w:ascii="Times New Roman" w:hAnsi="Times New Roman" w:eastAsia="宋体" w:cs="Times New Roman"/>
          <w:color w:val="auto"/>
        </w:rPr>
      </w:pPr>
    </w:p>
    <w:p w14:paraId="2BC4502F">
      <w:pPr>
        <w:pStyle w:val="41"/>
        <w:bidi w:val="0"/>
        <w:rPr>
          <w:rFonts w:hint="default" w:ascii="Times New Roman" w:hAnsi="Times New Roman" w:cs="Times New Roman"/>
          <w:color w:val="auto"/>
        </w:rPr>
      </w:pPr>
      <w:bookmarkStart w:id="260" w:name="_Toc11314"/>
      <w:bookmarkStart w:id="261" w:name="_Toc152926821"/>
      <w:bookmarkStart w:id="262" w:name="_Toc16813"/>
      <w:bookmarkStart w:id="263" w:name="_Toc119316803"/>
      <w:r>
        <w:rPr>
          <w:rFonts w:hint="default" w:ascii="Times New Roman" w:hAnsi="Times New Roman" w:cs="Times New Roman"/>
          <w:color w:val="auto"/>
        </w:rPr>
        <w:t>4.3区域污染源调查</w:t>
      </w:r>
      <w:bookmarkEnd w:id="260"/>
      <w:bookmarkEnd w:id="261"/>
      <w:bookmarkEnd w:id="262"/>
      <w:bookmarkEnd w:id="263"/>
    </w:p>
    <w:bookmarkEnd w:id="258"/>
    <w:bookmarkEnd w:id="259"/>
    <w:p w14:paraId="24FF98D1">
      <w:pPr>
        <w:pStyle w:val="39"/>
        <w:bidi w:val="0"/>
        <w:rPr>
          <w:rFonts w:hint="default" w:ascii="Times New Roman" w:hAnsi="Times New Roman" w:cs="Times New Roman"/>
          <w:color w:val="auto"/>
        </w:rPr>
      </w:pPr>
      <w:bookmarkStart w:id="264" w:name="_Toc2729"/>
      <w:bookmarkStart w:id="265" w:name="_Toc17296951"/>
      <w:r>
        <w:rPr>
          <w:rFonts w:hint="default" w:ascii="Times New Roman" w:hAnsi="Times New Roman" w:cs="Times New Roman"/>
          <w:color w:val="auto"/>
        </w:rPr>
        <w:t>4.3.1大气污染源</w:t>
      </w:r>
      <w:bookmarkEnd w:id="264"/>
      <w:bookmarkEnd w:id="265"/>
    </w:p>
    <w:p w14:paraId="09F4BDDD">
      <w:pPr>
        <w:pStyle w:val="25"/>
        <w:bidi w:val="0"/>
        <w:rPr>
          <w:rFonts w:hint="default" w:ascii="Times New Roman" w:hAnsi="Times New Roman" w:cs="Times New Roman"/>
          <w:color w:val="auto"/>
        </w:rPr>
      </w:pPr>
      <w:r>
        <w:rPr>
          <w:rFonts w:hint="default" w:ascii="Times New Roman" w:hAnsi="Times New Roman" w:cs="Times New Roman"/>
          <w:color w:val="auto"/>
        </w:rPr>
        <w:t>项目区周边为耕地和林地，大气污染源主要为农业机械作业时尾气，排放污染物主要为CO、HC、NOx、颗粒物。</w:t>
      </w:r>
    </w:p>
    <w:p w14:paraId="69DB5EB2">
      <w:pPr>
        <w:pStyle w:val="39"/>
        <w:bidi w:val="0"/>
        <w:rPr>
          <w:rFonts w:hint="default" w:ascii="Times New Roman" w:hAnsi="Times New Roman" w:eastAsia="黑体" w:cs="Times New Roman"/>
          <w:bCs/>
          <w:color w:val="auto"/>
          <w:szCs w:val="32"/>
        </w:rPr>
      </w:pPr>
      <w:bookmarkStart w:id="266" w:name="_Toc17296952"/>
      <w:bookmarkStart w:id="267" w:name="_Toc8320"/>
      <w:r>
        <w:rPr>
          <w:rFonts w:hint="default" w:ascii="Times New Roman" w:hAnsi="Times New Roman" w:cs="Times New Roman"/>
          <w:color w:val="auto"/>
        </w:rPr>
        <w:t>4.3.2地表水污染源</w:t>
      </w:r>
      <w:bookmarkEnd w:id="266"/>
      <w:bookmarkEnd w:id="267"/>
    </w:p>
    <w:p w14:paraId="66852F41">
      <w:pPr>
        <w:pStyle w:val="25"/>
        <w:bidi w:val="0"/>
        <w:rPr>
          <w:rFonts w:hint="default" w:ascii="Times New Roman" w:hAnsi="Times New Roman" w:cs="Times New Roman"/>
          <w:color w:val="auto"/>
        </w:rPr>
      </w:pPr>
      <w:r>
        <w:rPr>
          <w:rFonts w:hint="default" w:ascii="Times New Roman" w:hAnsi="Times New Roman" w:cs="Times New Roman"/>
          <w:color w:val="auto"/>
        </w:rPr>
        <w:t>本项目</w:t>
      </w:r>
      <w:r>
        <w:rPr>
          <w:rFonts w:hint="default" w:ascii="Times New Roman" w:hAnsi="Times New Roman" w:cs="Times New Roman"/>
          <w:color w:val="auto"/>
          <w:lang w:val="en-US" w:eastAsia="zh-CN"/>
        </w:rPr>
        <w:t>区域</w:t>
      </w:r>
      <w:r>
        <w:rPr>
          <w:rFonts w:hint="default" w:ascii="Times New Roman" w:hAnsi="Times New Roman" w:cs="Times New Roman"/>
          <w:color w:val="auto"/>
        </w:rPr>
        <w:t>地表水污染主要为生活污水和地表径流形成的面源污染。</w:t>
      </w:r>
    </w:p>
    <w:p w14:paraId="0E06DA9C">
      <w:pPr>
        <w:pStyle w:val="39"/>
        <w:bidi w:val="0"/>
        <w:rPr>
          <w:rFonts w:hint="default" w:ascii="Times New Roman" w:hAnsi="Times New Roman" w:cs="Times New Roman"/>
          <w:color w:val="auto"/>
        </w:rPr>
      </w:pPr>
      <w:bookmarkStart w:id="268" w:name="_Toc13509"/>
      <w:bookmarkStart w:id="269" w:name="_Toc17296953"/>
      <w:r>
        <w:rPr>
          <w:rFonts w:hint="default" w:ascii="Times New Roman" w:hAnsi="Times New Roman" w:cs="Times New Roman"/>
          <w:color w:val="auto"/>
        </w:rPr>
        <w:t>4.3.3地下水污染源</w:t>
      </w:r>
      <w:bookmarkEnd w:id="268"/>
      <w:bookmarkEnd w:id="269"/>
    </w:p>
    <w:p w14:paraId="17C570E0">
      <w:pPr>
        <w:pStyle w:val="25"/>
        <w:bidi w:val="0"/>
        <w:rPr>
          <w:rFonts w:hint="default" w:ascii="Times New Roman" w:hAnsi="Times New Roman" w:cs="Times New Roman"/>
          <w:color w:val="auto"/>
        </w:rPr>
      </w:pPr>
      <w:r>
        <w:rPr>
          <w:rFonts w:hint="default" w:ascii="Times New Roman" w:hAnsi="Times New Roman" w:cs="Times New Roman"/>
          <w:color w:val="auto"/>
        </w:rPr>
        <w:t>本项目</w:t>
      </w:r>
      <w:r>
        <w:rPr>
          <w:rFonts w:hint="default" w:ascii="Times New Roman" w:hAnsi="Times New Roman" w:cs="Times New Roman"/>
          <w:color w:val="auto"/>
          <w:lang w:val="en-US" w:eastAsia="zh-CN"/>
        </w:rPr>
        <w:t>区域</w:t>
      </w:r>
      <w:r>
        <w:rPr>
          <w:rFonts w:hint="default" w:ascii="Times New Roman" w:hAnsi="Times New Roman" w:cs="Times New Roman"/>
          <w:color w:val="auto"/>
        </w:rPr>
        <w:t>地下水污染源主要为农药化肥污染，经降雨随水淋溶进入地下水，对地下水造成污染。</w:t>
      </w:r>
    </w:p>
    <w:p w14:paraId="76DA5C00">
      <w:pPr>
        <w:pStyle w:val="39"/>
        <w:bidi w:val="0"/>
        <w:rPr>
          <w:rFonts w:hint="default" w:ascii="Times New Roman" w:hAnsi="Times New Roman" w:cs="Times New Roman"/>
          <w:color w:val="auto"/>
        </w:rPr>
      </w:pPr>
      <w:bookmarkStart w:id="270" w:name="_Toc15877"/>
      <w:bookmarkStart w:id="271" w:name="_Toc17296954"/>
      <w:r>
        <w:rPr>
          <w:rFonts w:hint="default" w:ascii="Times New Roman" w:hAnsi="Times New Roman" w:cs="Times New Roman"/>
          <w:color w:val="auto"/>
        </w:rPr>
        <w:t>4.3.4噪声污染源</w:t>
      </w:r>
      <w:bookmarkEnd w:id="270"/>
      <w:bookmarkEnd w:id="271"/>
    </w:p>
    <w:p w14:paraId="31E304CD">
      <w:pPr>
        <w:pStyle w:val="25"/>
        <w:bidi w:val="0"/>
        <w:rPr>
          <w:rFonts w:hint="default" w:ascii="Times New Roman" w:hAnsi="Times New Roman" w:cs="Times New Roman"/>
          <w:color w:val="auto"/>
        </w:rPr>
      </w:pPr>
      <w:r>
        <w:rPr>
          <w:rFonts w:hint="default" w:ascii="Times New Roman" w:hAnsi="Times New Roman" w:cs="Times New Roman"/>
          <w:color w:val="auto"/>
        </w:rPr>
        <w:t>本项目12个修复矿山位置均不在声环境功能区划范围内，按照《声环境功能区划分技术规范》(GB/T15190-2014)，项目区声环境功能区按照1类功能区执行，运输道路两侧敏感点农村执行《声环境质量标准》（GB3096-2008）中的1</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2</w:t>
      </w:r>
      <w:r>
        <w:rPr>
          <w:rFonts w:hint="default" w:ascii="Times New Roman" w:hAnsi="Times New Roman" w:cs="Times New Roman"/>
          <w:color w:val="auto"/>
        </w:rPr>
        <w:t>类，本项目周边区域噪声主要污染源为机械作业噪声。</w:t>
      </w:r>
    </w:p>
    <w:p w14:paraId="4EF9BD21">
      <w:pPr>
        <w:pStyle w:val="41"/>
        <w:bidi w:val="0"/>
        <w:rPr>
          <w:rFonts w:hint="default" w:ascii="Times New Roman" w:hAnsi="Times New Roman" w:cs="Times New Roman"/>
          <w:color w:val="auto"/>
        </w:rPr>
      </w:pPr>
      <w:bookmarkStart w:id="272" w:name="_Toc152926822"/>
      <w:bookmarkStart w:id="273" w:name="_Toc14794"/>
      <w:bookmarkStart w:id="274" w:name="_Toc140149427"/>
      <w:bookmarkStart w:id="275" w:name="_Toc12472"/>
      <w:bookmarkStart w:id="276" w:name="_Toc7335752"/>
      <w:r>
        <w:rPr>
          <w:rFonts w:hint="default" w:ascii="Times New Roman" w:hAnsi="Times New Roman" w:cs="Times New Roman"/>
          <w:color w:val="auto"/>
        </w:rPr>
        <w:t>4.4环境敏感保护目标调查</w:t>
      </w:r>
      <w:bookmarkEnd w:id="272"/>
      <w:bookmarkEnd w:id="273"/>
      <w:bookmarkEnd w:id="274"/>
      <w:bookmarkEnd w:id="275"/>
      <w:bookmarkEnd w:id="276"/>
    </w:p>
    <w:p w14:paraId="37645F84">
      <w:pPr>
        <w:pStyle w:val="39"/>
        <w:bidi w:val="0"/>
        <w:rPr>
          <w:rFonts w:hint="default" w:ascii="Times New Roman" w:hAnsi="Times New Roman" w:cs="Times New Roman"/>
          <w:color w:val="auto"/>
        </w:rPr>
      </w:pPr>
      <w:bookmarkStart w:id="277" w:name="_Toc735"/>
      <w:r>
        <w:rPr>
          <w:rFonts w:hint="default" w:ascii="Times New Roman" w:hAnsi="Times New Roman" w:cs="Times New Roman"/>
          <w:color w:val="auto"/>
        </w:rPr>
        <w:t>4.4.1环境功能区划</w:t>
      </w:r>
      <w:bookmarkEnd w:id="277"/>
    </w:p>
    <w:p w14:paraId="024FF93F">
      <w:pPr>
        <w:pStyle w:val="25"/>
        <w:bidi w:val="0"/>
        <w:rPr>
          <w:rFonts w:hint="default" w:ascii="Times New Roman" w:hAnsi="Times New Roman" w:cs="Times New Roman"/>
          <w:color w:val="auto"/>
        </w:rPr>
      </w:pPr>
      <w:r>
        <w:rPr>
          <w:rFonts w:hint="default" w:ascii="Times New Roman" w:hAnsi="Times New Roman" w:cs="Times New Roman"/>
          <w:color w:val="auto"/>
        </w:rPr>
        <w:t>（1）空气环境：根据环境空气质量功能区划，项目区位于《环境空气质量标准》（GB3095-2012）及修改后的二类区。本工程所在区域不在酸雨和二氧化硫控制区内。</w:t>
      </w:r>
    </w:p>
    <w:p w14:paraId="381EC8E1">
      <w:pPr>
        <w:pStyle w:val="25"/>
        <w:bidi w:val="0"/>
        <w:rPr>
          <w:rFonts w:hint="default" w:ascii="Times New Roman" w:hAnsi="Times New Roman" w:cs="Times New Roman"/>
          <w:color w:val="auto"/>
        </w:rPr>
      </w:pPr>
      <w:r>
        <w:rPr>
          <w:rFonts w:hint="default" w:ascii="Times New Roman" w:hAnsi="Times New Roman" w:cs="Times New Roman"/>
          <w:color w:val="auto"/>
        </w:rPr>
        <w:t>（2）地表水环境：本项目所处区域主要地表水为城子河，城子河无规划水体类别。城子河汇入穆棱河，根据《全国重要江河湖泊水功能区划》(2011—2030年），项目区穆棱河所在一级水功能区名称为穆棱河鸡西市开发利用区，二级水功能区名称为穆棱河鸡西市排污控制区，起始断面为206省道公路桥，终止断面为东胜村，无规划水质目标，本次评价按III类执行。</w:t>
      </w:r>
    </w:p>
    <w:p w14:paraId="64C0DD32">
      <w:pPr>
        <w:pStyle w:val="25"/>
        <w:bidi w:val="0"/>
        <w:rPr>
          <w:rFonts w:hint="default" w:ascii="Times New Roman" w:hAnsi="Times New Roman" w:cs="Times New Roman"/>
          <w:color w:val="auto"/>
        </w:rPr>
      </w:pPr>
      <w:r>
        <w:rPr>
          <w:rFonts w:hint="default" w:ascii="Times New Roman" w:hAnsi="Times New Roman" w:cs="Times New Roman"/>
          <w:color w:val="auto"/>
        </w:rPr>
        <w:t>（3）声环境：根据《鸡西市中心城市声环境功能区划分细化调整方案》，本项目12个修复矿山位置均不在声环境功能区划范围内，按照声环境功能区划分技术规范》(GB/T15190-2014)，项目区声环境功能区按照1类功能区执行，运输道路两侧敏感点农村执行《声环境质量标准》（GB3096-2008）中的1类，城镇执行2类标准。</w:t>
      </w:r>
    </w:p>
    <w:p w14:paraId="7AB3532E">
      <w:pPr>
        <w:pStyle w:val="25"/>
        <w:bidi w:val="0"/>
        <w:rPr>
          <w:rFonts w:hint="default" w:ascii="Times New Roman" w:hAnsi="Times New Roman" w:cs="Times New Roman"/>
          <w:color w:val="auto"/>
        </w:rPr>
      </w:pPr>
      <w:r>
        <w:rPr>
          <w:rFonts w:hint="default" w:ascii="Times New Roman" w:hAnsi="Times New Roman" w:cs="Times New Roman"/>
          <w:color w:val="auto"/>
        </w:rPr>
        <w:t>（4）地下水环境：本项目所在区域地下水执行《地下水质量标准》（GB/T14848-2017）中III类标准。</w:t>
      </w:r>
    </w:p>
    <w:p w14:paraId="765DA73A">
      <w:pPr>
        <w:pStyle w:val="39"/>
        <w:bidi w:val="0"/>
        <w:rPr>
          <w:rFonts w:hint="default" w:ascii="Times New Roman" w:hAnsi="Times New Roman" w:cs="Times New Roman"/>
          <w:color w:val="auto"/>
        </w:rPr>
      </w:pPr>
      <w:bookmarkStart w:id="278" w:name="_Toc10658"/>
      <w:r>
        <w:rPr>
          <w:rFonts w:hint="default" w:ascii="Times New Roman" w:hAnsi="Times New Roman" w:cs="Times New Roman"/>
          <w:color w:val="auto"/>
        </w:rPr>
        <w:t>4.4.2环境敏感区调查</w:t>
      </w:r>
      <w:bookmarkEnd w:id="278"/>
    </w:p>
    <w:p w14:paraId="31737311">
      <w:pPr>
        <w:pStyle w:val="25"/>
        <w:bidi w:val="0"/>
        <w:rPr>
          <w:rFonts w:hint="default" w:ascii="Times New Roman" w:hAnsi="Times New Roman" w:cs="Times New Roman"/>
          <w:color w:val="auto"/>
        </w:rPr>
      </w:pPr>
      <w:r>
        <w:rPr>
          <w:rFonts w:hint="default" w:ascii="Times New Roman" w:hAnsi="Times New Roman" w:cs="Times New Roman"/>
          <w:color w:val="auto"/>
        </w:rPr>
        <w:t>调查过程：根据《建设项目环境影响评价技术导则 总纲》（HJ2.1-2016），环境保护目标调查应调查评价范围内的环境功能区划和主要的环境敏感区，详细了解环境保护目标的地理位置、服务功能、四至范围、保护对象和保护要求等。调查过程如下：</w:t>
      </w:r>
    </w:p>
    <w:p w14:paraId="55C650A3">
      <w:pPr>
        <w:pStyle w:val="25"/>
        <w:bidi w:val="0"/>
        <w:rPr>
          <w:rFonts w:hint="default" w:ascii="Times New Roman" w:hAnsi="Times New Roman" w:cs="Times New Roman"/>
          <w:color w:val="auto"/>
        </w:rPr>
      </w:pPr>
      <w:r>
        <w:rPr>
          <w:rFonts w:hint="default" w:ascii="Times New Roman" w:hAnsi="Times New Roman" w:cs="Times New Roman"/>
          <w:color w:val="auto"/>
        </w:rPr>
        <w:t>（1）本项目</w:t>
      </w:r>
      <w:r>
        <w:rPr>
          <w:rFonts w:hint="default" w:ascii="Times New Roman" w:hAnsi="Times New Roman" w:cs="Times New Roman"/>
          <w:color w:val="auto"/>
          <w:lang w:val="en-US" w:eastAsia="zh-CN"/>
        </w:rPr>
        <w:t>12处修复矿山均位于鸡西市城子河区，本次评价主要对2#矿山进行分析调查</w:t>
      </w:r>
      <w:r>
        <w:rPr>
          <w:rFonts w:hint="default" w:ascii="Times New Roman" w:hAnsi="Times New Roman" w:cs="Times New Roman"/>
          <w:color w:val="auto"/>
        </w:rPr>
        <w:t>；</w:t>
      </w:r>
      <w:r>
        <w:rPr>
          <w:rFonts w:hint="default" w:ascii="Times New Roman" w:hAnsi="Times New Roman" w:cs="Times New Roman"/>
          <w:color w:val="auto"/>
          <w:lang w:val="en-US" w:eastAsia="zh-CN"/>
        </w:rPr>
        <w:t>2#矿山</w:t>
      </w:r>
      <w:r>
        <w:rPr>
          <w:rFonts w:hint="default" w:ascii="Times New Roman" w:hAnsi="Times New Roman" w:cs="Times New Roman"/>
          <w:color w:val="auto"/>
        </w:rPr>
        <w:t>西侧为农田；南侧为农田；</w:t>
      </w:r>
      <w:r>
        <w:rPr>
          <w:rFonts w:hint="default" w:ascii="Times New Roman" w:hAnsi="Times New Roman" w:cs="Times New Roman"/>
          <w:color w:val="auto"/>
          <w:lang w:val="en-US" w:eastAsia="zh-CN"/>
        </w:rPr>
        <w:t>南侧和</w:t>
      </w:r>
      <w:r>
        <w:rPr>
          <w:rFonts w:hint="default" w:ascii="Times New Roman" w:hAnsi="Times New Roman" w:cs="Times New Roman"/>
          <w:color w:val="auto"/>
        </w:rPr>
        <w:t>北侧为</w:t>
      </w:r>
      <w:r>
        <w:rPr>
          <w:rFonts w:hint="default" w:ascii="Times New Roman" w:hAnsi="Times New Roman" w:cs="Times New Roman"/>
          <w:color w:val="auto"/>
          <w:lang w:val="en-US" w:eastAsia="zh-CN"/>
        </w:rPr>
        <w:t>城海村</w:t>
      </w:r>
      <w:r>
        <w:rPr>
          <w:rFonts w:hint="default" w:ascii="Times New Roman" w:hAnsi="Times New Roman" w:cs="Times New Roman"/>
          <w:color w:val="auto"/>
        </w:rPr>
        <w:t>，项目区域常年主导风向为W，</w:t>
      </w:r>
      <w:r>
        <w:rPr>
          <w:rFonts w:hint="default" w:ascii="Times New Roman" w:hAnsi="Times New Roman" w:cs="Times New Roman"/>
          <w:color w:val="auto"/>
          <w:lang w:val="en-US" w:eastAsia="zh-CN"/>
        </w:rPr>
        <w:t>城海村</w:t>
      </w:r>
      <w:r>
        <w:rPr>
          <w:rFonts w:hint="default" w:ascii="Times New Roman" w:hAnsi="Times New Roman" w:cs="Times New Roman"/>
          <w:color w:val="auto"/>
        </w:rPr>
        <w:t>位于常年主导风向</w:t>
      </w:r>
      <w:r>
        <w:rPr>
          <w:rFonts w:hint="default" w:ascii="Times New Roman" w:hAnsi="Times New Roman" w:cs="Times New Roman"/>
          <w:color w:val="auto"/>
          <w:lang w:val="en-US" w:eastAsia="zh-CN"/>
        </w:rPr>
        <w:t>下</w:t>
      </w:r>
      <w:r>
        <w:rPr>
          <w:rFonts w:hint="default" w:ascii="Times New Roman" w:hAnsi="Times New Roman" w:cs="Times New Roman"/>
          <w:color w:val="auto"/>
        </w:rPr>
        <w:t>风向。</w:t>
      </w:r>
    </w:p>
    <w:p w14:paraId="5F2311DA">
      <w:pPr>
        <w:pStyle w:val="25"/>
        <w:bidi w:val="0"/>
        <w:rPr>
          <w:rFonts w:hint="default" w:ascii="Times New Roman" w:hAnsi="Times New Roman" w:cs="Times New Roman"/>
          <w:color w:val="auto"/>
        </w:rPr>
      </w:pPr>
      <w:r>
        <w:rPr>
          <w:rFonts w:hint="default" w:ascii="Times New Roman" w:hAnsi="Times New Roman" w:cs="Times New Roman"/>
          <w:color w:val="auto"/>
        </w:rPr>
        <w:t>（2）</w:t>
      </w:r>
      <w:r>
        <w:rPr>
          <w:rFonts w:hint="default" w:ascii="Times New Roman" w:hAnsi="Times New Roman" w:cs="Times New Roman"/>
          <w:color w:val="auto"/>
          <w:lang w:val="en-US" w:eastAsia="zh-CN"/>
        </w:rPr>
        <w:t>本项目主要对2#矿山进行</w:t>
      </w:r>
      <w:r>
        <w:rPr>
          <w:rFonts w:hint="default" w:ascii="Times New Roman" w:hAnsi="Times New Roman" w:cs="Times New Roman"/>
          <w:color w:val="auto"/>
        </w:rPr>
        <w:t>地下水评价</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评价</w:t>
      </w:r>
      <w:r>
        <w:rPr>
          <w:rFonts w:hint="default" w:ascii="Times New Roman" w:hAnsi="Times New Roman" w:cs="Times New Roman"/>
          <w:color w:val="auto"/>
        </w:rPr>
        <w:t>范围内</w:t>
      </w:r>
      <w:r>
        <w:rPr>
          <w:rFonts w:hint="default" w:ascii="Times New Roman" w:hAnsi="Times New Roman" w:cs="Times New Roman"/>
          <w:color w:val="auto"/>
          <w:lang w:val="en-US" w:eastAsia="zh-CN"/>
        </w:rPr>
        <w:t>有西沟屯、成海村两处村屯</w:t>
      </w:r>
      <w:r>
        <w:rPr>
          <w:rFonts w:hint="default" w:ascii="Times New Roman" w:hAnsi="Times New Roman" w:cs="Times New Roman"/>
          <w:color w:val="auto"/>
        </w:rPr>
        <w:t>，</w:t>
      </w:r>
      <w:r>
        <w:rPr>
          <w:rFonts w:hint="default" w:ascii="Times New Roman" w:hAnsi="Times New Roman" w:cs="Times New Roman"/>
          <w:color w:val="auto"/>
          <w:lang w:val="en-US" w:eastAsia="zh-CN"/>
        </w:rPr>
        <w:t>两个村屯均使用分散式饮用水井</w:t>
      </w:r>
      <w:r>
        <w:rPr>
          <w:rFonts w:hint="eastAsia" w:cs="Times New Roman"/>
          <w:color w:val="auto"/>
          <w:lang w:val="en-US" w:eastAsia="zh-CN"/>
        </w:rPr>
        <w:t>，未设置饮用水保护区</w:t>
      </w:r>
      <w:r>
        <w:rPr>
          <w:rFonts w:hint="default" w:ascii="Times New Roman" w:hAnsi="Times New Roman" w:cs="Times New Roman"/>
          <w:color w:val="auto"/>
          <w:lang w:val="en-US" w:eastAsia="zh-CN"/>
        </w:rPr>
        <w:t>，西沟屯</w:t>
      </w:r>
      <w:r>
        <w:rPr>
          <w:rFonts w:hint="eastAsia" w:ascii="Times New Roman" w:hAnsi="Times New Roman" w:cs="Times New Roman"/>
          <w:color w:val="auto"/>
          <w:lang w:val="en-US" w:eastAsia="zh-CN"/>
        </w:rPr>
        <w:t>成海村饮用水井埋深约20m，</w:t>
      </w:r>
      <w:r>
        <w:rPr>
          <w:rFonts w:hint="default" w:ascii="Times New Roman" w:hAnsi="Times New Roman" w:cs="Times New Roman"/>
          <w:color w:val="auto"/>
        </w:rPr>
        <w:t>村屯管理范围内无集中式饮用水源保护区、其他特殊地下水资源（如矿泉水、温泉等）保护区。</w:t>
      </w:r>
    </w:p>
    <w:p w14:paraId="263E4D43">
      <w:pPr>
        <w:pStyle w:val="25"/>
        <w:bidi w:val="0"/>
        <w:rPr>
          <w:rFonts w:hint="default" w:ascii="Times New Roman" w:hAnsi="Times New Roman" w:cs="Times New Roman"/>
          <w:color w:val="auto"/>
        </w:rPr>
      </w:pPr>
      <w:r>
        <w:rPr>
          <w:rFonts w:hint="default" w:ascii="Times New Roman" w:hAnsi="Times New Roman" w:cs="Times New Roman"/>
          <w:color w:val="auto"/>
        </w:rPr>
        <w:t>（</w:t>
      </w:r>
      <w:r>
        <w:rPr>
          <w:rFonts w:hint="default" w:ascii="Times New Roman" w:hAnsi="Times New Roman" w:cs="Times New Roman"/>
          <w:color w:val="auto"/>
          <w:lang w:val="en-US" w:eastAsia="zh-CN"/>
        </w:rPr>
        <w:t>3</w:t>
      </w:r>
      <w:r>
        <w:rPr>
          <w:rFonts w:hint="default" w:ascii="Times New Roman" w:hAnsi="Times New Roman" w:cs="Times New Roman"/>
          <w:color w:val="auto"/>
        </w:rPr>
        <w:t>）本项目评价范围内无森林公园、地质公园、天然林、野生动物重要栖息地、重点保护野生植物生长繁殖地，不涉及生态保护红线，不涉及公益林和天然林，生态保护目标为周边植被、景观、野生动物。</w:t>
      </w:r>
    </w:p>
    <w:p w14:paraId="218EA9BD">
      <w:pPr>
        <w:pStyle w:val="25"/>
        <w:bidi w:val="0"/>
        <w:rPr>
          <w:rFonts w:hint="default" w:ascii="Times New Roman" w:hAnsi="Times New Roman" w:cs="Times New Roman"/>
          <w:snapToGrid w:val="0"/>
          <w:color w:val="auto"/>
          <w:kern w:val="0"/>
        </w:rPr>
      </w:pPr>
      <w:r>
        <w:rPr>
          <w:rFonts w:hint="default" w:ascii="Times New Roman" w:hAnsi="Times New Roman" w:cs="Times New Roman"/>
          <w:color w:val="auto"/>
        </w:rPr>
        <w:t>（</w:t>
      </w:r>
      <w:r>
        <w:rPr>
          <w:rFonts w:hint="default" w:ascii="Times New Roman" w:hAnsi="Times New Roman" w:cs="Times New Roman"/>
          <w:color w:val="auto"/>
          <w:lang w:val="en-US" w:eastAsia="zh-CN"/>
        </w:rPr>
        <w:t>4</w:t>
      </w:r>
      <w:r>
        <w:rPr>
          <w:rFonts w:hint="default" w:ascii="Times New Roman" w:hAnsi="Times New Roman" w:cs="Times New Roman"/>
          <w:color w:val="auto"/>
        </w:rPr>
        <w:t>）本项目评价范围5km内的大气环境保护目标为</w:t>
      </w:r>
      <w:r>
        <w:rPr>
          <w:rFonts w:hint="default" w:ascii="Times New Roman" w:hAnsi="Times New Roman" w:cs="Times New Roman"/>
          <w:color w:val="auto"/>
          <w:lang w:val="en-US" w:eastAsia="zh-CN"/>
        </w:rPr>
        <w:t>西沟屯</w:t>
      </w:r>
      <w:r>
        <w:rPr>
          <w:rFonts w:hint="default" w:ascii="Times New Roman" w:hAnsi="Times New Roman" w:cs="Times New Roman"/>
          <w:color w:val="auto"/>
        </w:rPr>
        <w:t>、</w:t>
      </w:r>
      <w:r>
        <w:rPr>
          <w:rFonts w:hint="default" w:ascii="Times New Roman" w:hAnsi="Times New Roman" w:cs="Times New Roman"/>
          <w:color w:val="auto"/>
          <w:lang w:val="en-US" w:eastAsia="zh-CN"/>
        </w:rPr>
        <w:t>成海村、东沟屯、城东一队、正阳六队、正阳村、新城四队、白石村</w:t>
      </w:r>
      <w:r>
        <w:rPr>
          <w:rFonts w:hint="default" w:ascii="Times New Roman" w:hAnsi="Times New Roman" w:cs="Times New Roman"/>
          <w:color w:val="auto"/>
        </w:rPr>
        <w:t>；</w:t>
      </w:r>
      <w:r>
        <w:rPr>
          <w:rFonts w:hint="default" w:ascii="Times New Roman" w:hAnsi="Times New Roman" w:cs="Times New Roman"/>
          <w:color w:val="auto"/>
          <w:lang w:val="en-US" w:eastAsia="zh-CN"/>
        </w:rPr>
        <w:t>厂址</w:t>
      </w:r>
      <w:r>
        <w:rPr>
          <w:rFonts w:hint="default" w:ascii="Times New Roman" w:hAnsi="Times New Roman" w:cs="Times New Roman"/>
          <w:color w:val="auto"/>
        </w:rPr>
        <w:t>周边200m范围内声环境保护目标</w:t>
      </w:r>
      <w:r>
        <w:rPr>
          <w:rFonts w:hint="default" w:ascii="Times New Roman" w:hAnsi="Times New Roman" w:cs="Times New Roman"/>
          <w:color w:val="auto"/>
          <w:lang w:val="en-US" w:eastAsia="zh-CN"/>
        </w:rPr>
        <w:t>有西沟屯</w:t>
      </w:r>
      <w:r>
        <w:rPr>
          <w:rFonts w:hint="default" w:ascii="Times New Roman" w:hAnsi="Times New Roman" w:cs="Times New Roman"/>
          <w:color w:val="auto"/>
        </w:rPr>
        <w:t>、</w:t>
      </w:r>
      <w:r>
        <w:rPr>
          <w:rFonts w:hint="default" w:ascii="Times New Roman" w:hAnsi="Times New Roman" w:cs="Times New Roman"/>
          <w:color w:val="auto"/>
          <w:lang w:val="en-US" w:eastAsia="zh-CN"/>
        </w:rPr>
        <w:t>成海村、城东一队、正阳六队</w:t>
      </w:r>
      <w:r>
        <w:rPr>
          <w:rFonts w:hint="default" w:ascii="Times New Roman" w:hAnsi="Times New Roman" w:cs="Times New Roman"/>
          <w:color w:val="auto"/>
        </w:rPr>
        <w:t>；运输路线两侧200m范围内声环境和大气敏感目标见表2-8-1</w:t>
      </w:r>
      <w:r>
        <w:rPr>
          <w:rFonts w:hint="default" w:ascii="Times New Roman" w:hAnsi="Times New Roman" w:cs="Times New Roman"/>
          <w:color w:val="auto"/>
          <w:lang w:val="en-US" w:eastAsia="zh-CN"/>
        </w:rPr>
        <w:t>~</w:t>
      </w:r>
      <w:r>
        <w:rPr>
          <w:rFonts w:hint="default" w:ascii="Times New Roman" w:hAnsi="Times New Roman" w:cs="Times New Roman"/>
          <w:color w:val="auto"/>
        </w:rPr>
        <w:t>2-8-</w:t>
      </w:r>
      <w:r>
        <w:rPr>
          <w:rFonts w:hint="default" w:ascii="Times New Roman" w:hAnsi="Times New Roman" w:cs="Times New Roman"/>
          <w:color w:val="auto"/>
          <w:lang w:val="en-US" w:eastAsia="zh-CN"/>
        </w:rPr>
        <w:t>4</w:t>
      </w:r>
      <w:r>
        <w:rPr>
          <w:rFonts w:hint="default" w:ascii="Times New Roman" w:hAnsi="Times New Roman" w:cs="Times New Roman"/>
          <w:color w:val="auto"/>
        </w:rPr>
        <w:t>。</w:t>
      </w:r>
    </w:p>
    <w:p w14:paraId="64E31641">
      <w:pPr>
        <w:pStyle w:val="25"/>
        <w:ind w:firstLine="480"/>
        <w:rPr>
          <w:rFonts w:hint="default" w:ascii="Times New Roman" w:hAnsi="Times New Roman" w:cs="Times New Roman"/>
          <w:color w:val="auto"/>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70B156CE">
      <w:pPr>
        <w:pStyle w:val="42"/>
        <w:rPr>
          <w:rFonts w:hint="default" w:ascii="Times New Roman" w:hAnsi="Times New Roman" w:cs="Times New Roman"/>
          <w:color w:val="auto"/>
          <w:highlight w:val="none"/>
        </w:rPr>
      </w:pPr>
      <w:bookmarkStart w:id="279" w:name="_Toc32128"/>
      <w:r>
        <w:rPr>
          <w:rFonts w:hint="default" w:ascii="Times New Roman" w:hAnsi="Times New Roman" w:cs="Times New Roman"/>
          <w:color w:val="auto"/>
          <w:highlight w:val="none"/>
        </w:rPr>
        <w:t>5环境影响预测与评价</w:t>
      </w:r>
      <w:bookmarkEnd w:id="203"/>
      <w:bookmarkEnd w:id="204"/>
      <w:bookmarkEnd w:id="205"/>
      <w:bookmarkEnd w:id="206"/>
      <w:bookmarkEnd w:id="207"/>
      <w:bookmarkEnd w:id="208"/>
      <w:bookmarkEnd w:id="279"/>
    </w:p>
    <w:p w14:paraId="5E5C1578">
      <w:pPr>
        <w:pStyle w:val="41"/>
        <w:rPr>
          <w:rFonts w:hint="default" w:ascii="Times New Roman" w:hAnsi="Times New Roman" w:cs="Times New Roman"/>
          <w:color w:val="auto"/>
          <w:highlight w:val="none"/>
        </w:rPr>
      </w:pPr>
      <w:bookmarkStart w:id="280" w:name="_Toc7407"/>
      <w:bookmarkStart w:id="281" w:name="_Toc152926824"/>
      <w:bookmarkStart w:id="282" w:name="_Toc119316805"/>
      <w:bookmarkStart w:id="283" w:name="_Toc28686"/>
      <w:bookmarkStart w:id="284" w:name="_Toc494017091"/>
      <w:r>
        <w:rPr>
          <w:rFonts w:hint="default" w:ascii="Times New Roman" w:hAnsi="Times New Roman" w:cs="Times New Roman"/>
          <w:color w:val="auto"/>
          <w:highlight w:val="none"/>
        </w:rPr>
        <w:t>5.1施工期环境影响分析</w:t>
      </w:r>
      <w:bookmarkEnd w:id="280"/>
      <w:bookmarkEnd w:id="281"/>
      <w:bookmarkEnd w:id="282"/>
      <w:bookmarkEnd w:id="283"/>
      <w:bookmarkEnd w:id="284"/>
    </w:p>
    <w:p w14:paraId="0DB08785">
      <w:pPr>
        <w:pStyle w:val="39"/>
        <w:rPr>
          <w:rFonts w:hint="default" w:ascii="Times New Roman" w:hAnsi="Times New Roman" w:cs="Times New Roman"/>
          <w:color w:val="auto"/>
          <w:highlight w:val="none"/>
        </w:rPr>
      </w:pPr>
      <w:bookmarkStart w:id="285" w:name="_Toc30403"/>
      <w:r>
        <w:rPr>
          <w:rFonts w:hint="default" w:ascii="Times New Roman" w:hAnsi="Times New Roman" w:cs="Times New Roman"/>
          <w:color w:val="auto"/>
          <w:highlight w:val="none"/>
        </w:rPr>
        <w:t>5.1.1施工期大气环境影响评价</w:t>
      </w:r>
      <w:bookmarkEnd w:id="285"/>
    </w:p>
    <w:p w14:paraId="46B88028">
      <w:pPr>
        <w:spacing w:line="500" w:lineRule="exact"/>
        <w:ind w:firstLine="480" w:firstLineChars="200"/>
        <w:rPr>
          <w:rFonts w:hint="eastAsia" w:ascii="Times New Roman" w:hAnsi="Times New Roman" w:eastAsia="宋体" w:cs="Times New Roman"/>
          <w:snapToGrid w:val="0"/>
          <w:color w:val="auto"/>
          <w:sz w:val="24"/>
          <w:szCs w:val="22"/>
          <w:highlight w:val="none"/>
          <w:lang w:eastAsia="zh-CN"/>
        </w:rPr>
      </w:pPr>
      <w:r>
        <w:rPr>
          <w:rFonts w:hint="default" w:ascii="Times New Roman" w:hAnsi="Times New Roman" w:cs="Times New Roman"/>
          <w:color w:val="auto"/>
          <w:highlight w:val="none"/>
        </w:rPr>
        <w:t>施工过程中，场地平整、</w:t>
      </w:r>
      <w:r>
        <w:rPr>
          <w:rFonts w:hint="default" w:ascii="Times New Roman" w:hAnsi="Times New Roman" w:cs="Times New Roman"/>
          <w:color w:val="auto"/>
          <w:highlight w:val="none"/>
          <w:lang w:val="en-US" w:eastAsia="zh-CN"/>
        </w:rPr>
        <w:t>材料</w:t>
      </w:r>
      <w:r>
        <w:rPr>
          <w:rFonts w:hint="default" w:ascii="Times New Roman" w:hAnsi="Times New Roman" w:cs="Times New Roman"/>
          <w:color w:val="auto"/>
          <w:highlight w:val="none"/>
        </w:rPr>
        <w:t>运输装卸堆放、车辆行驶等作业环节，都会给周围环境空气带来污染。污染大气的主要因子是NO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、CO、SO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和扬尘等。</w:t>
      </w:r>
      <w:r>
        <w:rPr>
          <w:rFonts w:hint="default" w:ascii="Times New Roman" w:hAnsi="Times New Roman" w:cs="Times New Roman"/>
          <w:color w:val="auto"/>
          <w:sz w:val="24"/>
          <w:szCs w:val="22"/>
          <w:highlight w:val="none"/>
        </w:rPr>
        <w:t>本项目采用AERSCREEN估算模式预测结果见表2-6-4所示。</w:t>
      </w:r>
      <w:r>
        <w:rPr>
          <w:rFonts w:hint="default" w:ascii="Times New Roman" w:hAnsi="Times New Roman" w:cs="Times New Roman"/>
          <w:snapToGrid w:val="0"/>
          <w:color w:val="auto"/>
          <w:sz w:val="24"/>
          <w:szCs w:val="22"/>
          <w:highlight w:val="none"/>
        </w:rPr>
        <w:t>本项目大气评价等级为</w:t>
      </w:r>
      <w:r>
        <w:rPr>
          <w:rFonts w:hint="eastAsia" w:cs="Times New Roman"/>
          <w:snapToGrid w:val="0"/>
          <w:color w:val="auto"/>
          <w:sz w:val="24"/>
          <w:szCs w:val="22"/>
          <w:highlight w:val="none"/>
          <w:lang w:val="en-US" w:eastAsia="zh-CN"/>
        </w:rPr>
        <w:t>三</w:t>
      </w:r>
      <w:r>
        <w:rPr>
          <w:rFonts w:hint="default" w:ascii="Times New Roman" w:hAnsi="Times New Roman" w:cs="Times New Roman"/>
          <w:snapToGrid w:val="0"/>
          <w:color w:val="auto"/>
          <w:sz w:val="24"/>
          <w:szCs w:val="22"/>
          <w:highlight w:val="none"/>
        </w:rPr>
        <w:t>级，根据《环境影响评价技术导则 大气环境》（HJ2.2-2018）的一般性要求，</w:t>
      </w:r>
      <w:r>
        <w:rPr>
          <w:rFonts w:hint="eastAsia" w:cs="Times New Roman"/>
          <w:snapToGrid w:val="0"/>
          <w:color w:val="auto"/>
          <w:sz w:val="24"/>
          <w:szCs w:val="22"/>
          <w:highlight w:val="none"/>
          <w:lang w:val="en-US" w:eastAsia="zh-CN"/>
        </w:rPr>
        <w:t>三</w:t>
      </w:r>
      <w:r>
        <w:rPr>
          <w:rFonts w:hint="default" w:ascii="Times New Roman" w:hAnsi="Times New Roman" w:cs="Times New Roman"/>
          <w:snapToGrid w:val="0"/>
          <w:color w:val="auto"/>
          <w:sz w:val="24"/>
          <w:szCs w:val="22"/>
          <w:highlight w:val="none"/>
        </w:rPr>
        <w:t>级评价项目不进行进一步预测与评价</w:t>
      </w:r>
      <w:r>
        <w:rPr>
          <w:rFonts w:hint="eastAsia" w:cs="Times New Roman"/>
          <w:snapToGrid w:val="0"/>
          <w:color w:val="auto"/>
          <w:sz w:val="24"/>
          <w:szCs w:val="22"/>
          <w:highlight w:val="none"/>
          <w:lang w:eastAsia="zh-CN"/>
        </w:rPr>
        <w:t>。</w:t>
      </w:r>
    </w:p>
    <w:p w14:paraId="27CB7F90">
      <w:pPr>
        <w:pStyle w:val="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5.1.1.1污染物排放量核算</w:t>
      </w:r>
    </w:p>
    <w:p w14:paraId="40ECF467">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表5-</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大气污染物无组织排放量核算表</w:t>
      </w:r>
    </w:p>
    <w:tbl>
      <w:tblPr>
        <w:tblStyle w:val="2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52"/>
        <w:gridCol w:w="462"/>
        <w:gridCol w:w="1265"/>
        <w:gridCol w:w="1035"/>
        <w:gridCol w:w="868"/>
        <w:gridCol w:w="2141"/>
        <w:gridCol w:w="1200"/>
        <w:gridCol w:w="1099"/>
      </w:tblGrid>
      <w:tr w14:paraId="564E89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266" w:type="pct"/>
            <w:vMerge w:val="restart"/>
            <w:tcBorders>
              <w:tl2br w:val="nil"/>
              <w:tr2bl w:val="nil"/>
            </w:tcBorders>
            <w:vAlign w:val="center"/>
          </w:tcPr>
          <w:p w14:paraId="5D1D429A">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271" w:type="pct"/>
            <w:vMerge w:val="restart"/>
            <w:tcBorders>
              <w:tl2br w:val="nil"/>
              <w:tr2bl w:val="nil"/>
            </w:tcBorders>
            <w:vAlign w:val="center"/>
          </w:tcPr>
          <w:p w14:paraId="4567FF46">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排放口编号</w:t>
            </w:r>
          </w:p>
        </w:tc>
        <w:tc>
          <w:tcPr>
            <w:tcW w:w="741" w:type="pct"/>
            <w:vMerge w:val="restart"/>
            <w:tcBorders>
              <w:tl2br w:val="nil"/>
              <w:tr2bl w:val="nil"/>
            </w:tcBorders>
            <w:vAlign w:val="center"/>
          </w:tcPr>
          <w:p w14:paraId="2C9446AA">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产污环节</w:t>
            </w:r>
          </w:p>
        </w:tc>
        <w:tc>
          <w:tcPr>
            <w:tcW w:w="607" w:type="pct"/>
            <w:vMerge w:val="restart"/>
            <w:tcBorders>
              <w:tl2br w:val="nil"/>
              <w:tr2bl w:val="nil"/>
            </w:tcBorders>
            <w:vAlign w:val="center"/>
          </w:tcPr>
          <w:p w14:paraId="1AA22F3D">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w:t>
            </w:r>
          </w:p>
        </w:tc>
        <w:tc>
          <w:tcPr>
            <w:tcW w:w="509" w:type="pct"/>
            <w:vMerge w:val="restart"/>
            <w:tcBorders>
              <w:tl2br w:val="nil"/>
              <w:tr2bl w:val="nil"/>
            </w:tcBorders>
            <w:vAlign w:val="center"/>
          </w:tcPr>
          <w:p w14:paraId="441118F8">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主要污染防治措施</w:t>
            </w:r>
          </w:p>
        </w:tc>
        <w:tc>
          <w:tcPr>
            <w:tcW w:w="1960" w:type="pct"/>
            <w:gridSpan w:val="2"/>
            <w:tcBorders>
              <w:tl2br w:val="nil"/>
              <w:tr2bl w:val="nil"/>
            </w:tcBorders>
            <w:vAlign w:val="center"/>
          </w:tcPr>
          <w:p w14:paraId="717E9B73">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国家或地方污染物排放标准</w:t>
            </w:r>
          </w:p>
        </w:tc>
        <w:tc>
          <w:tcPr>
            <w:tcW w:w="644" w:type="pct"/>
            <w:vMerge w:val="restart"/>
            <w:tcBorders>
              <w:tl2br w:val="nil"/>
              <w:tr2bl w:val="nil"/>
            </w:tcBorders>
            <w:vAlign w:val="center"/>
          </w:tcPr>
          <w:p w14:paraId="65C96FC8">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年排放量（t/a）</w:t>
            </w:r>
          </w:p>
        </w:tc>
      </w:tr>
      <w:tr w14:paraId="2E9B60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266" w:type="pct"/>
            <w:vMerge w:val="continue"/>
            <w:tcBorders>
              <w:tl2br w:val="nil"/>
              <w:tr2bl w:val="nil"/>
            </w:tcBorders>
            <w:vAlign w:val="center"/>
          </w:tcPr>
          <w:p w14:paraId="139B536A">
            <w:pPr>
              <w:pStyle w:val="44"/>
              <w:bidi w:val="0"/>
              <w:jc w:val="center"/>
              <w:rPr>
                <w:rFonts w:hint="default" w:ascii="Times New Roman" w:hAnsi="Times New Roman" w:cs="Times New Roman"/>
                <w:color w:val="auto"/>
                <w:highlight w:val="none"/>
              </w:rPr>
            </w:pPr>
          </w:p>
        </w:tc>
        <w:tc>
          <w:tcPr>
            <w:tcW w:w="271" w:type="pct"/>
            <w:vMerge w:val="continue"/>
            <w:tcBorders>
              <w:tl2br w:val="nil"/>
              <w:tr2bl w:val="nil"/>
            </w:tcBorders>
            <w:vAlign w:val="center"/>
          </w:tcPr>
          <w:p w14:paraId="12CEC97D">
            <w:pPr>
              <w:pStyle w:val="44"/>
              <w:bidi w:val="0"/>
              <w:jc w:val="center"/>
              <w:rPr>
                <w:rFonts w:hint="default" w:ascii="Times New Roman" w:hAnsi="Times New Roman" w:cs="Times New Roman"/>
                <w:color w:val="auto"/>
                <w:highlight w:val="none"/>
              </w:rPr>
            </w:pPr>
          </w:p>
        </w:tc>
        <w:tc>
          <w:tcPr>
            <w:tcW w:w="741" w:type="pct"/>
            <w:vMerge w:val="continue"/>
            <w:tcBorders>
              <w:tl2br w:val="nil"/>
              <w:tr2bl w:val="nil"/>
            </w:tcBorders>
            <w:vAlign w:val="center"/>
          </w:tcPr>
          <w:p w14:paraId="24C41248">
            <w:pPr>
              <w:pStyle w:val="44"/>
              <w:bidi w:val="0"/>
              <w:jc w:val="center"/>
              <w:rPr>
                <w:rFonts w:hint="default" w:ascii="Times New Roman" w:hAnsi="Times New Roman" w:cs="Times New Roman"/>
                <w:color w:val="auto"/>
                <w:highlight w:val="none"/>
              </w:rPr>
            </w:pPr>
          </w:p>
        </w:tc>
        <w:tc>
          <w:tcPr>
            <w:tcW w:w="607" w:type="pct"/>
            <w:vMerge w:val="continue"/>
            <w:tcBorders>
              <w:tl2br w:val="nil"/>
              <w:tr2bl w:val="nil"/>
            </w:tcBorders>
            <w:vAlign w:val="center"/>
          </w:tcPr>
          <w:p w14:paraId="052D4C60">
            <w:pPr>
              <w:pStyle w:val="44"/>
              <w:bidi w:val="0"/>
              <w:jc w:val="center"/>
              <w:rPr>
                <w:rFonts w:hint="default" w:ascii="Times New Roman" w:hAnsi="Times New Roman" w:cs="Times New Roman"/>
                <w:color w:val="auto"/>
                <w:highlight w:val="none"/>
              </w:rPr>
            </w:pPr>
          </w:p>
        </w:tc>
        <w:tc>
          <w:tcPr>
            <w:tcW w:w="509" w:type="pct"/>
            <w:vMerge w:val="continue"/>
            <w:tcBorders>
              <w:tl2br w:val="nil"/>
              <w:tr2bl w:val="nil"/>
            </w:tcBorders>
            <w:vAlign w:val="center"/>
          </w:tcPr>
          <w:p w14:paraId="7C9EC1EE">
            <w:pPr>
              <w:pStyle w:val="44"/>
              <w:bidi w:val="0"/>
              <w:jc w:val="center"/>
              <w:rPr>
                <w:rFonts w:hint="default" w:ascii="Times New Roman" w:hAnsi="Times New Roman" w:cs="Times New Roman"/>
                <w:color w:val="auto"/>
                <w:highlight w:val="none"/>
              </w:rPr>
            </w:pPr>
          </w:p>
        </w:tc>
        <w:tc>
          <w:tcPr>
            <w:tcW w:w="1256" w:type="pct"/>
            <w:tcBorders>
              <w:tl2br w:val="nil"/>
              <w:tr2bl w:val="nil"/>
            </w:tcBorders>
            <w:vAlign w:val="center"/>
          </w:tcPr>
          <w:p w14:paraId="4AF1626A">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标准名称</w:t>
            </w:r>
          </w:p>
        </w:tc>
        <w:tc>
          <w:tcPr>
            <w:tcW w:w="704" w:type="pct"/>
            <w:tcBorders>
              <w:tl2br w:val="nil"/>
              <w:tr2bl w:val="nil"/>
            </w:tcBorders>
            <w:vAlign w:val="center"/>
          </w:tcPr>
          <w:p w14:paraId="5F640237">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浓度限值</w:t>
            </w:r>
          </w:p>
        </w:tc>
        <w:tc>
          <w:tcPr>
            <w:tcW w:w="644" w:type="pct"/>
            <w:vMerge w:val="continue"/>
            <w:tcBorders>
              <w:tl2br w:val="nil"/>
              <w:tr2bl w:val="nil"/>
            </w:tcBorders>
            <w:vAlign w:val="center"/>
          </w:tcPr>
          <w:p w14:paraId="20E819E0">
            <w:pPr>
              <w:pStyle w:val="44"/>
              <w:bidi w:val="0"/>
              <w:jc w:val="center"/>
              <w:rPr>
                <w:rFonts w:hint="default" w:ascii="Times New Roman" w:hAnsi="Times New Roman" w:cs="Times New Roman"/>
                <w:color w:val="auto"/>
                <w:highlight w:val="none"/>
              </w:rPr>
            </w:pPr>
          </w:p>
        </w:tc>
      </w:tr>
      <w:tr w14:paraId="1C6C89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1" w:hRule="exact"/>
        </w:trPr>
        <w:tc>
          <w:tcPr>
            <w:tcW w:w="266" w:type="pct"/>
            <w:vMerge w:val="restart"/>
            <w:tcBorders>
              <w:tl2br w:val="nil"/>
              <w:tr2bl w:val="nil"/>
            </w:tcBorders>
            <w:vAlign w:val="center"/>
          </w:tcPr>
          <w:p w14:paraId="7151876F">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271" w:type="pct"/>
            <w:vMerge w:val="restart"/>
            <w:tcBorders>
              <w:tl2br w:val="nil"/>
              <w:tr2bl w:val="nil"/>
            </w:tcBorders>
            <w:vAlign w:val="center"/>
          </w:tcPr>
          <w:p w14:paraId="69239D69">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741" w:type="pct"/>
            <w:vMerge w:val="restart"/>
            <w:tcBorders>
              <w:tl2br w:val="nil"/>
              <w:tr2bl w:val="nil"/>
            </w:tcBorders>
            <w:vAlign w:val="center"/>
          </w:tcPr>
          <w:p w14:paraId="41776BB3">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作业机械</w:t>
            </w:r>
          </w:p>
        </w:tc>
        <w:tc>
          <w:tcPr>
            <w:tcW w:w="607" w:type="pct"/>
            <w:tcBorders>
              <w:tl2br w:val="nil"/>
              <w:tr2bl w:val="nil"/>
            </w:tcBorders>
            <w:vAlign w:val="center"/>
          </w:tcPr>
          <w:p w14:paraId="31FEAD13">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CO</w:t>
            </w:r>
          </w:p>
        </w:tc>
        <w:tc>
          <w:tcPr>
            <w:tcW w:w="509" w:type="pct"/>
            <w:vMerge w:val="restart"/>
            <w:tcBorders>
              <w:tl2br w:val="nil"/>
              <w:tr2bl w:val="nil"/>
            </w:tcBorders>
            <w:vAlign w:val="center"/>
          </w:tcPr>
          <w:p w14:paraId="29A30640">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自然扩散</w:t>
            </w:r>
          </w:p>
        </w:tc>
        <w:tc>
          <w:tcPr>
            <w:tcW w:w="1256" w:type="pct"/>
            <w:tcBorders>
              <w:tl2br w:val="nil"/>
              <w:tr2bl w:val="nil"/>
            </w:tcBorders>
            <w:vAlign w:val="center"/>
          </w:tcPr>
          <w:p w14:paraId="0F699D79">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704" w:type="pct"/>
            <w:tcBorders>
              <w:tl2br w:val="nil"/>
              <w:tr2bl w:val="nil"/>
            </w:tcBorders>
            <w:vAlign w:val="center"/>
          </w:tcPr>
          <w:p w14:paraId="6A5C70C5">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099" w:type="dxa"/>
            <w:tcBorders>
              <w:tl2br w:val="nil"/>
              <w:tr2bl w:val="nil"/>
            </w:tcBorders>
            <w:vAlign w:val="center"/>
          </w:tcPr>
          <w:p w14:paraId="5E7EF198">
            <w:pPr>
              <w:pStyle w:val="44"/>
              <w:bidi w:val="0"/>
              <w:rPr>
                <w:rFonts w:hint="default" w:ascii="Times New Roman" w:hAnsi="Times New Roman" w:cs="Times New Roman"/>
                <w:color w:val="auto"/>
                <w:lang w:val="zh-CN"/>
              </w:rPr>
            </w:pPr>
            <w:r>
              <w:rPr>
                <w:rFonts w:hint="default" w:ascii="Times New Roman" w:hAnsi="Times New Roman" w:cs="Times New Roman"/>
                <w:color w:val="auto"/>
                <w:lang w:val="en-US" w:eastAsia="zh-CN"/>
              </w:rPr>
              <w:t xml:space="preserve">0.00099 </w:t>
            </w:r>
          </w:p>
        </w:tc>
      </w:tr>
      <w:tr w14:paraId="6BA122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6" w:type="pct"/>
            <w:vMerge w:val="continue"/>
            <w:tcBorders>
              <w:tl2br w:val="nil"/>
              <w:tr2bl w:val="nil"/>
            </w:tcBorders>
            <w:vAlign w:val="center"/>
          </w:tcPr>
          <w:p w14:paraId="24FD9F30">
            <w:pPr>
              <w:pStyle w:val="44"/>
              <w:bidi w:val="0"/>
              <w:jc w:val="center"/>
              <w:rPr>
                <w:rFonts w:hint="default" w:ascii="Times New Roman" w:hAnsi="Times New Roman" w:cs="Times New Roman"/>
                <w:color w:val="auto"/>
                <w:highlight w:val="none"/>
              </w:rPr>
            </w:pPr>
          </w:p>
        </w:tc>
        <w:tc>
          <w:tcPr>
            <w:tcW w:w="271" w:type="pct"/>
            <w:vMerge w:val="continue"/>
            <w:tcBorders>
              <w:tl2br w:val="nil"/>
              <w:tr2bl w:val="nil"/>
            </w:tcBorders>
            <w:vAlign w:val="center"/>
          </w:tcPr>
          <w:p w14:paraId="064CA0F0">
            <w:pPr>
              <w:pStyle w:val="44"/>
              <w:bidi w:val="0"/>
              <w:jc w:val="center"/>
              <w:rPr>
                <w:rFonts w:hint="default" w:ascii="Times New Roman" w:hAnsi="Times New Roman" w:cs="Times New Roman"/>
                <w:color w:val="auto"/>
                <w:highlight w:val="none"/>
              </w:rPr>
            </w:pPr>
          </w:p>
        </w:tc>
        <w:tc>
          <w:tcPr>
            <w:tcW w:w="741" w:type="pct"/>
            <w:vMerge w:val="continue"/>
            <w:tcBorders>
              <w:tl2br w:val="nil"/>
              <w:tr2bl w:val="nil"/>
            </w:tcBorders>
            <w:vAlign w:val="center"/>
          </w:tcPr>
          <w:p w14:paraId="26F26BE9">
            <w:pPr>
              <w:pStyle w:val="44"/>
              <w:bidi w:val="0"/>
              <w:jc w:val="center"/>
              <w:rPr>
                <w:rFonts w:hint="default" w:ascii="Times New Roman" w:hAnsi="Times New Roman" w:cs="Times New Roman"/>
                <w:color w:val="auto"/>
                <w:highlight w:val="none"/>
              </w:rPr>
            </w:pPr>
          </w:p>
        </w:tc>
        <w:tc>
          <w:tcPr>
            <w:tcW w:w="607" w:type="pct"/>
            <w:tcBorders>
              <w:tl2br w:val="nil"/>
              <w:tr2bl w:val="nil"/>
            </w:tcBorders>
            <w:vAlign w:val="center"/>
          </w:tcPr>
          <w:p w14:paraId="13393B12">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NOx</w:t>
            </w:r>
          </w:p>
        </w:tc>
        <w:tc>
          <w:tcPr>
            <w:tcW w:w="509" w:type="pct"/>
            <w:vMerge w:val="continue"/>
            <w:tcBorders>
              <w:tl2br w:val="nil"/>
              <w:tr2bl w:val="nil"/>
            </w:tcBorders>
            <w:vAlign w:val="center"/>
          </w:tcPr>
          <w:p w14:paraId="7F32D1B0">
            <w:pPr>
              <w:pStyle w:val="44"/>
              <w:bidi w:val="0"/>
              <w:jc w:val="center"/>
              <w:rPr>
                <w:rFonts w:hint="default" w:ascii="Times New Roman" w:hAnsi="Times New Roman" w:cs="Times New Roman"/>
                <w:color w:val="auto"/>
                <w:highlight w:val="none"/>
                <w:lang w:val="zh-CN"/>
              </w:rPr>
            </w:pPr>
          </w:p>
        </w:tc>
        <w:tc>
          <w:tcPr>
            <w:tcW w:w="1256" w:type="pct"/>
            <w:tcBorders>
              <w:tl2br w:val="nil"/>
              <w:tr2bl w:val="nil"/>
            </w:tcBorders>
            <w:vAlign w:val="center"/>
          </w:tcPr>
          <w:p w14:paraId="19964804">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《大气污染物综合排放标准》（GB16297-1996）</w:t>
            </w:r>
          </w:p>
        </w:tc>
        <w:tc>
          <w:tcPr>
            <w:tcW w:w="704" w:type="pct"/>
            <w:tcBorders>
              <w:tl2br w:val="nil"/>
              <w:tr2bl w:val="nil"/>
            </w:tcBorders>
            <w:vAlign w:val="center"/>
          </w:tcPr>
          <w:p w14:paraId="6DB4EDD1">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0.12mg/m</w:t>
            </w:r>
            <w:r>
              <w:rPr>
                <w:rFonts w:hint="default" w:ascii="Times New Roman" w:hAnsi="Times New Roman" w:cs="Times New Roman"/>
                <w:color w:val="auto"/>
                <w:highlight w:val="none"/>
                <w:vertAlign w:val="superscript"/>
              </w:rPr>
              <w:t>3</w:t>
            </w:r>
          </w:p>
        </w:tc>
        <w:tc>
          <w:tcPr>
            <w:tcW w:w="1099" w:type="dxa"/>
            <w:tcBorders>
              <w:tl2br w:val="nil"/>
              <w:tr2bl w:val="nil"/>
            </w:tcBorders>
            <w:vAlign w:val="center"/>
          </w:tcPr>
          <w:p w14:paraId="6461DF5B">
            <w:pPr>
              <w:pStyle w:val="44"/>
              <w:bidi w:val="0"/>
              <w:rPr>
                <w:rFonts w:hint="default" w:ascii="Times New Roman" w:hAnsi="Times New Roman" w:cs="Times New Roman"/>
                <w:color w:val="auto"/>
                <w:lang w:val="zh-CN"/>
              </w:rPr>
            </w:pPr>
            <w:r>
              <w:rPr>
                <w:rFonts w:hint="default" w:ascii="Times New Roman" w:hAnsi="Times New Roman" w:cs="Times New Roman"/>
                <w:color w:val="auto"/>
                <w:lang w:val="en-US" w:eastAsia="zh-CN"/>
              </w:rPr>
              <w:t xml:space="preserve">0.00142 </w:t>
            </w:r>
          </w:p>
        </w:tc>
      </w:tr>
      <w:tr w14:paraId="7961A4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6" w:type="pct"/>
            <w:vMerge w:val="continue"/>
            <w:tcBorders>
              <w:tl2br w:val="nil"/>
              <w:tr2bl w:val="nil"/>
            </w:tcBorders>
            <w:vAlign w:val="center"/>
          </w:tcPr>
          <w:p w14:paraId="7F580146">
            <w:pPr>
              <w:pStyle w:val="44"/>
              <w:bidi w:val="0"/>
              <w:jc w:val="center"/>
              <w:rPr>
                <w:rFonts w:hint="default" w:ascii="Times New Roman" w:hAnsi="Times New Roman" w:cs="Times New Roman"/>
                <w:color w:val="auto"/>
                <w:highlight w:val="none"/>
              </w:rPr>
            </w:pPr>
          </w:p>
        </w:tc>
        <w:tc>
          <w:tcPr>
            <w:tcW w:w="271" w:type="pct"/>
            <w:vMerge w:val="continue"/>
            <w:tcBorders>
              <w:tl2br w:val="nil"/>
              <w:tr2bl w:val="nil"/>
            </w:tcBorders>
            <w:vAlign w:val="center"/>
          </w:tcPr>
          <w:p w14:paraId="4C601CE2">
            <w:pPr>
              <w:pStyle w:val="44"/>
              <w:bidi w:val="0"/>
              <w:jc w:val="center"/>
              <w:rPr>
                <w:rFonts w:hint="default" w:ascii="Times New Roman" w:hAnsi="Times New Roman" w:cs="Times New Roman"/>
                <w:color w:val="auto"/>
                <w:highlight w:val="none"/>
              </w:rPr>
            </w:pPr>
          </w:p>
        </w:tc>
        <w:tc>
          <w:tcPr>
            <w:tcW w:w="741" w:type="pct"/>
            <w:vMerge w:val="continue"/>
            <w:tcBorders>
              <w:tl2br w:val="nil"/>
              <w:tr2bl w:val="nil"/>
            </w:tcBorders>
            <w:vAlign w:val="center"/>
          </w:tcPr>
          <w:p w14:paraId="4E58D7E6">
            <w:pPr>
              <w:pStyle w:val="44"/>
              <w:bidi w:val="0"/>
              <w:jc w:val="center"/>
              <w:rPr>
                <w:rFonts w:hint="default" w:ascii="Times New Roman" w:hAnsi="Times New Roman" w:cs="Times New Roman"/>
                <w:color w:val="auto"/>
                <w:highlight w:val="none"/>
              </w:rPr>
            </w:pPr>
          </w:p>
        </w:tc>
        <w:tc>
          <w:tcPr>
            <w:tcW w:w="607" w:type="pct"/>
            <w:tcBorders>
              <w:tl2br w:val="nil"/>
              <w:tr2bl w:val="nil"/>
            </w:tcBorders>
            <w:vAlign w:val="center"/>
          </w:tcPr>
          <w:p w14:paraId="7099BAA0">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HC</w:t>
            </w:r>
          </w:p>
        </w:tc>
        <w:tc>
          <w:tcPr>
            <w:tcW w:w="509" w:type="pct"/>
            <w:vMerge w:val="continue"/>
            <w:tcBorders>
              <w:tl2br w:val="nil"/>
              <w:tr2bl w:val="nil"/>
            </w:tcBorders>
            <w:vAlign w:val="center"/>
          </w:tcPr>
          <w:p w14:paraId="2C519E38">
            <w:pPr>
              <w:pStyle w:val="44"/>
              <w:bidi w:val="0"/>
              <w:jc w:val="center"/>
              <w:rPr>
                <w:rFonts w:hint="default" w:ascii="Times New Roman" w:hAnsi="Times New Roman" w:cs="Times New Roman"/>
                <w:color w:val="auto"/>
                <w:highlight w:val="none"/>
                <w:lang w:val="zh-CN"/>
              </w:rPr>
            </w:pPr>
          </w:p>
        </w:tc>
        <w:tc>
          <w:tcPr>
            <w:tcW w:w="1256" w:type="pct"/>
            <w:tcBorders>
              <w:tl2br w:val="nil"/>
              <w:tr2bl w:val="nil"/>
            </w:tcBorders>
            <w:vAlign w:val="center"/>
          </w:tcPr>
          <w:p w14:paraId="158519E4">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704" w:type="pct"/>
            <w:tcBorders>
              <w:tl2br w:val="nil"/>
              <w:tr2bl w:val="nil"/>
            </w:tcBorders>
            <w:vAlign w:val="center"/>
          </w:tcPr>
          <w:p w14:paraId="40CE7B0B">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099" w:type="dxa"/>
            <w:tcBorders>
              <w:tl2br w:val="nil"/>
              <w:tr2bl w:val="nil"/>
            </w:tcBorders>
            <w:vAlign w:val="center"/>
          </w:tcPr>
          <w:p w14:paraId="24335A92">
            <w:pPr>
              <w:pStyle w:val="44"/>
              <w:bidi w:val="0"/>
              <w:rPr>
                <w:rFonts w:hint="default" w:ascii="Times New Roman" w:hAnsi="Times New Roman" w:cs="Times New Roman"/>
                <w:color w:val="auto"/>
                <w:lang w:val="zh-CN"/>
              </w:rPr>
            </w:pPr>
            <w:r>
              <w:rPr>
                <w:rFonts w:hint="default" w:ascii="Times New Roman" w:hAnsi="Times New Roman" w:cs="Times New Roman"/>
                <w:color w:val="auto"/>
                <w:lang w:val="en-US" w:eastAsia="zh-CN"/>
              </w:rPr>
              <w:t xml:space="preserve">0.00032 </w:t>
            </w:r>
          </w:p>
        </w:tc>
      </w:tr>
      <w:tr w14:paraId="4EF4B7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6" w:type="pct"/>
            <w:tcBorders>
              <w:tl2br w:val="nil"/>
              <w:tr2bl w:val="nil"/>
            </w:tcBorders>
            <w:vAlign w:val="center"/>
          </w:tcPr>
          <w:p w14:paraId="61D0B7A0">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271" w:type="pct"/>
            <w:tcBorders>
              <w:tl2br w:val="nil"/>
              <w:tr2bl w:val="nil"/>
            </w:tcBorders>
            <w:vAlign w:val="center"/>
          </w:tcPr>
          <w:p w14:paraId="18CB48D4">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741" w:type="pct"/>
            <w:tcBorders>
              <w:tl2br w:val="nil"/>
              <w:tr2bl w:val="nil"/>
            </w:tcBorders>
            <w:vAlign w:val="center"/>
          </w:tcPr>
          <w:p w14:paraId="64EB0BAC">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装卸、运输、回填</w:t>
            </w:r>
          </w:p>
        </w:tc>
        <w:tc>
          <w:tcPr>
            <w:tcW w:w="607" w:type="pct"/>
            <w:tcBorders>
              <w:tl2br w:val="nil"/>
              <w:tr2bl w:val="nil"/>
            </w:tcBorders>
            <w:vAlign w:val="center"/>
          </w:tcPr>
          <w:p w14:paraId="53E0C7A6">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TSP</w:t>
            </w:r>
          </w:p>
        </w:tc>
        <w:tc>
          <w:tcPr>
            <w:tcW w:w="509" w:type="pct"/>
            <w:tcBorders>
              <w:tl2br w:val="nil"/>
              <w:tr2bl w:val="nil"/>
            </w:tcBorders>
            <w:vAlign w:val="center"/>
          </w:tcPr>
          <w:p w14:paraId="073BA674">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洒水抑尘、及时苫盖、分区回填</w:t>
            </w:r>
          </w:p>
        </w:tc>
        <w:tc>
          <w:tcPr>
            <w:tcW w:w="1256" w:type="pct"/>
            <w:vMerge w:val="restart"/>
            <w:tcBorders>
              <w:tl2br w:val="nil"/>
              <w:tr2bl w:val="nil"/>
            </w:tcBorders>
            <w:vAlign w:val="center"/>
          </w:tcPr>
          <w:p w14:paraId="42DD3246">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《大气污染物综合排放标准》（GB16297-1996）</w:t>
            </w:r>
          </w:p>
        </w:tc>
        <w:tc>
          <w:tcPr>
            <w:tcW w:w="704" w:type="pct"/>
            <w:vMerge w:val="restart"/>
            <w:tcBorders>
              <w:tl2br w:val="nil"/>
              <w:tr2bl w:val="nil"/>
            </w:tcBorders>
            <w:vAlign w:val="center"/>
          </w:tcPr>
          <w:p w14:paraId="580E9DE8">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1.0mg/m</w:t>
            </w:r>
            <w:r>
              <w:rPr>
                <w:rFonts w:hint="default" w:ascii="Times New Roman" w:hAnsi="Times New Roman" w:cs="Times New Roman"/>
                <w:color w:val="auto"/>
                <w:highlight w:val="none"/>
                <w:vertAlign w:val="superscript"/>
              </w:rPr>
              <w:t>3</w:t>
            </w:r>
          </w:p>
        </w:tc>
        <w:tc>
          <w:tcPr>
            <w:tcW w:w="644" w:type="pct"/>
            <w:tcBorders>
              <w:tl2br w:val="nil"/>
              <w:tr2bl w:val="nil"/>
            </w:tcBorders>
            <w:vAlign w:val="center"/>
          </w:tcPr>
          <w:p w14:paraId="0F6C4866">
            <w:pPr>
              <w:pStyle w:val="44"/>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zh-CN"/>
              </w:rPr>
              <w:t>0.0</w:t>
            </w:r>
            <w:r>
              <w:rPr>
                <w:rFonts w:hint="default" w:ascii="Times New Roman" w:hAnsi="Times New Roman" w:cs="Times New Roman"/>
                <w:color w:val="auto"/>
                <w:highlight w:val="none"/>
                <w:lang w:val="en-US" w:eastAsia="zh-CN"/>
              </w:rPr>
              <w:t>44</w:t>
            </w:r>
          </w:p>
        </w:tc>
      </w:tr>
      <w:tr w14:paraId="28A355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6" w:type="pct"/>
            <w:tcBorders>
              <w:tl2br w:val="nil"/>
              <w:tr2bl w:val="nil"/>
            </w:tcBorders>
            <w:vAlign w:val="center"/>
          </w:tcPr>
          <w:p w14:paraId="53066193">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271" w:type="pct"/>
            <w:tcBorders>
              <w:tl2br w:val="nil"/>
              <w:tr2bl w:val="nil"/>
            </w:tcBorders>
            <w:vAlign w:val="center"/>
          </w:tcPr>
          <w:p w14:paraId="3513CE6B">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741" w:type="pct"/>
            <w:tcBorders>
              <w:tl2br w:val="nil"/>
              <w:tr2bl w:val="nil"/>
            </w:tcBorders>
            <w:vAlign w:val="center"/>
          </w:tcPr>
          <w:p w14:paraId="02125B68">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运输道路</w:t>
            </w:r>
          </w:p>
        </w:tc>
        <w:tc>
          <w:tcPr>
            <w:tcW w:w="607" w:type="pct"/>
            <w:tcBorders>
              <w:tl2br w:val="nil"/>
              <w:tr2bl w:val="nil"/>
            </w:tcBorders>
            <w:vAlign w:val="center"/>
          </w:tcPr>
          <w:p w14:paraId="39A881AA">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TSP</w:t>
            </w:r>
          </w:p>
        </w:tc>
        <w:tc>
          <w:tcPr>
            <w:tcW w:w="509" w:type="pct"/>
            <w:tcBorders>
              <w:tl2br w:val="nil"/>
              <w:tr2bl w:val="nil"/>
            </w:tcBorders>
            <w:vAlign w:val="center"/>
          </w:tcPr>
          <w:p w14:paraId="22D04A57">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减速慢行，洒水抑尘</w:t>
            </w:r>
          </w:p>
        </w:tc>
        <w:tc>
          <w:tcPr>
            <w:tcW w:w="1256" w:type="pct"/>
            <w:vMerge w:val="continue"/>
            <w:tcBorders>
              <w:tl2br w:val="nil"/>
              <w:tr2bl w:val="nil"/>
            </w:tcBorders>
            <w:vAlign w:val="center"/>
          </w:tcPr>
          <w:p w14:paraId="7C9890DE">
            <w:pPr>
              <w:pStyle w:val="44"/>
              <w:bidi w:val="0"/>
              <w:jc w:val="center"/>
              <w:rPr>
                <w:rFonts w:hint="default" w:ascii="Times New Roman" w:hAnsi="Times New Roman" w:cs="Times New Roman"/>
                <w:color w:val="auto"/>
                <w:highlight w:val="none"/>
                <w:lang w:val="zh-CN"/>
              </w:rPr>
            </w:pPr>
          </w:p>
        </w:tc>
        <w:tc>
          <w:tcPr>
            <w:tcW w:w="704" w:type="pct"/>
            <w:vMerge w:val="continue"/>
            <w:tcBorders>
              <w:tl2br w:val="nil"/>
              <w:tr2bl w:val="nil"/>
            </w:tcBorders>
            <w:vAlign w:val="center"/>
          </w:tcPr>
          <w:p w14:paraId="422FB1F7">
            <w:pPr>
              <w:pStyle w:val="44"/>
              <w:bidi w:val="0"/>
              <w:jc w:val="center"/>
              <w:rPr>
                <w:rFonts w:hint="default" w:ascii="Times New Roman" w:hAnsi="Times New Roman" w:cs="Times New Roman"/>
                <w:color w:val="auto"/>
                <w:highlight w:val="none"/>
              </w:rPr>
            </w:pPr>
          </w:p>
        </w:tc>
        <w:tc>
          <w:tcPr>
            <w:tcW w:w="644" w:type="pct"/>
            <w:tcBorders>
              <w:tl2br w:val="nil"/>
              <w:tr2bl w:val="nil"/>
            </w:tcBorders>
            <w:vAlign w:val="center"/>
          </w:tcPr>
          <w:p w14:paraId="61598CDB">
            <w:pPr>
              <w:pStyle w:val="44"/>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1.65</w:t>
            </w:r>
          </w:p>
        </w:tc>
      </w:tr>
      <w:tr w14:paraId="54C398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8"/>
            <w:tcBorders>
              <w:tl2br w:val="nil"/>
              <w:tr2bl w:val="nil"/>
            </w:tcBorders>
            <w:vAlign w:val="center"/>
          </w:tcPr>
          <w:p w14:paraId="33D8EB66">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无组织排放总计</w:t>
            </w:r>
          </w:p>
        </w:tc>
      </w:tr>
      <w:tr w14:paraId="0AEC1B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79" w:type="pct"/>
            <w:gridSpan w:val="3"/>
            <w:vMerge w:val="restart"/>
            <w:tcBorders>
              <w:tl2br w:val="nil"/>
              <w:tr2bl w:val="nil"/>
            </w:tcBorders>
            <w:vAlign w:val="center"/>
          </w:tcPr>
          <w:p w14:paraId="48427B45">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无组织排放总计</w:t>
            </w:r>
          </w:p>
        </w:tc>
        <w:tc>
          <w:tcPr>
            <w:tcW w:w="3076" w:type="pct"/>
            <w:gridSpan w:val="4"/>
            <w:tcBorders>
              <w:tl2br w:val="nil"/>
              <w:tr2bl w:val="nil"/>
            </w:tcBorders>
            <w:vAlign w:val="center"/>
          </w:tcPr>
          <w:p w14:paraId="5695736E">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CO</w:t>
            </w:r>
          </w:p>
        </w:tc>
        <w:tc>
          <w:tcPr>
            <w:tcW w:w="1099" w:type="dxa"/>
            <w:tcBorders>
              <w:tl2br w:val="nil"/>
              <w:tr2bl w:val="nil"/>
            </w:tcBorders>
            <w:vAlign w:val="center"/>
          </w:tcPr>
          <w:p w14:paraId="59947F34">
            <w:pPr>
              <w:pStyle w:val="44"/>
              <w:bidi w:val="0"/>
              <w:ind w:firstLine="0" w:firstLineChars="0"/>
              <w:rPr>
                <w:rFonts w:hint="default" w:ascii="Times New Roman" w:hAnsi="Times New Roman" w:cs="Times New Roman"/>
                <w:color w:val="auto"/>
                <w:highlight w:val="none"/>
                <w:lang w:val="zh-CN"/>
              </w:rPr>
            </w:pPr>
            <w:r>
              <w:rPr>
                <w:rFonts w:hint="default" w:ascii="Times New Roman" w:hAnsi="Times New Roman" w:cs="Times New Roman"/>
                <w:color w:val="auto"/>
                <w:lang w:val="en-US" w:eastAsia="zh-CN"/>
              </w:rPr>
              <w:t xml:space="preserve">0.00099 </w:t>
            </w:r>
          </w:p>
        </w:tc>
      </w:tr>
      <w:tr w14:paraId="2B39D2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79" w:type="pct"/>
            <w:gridSpan w:val="3"/>
            <w:vMerge w:val="continue"/>
            <w:tcBorders>
              <w:tl2br w:val="nil"/>
              <w:tr2bl w:val="nil"/>
            </w:tcBorders>
            <w:vAlign w:val="center"/>
          </w:tcPr>
          <w:p w14:paraId="3C7E144C">
            <w:pPr>
              <w:pStyle w:val="44"/>
              <w:bidi w:val="0"/>
              <w:jc w:val="center"/>
              <w:rPr>
                <w:rFonts w:hint="default" w:ascii="Times New Roman" w:hAnsi="Times New Roman" w:cs="Times New Roman"/>
                <w:color w:val="auto"/>
                <w:highlight w:val="none"/>
              </w:rPr>
            </w:pPr>
          </w:p>
        </w:tc>
        <w:tc>
          <w:tcPr>
            <w:tcW w:w="3076" w:type="pct"/>
            <w:gridSpan w:val="4"/>
            <w:tcBorders>
              <w:tl2br w:val="nil"/>
              <w:tr2bl w:val="nil"/>
            </w:tcBorders>
            <w:vAlign w:val="center"/>
          </w:tcPr>
          <w:p w14:paraId="774298E6">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NOx</w:t>
            </w:r>
          </w:p>
        </w:tc>
        <w:tc>
          <w:tcPr>
            <w:tcW w:w="1099" w:type="dxa"/>
            <w:tcBorders>
              <w:tl2br w:val="nil"/>
              <w:tr2bl w:val="nil"/>
            </w:tcBorders>
            <w:vAlign w:val="center"/>
          </w:tcPr>
          <w:p w14:paraId="6A4F38B6">
            <w:pPr>
              <w:pStyle w:val="44"/>
              <w:bidi w:val="0"/>
              <w:ind w:firstLine="0" w:firstLineChars="0"/>
              <w:rPr>
                <w:rFonts w:hint="default" w:ascii="Times New Roman" w:hAnsi="Times New Roman" w:cs="Times New Roman"/>
                <w:color w:val="auto"/>
                <w:highlight w:val="none"/>
                <w:lang w:val="zh-CN"/>
              </w:rPr>
            </w:pPr>
            <w:r>
              <w:rPr>
                <w:rFonts w:hint="default" w:ascii="Times New Roman" w:hAnsi="Times New Roman" w:cs="Times New Roman"/>
                <w:color w:val="auto"/>
                <w:lang w:val="en-US" w:eastAsia="zh-CN"/>
              </w:rPr>
              <w:t xml:space="preserve">0.00142 </w:t>
            </w:r>
          </w:p>
        </w:tc>
      </w:tr>
      <w:tr w14:paraId="00C808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79" w:type="pct"/>
            <w:gridSpan w:val="3"/>
            <w:vMerge w:val="continue"/>
            <w:tcBorders>
              <w:tl2br w:val="nil"/>
              <w:tr2bl w:val="nil"/>
            </w:tcBorders>
            <w:vAlign w:val="center"/>
          </w:tcPr>
          <w:p w14:paraId="4856BBF4">
            <w:pPr>
              <w:pStyle w:val="44"/>
              <w:bidi w:val="0"/>
              <w:jc w:val="center"/>
              <w:rPr>
                <w:rFonts w:hint="default" w:ascii="Times New Roman" w:hAnsi="Times New Roman" w:cs="Times New Roman"/>
                <w:color w:val="auto"/>
                <w:highlight w:val="none"/>
              </w:rPr>
            </w:pPr>
          </w:p>
        </w:tc>
        <w:tc>
          <w:tcPr>
            <w:tcW w:w="3076" w:type="pct"/>
            <w:gridSpan w:val="4"/>
            <w:tcBorders>
              <w:tl2br w:val="nil"/>
              <w:tr2bl w:val="nil"/>
            </w:tcBorders>
            <w:vAlign w:val="center"/>
          </w:tcPr>
          <w:p w14:paraId="3109799F">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HC</w:t>
            </w:r>
          </w:p>
        </w:tc>
        <w:tc>
          <w:tcPr>
            <w:tcW w:w="1099" w:type="dxa"/>
            <w:tcBorders>
              <w:tl2br w:val="nil"/>
              <w:tr2bl w:val="nil"/>
            </w:tcBorders>
            <w:vAlign w:val="center"/>
          </w:tcPr>
          <w:p w14:paraId="77C7362A">
            <w:pPr>
              <w:pStyle w:val="44"/>
              <w:bidi w:val="0"/>
              <w:ind w:firstLine="0" w:firstLineChars="0"/>
              <w:rPr>
                <w:rFonts w:hint="default" w:ascii="Times New Roman" w:hAnsi="Times New Roman" w:cs="Times New Roman"/>
                <w:color w:val="auto"/>
                <w:highlight w:val="none"/>
                <w:lang w:val="zh-CN"/>
              </w:rPr>
            </w:pPr>
            <w:r>
              <w:rPr>
                <w:rFonts w:hint="default" w:ascii="Times New Roman" w:hAnsi="Times New Roman" w:cs="Times New Roman"/>
                <w:color w:val="auto"/>
                <w:lang w:val="en-US" w:eastAsia="zh-CN"/>
              </w:rPr>
              <w:t xml:space="preserve">0.00032 </w:t>
            </w:r>
          </w:p>
        </w:tc>
      </w:tr>
      <w:tr w14:paraId="7AD4FC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79" w:type="pct"/>
            <w:gridSpan w:val="3"/>
            <w:vMerge w:val="continue"/>
            <w:tcBorders>
              <w:tl2br w:val="nil"/>
              <w:tr2bl w:val="nil"/>
            </w:tcBorders>
            <w:vAlign w:val="center"/>
          </w:tcPr>
          <w:p w14:paraId="4BDFF48F">
            <w:pPr>
              <w:pStyle w:val="44"/>
              <w:bidi w:val="0"/>
              <w:jc w:val="center"/>
              <w:rPr>
                <w:rFonts w:hint="default" w:ascii="Times New Roman" w:hAnsi="Times New Roman" w:cs="Times New Roman"/>
                <w:color w:val="auto"/>
                <w:highlight w:val="none"/>
              </w:rPr>
            </w:pPr>
          </w:p>
        </w:tc>
        <w:tc>
          <w:tcPr>
            <w:tcW w:w="3076" w:type="pct"/>
            <w:gridSpan w:val="4"/>
            <w:tcBorders>
              <w:tl2br w:val="nil"/>
              <w:tr2bl w:val="nil"/>
            </w:tcBorders>
            <w:vAlign w:val="center"/>
          </w:tcPr>
          <w:p w14:paraId="2B435472">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TSP</w:t>
            </w:r>
          </w:p>
        </w:tc>
        <w:tc>
          <w:tcPr>
            <w:tcW w:w="644" w:type="pct"/>
            <w:tcBorders>
              <w:tl2br w:val="nil"/>
              <w:tr2bl w:val="nil"/>
            </w:tcBorders>
            <w:vAlign w:val="center"/>
          </w:tcPr>
          <w:p w14:paraId="41069AFD">
            <w:pPr>
              <w:pStyle w:val="44"/>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1.694</w:t>
            </w:r>
          </w:p>
        </w:tc>
      </w:tr>
    </w:tbl>
    <w:p w14:paraId="661F01D8">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表5-</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大气污染物年排放量核算表</w:t>
      </w:r>
    </w:p>
    <w:tbl>
      <w:tblPr>
        <w:tblStyle w:val="20"/>
        <w:tblW w:w="8409"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850"/>
        <w:gridCol w:w="2959"/>
        <w:gridCol w:w="3600"/>
      </w:tblGrid>
      <w:tr w14:paraId="2A40090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1850" w:type="dxa"/>
            <w:vAlign w:val="center"/>
          </w:tcPr>
          <w:p w14:paraId="32382C7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2959" w:type="dxa"/>
            <w:vAlign w:val="center"/>
          </w:tcPr>
          <w:p w14:paraId="0BB4F07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w:t>
            </w:r>
          </w:p>
        </w:tc>
        <w:tc>
          <w:tcPr>
            <w:tcW w:w="3600" w:type="dxa"/>
            <w:vAlign w:val="center"/>
          </w:tcPr>
          <w:p w14:paraId="7BEAD8A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年排放量（t/a）</w:t>
            </w:r>
          </w:p>
        </w:tc>
      </w:tr>
      <w:tr w14:paraId="17D9ECE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1850" w:type="dxa"/>
            <w:vAlign w:val="center"/>
          </w:tcPr>
          <w:p w14:paraId="4D05739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2959" w:type="dxa"/>
            <w:vAlign w:val="center"/>
          </w:tcPr>
          <w:p w14:paraId="3D07007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CO</w:t>
            </w:r>
          </w:p>
        </w:tc>
        <w:tc>
          <w:tcPr>
            <w:tcW w:w="3600" w:type="dxa"/>
            <w:vAlign w:val="center"/>
          </w:tcPr>
          <w:p w14:paraId="0E2FCF54">
            <w:pPr>
              <w:pStyle w:val="44"/>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lang w:val="en-US" w:eastAsia="zh-CN"/>
              </w:rPr>
              <w:t xml:space="preserve">0.00099 </w:t>
            </w:r>
          </w:p>
        </w:tc>
      </w:tr>
      <w:tr w14:paraId="11EF8F7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1850" w:type="dxa"/>
            <w:vAlign w:val="center"/>
          </w:tcPr>
          <w:p w14:paraId="59654D6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2959" w:type="dxa"/>
            <w:vAlign w:val="center"/>
          </w:tcPr>
          <w:p w14:paraId="4FD96DC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NOx</w:t>
            </w:r>
          </w:p>
        </w:tc>
        <w:tc>
          <w:tcPr>
            <w:tcW w:w="3600" w:type="dxa"/>
            <w:vAlign w:val="center"/>
          </w:tcPr>
          <w:p w14:paraId="59F69872">
            <w:pPr>
              <w:pStyle w:val="44"/>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lang w:val="en-US" w:eastAsia="zh-CN"/>
              </w:rPr>
              <w:t xml:space="preserve">0.00142 </w:t>
            </w:r>
          </w:p>
        </w:tc>
      </w:tr>
      <w:tr w14:paraId="5D5C215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1850" w:type="dxa"/>
            <w:vAlign w:val="center"/>
          </w:tcPr>
          <w:p w14:paraId="2CFAE8F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2959" w:type="dxa"/>
            <w:vAlign w:val="center"/>
          </w:tcPr>
          <w:p w14:paraId="56E666C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HC</w:t>
            </w:r>
          </w:p>
        </w:tc>
        <w:tc>
          <w:tcPr>
            <w:tcW w:w="3600" w:type="dxa"/>
            <w:vAlign w:val="center"/>
          </w:tcPr>
          <w:p w14:paraId="568060ED">
            <w:pPr>
              <w:pStyle w:val="44"/>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lang w:val="en-US" w:eastAsia="zh-CN"/>
              </w:rPr>
              <w:t xml:space="preserve">0.00032 </w:t>
            </w:r>
          </w:p>
        </w:tc>
      </w:tr>
      <w:tr w14:paraId="23FB515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1850" w:type="dxa"/>
            <w:vAlign w:val="center"/>
          </w:tcPr>
          <w:p w14:paraId="0BC3CF9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2959" w:type="dxa"/>
            <w:vAlign w:val="center"/>
          </w:tcPr>
          <w:p w14:paraId="61F0B3A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TSP</w:t>
            </w:r>
          </w:p>
        </w:tc>
        <w:tc>
          <w:tcPr>
            <w:tcW w:w="3600" w:type="dxa"/>
            <w:vAlign w:val="center"/>
          </w:tcPr>
          <w:p w14:paraId="3BFB9AB2">
            <w:pPr>
              <w:pStyle w:val="44"/>
              <w:bidi w:val="0"/>
              <w:ind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1.694</w:t>
            </w:r>
          </w:p>
        </w:tc>
      </w:tr>
    </w:tbl>
    <w:p w14:paraId="2E3E45ED">
      <w:pPr>
        <w:pStyle w:val="5"/>
        <w:bidi w:val="0"/>
        <w:rPr>
          <w:rFonts w:hint="default" w:ascii="Times New Roman" w:hAnsi="Times New Roman" w:cs="Times New Roman"/>
          <w:color w:val="558ED5" w:themeColor="text2" w:themeTint="99"/>
          <w:lang w:val="en-US" w:eastAsia="zh-CN"/>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lang w:val="en-US" w:eastAsia="zh-CN"/>
          <w14:textFill>
            <w14:solidFill>
              <w14:schemeClr w14:val="tx2">
                <w14:lumMod w14:val="60000"/>
                <w14:lumOff w14:val="40000"/>
              </w14:schemeClr>
            </w14:solidFill>
          </w14:textFill>
        </w:rPr>
        <w:t>5.1.1.</w:t>
      </w:r>
      <w:r>
        <w:rPr>
          <w:rFonts w:hint="eastAsia" w:ascii="Times New Roman" w:hAnsi="Times New Roman" w:cs="Times New Roman"/>
          <w:color w:val="558ED5" w:themeColor="text2" w:themeTint="99"/>
          <w:lang w:val="en-US" w:eastAsia="zh-CN"/>
          <w14:textFill>
            <w14:solidFill>
              <w14:schemeClr w14:val="tx2">
                <w14:lumMod w14:val="60000"/>
                <w14:lumOff w14:val="40000"/>
              </w14:schemeClr>
            </w14:solidFill>
          </w14:textFill>
        </w:rPr>
        <w:t>2不利天气对大气的影响分析</w:t>
      </w:r>
    </w:p>
    <w:p w14:paraId="42D17978">
      <w:pPr>
        <w:rPr>
          <w:rFonts w:hint="eastAsia"/>
          <w:color w:val="558ED5" w:themeColor="text2" w:themeTint="99"/>
          <w:lang w:val="en-US" w:eastAsia="zh-CN"/>
          <w14:textFill>
            <w14:solidFill>
              <w14:schemeClr w14:val="tx2">
                <w14:lumMod w14:val="60000"/>
                <w14:lumOff w14:val="40000"/>
              </w14:schemeClr>
            </w14:solidFill>
          </w14:textFill>
        </w:rPr>
      </w:pPr>
      <w:r>
        <w:rPr>
          <w:rFonts w:hint="eastAsia"/>
          <w:color w:val="558ED5" w:themeColor="text2" w:themeTint="99"/>
          <w:lang w:val="en-US" w:eastAsia="zh-CN"/>
          <w14:textFill>
            <w14:solidFill>
              <w14:schemeClr w14:val="tx2">
                <w14:lumMod w14:val="60000"/>
                <w14:lumOff w14:val="40000"/>
              </w14:schemeClr>
            </w14:solidFill>
          </w14:textFill>
        </w:rPr>
        <w:t>根据估算模式，</w:t>
      </w: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本项目产生的大气污染物TSP预测最大地面质量浓度占标率最大值为</w:t>
      </w:r>
      <w:r>
        <w:rPr>
          <w:rFonts w:hint="eastAsia" w:cs="Times New Roman"/>
          <w:color w:val="558ED5" w:themeColor="text2" w:themeTint="99"/>
          <w:highlight w:val="none"/>
          <w:lang w:val="en-US" w:eastAsia="zh-CN"/>
          <w14:textFill>
            <w14:solidFill>
              <w14:schemeClr w14:val="tx2">
                <w14:lumMod w14:val="60000"/>
                <w14:lumOff w14:val="40000"/>
              </w14:schemeClr>
            </w14:solidFill>
          </w14:textFill>
        </w:rPr>
        <w:t>0.11</w:t>
      </w: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r>
        <w:rPr>
          <w:rFonts w:hint="eastAsia" w:cs="Times New Roman"/>
          <w:color w:val="558ED5" w:themeColor="text2" w:themeTint="99"/>
          <w:highlight w:val="none"/>
          <w:lang w:val="en-US" w:eastAsia="zh-CN"/>
          <w14:textFill>
            <w14:solidFill>
              <w14:schemeClr w14:val="tx2">
                <w14:lumMod w14:val="60000"/>
                <w14:lumOff w14:val="40000"/>
              </w14:schemeClr>
            </w14:solidFill>
          </w14:textFill>
        </w:rPr>
        <w:t>，最大落地浓度出现处为181m，成海村位于</w:t>
      </w:r>
      <w:r>
        <w:rPr>
          <w:rFonts w:hint="default" w:ascii="Times New Roman" w:hAnsi="Times New Roman" w:cs="Times New Roman"/>
          <w:color w:val="558ED5" w:themeColor="text2" w:themeTint="99"/>
          <w:lang w:val="en-US" w:eastAsia="zh-CN"/>
          <w14:textFill>
            <w14:solidFill>
              <w14:schemeClr w14:val="tx2">
                <w14:lumMod w14:val="60000"/>
                <w14:lumOff w14:val="40000"/>
              </w14:schemeClr>
            </w14:solidFill>
          </w14:textFill>
        </w:rPr>
        <w:t>边界东侧100m</w:t>
      </w:r>
      <w:r>
        <w:rPr>
          <w:rFonts w:hint="eastAsia" w:ascii="Times New Roman" w:hAnsi="Times New Roman" w:cs="Times New Roman"/>
          <w:color w:val="558ED5" w:themeColor="text2" w:themeTint="99"/>
          <w:lang w:val="en-US" w:eastAsia="zh-CN"/>
          <w14:textFill>
            <w14:solidFill>
              <w14:schemeClr w14:val="tx2">
                <w14:lumMod w14:val="60000"/>
                <w14:lumOff w14:val="40000"/>
              </w14:schemeClr>
            </w14:solidFill>
          </w14:textFill>
        </w:rPr>
        <w:t>处，</w:t>
      </w:r>
      <w:r>
        <w:rPr>
          <w:rFonts w:hint="eastAsia"/>
          <w:color w:val="558ED5" w:themeColor="text2" w:themeTint="99"/>
          <w:lang w:val="en-US" w:eastAsia="zh-CN"/>
          <w14:textFill>
            <w14:solidFill>
              <w14:schemeClr w14:val="tx2">
                <w14:lumMod w14:val="60000"/>
                <w14:lumOff w14:val="40000"/>
              </w14:schemeClr>
            </w14:solidFill>
          </w14:textFill>
        </w:rPr>
        <w:t>鸡西市当地情况，春季易大风，大风天气作业会对城海村产生不利影响。</w:t>
      </w:r>
    </w:p>
    <w:p w14:paraId="7D694458">
      <w:pPr>
        <w:rPr>
          <w:rFonts w:hint="default" w:ascii="Times New Roman" w:hAnsi="Times New Roman" w:cs="Times New Roman"/>
          <w:color w:val="558ED5" w:themeColor="text2" w:themeTint="99"/>
          <w14:textFill>
            <w14:solidFill>
              <w14:schemeClr w14:val="tx2">
                <w14:lumMod w14:val="60000"/>
                <w14:lumOff w14:val="40000"/>
              </w14:schemeClr>
            </w14:solidFill>
          </w14:textFill>
        </w:rPr>
      </w:pPr>
      <w:r>
        <w:rPr>
          <w:rFonts w:hint="eastAsia"/>
          <w:color w:val="558ED5" w:themeColor="text2" w:themeTint="99"/>
          <w:lang w:val="en-US" w:eastAsia="zh-CN"/>
          <w14:textFill>
            <w14:solidFill>
              <w14:schemeClr w14:val="tx2">
                <w14:lumMod w14:val="60000"/>
                <w14:lumOff w14:val="40000"/>
              </w14:schemeClr>
            </w14:solidFill>
          </w14:textFill>
        </w:rPr>
        <w:t>环评要求</w:t>
      </w:r>
      <w:r>
        <w:rPr>
          <w:rFonts w:hint="default" w:ascii="Times New Roman" w:hAnsi="Times New Roman" w:cs="Times New Roman"/>
          <w:color w:val="558ED5" w:themeColor="text2" w:themeTint="99"/>
          <w14:textFill>
            <w14:solidFill>
              <w14:schemeClr w14:val="tx2">
                <w14:lumMod w14:val="60000"/>
                <w14:lumOff w14:val="40000"/>
              </w14:schemeClr>
            </w14:solidFill>
          </w14:textFill>
        </w:rPr>
        <w:t>施工单位应做好如下污染控制工作：</w:t>
      </w:r>
    </w:p>
    <w:p w14:paraId="7D2EB72C">
      <w:pPr>
        <w:pStyle w:val="25"/>
        <w:bidi w:val="0"/>
        <w:rPr>
          <w:rFonts w:hint="default" w:ascii="Times New Roman" w:hAnsi="Times New Roman" w:cs="Times New Roman"/>
          <w:color w:val="558ED5" w:themeColor="text2" w:themeTint="99"/>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14:textFill>
            <w14:solidFill>
              <w14:schemeClr w14:val="tx2">
                <w14:lumMod w14:val="60000"/>
                <w14:lumOff w14:val="40000"/>
              </w14:schemeClr>
            </w14:solidFill>
          </w14:textFill>
        </w:rPr>
        <w:t>合理安排工期，尽量使土石方开挖等对土层扰动大的作业期避开大风季节， 以减轻扬尘源强；场地开挖后的土石方应定点堆放，并对弃土、弃渣等易产生扬尘点采取喷水抑尘措施，特别是在大风季节强化管理，要求大风天停止土石方施工，并做好必要的遮掩覆盖。汽车运输砂石、渣土或其它建筑材料要进行遮盖，必要时采用密闭专用车辆，最大限度减少施工扬尘对</w:t>
      </w:r>
      <w:r>
        <w:rPr>
          <w:rFonts w:hint="default" w:ascii="Times New Roman" w:hAnsi="Times New Roman" w:cs="Times New Roman"/>
          <w:color w:val="558ED5" w:themeColor="text2" w:themeTint="99"/>
          <w:lang w:val="en-US" w:eastAsia="zh-CN"/>
          <w14:textFill>
            <w14:solidFill>
              <w14:schemeClr w14:val="tx2">
                <w14:lumMod w14:val="60000"/>
                <w14:lumOff w14:val="40000"/>
              </w14:schemeClr>
            </w14:solidFill>
          </w14:textFill>
        </w:rPr>
        <w:t>城海村</w:t>
      </w:r>
      <w:r>
        <w:rPr>
          <w:rFonts w:hint="default" w:ascii="Times New Roman" w:hAnsi="Times New Roman" w:cs="Times New Roman"/>
          <w:color w:val="558ED5" w:themeColor="text2" w:themeTint="99"/>
          <w14:textFill>
            <w14:solidFill>
              <w14:schemeClr w14:val="tx2">
                <w14:lumMod w14:val="60000"/>
                <w14:lumOff w14:val="40000"/>
              </w14:schemeClr>
            </w14:solidFill>
          </w14:textFill>
        </w:rPr>
        <w:t>的影响。</w:t>
      </w:r>
    </w:p>
    <w:p w14:paraId="58BB18E1">
      <w:pPr>
        <w:pStyle w:val="25"/>
        <w:bidi w:val="0"/>
        <w:rPr>
          <w:rFonts w:hint="eastAsia" w:ascii="Times New Roman" w:hAnsi="Times New Roman" w:eastAsia="宋体" w:cs="Times New Roman"/>
          <w:color w:val="558ED5" w:themeColor="text2" w:themeTint="99"/>
          <w:lang w:eastAsia="zh-CN"/>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14:textFill>
            <w14:solidFill>
              <w14:schemeClr w14:val="tx2">
                <w14:lumMod w14:val="60000"/>
                <w14:lumOff w14:val="40000"/>
              </w14:schemeClr>
            </w14:solidFill>
          </w14:textFill>
        </w:rPr>
        <w:t>此外，要求施工单位坚持对施工队伍环境教育，提高环境保护意识。 建设期采取上述措施后，</w:t>
      </w:r>
      <w:r>
        <w:rPr>
          <w:rFonts w:hint="eastAsia" w:ascii="Times New Roman" w:hAnsi="Times New Roman" w:cs="Times New Roman"/>
          <w:color w:val="558ED5" w:themeColor="text2" w:themeTint="99"/>
          <w:lang w:val="en-US" w:eastAsia="zh-CN"/>
          <w14:textFill>
            <w14:solidFill>
              <w14:schemeClr w14:val="tx2">
                <w14:lumMod w14:val="60000"/>
                <w14:lumOff w14:val="40000"/>
              </w14:schemeClr>
            </w14:solidFill>
          </w14:textFill>
        </w:rPr>
        <w:t>本项目不利气象条件下对城海村影响较小</w:t>
      </w:r>
      <w:r>
        <w:rPr>
          <w:rFonts w:hint="eastAsia" w:ascii="Times New Roman" w:hAnsi="Times New Roman" w:cs="Times New Roman"/>
          <w:color w:val="558ED5" w:themeColor="text2" w:themeTint="99"/>
          <w:lang w:eastAsia="zh-CN"/>
          <w14:textFill>
            <w14:solidFill>
              <w14:schemeClr w14:val="tx2">
                <w14:lumMod w14:val="60000"/>
                <w14:lumOff w14:val="40000"/>
              </w14:schemeClr>
            </w14:solidFill>
          </w14:textFill>
        </w:rPr>
        <w:t>。</w:t>
      </w:r>
    </w:p>
    <w:p w14:paraId="02C20565">
      <w:pPr>
        <w:pStyle w:val="5"/>
        <w:bidi w:val="0"/>
        <w:rPr>
          <w:rFonts w:hint="default" w:ascii="Times New Roman" w:hAnsi="Times New Roman" w:cs="Times New Roman"/>
          <w:color w:val="auto"/>
          <w:lang w:val="zh-CN" w:eastAsia="zh-CN"/>
        </w:rPr>
      </w:pPr>
      <w:r>
        <w:rPr>
          <w:rFonts w:hint="default" w:ascii="Times New Roman" w:hAnsi="Times New Roman" w:cs="Times New Roman"/>
          <w:color w:val="auto"/>
          <w:lang w:val="en-US" w:eastAsia="zh-CN"/>
        </w:rPr>
        <w:t>5.1.1.</w:t>
      </w:r>
      <w:r>
        <w:rPr>
          <w:rFonts w:hint="eastAsia" w:ascii="Times New Roman" w:hAnsi="Times New Roman" w:cs="Times New Roman"/>
          <w:color w:val="auto"/>
          <w:lang w:val="en-US" w:eastAsia="zh-CN"/>
        </w:rPr>
        <w:t>3</w:t>
      </w:r>
      <w:r>
        <w:rPr>
          <w:rFonts w:hint="default" w:ascii="Times New Roman" w:hAnsi="Times New Roman" w:cs="Times New Roman"/>
          <w:color w:val="auto"/>
          <w:lang w:val="zh-CN" w:eastAsia="zh-CN"/>
        </w:rPr>
        <w:t>大气防护距离</w:t>
      </w:r>
    </w:p>
    <w:p w14:paraId="45D90D77">
      <w:pPr>
        <w:pStyle w:val="25"/>
        <w:bidi w:val="0"/>
        <w:rPr>
          <w:rFonts w:hint="default" w:ascii="Times New Roman" w:hAnsi="Times New Roman" w:cs="Times New Roman"/>
          <w:color w:val="auto"/>
        </w:rPr>
      </w:pPr>
      <w:r>
        <w:rPr>
          <w:rFonts w:hint="default" w:ascii="Times New Roman" w:hAnsi="Times New Roman" w:cs="Times New Roman"/>
          <w:color w:val="auto"/>
        </w:rPr>
        <w:t>根据《环境影响评价技术导则 大气环境》（HJ2.2-2018）中8.7.5.1要求，对于项目厂界浓度满足大气污染物厂界浓度限值，但厂界外大气污染物短期贡献浓度超过环境质量浓度限值的，可以自厂界向外设置一定范围的大气环境防护区域，以确保大气环境防护区域外的污染物贡献浓度满足环境质量标准。</w:t>
      </w:r>
    </w:p>
    <w:p w14:paraId="163EAACD">
      <w:pPr>
        <w:pStyle w:val="25"/>
        <w:bidi w:val="0"/>
        <w:rPr>
          <w:rFonts w:hint="default" w:ascii="Times New Roman" w:hAnsi="Times New Roman" w:cs="Times New Roman"/>
          <w:color w:val="auto"/>
        </w:rPr>
      </w:pPr>
      <w:r>
        <w:rPr>
          <w:rFonts w:hint="default" w:ascii="Times New Roman" w:hAnsi="Times New Roman" w:cs="Times New Roman"/>
          <w:color w:val="auto"/>
        </w:rPr>
        <w:t>根据《环境影响评价技术导则 大气环境》（HJ2.2-2018）中“评价等级判定及大气环境影响预测与评价”的要求，以项目排放的所有污染物经估算模型计算可知，本项目评价工作等级为</w:t>
      </w:r>
      <w:r>
        <w:rPr>
          <w:rFonts w:hint="eastAsia" w:cs="Times New Roman"/>
          <w:color w:val="auto"/>
          <w:lang w:val="en-US" w:eastAsia="zh-CN"/>
        </w:rPr>
        <w:t>三</w:t>
      </w:r>
      <w:r>
        <w:rPr>
          <w:rFonts w:hint="default" w:ascii="Times New Roman" w:hAnsi="Times New Roman" w:cs="Times New Roman"/>
          <w:color w:val="auto"/>
        </w:rPr>
        <w:t>级，不进行进一步预测与评价，厂界外污染物TSP、PM</w:t>
      </w:r>
      <w:r>
        <w:rPr>
          <w:rFonts w:hint="default" w:ascii="Times New Roman" w:hAnsi="Times New Roman" w:cs="Times New Roman"/>
          <w:color w:val="auto"/>
          <w:vertAlign w:val="subscript"/>
        </w:rPr>
        <w:t>10</w:t>
      </w:r>
      <w:r>
        <w:rPr>
          <w:rFonts w:hint="default" w:ascii="Times New Roman" w:hAnsi="Times New Roman" w:cs="Times New Roman"/>
          <w:color w:val="auto"/>
        </w:rPr>
        <w:t>、PM</w:t>
      </w:r>
      <w:r>
        <w:rPr>
          <w:rFonts w:hint="default" w:ascii="Times New Roman" w:hAnsi="Times New Roman" w:cs="Times New Roman"/>
          <w:color w:val="auto"/>
          <w:vertAlign w:val="subscript"/>
        </w:rPr>
        <w:t>2.5</w:t>
      </w:r>
      <w:r>
        <w:rPr>
          <w:rFonts w:hint="default" w:ascii="Times New Roman" w:hAnsi="Times New Roman" w:cs="Times New Roman"/>
          <w:color w:val="auto"/>
        </w:rPr>
        <w:t>短期贡献浓度未超过《环境空气质量标准》（GB3095-2012）及修改单的标准值，项目不设置大气环境防护距离。</w:t>
      </w:r>
    </w:p>
    <w:p w14:paraId="1327EF24">
      <w:pPr>
        <w:pStyle w:val="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5.1.1.</w:t>
      </w:r>
      <w:r>
        <w:rPr>
          <w:rFonts w:hint="eastAsia" w:ascii="Times New Roman" w:hAnsi="Times New Roman" w:cs="Times New Roman"/>
          <w:color w:val="auto"/>
          <w:lang w:val="en-US" w:eastAsia="zh-CN"/>
        </w:rPr>
        <w:t>4</w:t>
      </w:r>
      <w:r>
        <w:rPr>
          <w:rFonts w:hint="default" w:ascii="Times New Roman" w:hAnsi="Times New Roman" w:cs="Times New Roman"/>
          <w:color w:val="auto"/>
          <w:lang w:val="zh-CN" w:eastAsia="zh-CN"/>
        </w:rPr>
        <w:t>大气环境影响分析</w:t>
      </w:r>
      <w:r>
        <w:rPr>
          <w:rFonts w:hint="default" w:ascii="Times New Roman" w:hAnsi="Times New Roman" w:cs="Times New Roman"/>
          <w:color w:val="auto"/>
          <w:lang w:val="en-US" w:eastAsia="zh-CN"/>
        </w:rPr>
        <w:t>结论</w:t>
      </w:r>
    </w:p>
    <w:p w14:paraId="30BB149F">
      <w:pPr>
        <w:pStyle w:val="25"/>
        <w:bidi w:val="0"/>
        <w:rPr>
          <w:rFonts w:hint="default" w:ascii="Times New Roman" w:hAnsi="Times New Roman" w:cs="Times New Roman"/>
          <w:color w:val="auto"/>
        </w:rPr>
      </w:pPr>
      <w:r>
        <w:rPr>
          <w:rFonts w:hint="default" w:ascii="Times New Roman" w:hAnsi="Times New Roman" w:cs="Times New Roman"/>
          <w:color w:val="auto"/>
        </w:rPr>
        <w:t>本项目</w:t>
      </w:r>
      <w:r>
        <w:rPr>
          <w:rFonts w:hint="default" w:ascii="Times New Roman" w:hAnsi="Times New Roman" w:cs="Times New Roman"/>
          <w:color w:val="auto"/>
          <w:lang w:val="en-US" w:eastAsia="zh-CN"/>
        </w:rPr>
        <w:t>施工期</w:t>
      </w:r>
      <w:r>
        <w:rPr>
          <w:rFonts w:hint="default" w:ascii="Times New Roman" w:hAnsi="Times New Roman" w:cs="Times New Roman"/>
          <w:color w:val="auto"/>
        </w:rPr>
        <w:t>机械数量较少，且场地扩散面积较大，机械尾气经扩散后对场区周边环境影响较小。</w:t>
      </w:r>
    </w:p>
    <w:p w14:paraId="3B98E67E">
      <w:pPr>
        <w:pStyle w:val="25"/>
        <w:bidi w:val="0"/>
        <w:rPr>
          <w:rFonts w:hint="default" w:ascii="Times New Roman" w:hAnsi="Times New Roman" w:cs="Times New Roman"/>
          <w:color w:val="auto"/>
        </w:rPr>
      </w:pPr>
      <w:r>
        <w:rPr>
          <w:rFonts w:hint="default" w:ascii="Times New Roman" w:hAnsi="Times New Roman" w:cs="Times New Roman"/>
          <w:color w:val="auto"/>
        </w:rPr>
        <w:t>道路运输过程中扬尘，采用专用密闭运煤矸石车辆，道路采取必要降尘措施，故扬尘产生量</w:t>
      </w:r>
      <w:r>
        <w:rPr>
          <w:rFonts w:hint="default" w:ascii="Times New Roman" w:hAnsi="Times New Roman" w:cs="Times New Roman"/>
          <w:color w:val="auto"/>
          <w:lang w:val="en-US" w:eastAsia="zh-CN"/>
        </w:rPr>
        <w:t>较小</w:t>
      </w:r>
      <w:r>
        <w:rPr>
          <w:rFonts w:hint="default" w:ascii="Times New Roman" w:hAnsi="Times New Roman" w:cs="Times New Roman"/>
          <w:color w:val="auto"/>
        </w:rPr>
        <w:t>。</w:t>
      </w:r>
    </w:p>
    <w:p w14:paraId="5D091315">
      <w:pPr>
        <w:pStyle w:val="25"/>
        <w:bidi w:val="0"/>
        <w:rPr>
          <w:rFonts w:hint="default" w:ascii="Times New Roman" w:hAnsi="Times New Roman" w:cs="Times New Roman"/>
          <w:color w:val="auto"/>
        </w:rPr>
      </w:pPr>
      <w:r>
        <w:rPr>
          <w:rFonts w:hint="default" w:ascii="Times New Roman" w:hAnsi="Times New Roman" w:cs="Times New Roman"/>
          <w:color w:val="auto"/>
        </w:rPr>
        <w:t>回填区分区分块运行，减小堆灰过程的工作面。及时分层碾压和洒水</w:t>
      </w:r>
      <w:r>
        <w:rPr>
          <w:rFonts w:hint="default" w:ascii="Times New Roman" w:hAnsi="Times New Roman" w:cs="Times New Roman"/>
          <w:color w:val="auto"/>
          <w:lang w:eastAsia="zh-CN"/>
        </w:rPr>
        <w:t>。</w:t>
      </w:r>
      <w:r>
        <w:rPr>
          <w:rFonts w:hint="default" w:ascii="Times New Roman" w:hAnsi="Times New Roman" w:cs="Times New Roman"/>
          <w:color w:val="auto"/>
        </w:rPr>
        <w:t>根据估算模型预测计算结果可知，项目</w:t>
      </w:r>
      <w:r>
        <w:rPr>
          <w:rFonts w:hint="default" w:ascii="Times New Roman" w:hAnsi="Times New Roman" w:cs="Times New Roman"/>
          <w:color w:val="auto"/>
          <w:lang w:val="en-US" w:eastAsia="zh-CN"/>
        </w:rPr>
        <w:t>施工扬尘</w:t>
      </w:r>
      <w:r>
        <w:rPr>
          <w:rFonts w:hint="default" w:ascii="Times New Roman" w:hAnsi="Times New Roman" w:cs="Times New Roman"/>
          <w:color w:val="auto"/>
        </w:rPr>
        <w:t>对场地周边大气环境影响较小。</w:t>
      </w:r>
      <w:r>
        <w:rPr>
          <w:rFonts w:hint="default" w:ascii="Times New Roman" w:hAnsi="Times New Roman" w:cs="Times New Roman"/>
          <w:color w:val="auto"/>
          <w:lang w:val="en-US" w:eastAsia="zh-CN"/>
        </w:rPr>
        <w:t>2#项目区</w:t>
      </w:r>
      <w:r>
        <w:rPr>
          <w:rFonts w:hint="default" w:ascii="Times New Roman" w:hAnsi="Times New Roman" w:cs="Times New Roman"/>
          <w:color w:val="auto"/>
        </w:rPr>
        <w:t>最近的保护目标位于</w:t>
      </w:r>
      <w:r>
        <w:rPr>
          <w:rFonts w:hint="default" w:ascii="Times New Roman" w:hAnsi="Times New Roman" w:cs="Times New Roman"/>
          <w:color w:val="auto"/>
          <w:lang w:val="en-US" w:eastAsia="zh-CN"/>
        </w:rPr>
        <w:t>边界东侧100m的城海村</w:t>
      </w:r>
      <w:r>
        <w:rPr>
          <w:rFonts w:hint="default" w:ascii="Times New Roman" w:hAnsi="Times New Roman" w:cs="Times New Roman"/>
          <w:color w:val="auto"/>
          <w:lang w:eastAsia="zh-CN"/>
        </w:rPr>
        <w:t>，</w:t>
      </w:r>
      <w:r>
        <w:rPr>
          <w:rFonts w:hint="default" w:ascii="Times New Roman" w:hAnsi="Times New Roman" w:cs="Times New Roman"/>
          <w:color w:val="auto"/>
        </w:rPr>
        <w:t>且项目区地势平坦，扩散条件较好，通过洒水降尘、及时苫盖、分区回填等措施，对大风等特殊气象条件，停止作业，并加大洒水强度，因此，不会对保护目标处的环境空气产生较大影响，对环境保护目标的影响可接受。</w:t>
      </w:r>
    </w:p>
    <w:p w14:paraId="767A7D93">
      <w:pPr>
        <w:pStyle w:val="5"/>
        <w:bidi w:val="0"/>
        <w:rPr>
          <w:rFonts w:hint="default" w:ascii="Times New Roman" w:hAnsi="Times New Roman" w:cs="Times New Roman"/>
          <w:color w:val="auto"/>
          <w:lang w:val="zh-CN" w:eastAsia="zh-CN"/>
        </w:rPr>
      </w:pPr>
      <w:r>
        <w:rPr>
          <w:rFonts w:hint="default" w:ascii="Times New Roman" w:hAnsi="Times New Roman" w:cs="Times New Roman"/>
          <w:color w:val="auto"/>
          <w:lang w:val="en-US" w:eastAsia="zh-CN"/>
        </w:rPr>
        <w:t>5.1.1.</w:t>
      </w:r>
      <w:r>
        <w:rPr>
          <w:rFonts w:hint="eastAsia" w:ascii="Times New Roman" w:hAnsi="Times New Roman" w:cs="Times New Roman"/>
          <w:color w:val="auto"/>
          <w:lang w:val="en-US" w:eastAsia="zh-CN"/>
        </w:rPr>
        <w:t>5</w:t>
      </w:r>
      <w:r>
        <w:rPr>
          <w:rFonts w:hint="default" w:ascii="Times New Roman" w:hAnsi="Times New Roman" w:cs="Times New Roman"/>
          <w:color w:val="auto"/>
          <w:lang w:val="zh-CN" w:eastAsia="zh-CN"/>
        </w:rPr>
        <w:t>非正常工况</w:t>
      </w:r>
    </w:p>
    <w:p w14:paraId="0BF58D9B">
      <w:pPr>
        <w:pStyle w:val="25"/>
        <w:bidi w:val="0"/>
        <w:rPr>
          <w:rFonts w:hint="default" w:ascii="Times New Roman" w:hAnsi="Times New Roman" w:cs="Times New Roman"/>
          <w:color w:val="auto"/>
        </w:rPr>
      </w:pPr>
      <w:r>
        <w:rPr>
          <w:rFonts w:hint="default" w:ascii="Times New Roman" w:hAnsi="Times New Roman" w:cs="Times New Roman"/>
          <w:color w:val="auto"/>
        </w:rPr>
        <w:t>本项目非正常工况主要为洒水车故障，导致抑尘效率为0%，则非正常工况下，废气源强见下表。</w:t>
      </w:r>
    </w:p>
    <w:p w14:paraId="08FB7784">
      <w:pPr>
        <w:pStyle w:val="27"/>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zh-CN"/>
        </w:rPr>
        <w:t>表</w:t>
      </w:r>
      <w:r>
        <w:rPr>
          <w:rFonts w:hint="default" w:ascii="Times New Roman" w:hAnsi="Times New Roman" w:eastAsia="宋体" w:cs="Times New Roman"/>
          <w:color w:val="auto"/>
          <w:highlight w:val="none"/>
        </w:rPr>
        <w:t>5-</w:t>
      </w:r>
      <w:r>
        <w:rPr>
          <w:rFonts w:hint="default" w:ascii="Times New Roman" w:hAnsi="Times New Roman" w:cs="Times New Roman"/>
          <w:color w:val="auto"/>
          <w:highlight w:val="none"/>
          <w:lang w:val="en-US" w:eastAsia="zh-CN"/>
        </w:rPr>
        <w:t>1</w:t>
      </w:r>
      <w:r>
        <w:rPr>
          <w:rFonts w:hint="default" w:ascii="Times New Roman" w:hAnsi="Times New Roman" w:eastAsia="宋体" w:cs="Times New Roman"/>
          <w:color w:val="auto"/>
          <w:highlight w:val="none"/>
        </w:rPr>
        <w:t>-</w:t>
      </w:r>
      <w:r>
        <w:rPr>
          <w:rFonts w:hint="default" w:ascii="Times New Roman" w:hAnsi="Times New Roman" w:cs="Times New Roman"/>
          <w:color w:val="auto"/>
          <w:highlight w:val="none"/>
          <w:lang w:val="en-US" w:eastAsia="zh-CN"/>
        </w:rPr>
        <w:t>3</w:t>
      </w:r>
      <w:r>
        <w:rPr>
          <w:rFonts w:hint="default" w:ascii="Times New Roman" w:hAnsi="Times New Roman" w:eastAsia="宋体" w:cs="Times New Roman"/>
          <w:color w:val="auto"/>
          <w:highlight w:val="none"/>
          <w:lang w:val="zh-CN"/>
        </w:rPr>
        <w:t>污染源非正常排放量核算表</w:t>
      </w:r>
    </w:p>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89"/>
        <w:gridCol w:w="551"/>
        <w:gridCol w:w="1800"/>
        <w:gridCol w:w="636"/>
        <w:gridCol w:w="1306"/>
        <w:gridCol w:w="1104"/>
        <w:gridCol w:w="788"/>
        <w:gridCol w:w="774"/>
        <w:gridCol w:w="1074"/>
      </w:tblGrid>
      <w:tr w14:paraId="22A0FD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tcBorders>
              <w:tl2br w:val="nil"/>
              <w:tr2bl w:val="nil"/>
            </w:tcBorders>
            <w:vAlign w:val="center"/>
          </w:tcPr>
          <w:p w14:paraId="7E84495C">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eastAsia="zh-CN"/>
              </w:rPr>
              <w:t>序号</w:t>
            </w:r>
          </w:p>
        </w:tc>
        <w:tc>
          <w:tcPr>
            <w:tcW w:w="0" w:type="auto"/>
            <w:tcBorders>
              <w:tl2br w:val="nil"/>
              <w:tr2bl w:val="nil"/>
            </w:tcBorders>
            <w:vAlign w:val="center"/>
          </w:tcPr>
          <w:p w14:paraId="737C7BE7">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rPr>
              <w:t>污染源</w:t>
            </w:r>
          </w:p>
        </w:tc>
        <w:tc>
          <w:tcPr>
            <w:tcW w:w="1800" w:type="dxa"/>
            <w:tcBorders>
              <w:tl2br w:val="nil"/>
              <w:tr2bl w:val="nil"/>
            </w:tcBorders>
            <w:vAlign w:val="center"/>
          </w:tcPr>
          <w:p w14:paraId="14B18C60">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非正常排放原因</w:t>
            </w:r>
          </w:p>
        </w:tc>
        <w:tc>
          <w:tcPr>
            <w:tcW w:w="636" w:type="dxa"/>
            <w:tcBorders>
              <w:tl2br w:val="nil"/>
              <w:tr2bl w:val="nil"/>
            </w:tcBorders>
            <w:vAlign w:val="center"/>
          </w:tcPr>
          <w:p w14:paraId="44A88C0C">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污染物</w:t>
            </w:r>
          </w:p>
        </w:tc>
        <w:tc>
          <w:tcPr>
            <w:tcW w:w="1306" w:type="dxa"/>
            <w:tcBorders>
              <w:tl2br w:val="nil"/>
              <w:tr2bl w:val="nil"/>
            </w:tcBorders>
            <w:vAlign w:val="center"/>
          </w:tcPr>
          <w:p w14:paraId="148EA749">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非正常排放浓度/(μg/m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tc>
        <w:tc>
          <w:tcPr>
            <w:tcW w:w="1104" w:type="dxa"/>
            <w:tcBorders>
              <w:tl2br w:val="nil"/>
              <w:tr2bl w:val="nil"/>
            </w:tcBorders>
            <w:vAlign w:val="center"/>
          </w:tcPr>
          <w:p w14:paraId="77E9B3E4">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非正常排放速率/（kg/h）</w:t>
            </w:r>
          </w:p>
        </w:tc>
        <w:tc>
          <w:tcPr>
            <w:tcW w:w="0" w:type="auto"/>
            <w:tcBorders>
              <w:tl2br w:val="nil"/>
              <w:tr2bl w:val="nil"/>
            </w:tcBorders>
            <w:vAlign w:val="center"/>
          </w:tcPr>
          <w:p w14:paraId="40CA438B">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单次持续时间/h</w:t>
            </w:r>
          </w:p>
        </w:tc>
        <w:tc>
          <w:tcPr>
            <w:tcW w:w="0" w:type="auto"/>
            <w:tcBorders>
              <w:tl2br w:val="nil"/>
              <w:tr2bl w:val="nil"/>
            </w:tcBorders>
            <w:vAlign w:val="center"/>
          </w:tcPr>
          <w:p w14:paraId="21CF4C04">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年发生频次//次</w:t>
            </w:r>
          </w:p>
        </w:tc>
        <w:tc>
          <w:tcPr>
            <w:tcW w:w="0" w:type="auto"/>
            <w:tcBorders>
              <w:tl2br w:val="nil"/>
              <w:tr2bl w:val="nil"/>
            </w:tcBorders>
            <w:vAlign w:val="center"/>
          </w:tcPr>
          <w:p w14:paraId="32186170">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应对措施</w:t>
            </w:r>
          </w:p>
        </w:tc>
      </w:tr>
      <w:tr w14:paraId="16754D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tcBorders>
              <w:tl2br w:val="nil"/>
              <w:tr2bl w:val="nil"/>
            </w:tcBorders>
            <w:vAlign w:val="center"/>
          </w:tcPr>
          <w:p w14:paraId="069E1C94">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w:t>
            </w:r>
          </w:p>
        </w:tc>
        <w:tc>
          <w:tcPr>
            <w:tcW w:w="0" w:type="auto"/>
            <w:tcBorders>
              <w:tl2br w:val="nil"/>
              <w:tr2bl w:val="nil"/>
            </w:tcBorders>
            <w:vAlign w:val="center"/>
          </w:tcPr>
          <w:p w14:paraId="6F7B0006">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回填区</w:t>
            </w:r>
          </w:p>
        </w:tc>
        <w:tc>
          <w:tcPr>
            <w:tcW w:w="1800" w:type="dxa"/>
            <w:tcBorders>
              <w:tl2br w:val="nil"/>
              <w:tr2bl w:val="nil"/>
            </w:tcBorders>
            <w:vAlign w:val="center"/>
          </w:tcPr>
          <w:p w14:paraId="74CF1891">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洒水车故障，洒水抑尘效率0%</w:t>
            </w:r>
          </w:p>
        </w:tc>
        <w:tc>
          <w:tcPr>
            <w:tcW w:w="636" w:type="dxa"/>
            <w:tcBorders>
              <w:tl2br w:val="nil"/>
              <w:tr2bl w:val="nil"/>
            </w:tcBorders>
            <w:vAlign w:val="center"/>
          </w:tcPr>
          <w:p w14:paraId="2E957B54">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TSP</w:t>
            </w:r>
          </w:p>
        </w:tc>
        <w:tc>
          <w:tcPr>
            <w:tcW w:w="1306" w:type="dxa"/>
            <w:tcBorders>
              <w:tl2br w:val="nil"/>
              <w:tr2bl w:val="nil"/>
            </w:tcBorders>
            <w:vAlign w:val="center"/>
          </w:tcPr>
          <w:p w14:paraId="4987D7AE">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104" w:type="dxa"/>
            <w:tcBorders>
              <w:tl2br w:val="nil"/>
              <w:tr2bl w:val="nil"/>
            </w:tcBorders>
            <w:vAlign w:val="center"/>
          </w:tcPr>
          <w:p w14:paraId="6AB17096">
            <w:pPr>
              <w:pStyle w:val="44"/>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0.022</w:t>
            </w:r>
          </w:p>
        </w:tc>
        <w:tc>
          <w:tcPr>
            <w:tcW w:w="0" w:type="auto"/>
            <w:tcBorders>
              <w:tl2br w:val="nil"/>
              <w:tr2bl w:val="nil"/>
            </w:tcBorders>
            <w:vAlign w:val="center"/>
          </w:tcPr>
          <w:p w14:paraId="430A0129">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0" w:type="auto"/>
            <w:tcBorders>
              <w:tl2br w:val="nil"/>
              <w:tr2bl w:val="nil"/>
            </w:tcBorders>
            <w:vAlign w:val="center"/>
          </w:tcPr>
          <w:p w14:paraId="2030A5F5">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0" w:type="auto"/>
            <w:tcBorders>
              <w:tl2br w:val="nil"/>
              <w:tr2bl w:val="nil"/>
            </w:tcBorders>
            <w:vAlign w:val="center"/>
          </w:tcPr>
          <w:p w14:paraId="38E328C3">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及时维修，加强维护</w:t>
            </w:r>
          </w:p>
        </w:tc>
      </w:tr>
    </w:tbl>
    <w:p w14:paraId="5C786D5D">
      <w:pPr>
        <w:pStyle w:val="39"/>
        <w:rPr>
          <w:rFonts w:hint="default" w:ascii="Times New Roman" w:hAnsi="Times New Roman" w:cs="Times New Roman"/>
          <w:color w:val="auto"/>
          <w:highlight w:val="none"/>
        </w:rPr>
      </w:pPr>
      <w:bookmarkStart w:id="286" w:name="_Toc25919"/>
      <w:r>
        <w:rPr>
          <w:rFonts w:hint="default" w:ascii="Times New Roman" w:hAnsi="Times New Roman" w:cs="Times New Roman"/>
          <w:color w:val="auto"/>
          <w:highlight w:val="none"/>
        </w:rPr>
        <w:t>5.1.2施工期</w:t>
      </w:r>
      <w:r>
        <w:rPr>
          <w:rFonts w:hint="default" w:ascii="Times New Roman" w:hAnsi="Times New Roman" w:cs="Times New Roman"/>
          <w:color w:val="auto"/>
          <w:highlight w:val="none"/>
          <w:lang w:val="en-US" w:eastAsia="zh-CN"/>
        </w:rPr>
        <w:t>地表水</w:t>
      </w:r>
      <w:r>
        <w:rPr>
          <w:rFonts w:hint="default" w:ascii="Times New Roman" w:hAnsi="Times New Roman" w:cs="Times New Roman"/>
          <w:color w:val="auto"/>
          <w:highlight w:val="none"/>
        </w:rPr>
        <w:t>水环境影响评价</w:t>
      </w:r>
      <w:bookmarkEnd w:id="286"/>
    </w:p>
    <w:p w14:paraId="13087E20">
      <w:pPr>
        <w:pStyle w:val="25"/>
        <w:bidi w:val="0"/>
        <w:rPr>
          <w:rFonts w:hint="default" w:ascii="Times New Roman" w:hAnsi="Times New Roman" w:cs="Times New Roman"/>
          <w:color w:val="auto"/>
        </w:rPr>
      </w:pPr>
      <w:r>
        <w:rPr>
          <w:rFonts w:hint="default" w:ascii="Times New Roman" w:hAnsi="Times New Roman" w:cs="Times New Roman"/>
          <w:color w:val="auto"/>
        </w:rPr>
        <w:t>本项目</w:t>
      </w:r>
      <w:r>
        <w:rPr>
          <w:rFonts w:hint="default" w:ascii="Times New Roman" w:hAnsi="Times New Roman" w:cs="Times New Roman"/>
          <w:color w:val="auto"/>
          <w:lang w:val="en-US" w:eastAsia="zh-CN"/>
        </w:rPr>
        <w:t>用水主要为</w:t>
      </w:r>
      <w:r>
        <w:rPr>
          <w:rFonts w:hint="default" w:ascii="Times New Roman" w:hAnsi="Times New Roman" w:cs="Times New Roman"/>
          <w:color w:val="auto"/>
        </w:rPr>
        <w:t>道路洒水和矸石回填工作面抑尘洒水</w:t>
      </w:r>
      <w:r>
        <w:rPr>
          <w:rFonts w:hint="default" w:ascii="Times New Roman" w:hAnsi="Times New Roman" w:cs="Times New Roman"/>
          <w:color w:val="auto"/>
          <w:lang w:eastAsia="zh-CN"/>
        </w:rPr>
        <w:t>，</w:t>
      </w:r>
      <w:r>
        <w:rPr>
          <w:rFonts w:hint="default" w:ascii="Times New Roman" w:hAnsi="Times New Roman" w:cs="Times New Roman"/>
          <w:color w:val="auto"/>
        </w:rPr>
        <w:t>现场不设机械和车辆冲洗装置，不设置生活区</w:t>
      </w:r>
      <w:r>
        <w:rPr>
          <w:rFonts w:hint="default" w:ascii="Times New Roman" w:hAnsi="Times New Roman" w:cs="Times New Roman"/>
          <w:color w:val="auto"/>
          <w:lang w:eastAsia="zh-CN"/>
        </w:rPr>
        <w:t>，</w:t>
      </w:r>
      <w:r>
        <w:rPr>
          <w:rFonts w:hint="default" w:ascii="Times New Roman" w:hAnsi="Times New Roman" w:cs="Times New Roman"/>
          <w:color w:val="auto"/>
        </w:rPr>
        <w:t>废水主要</w:t>
      </w:r>
      <w:r>
        <w:rPr>
          <w:rFonts w:hint="default" w:ascii="Times New Roman" w:hAnsi="Times New Roman" w:cs="Times New Roman"/>
          <w:color w:val="auto"/>
          <w:lang w:val="en-US" w:eastAsia="zh-CN"/>
        </w:rPr>
        <w:t>为</w:t>
      </w:r>
      <w:r>
        <w:rPr>
          <w:rFonts w:hint="default" w:ascii="Times New Roman" w:hAnsi="Times New Roman" w:cs="Times New Roman"/>
          <w:color w:val="auto"/>
        </w:rPr>
        <w:t>施工废水</w:t>
      </w:r>
      <w:r>
        <w:rPr>
          <w:rFonts w:hint="default" w:ascii="Times New Roman" w:hAnsi="Times New Roman" w:cs="Times New Roman"/>
          <w:color w:val="auto"/>
          <w:lang w:eastAsia="zh-CN"/>
        </w:rPr>
        <w:t>，</w:t>
      </w:r>
    </w:p>
    <w:p w14:paraId="448BEA5F">
      <w:pPr>
        <w:pStyle w:val="25"/>
        <w:bidi w:val="0"/>
        <w:rPr>
          <w:rFonts w:hint="default" w:ascii="Times New Roman" w:hAnsi="Times New Roman" w:cs="Times New Roman"/>
          <w:color w:val="auto"/>
        </w:rPr>
      </w:pPr>
      <w:r>
        <w:rPr>
          <w:rFonts w:hint="default" w:ascii="Times New Roman" w:hAnsi="Times New Roman" w:cs="Times New Roman"/>
          <w:color w:val="auto"/>
        </w:rPr>
        <w:t>在施工场地内设置临时沉淀池，对施工废水进行沉淀后回用洒水降尘。</w:t>
      </w:r>
    </w:p>
    <w:p w14:paraId="46AB2324">
      <w:pPr>
        <w:pStyle w:val="25"/>
        <w:bidi w:val="0"/>
        <w:rPr>
          <w:rFonts w:hint="default" w:ascii="Times New Roman" w:hAnsi="Times New Roman" w:cs="Times New Roman"/>
          <w:color w:val="auto"/>
        </w:rPr>
      </w:pPr>
      <w:r>
        <w:rPr>
          <w:rFonts w:hint="default" w:ascii="Times New Roman" w:hAnsi="Times New Roman" w:cs="Times New Roman"/>
          <w:color w:val="auto"/>
        </w:rPr>
        <w:t>综上，本项目施工期产生废水经相应措施处理后均不外排，不会对周围水环 境造成影响。</w:t>
      </w:r>
    </w:p>
    <w:p w14:paraId="2E6FF3BF">
      <w:pPr>
        <w:pStyle w:val="39"/>
        <w:rPr>
          <w:rFonts w:hint="default" w:ascii="Times New Roman" w:hAnsi="Times New Roman" w:cs="Times New Roman"/>
          <w:color w:val="auto"/>
          <w:highlight w:val="none"/>
        </w:rPr>
      </w:pPr>
      <w:bookmarkStart w:id="287" w:name="_Toc848"/>
      <w:r>
        <w:rPr>
          <w:rFonts w:hint="default" w:ascii="Times New Roman" w:hAnsi="Times New Roman" w:cs="Times New Roman"/>
          <w:color w:val="auto"/>
          <w:highlight w:val="none"/>
        </w:rPr>
        <w:t>5.1.3施工期噪声环境影响评价</w:t>
      </w:r>
      <w:bookmarkEnd w:id="287"/>
    </w:p>
    <w:p w14:paraId="39E24CF2">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sz w:val="24"/>
          <w:szCs w:val="22"/>
          <w:highlight w:val="none"/>
        </w:rPr>
        <w:t>施工期噪声源主要可分为机械噪声和施工车辆噪声。机械噪声主要由施工机械所造成的，如挖土机、装载机、推土机等，多为点源噪声源；</w:t>
      </w:r>
      <w:r>
        <w:rPr>
          <w:rFonts w:hint="default" w:ascii="Times New Roman" w:hAnsi="Times New Roman" w:cs="Times New Roman"/>
          <w:color w:val="auto"/>
          <w:highlight w:val="none"/>
        </w:rPr>
        <w:t>依据主要噪声设备噪声源强，考虑室外声波传播条件、气象参数及有关资料，采用《环境影响评价技术导则 声环境》(HJ2.4-2021）中推荐的预测方法进行预测。</w:t>
      </w:r>
    </w:p>
    <w:p w14:paraId="580BD862">
      <w:pPr>
        <w:pStyle w:val="5"/>
        <w:bidi w:val="0"/>
        <w:rPr>
          <w:rFonts w:hint="default" w:ascii="Times New Roman" w:hAnsi="Times New Roman" w:cs="Times New Roman"/>
          <w:color w:val="auto"/>
        </w:rPr>
      </w:pPr>
      <w:r>
        <w:rPr>
          <w:rFonts w:hint="default" w:ascii="Times New Roman" w:hAnsi="Times New Roman" w:cs="Times New Roman"/>
          <w:color w:val="auto"/>
        </w:rPr>
        <w:t>5.</w:t>
      </w:r>
      <w:r>
        <w:rPr>
          <w:rFonts w:hint="default" w:ascii="Times New Roman" w:hAnsi="Times New Roman" w:cs="Times New Roman"/>
          <w:color w:val="auto"/>
          <w:lang w:val="en-US" w:eastAsia="zh-CN"/>
        </w:rPr>
        <w:t>1.3</w:t>
      </w:r>
      <w:r>
        <w:rPr>
          <w:rFonts w:hint="default" w:ascii="Times New Roman" w:hAnsi="Times New Roman" w:cs="Times New Roman"/>
          <w:color w:val="auto"/>
        </w:rPr>
        <w:t>.1噪声源强</w:t>
      </w:r>
    </w:p>
    <w:p w14:paraId="65DC3DB3">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2#项目区</w:t>
      </w:r>
      <w:r>
        <w:rPr>
          <w:rFonts w:hint="default" w:ascii="Times New Roman" w:hAnsi="Times New Roman" w:cs="Times New Roman"/>
          <w:color w:val="auto"/>
          <w:highlight w:val="none"/>
        </w:rPr>
        <w:t>产生噪声的设备主要有洒水车和作业机械。</w:t>
      </w:r>
    </w:p>
    <w:p w14:paraId="3DFDDB18">
      <w:pPr>
        <w:pStyle w:val="5"/>
        <w:bidi w:val="0"/>
        <w:rPr>
          <w:rFonts w:hint="default" w:ascii="Times New Roman" w:hAnsi="Times New Roman" w:cs="Times New Roman"/>
          <w:color w:val="auto"/>
        </w:rPr>
      </w:pPr>
      <w:r>
        <w:rPr>
          <w:rFonts w:hint="default" w:ascii="Times New Roman" w:hAnsi="Times New Roman" w:cs="Times New Roman"/>
          <w:color w:val="auto"/>
        </w:rPr>
        <w:t>5.</w:t>
      </w:r>
      <w:r>
        <w:rPr>
          <w:rFonts w:hint="default" w:ascii="Times New Roman" w:hAnsi="Times New Roman" w:cs="Times New Roman"/>
          <w:color w:val="auto"/>
          <w:lang w:val="en-US" w:eastAsia="zh-CN"/>
        </w:rPr>
        <w:t>1.3</w:t>
      </w:r>
      <w:r>
        <w:rPr>
          <w:rFonts w:hint="default" w:ascii="Times New Roman" w:hAnsi="Times New Roman" w:cs="Times New Roman"/>
          <w:color w:val="auto"/>
        </w:rPr>
        <w:t>.2噪声影响预测与分析</w:t>
      </w:r>
    </w:p>
    <w:p w14:paraId="4A5E5A2C">
      <w:pPr>
        <w:pStyle w:val="25"/>
        <w:ind w:firstLine="48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1、环境数据</w:t>
      </w:r>
    </w:p>
    <w:p w14:paraId="58C53FC5">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噪声环境影响预测基础数据见下表。</w:t>
      </w:r>
    </w:p>
    <w:p w14:paraId="49B5840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表5-</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项目噪声环境影响预测基础数据表</w:t>
      </w:r>
    </w:p>
    <w:tbl>
      <w:tblPr>
        <w:tblStyle w:val="20"/>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75"/>
        <w:gridCol w:w="2233"/>
        <w:gridCol w:w="1703"/>
        <w:gridCol w:w="1703"/>
        <w:gridCol w:w="1703"/>
      </w:tblGrid>
      <w:tr w14:paraId="592A7E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6" w:hRule="exact"/>
          <w:jc w:val="center"/>
        </w:trPr>
        <w:tc>
          <w:tcPr>
            <w:tcW w:w="689" w:type="pct"/>
            <w:tcBorders>
              <w:tl2br w:val="nil"/>
              <w:tr2bl w:val="nil"/>
            </w:tcBorders>
            <w:vAlign w:val="center"/>
          </w:tcPr>
          <w:p w14:paraId="0018856C">
            <w:pPr>
              <w:pStyle w:val="44"/>
              <w:bidi w:val="0"/>
              <w:rPr>
                <w:rFonts w:hint="default" w:ascii="Times New Roman" w:hAnsi="Times New Roman" w:cs="Times New Roman"/>
                <w:color w:val="auto"/>
              </w:rPr>
            </w:pPr>
            <w:r>
              <w:rPr>
                <w:rFonts w:hint="default" w:ascii="Times New Roman" w:hAnsi="Times New Roman" w:cs="Times New Roman"/>
                <w:color w:val="auto"/>
              </w:rPr>
              <w:t>序号</w:t>
            </w:r>
          </w:p>
        </w:tc>
        <w:tc>
          <w:tcPr>
            <w:tcW w:w="1310" w:type="pct"/>
            <w:tcBorders>
              <w:tl2br w:val="nil"/>
              <w:tr2bl w:val="nil"/>
            </w:tcBorders>
            <w:vAlign w:val="center"/>
          </w:tcPr>
          <w:p w14:paraId="60E95088">
            <w:pPr>
              <w:pStyle w:val="44"/>
              <w:bidi w:val="0"/>
              <w:rPr>
                <w:rFonts w:hint="default" w:ascii="Times New Roman" w:hAnsi="Times New Roman" w:cs="Times New Roman"/>
                <w:color w:val="auto"/>
              </w:rPr>
            </w:pPr>
            <w:r>
              <w:rPr>
                <w:rFonts w:hint="default" w:ascii="Times New Roman" w:hAnsi="Times New Roman" w:cs="Times New Roman"/>
                <w:color w:val="auto"/>
              </w:rPr>
              <w:t>名称</w:t>
            </w:r>
          </w:p>
        </w:tc>
        <w:tc>
          <w:tcPr>
            <w:tcW w:w="999" w:type="pct"/>
            <w:tcBorders>
              <w:tl2br w:val="nil"/>
              <w:tr2bl w:val="nil"/>
            </w:tcBorders>
            <w:vAlign w:val="center"/>
          </w:tcPr>
          <w:p w14:paraId="309F23EC">
            <w:pPr>
              <w:pStyle w:val="44"/>
              <w:bidi w:val="0"/>
              <w:rPr>
                <w:rFonts w:hint="default" w:ascii="Times New Roman" w:hAnsi="Times New Roman" w:cs="Times New Roman"/>
                <w:color w:val="auto"/>
              </w:rPr>
            </w:pPr>
            <w:r>
              <w:rPr>
                <w:rFonts w:hint="default" w:ascii="Times New Roman" w:hAnsi="Times New Roman" w:cs="Times New Roman"/>
                <w:color w:val="auto"/>
              </w:rPr>
              <w:t>单位</w:t>
            </w:r>
          </w:p>
        </w:tc>
        <w:tc>
          <w:tcPr>
            <w:tcW w:w="999" w:type="pct"/>
            <w:tcBorders>
              <w:tl2br w:val="nil"/>
              <w:tr2bl w:val="nil"/>
            </w:tcBorders>
            <w:vAlign w:val="center"/>
          </w:tcPr>
          <w:p w14:paraId="5B4B154D">
            <w:pPr>
              <w:pStyle w:val="44"/>
              <w:bidi w:val="0"/>
              <w:rPr>
                <w:rFonts w:hint="default" w:ascii="Times New Roman" w:hAnsi="Times New Roman" w:cs="Times New Roman"/>
                <w:color w:val="auto"/>
              </w:rPr>
            </w:pPr>
            <w:r>
              <w:rPr>
                <w:rFonts w:hint="default" w:ascii="Times New Roman" w:hAnsi="Times New Roman" w:cs="Times New Roman"/>
                <w:color w:val="auto"/>
              </w:rPr>
              <w:t>数据</w:t>
            </w:r>
          </w:p>
        </w:tc>
        <w:tc>
          <w:tcPr>
            <w:tcW w:w="999" w:type="pct"/>
            <w:tcBorders>
              <w:tl2br w:val="nil"/>
              <w:tr2bl w:val="nil"/>
            </w:tcBorders>
            <w:vAlign w:val="center"/>
          </w:tcPr>
          <w:p w14:paraId="6D49BDA9">
            <w:pPr>
              <w:pStyle w:val="44"/>
              <w:bidi w:val="0"/>
              <w:rPr>
                <w:rFonts w:hint="default" w:ascii="Times New Roman" w:hAnsi="Times New Roman" w:cs="Times New Roman"/>
                <w:color w:val="auto"/>
              </w:rPr>
            </w:pPr>
            <w:r>
              <w:rPr>
                <w:rFonts w:hint="default" w:ascii="Times New Roman" w:hAnsi="Times New Roman" w:cs="Times New Roman"/>
                <w:color w:val="auto"/>
              </w:rPr>
              <w:t>备注</w:t>
            </w:r>
          </w:p>
        </w:tc>
      </w:tr>
      <w:tr w14:paraId="7067CA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89" w:type="pct"/>
            <w:tcBorders>
              <w:tl2br w:val="nil"/>
              <w:tr2bl w:val="nil"/>
            </w:tcBorders>
            <w:shd w:val="clear" w:color="auto" w:fill="FFFFFF"/>
            <w:vAlign w:val="center"/>
          </w:tcPr>
          <w:p w14:paraId="5214F4AD">
            <w:pPr>
              <w:pStyle w:val="44"/>
              <w:bidi w:val="0"/>
              <w:rPr>
                <w:rFonts w:hint="default" w:ascii="Times New Roman" w:hAnsi="Times New Roman" w:cs="Times New Roman"/>
                <w:color w:val="auto"/>
              </w:rPr>
            </w:pPr>
            <w:r>
              <w:rPr>
                <w:rFonts w:hint="default" w:ascii="Times New Roman" w:hAnsi="Times New Roman" w:cs="Times New Roman"/>
                <w:color w:val="auto"/>
              </w:rPr>
              <w:t>1</w:t>
            </w:r>
          </w:p>
        </w:tc>
        <w:tc>
          <w:tcPr>
            <w:tcW w:w="1310" w:type="pct"/>
            <w:tcBorders>
              <w:tl2br w:val="nil"/>
              <w:tr2bl w:val="nil"/>
            </w:tcBorders>
            <w:shd w:val="clear" w:color="auto" w:fill="FFFFFF"/>
            <w:vAlign w:val="center"/>
          </w:tcPr>
          <w:p w14:paraId="3DA222EA">
            <w:pPr>
              <w:pStyle w:val="44"/>
              <w:bidi w:val="0"/>
              <w:rPr>
                <w:rFonts w:hint="default" w:ascii="Times New Roman" w:hAnsi="Times New Roman" w:cs="Times New Roman"/>
                <w:color w:val="auto"/>
              </w:rPr>
            </w:pPr>
            <w:r>
              <w:rPr>
                <w:rFonts w:hint="default" w:ascii="Times New Roman" w:hAnsi="Times New Roman" w:cs="Times New Roman"/>
                <w:color w:val="auto"/>
              </w:rPr>
              <w:t>年平均风速</w:t>
            </w:r>
          </w:p>
        </w:tc>
        <w:tc>
          <w:tcPr>
            <w:tcW w:w="999" w:type="pct"/>
            <w:tcBorders>
              <w:tl2br w:val="nil"/>
              <w:tr2bl w:val="nil"/>
            </w:tcBorders>
            <w:shd w:val="clear" w:color="auto" w:fill="FFFFFF"/>
            <w:vAlign w:val="center"/>
          </w:tcPr>
          <w:p w14:paraId="570573BF">
            <w:pPr>
              <w:pStyle w:val="44"/>
              <w:bidi w:val="0"/>
              <w:rPr>
                <w:rFonts w:hint="default" w:ascii="Times New Roman" w:hAnsi="Times New Roman" w:cs="Times New Roman"/>
                <w:color w:val="auto"/>
              </w:rPr>
            </w:pPr>
            <w:r>
              <w:rPr>
                <w:rFonts w:hint="default" w:ascii="Times New Roman" w:hAnsi="Times New Roman" w:cs="Times New Roman"/>
                <w:color w:val="auto"/>
              </w:rPr>
              <w:t>m/s</w:t>
            </w:r>
          </w:p>
        </w:tc>
        <w:tc>
          <w:tcPr>
            <w:tcW w:w="999" w:type="pct"/>
            <w:tcBorders>
              <w:tl2br w:val="nil"/>
              <w:tr2bl w:val="nil"/>
            </w:tcBorders>
            <w:shd w:val="clear" w:color="auto" w:fill="FFFFFF"/>
            <w:vAlign w:val="center"/>
          </w:tcPr>
          <w:p w14:paraId="10D45CA6">
            <w:pPr>
              <w:pStyle w:val="44"/>
              <w:bidi w:val="0"/>
              <w:rPr>
                <w:rFonts w:hint="default" w:ascii="Times New Roman" w:hAnsi="Times New Roman" w:cs="Times New Roman"/>
                <w:color w:val="auto"/>
                <w:lang w:eastAsia="zh-CN"/>
              </w:rPr>
            </w:pPr>
            <w:r>
              <w:rPr>
                <w:rFonts w:hint="default" w:ascii="Times New Roman" w:hAnsi="Times New Roman" w:cs="Times New Roman"/>
                <w:color w:val="auto"/>
              </w:rPr>
              <w:t>3.</w:t>
            </w:r>
            <w:r>
              <w:rPr>
                <w:rFonts w:hint="default" w:ascii="Times New Roman" w:hAnsi="Times New Roman" w:cs="Times New Roman"/>
                <w:color w:val="auto"/>
                <w:lang w:val="en-US" w:eastAsia="zh-CN"/>
              </w:rPr>
              <w:t>5</w:t>
            </w:r>
          </w:p>
        </w:tc>
        <w:tc>
          <w:tcPr>
            <w:tcW w:w="999" w:type="pct"/>
            <w:tcBorders>
              <w:tl2br w:val="nil"/>
              <w:tr2bl w:val="nil"/>
            </w:tcBorders>
            <w:shd w:val="clear" w:color="auto" w:fill="FFFFFF"/>
            <w:vAlign w:val="center"/>
          </w:tcPr>
          <w:p w14:paraId="2222CB94">
            <w:pPr>
              <w:pStyle w:val="44"/>
              <w:bidi w:val="0"/>
              <w:rPr>
                <w:rFonts w:hint="default" w:ascii="Times New Roman" w:hAnsi="Times New Roman" w:cs="Times New Roman"/>
                <w:color w:val="auto"/>
              </w:rPr>
            </w:pPr>
          </w:p>
        </w:tc>
      </w:tr>
      <w:tr w14:paraId="77C120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89" w:type="pct"/>
            <w:tcBorders>
              <w:tl2br w:val="nil"/>
              <w:tr2bl w:val="nil"/>
            </w:tcBorders>
            <w:shd w:val="clear" w:color="auto" w:fill="FFFFFF"/>
            <w:vAlign w:val="center"/>
          </w:tcPr>
          <w:p w14:paraId="19E7032E">
            <w:pPr>
              <w:pStyle w:val="44"/>
              <w:bidi w:val="0"/>
              <w:rPr>
                <w:rFonts w:hint="default" w:ascii="Times New Roman" w:hAnsi="Times New Roman" w:cs="Times New Roman"/>
                <w:color w:val="auto"/>
              </w:rPr>
            </w:pPr>
            <w:r>
              <w:rPr>
                <w:rFonts w:hint="default" w:ascii="Times New Roman" w:hAnsi="Times New Roman" w:cs="Times New Roman"/>
                <w:color w:val="auto"/>
              </w:rPr>
              <w:t>2</w:t>
            </w:r>
          </w:p>
        </w:tc>
        <w:tc>
          <w:tcPr>
            <w:tcW w:w="1310" w:type="pct"/>
            <w:tcBorders>
              <w:tl2br w:val="nil"/>
              <w:tr2bl w:val="nil"/>
            </w:tcBorders>
            <w:shd w:val="clear" w:color="auto" w:fill="FFFFFF"/>
            <w:vAlign w:val="center"/>
          </w:tcPr>
          <w:p w14:paraId="7317D35E">
            <w:pPr>
              <w:pStyle w:val="44"/>
              <w:bidi w:val="0"/>
              <w:rPr>
                <w:rFonts w:hint="default" w:ascii="Times New Roman" w:hAnsi="Times New Roman" w:cs="Times New Roman"/>
                <w:color w:val="auto"/>
              </w:rPr>
            </w:pPr>
            <w:r>
              <w:rPr>
                <w:rFonts w:hint="default" w:ascii="Times New Roman" w:hAnsi="Times New Roman" w:cs="Times New Roman"/>
                <w:color w:val="auto"/>
              </w:rPr>
              <w:t>主导风向</w:t>
            </w:r>
          </w:p>
        </w:tc>
        <w:tc>
          <w:tcPr>
            <w:tcW w:w="999" w:type="pct"/>
            <w:tcBorders>
              <w:tl2br w:val="nil"/>
              <w:tr2bl w:val="nil"/>
            </w:tcBorders>
            <w:shd w:val="clear" w:color="auto" w:fill="FFFFFF"/>
            <w:vAlign w:val="center"/>
          </w:tcPr>
          <w:p w14:paraId="05447D0B">
            <w:pPr>
              <w:pStyle w:val="44"/>
              <w:bidi w:val="0"/>
              <w:rPr>
                <w:rFonts w:hint="default" w:ascii="Times New Roman" w:hAnsi="Times New Roman" w:cs="Times New Roman"/>
                <w:color w:val="auto"/>
              </w:rPr>
            </w:pPr>
            <w:r>
              <w:rPr>
                <w:rFonts w:hint="default" w:ascii="Times New Roman" w:hAnsi="Times New Roman" w:cs="Times New Roman"/>
                <w:color w:val="auto"/>
              </w:rPr>
              <w:t>/</w:t>
            </w:r>
          </w:p>
        </w:tc>
        <w:tc>
          <w:tcPr>
            <w:tcW w:w="999" w:type="pct"/>
            <w:tcBorders>
              <w:tl2br w:val="nil"/>
              <w:tr2bl w:val="nil"/>
            </w:tcBorders>
            <w:shd w:val="clear" w:color="auto" w:fill="FFFFFF"/>
            <w:vAlign w:val="center"/>
          </w:tcPr>
          <w:p w14:paraId="11AF2EE3">
            <w:pPr>
              <w:pStyle w:val="44"/>
              <w:bidi w:val="0"/>
              <w:rPr>
                <w:rFonts w:hint="default" w:ascii="Times New Roman" w:hAnsi="Times New Roman" w:cs="Times New Roman"/>
                <w:color w:val="auto"/>
              </w:rPr>
            </w:pPr>
            <w:r>
              <w:rPr>
                <w:rFonts w:hint="default" w:ascii="Times New Roman" w:hAnsi="Times New Roman" w:cs="Times New Roman"/>
                <w:color w:val="auto"/>
              </w:rPr>
              <w:t>W</w:t>
            </w:r>
          </w:p>
        </w:tc>
        <w:tc>
          <w:tcPr>
            <w:tcW w:w="999" w:type="pct"/>
            <w:tcBorders>
              <w:tl2br w:val="nil"/>
              <w:tr2bl w:val="nil"/>
            </w:tcBorders>
            <w:shd w:val="clear" w:color="auto" w:fill="FFFFFF"/>
            <w:vAlign w:val="center"/>
          </w:tcPr>
          <w:p w14:paraId="17E88251">
            <w:pPr>
              <w:pStyle w:val="44"/>
              <w:bidi w:val="0"/>
              <w:rPr>
                <w:rFonts w:hint="default" w:ascii="Times New Roman" w:hAnsi="Times New Roman" w:cs="Times New Roman"/>
                <w:color w:val="auto"/>
              </w:rPr>
            </w:pPr>
          </w:p>
        </w:tc>
      </w:tr>
      <w:tr w14:paraId="588AB0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89" w:type="pct"/>
            <w:tcBorders>
              <w:tl2br w:val="nil"/>
              <w:tr2bl w:val="nil"/>
            </w:tcBorders>
            <w:shd w:val="clear" w:color="auto" w:fill="FFFFFF"/>
            <w:vAlign w:val="center"/>
          </w:tcPr>
          <w:p w14:paraId="5D429637">
            <w:pPr>
              <w:pStyle w:val="44"/>
              <w:bidi w:val="0"/>
              <w:rPr>
                <w:rFonts w:hint="default" w:ascii="Times New Roman" w:hAnsi="Times New Roman" w:cs="Times New Roman"/>
                <w:color w:val="auto"/>
              </w:rPr>
            </w:pPr>
            <w:r>
              <w:rPr>
                <w:rFonts w:hint="default" w:ascii="Times New Roman" w:hAnsi="Times New Roman" w:cs="Times New Roman"/>
                <w:color w:val="auto"/>
              </w:rPr>
              <w:t>3</w:t>
            </w:r>
          </w:p>
        </w:tc>
        <w:tc>
          <w:tcPr>
            <w:tcW w:w="1310" w:type="pct"/>
            <w:tcBorders>
              <w:tl2br w:val="nil"/>
              <w:tr2bl w:val="nil"/>
            </w:tcBorders>
            <w:shd w:val="clear" w:color="auto" w:fill="FFFFFF"/>
            <w:vAlign w:val="center"/>
          </w:tcPr>
          <w:p w14:paraId="3A0170EA">
            <w:pPr>
              <w:pStyle w:val="44"/>
              <w:bidi w:val="0"/>
              <w:rPr>
                <w:rFonts w:hint="default" w:ascii="Times New Roman" w:hAnsi="Times New Roman" w:cs="Times New Roman"/>
                <w:color w:val="auto"/>
              </w:rPr>
            </w:pPr>
            <w:r>
              <w:rPr>
                <w:rFonts w:hint="default" w:ascii="Times New Roman" w:hAnsi="Times New Roman" w:cs="Times New Roman"/>
                <w:color w:val="auto"/>
              </w:rPr>
              <w:t>年平均气温</w:t>
            </w:r>
          </w:p>
        </w:tc>
        <w:tc>
          <w:tcPr>
            <w:tcW w:w="999" w:type="pct"/>
            <w:tcBorders>
              <w:tl2br w:val="nil"/>
              <w:tr2bl w:val="nil"/>
            </w:tcBorders>
            <w:shd w:val="clear" w:color="auto" w:fill="FFFFFF"/>
            <w:vAlign w:val="center"/>
          </w:tcPr>
          <w:p w14:paraId="5BBBD517">
            <w:pPr>
              <w:pStyle w:val="44"/>
              <w:bidi w:val="0"/>
              <w:rPr>
                <w:rFonts w:hint="default" w:ascii="Times New Roman" w:hAnsi="Times New Roman" w:cs="Times New Roman"/>
                <w:color w:val="auto"/>
              </w:rPr>
            </w:pPr>
            <w:r>
              <w:rPr>
                <w:rFonts w:hint="default" w:ascii="Times New Roman" w:hAnsi="Times New Roman" w:cs="Times New Roman"/>
                <w:color w:val="auto"/>
              </w:rPr>
              <w:t>℃</w:t>
            </w:r>
          </w:p>
        </w:tc>
        <w:tc>
          <w:tcPr>
            <w:tcW w:w="999" w:type="pct"/>
            <w:tcBorders>
              <w:tl2br w:val="nil"/>
              <w:tr2bl w:val="nil"/>
            </w:tcBorders>
            <w:shd w:val="clear" w:color="auto" w:fill="FFFFFF"/>
            <w:vAlign w:val="center"/>
          </w:tcPr>
          <w:p w14:paraId="71329213">
            <w:pPr>
              <w:pStyle w:val="44"/>
              <w:bidi w:val="0"/>
              <w:rPr>
                <w:rFonts w:hint="default" w:ascii="Times New Roman" w:hAnsi="Times New Roman" w:cs="Times New Roman"/>
                <w:color w:val="auto"/>
              </w:rPr>
            </w:pPr>
            <w:r>
              <w:rPr>
                <w:rFonts w:hint="default" w:ascii="Times New Roman" w:hAnsi="Times New Roman" w:cs="Times New Roman"/>
                <w:color w:val="auto"/>
              </w:rPr>
              <w:t>4.9</w:t>
            </w:r>
          </w:p>
        </w:tc>
        <w:tc>
          <w:tcPr>
            <w:tcW w:w="999" w:type="pct"/>
            <w:tcBorders>
              <w:tl2br w:val="nil"/>
              <w:tr2bl w:val="nil"/>
            </w:tcBorders>
            <w:shd w:val="clear" w:color="auto" w:fill="FFFFFF"/>
            <w:vAlign w:val="center"/>
          </w:tcPr>
          <w:p w14:paraId="5E0C66E9">
            <w:pPr>
              <w:pStyle w:val="44"/>
              <w:bidi w:val="0"/>
              <w:rPr>
                <w:rFonts w:hint="default" w:ascii="Times New Roman" w:hAnsi="Times New Roman" w:cs="Times New Roman"/>
                <w:color w:val="auto"/>
              </w:rPr>
            </w:pPr>
          </w:p>
        </w:tc>
      </w:tr>
      <w:tr w14:paraId="73303C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89" w:type="pct"/>
            <w:tcBorders>
              <w:tl2br w:val="nil"/>
              <w:tr2bl w:val="nil"/>
            </w:tcBorders>
            <w:shd w:val="clear" w:color="auto" w:fill="FFFFFF"/>
            <w:vAlign w:val="center"/>
          </w:tcPr>
          <w:p w14:paraId="5CEBA994">
            <w:pPr>
              <w:pStyle w:val="44"/>
              <w:bidi w:val="0"/>
              <w:rPr>
                <w:rFonts w:hint="default" w:ascii="Times New Roman" w:hAnsi="Times New Roman" w:cs="Times New Roman"/>
                <w:color w:val="auto"/>
              </w:rPr>
            </w:pPr>
            <w:r>
              <w:rPr>
                <w:rFonts w:hint="default" w:ascii="Times New Roman" w:hAnsi="Times New Roman" w:cs="Times New Roman"/>
                <w:color w:val="auto"/>
              </w:rPr>
              <w:t>4</w:t>
            </w:r>
          </w:p>
        </w:tc>
        <w:tc>
          <w:tcPr>
            <w:tcW w:w="1310" w:type="pct"/>
            <w:tcBorders>
              <w:tl2br w:val="nil"/>
              <w:tr2bl w:val="nil"/>
            </w:tcBorders>
            <w:shd w:val="clear" w:color="auto" w:fill="FFFFFF"/>
            <w:vAlign w:val="center"/>
          </w:tcPr>
          <w:p w14:paraId="491BDAE8">
            <w:pPr>
              <w:pStyle w:val="44"/>
              <w:bidi w:val="0"/>
              <w:rPr>
                <w:rFonts w:hint="default" w:ascii="Times New Roman" w:hAnsi="Times New Roman" w:cs="Times New Roman"/>
                <w:color w:val="auto"/>
              </w:rPr>
            </w:pPr>
            <w:r>
              <w:rPr>
                <w:rFonts w:hint="default" w:ascii="Times New Roman" w:hAnsi="Times New Roman" w:cs="Times New Roman"/>
                <w:color w:val="auto"/>
              </w:rPr>
              <w:t>年平均相对湿度</w:t>
            </w:r>
          </w:p>
        </w:tc>
        <w:tc>
          <w:tcPr>
            <w:tcW w:w="999" w:type="pct"/>
            <w:tcBorders>
              <w:tl2br w:val="nil"/>
              <w:tr2bl w:val="nil"/>
            </w:tcBorders>
            <w:shd w:val="clear" w:color="auto" w:fill="FFFFFF"/>
            <w:vAlign w:val="center"/>
          </w:tcPr>
          <w:p w14:paraId="239DACC0">
            <w:pPr>
              <w:pStyle w:val="44"/>
              <w:bidi w:val="0"/>
              <w:rPr>
                <w:rFonts w:hint="default" w:ascii="Times New Roman" w:hAnsi="Times New Roman" w:cs="Times New Roman"/>
                <w:color w:val="auto"/>
              </w:rPr>
            </w:pPr>
            <w:r>
              <w:rPr>
                <w:rFonts w:hint="default" w:ascii="Times New Roman" w:hAnsi="Times New Roman" w:cs="Times New Roman"/>
                <w:color w:val="auto"/>
              </w:rPr>
              <w:t>%</w:t>
            </w:r>
          </w:p>
        </w:tc>
        <w:tc>
          <w:tcPr>
            <w:tcW w:w="999" w:type="pct"/>
            <w:tcBorders>
              <w:tl2br w:val="nil"/>
              <w:tr2bl w:val="nil"/>
            </w:tcBorders>
            <w:shd w:val="clear" w:color="auto" w:fill="FFFFFF"/>
            <w:vAlign w:val="center"/>
          </w:tcPr>
          <w:p w14:paraId="6DCCE5D8">
            <w:pPr>
              <w:pStyle w:val="44"/>
              <w:bidi w:val="0"/>
              <w:rPr>
                <w:rFonts w:hint="default" w:ascii="Times New Roman" w:hAnsi="Times New Roman" w:cs="Times New Roman"/>
                <w:color w:val="auto"/>
              </w:rPr>
            </w:pPr>
            <w:r>
              <w:rPr>
                <w:rFonts w:hint="default" w:ascii="Times New Roman" w:hAnsi="Times New Roman" w:cs="Times New Roman"/>
                <w:color w:val="auto"/>
              </w:rPr>
              <w:t>65</w:t>
            </w:r>
          </w:p>
        </w:tc>
        <w:tc>
          <w:tcPr>
            <w:tcW w:w="999" w:type="pct"/>
            <w:tcBorders>
              <w:tl2br w:val="nil"/>
              <w:tr2bl w:val="nil"/>
            </w:tcBorders>
            <w:shd w:val="clear" w:color="auto" w:fill="FFFFFF"/>
            <w:vAlign w:val="center"/>
          </w:tcPr>
          <w:p w14:paraId="61EEF8FE">
            <w:pPr>
              <w:pStyle w:val="44"/>
              <w:bidi w:val="0"/>
              <w:rPr>
                <w:rFonts w:hint="default" w:ascii="Times New Roman" w:hAnsi="Times New Roman" w:cs="Times New Roman"/>
                <w:color w:val="auto"/>
              </w:rPr>
            </w:pPr>
          </w:p>
        </w:tc>
      </w:tr>
      <w:tr w14:paraId="65916A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89" w:type="pct"/>
            <w:tcBorders>
              <w:tl2br w:val="nil"/>
              <w:tr2bl w:val="nil"/>
            </w:tcBorders>
            <w:shd w:val="clear" w:color="auto" w:fill="FFFFFF"/>
            <w:vAlign w:val="center"/>
          </w:tcPr>
          <w:p w14:paraId="314EA13A">
            <w:pPr>
              <w:pStyle w:val="44"/>
              <w:bidi w:val="0"/>
              <w:rPr>
                <w:rFonts w:hint="default" w:ascii="Times New Roman" w:hAnsi="Times New Roman" w:cs="Times New Roman"/>
                <w:color w:val="auto"/>
              </w:rPr>
            </w:pPr>
            <w:r>
              <w:rPr>
                <w:rFonts w:hint="default" w:ascii="Times New Roman" w:hAnsi="Times New Roman" w:cs="Times New Roman"/>
                <w:color w:val="auto"/>
              </w:rPr>
              <w:t>5</w:t>
            </w:r>
          </w:p>
        </w:tc>
        <w:tc>
          <w:tcPr>
            <w:tcW w:w="1310" w:type="pct"/>
            <w:tcBorders>
              <w:tl2br w:val="nil"/>
              <w:tr2bl w:val="nil"/>
            </w:tcBorders>
            <w:shd w:val="clear" w:color="auto" w:fill="FFFFFF"/>
            <w:vAlign w:val="center"/>
          </w:tcPr>
          <w:p w14:paraId="4AB656C7">
            <w:pPr>
              <w:pStyle w:val="44"/>
              <w:bidi w:val="0"/>
              <w:rPr>
                <w:rFonts w:hint="default" w:ascii="Times New Roman" w:hAnsi="Times New Roman" w:cs="Times New Roman"/>
                <w:color w:val="auto"/>
              </w:rPr>
            </w:pPr>
            <w:r>
              <w:rPr>
                <w:rFonts w:hint="default" w:ascii="Times New Roman" w:hAnsi="Times New Roman" w:cs="Times New Roman"/>
                <w:color w:val="auto"/>
              </w:rPr>
              <w:t>大气压强</w:t>
            </w:r>
          </w:p>
        </w:tc>
        <w:tc>
          <w:tcPr>
            <w:tcW w:w="999" w:type="pct"/>
            <w:tcBorders>
              <w:tl2br w:val="nil"/>
              <w:tr2bl w:val="nil"/>
            </w:tcBorders>
            <w:shd w:val="clear" w:color="auto" w:fill="FFFFFF"/>
            <w:vAlign w:val="center"/>
          </w:tcPr>
          <w:p w14:paraId="0B674428">
            <w:pPr>
              <w:pStyle w:val="44"/>
              <w:bidi w:val="0"/>
              <w:rPr>
                <w:rFonts w:hint="default" w:ascii="Times New Roman" w:hAnsi="Times New Roman" w:cs="Times New Roman"/>
                <w:color w:val="auto"/>
              </w:rPr>
            </w:pPr>
            <w:r>
              <w:rPr>
                <w:rFonts w:hint="default" w:ascii="Times New Roman" w:hAnsi="Times New Roman" w:cs="Times New Roman"/>
                <w:color w:val="auto"/>
              </w:rPr>
              <w:t>atm</w:t>
            </w:r>
          </w:p>
        </w:tc>
        <w:tc>
          <w:tcPr>
            <w:tcW w:w="999" w:type="pct"/>
            <w:tcBorders>
              <w:tl2br w:val="nil"/>
              <w:tr2bl w:val="nil"/>
            </w:tcBorders>
            <w:shd w:val="clear" w:color="auto" w:fill="FFFFFF"/>
            <w:vAlign w:val="center"/>
          </w:tcPr>
          <w:p w14:paraId="52C23ABD">
            <w:pPr>
              <w:pStyle w:val="44"/>
              <w:bidi w:val="0"/>
              <w:rPr>
                <w:rFonts w:hint="default" w:ascii="Times New Roman" w:hAnsi="Times New Roman" w:cs="Times New Roman"/>
                <w:color w:val="auto"/>
              </w:rPr>
            </w:pPr>
            <w:r>
              <w:rPr>
                <w:rFonts w:hint="default" w:ascii="Times New Roman" w:hAnsi="Times New Roman" w:cs="Times New Roman"/>
                <w:color w:val="auto"/>
              </w:rPr>
              <w:t>1</w:t>
            </w:r>
          </w:p>
        </w:tc>
        <w:tc>
          <w:tcPr>
            <w:tcW w:w="999" w:type="pct"/>
            <w:tcBorders>
              <w:tl2br w:val="nil"/>
              <w:tr2bl w:val="nil"/>
            </w:tcBorders>
            <w:shd w:val="clear" w:color="auto" w:fill="FFFFFF"/>
            <w:vAlign w:val="center"/>
          </w:tcPr>
          <w:p w14:paraId="03A235B2">
            <w:pPr>
              <w:pStyle w:val="44"/>
              <w:bidi w:val="0"/>
              <w:rPr>
                <w:rFonts w:hint="default" w:ascii="Times New Roman" w:hAnsi="Times New Roman" w:cs="Times New Roman"/>
                <w:color w:val="auto"/>
              </w:rPr>
            </w:pPr>
          </w:p>
        </w:tc>
      </w:tr>
    </w:tbl>
    <w:p w14:paraId="7BDAC855">
      <w:pPr>
        <w:pStyle w:val="25"/>
        <w:ind w:firstLine="48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2、预测模式</w:t>
      </w:r>
    </w:p>
    <w:p w14:paraId="5001B65A">
      <w:pPr>
        <w:pStyle w:val="25"/>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根据《环境影响评价技术导则 声环境》（HJ2.4-2021）要求，本项目声环境影响预测模型采用附录A（规范性附录）的户外声传播衰减基本公式。</w:t>
      </w:r>
    </w:p>
    <w:p w14:paraId="26444227">
      <w:pPr>
        <w:pStyle w:val="25"/>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设第</w:t>
      </w:r>
      <w:r>
        <w:rPr>
          <w:rFonts w:hint="default" w:ascii="Times New Roman" w:hAnsi="Times New Roman" w:cs="Times New Roman"/>
          <w:i/>
          <w:iCs/>
          <w:snapToGrid w:val="0"/>
          <w:color w:val="auto"/>
          <w:highlight w:val="none"/>
        </w:rPr>
        <w:t>i</w:t>
      </w:r>
      <w:r>
        <w:rPr>
          <w:rFonts w:hint="default" w:ascii="Times New Roman" w:hAnsi="Times New Roman" w:cs="Times New Roman"/>
          <w:snapToGrid w:val="0"/>
          <w:color w:val="auto"/>
          <w:highlight w:val="none"/>
        </w:rPr>
        <w:t>个室外声源在预测点产生的A声级为</w:t>
      </w:r>
      <w:r>
        <w:rPr>
          <w:rFonts w:hint="default" w:ascii="Times New Roman" w:hAnsi="Times New Roman" w:cs="Times New Roman"/>
          <w:i/>
          <w:iCs/>
          <w:snapToGrid w:val="0"/>
          <w:color w:val="auto"/>
          <w:highlight w:val="none"/>
        </w:rPr>
        <w:t>L</w:t>
      </w:r>
      <w:r>
        <w:rPr>
          <w:rFonts w:hint="default" w:ascii="Times New Roman" w:hAnsi="Times New Roman" w:cs="Times New Roman"/>
          <w:snapToGrid w:val="0"/>
          <w:color w:val="auto"/>
          <w:highlight w:val="none"/>
          <w:vertAlign w:val="subscript"/>
        </w:rPr>
        <w:t>Ai</w:t>
      </w:r>
      <w:r>
        <w:rPr>
          <w:rFonts w:hint="default" w:ascii="Times New Roman" w:hAnsi="Times New Roman" w:cs="Times New Roman"/>
          <w:snapToGrid w:val="0"/>
          <w:color w:val="auto"/>
          <w:highlight w:val="none"/>
        </w:rPr>
        <w:t>，在T时间内该声源工作时间为</w:t>
      </w:r>
      <w:r>
        <w:rPr>
          <w:rFonts w:hint="default" w:ascii="Times New Roman" w:hAnsi="Times New Roman" w:cs="Times New Roman"/>
          <w:i/>
          <w:iCs/>
          <w:snapToGrid w:val="0"/>
          <w:color w:val="auto"/>
          <w:highlight w:val="none"/>
        </w:rPr>
        <w:t>t</w:t>
      </w:r>
      <w:r>
        <w:rPr>
          <w:rFonts w:hint="default" w:ascii="Times New Roman" w:hAnsi="Times New Roman" w:cs="Times New Roman"/>
          <w:snapToGrid w:val="0"/>
          <w:color w:val="auto"/>
          <w:highlight w:val="none"/>
        </w:rPr>
        <w:t>i；第</w:t>
      </w:r>
      <w:r>
        <w:rPr>
          <w:rFonts w:hint="default" w:ascii="Times New Roman" w:hAnsi="Times New Roman" w:cs="Times New Roman"/>
          <w:i/>
          <w:iCs/>
          <w:snapToGrid w:val="0"/>
          <w:color w:val="auto"/>
          <w:highlight w:val="none"/>
        </w:rPr>
        <w:t>j</w:t>
      </w:r>
      <w:r>
        <w:rPr>
          <w:rFonts w:hint="default" w:ascii="Times New Roman" w:hAnsi="Times New Roman" w:cs="Times New Roman"/>
          <w:snapToGrid w:val="0"/>
          <w:color w:val="auto"/>
          <w:highlight w:val="none"/>
        </w:rPr>
        <w:t>个等效室外声源在预测点产生的A声级为</w:t>
      </w:r>
      <w:r>
        <w:rPr>
          <w:rFonts w:hint="default" w:ascii="Times New Roman" w:hAnsi="Times New Roman" w:cs="Times New Roman"/>
          <w:i/>
          <w:iCs/>
          <w:snapToGrid w:val="0"/>
          <w:color w:val="auto"/>
          <w:highlight w:val="none"/>
        </w:rPr>
        <w:t>L</w:t>
      </w:r>
      <w:r>
        <w:rPr>
          <w:rFonts w:hint="default" w:ascii="Times New Roman" w:hAnsi="Times New Roman" w:cs="Times New Roman"/>
          <w:snapToGrid w:val="0"/>
          <w:color w:val="auto"/>
          <w:highlight w:val="none"/>
          <w:vertAlign w:val="subscript"/>
        </w:rPr>
        <w:t>Aj</w:t>
      </w:r>
      <w:r>
        <w:rPr>
          <w:rFonts w:hint="default" w:ascii="Times New Roman" w:hAnsi="Times New Roman" w:cs="Times New Roman"/>
          <w:snapToGrid w:val="0"/>
          <w:color w:val="auto"/>
          <w:highlight w:val="none"/>
        </w:rPr>
        <w:t>，在</w:t>
      </w:r>
      <w:r>
        <w:rPr>
          <w:rFonts w:hint="default" w:ascii="Times New Roman" w:hAnsi="Times New Roman" w:cs="Times New Roman"/>
          <w:i/>
          <w:iCs/>
          <w:snapToGrid w:val="0"/>
          <w:color w:val="auto"/>
          <w:highlight w:val="none"/>
        </w:rPr>
        <w:t>T</w:t>
      </w:r>
      <w:r>
        <w:rPr>
          <w:rFonts w:hint="default" w:ascii="Times New Roman" w:hAnsi="Times New Roman" w:cs="Times New Roman"/>
          <w:snapToGrid w:val="0"/>
          <w:color w:val="auto"/>
          <w:highlight w:val="none"/>
        </w:rPr>
        <w:t>时间内该声源工作时间为</w:t>
      </w:r>
      <w:r>
        <w:rPr>
          <w:rFonts w:hint="default" w:ascii="Times New Roman" w:hAnsi="Times New Roman" w:cs="Times New Roman"/>
          <w:i/>
          <w:iCs/>
          <w:snapToGrid w:val="0"/>
          <w:color w:val="auto"/>
          <w:highlight w:val="none"/>
        </w:rPr>
        <w:t>t</w:t>
      </w:r>
      <w:r>
        <w:rPr>
          <w:rFonts w:hint="default" w:ascii="Times New Roman" w:hAnsi="Times New Roman" w:cs="Times New Roman"/>
          <w:snapToGrid w:val="0"/>
          <w:color w:val="auto"/>
          <w:highlight w:val="none"/>
        </w:rPr>
        <w:t>j，则拟建工程声源对预测点产生的贡献值（</w:t>
      </w:r>
      <w:r>
        <w:rPr>
          <w:rFonts w:hint="default" w:ascii="Times New Roman" w:hAnsi="Times New Roman" w:cs="Times New Roman"/>
          <w:i/>
          <w:iCs/>
          <w:snapToGrid w:val="0"/>
          <w:color w:val="auto"/>
          <w:highlight w:val="none"/>
        </w:rPr>
        <w:t>L</w:t>
      </w:r>
      <w:r>
        <w:rPr>
          <w:rFonts w:hint="default" w:ascii="Times New Roman" w:hAnsi="Times New Roman" w:cs="Times New Roman"/>
          <w:snapToGrid w:val="0"/>
          <w:color w:val="auto"/>
          <w:highlight w:val="none"/>
          <w:vertAlign w:val="subscript"/>
        </w:rPr>
        <w:t>eqg</w:t>
      </w:r>
      <w:r>
        <w:rPr>
          <w:rFonts w:hint="default" w:ascii="Times New Roman" w:hAnsi="Times New Roman" w:cs="Times New Roman"/>
          <w:snapToGrid w:val="0"/>
          <w:color w:val="auto"/>
          <w:highlight w:val="none"/>
        </w:rPr>
        <w:t>）为：</w:t>
      </w:r>
    </w:p>
    <w:p w14:paraId="20FFF133">
      <w:pPr>
        <w:pStyle w:val="25"/>
        <w:spacing w:line="240" w:lineRule="auto"/>
        <w:ind w:firstLine="480"/>
        <w:jc w:val="cente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drawing>
          <wp:inline distT="0" distB="0" distL="0" distR="0">
            <wp:extent cx="2457450" cy="571500"/>
            <wp:effectExtent l="0" t="0" r="0" b="0"/>
            <wp:docPr id="6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2457450" cy="571500"/>
                    </a:xfrm>
                    <a:prstGeom prst="rect">
                      <a:avLst/>
                    </a:prstGeom>
                    <a:noFill/>
                    <a:ln>
                      <a:noFill/>
                    </a:ln>
                  </pic:spPr>
                </pic:pic>
              </a:graphicData>
            </a:graphic>
          </wp:inline>
        </w:drawing>
      </w:r>
    </w:p>
    <w:p w14:paraId="1849F5F7">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式中：</w:t>
      </w:r>
      <w:r>
        <w:rPr>
          <w:rFonts w:hint="default" w:ascii="Times New Roman" w:hAnsi="Times New Roman" w:cs="Times New Roman"/>
          <w:i/>
          <w:color w:val="auto"/>
          <w:highlight w:val="none"/>
        </w:rPr>
        <w:t>L</w:t>
      </w:r>
      <w:r>
        <w:rPr>
          <w:rFonts w:hint="default" w:ascii="Times New Roman" w:hAnsi="Times New Roman" w:cs="Times New Roman"/>
          <w:color w:val="auto"/>
          <w:highlight w:val="none"/>
          <w:vertAlign w:val="subscript"/>
        </w:rPr>
        <w:t>eqg</w:t>
      </w:r>
      <w:r>
        <w:rPr>
          <w:rFonts w:hint="default" w:ascii="Times New Roman" w:hAnsi="Times New Roman" w:cs="Times New Roman"/>
          <w:color w:val="auto"/>
          <w:highlight w:val="none"/>
        </w:rPr>
        <w:t>——建设项目声源在预测点产生的噪声贡献值，dB；</w:t>
      </w:r>
    </w:p>
    <w:p w14:paraId="1D7FDFD1">
      <w:pPr>
        <w:pStyle w:val="25"/>
        <w:ind w:firstLine="480"/>
        <w:rPr>
          <w:rFonts w:hint="default" w:ascii="Times New Roman" w:hAnsi="Times New Roman" w:cs="Times New Roman"/>
          <w:color w:val="auto"/>
          <w:highlight w:val="none"/>
        </w:rPr>
      </w:pPr>
      <w:r>
        <w:rPr>
          <w:rFonts w:hint="default" w:ascii="Times New Roman" w:hAnsi="Times New Roman" w:cs="Times New Roman"/>
          <w:i/>
          <w:color w:val="auto"/>
          <w:highlight w:val="none"/>
        </w:rPr>
        <w:t>T</w:t>
      </w:r>
      <w:r>
        <w:rPr>
          <w:rFonts w:hint="default" w:ascii="Times New Roman" w:hAnsi="Times New Roman" w:cs="Times New Roman"/>
          <w:color w:val="auto"/>
          <w:highlight w:val="none"/>
        </w:rPr>
        <w:t>——用于计算等效声级的时间，s；</w:t>
      </w:r>
    </w:p>
    <w:p w14:paraId="087FECD8">
      <w:pPr>
        <w:pStyle w:val="25"/>
        <w:ind w:firstLine="480"/>
        <w:rPr>
          <w:rFonts w:hint="default" w:ascii="Times New Roman" w:hAnsi="Times New Roman" w:cs="Times New Roman"/>
          <w:color w:val="auto"/>
          <w:highlight w:val="none"/>
        </w:rPr>
      </w:pPr>
      <w:r>
        <w:rPr>
          <w:rFonts w:hint="default" w:ascii="Times New Roman" w:hAnsi="Times New Roman" w:cs="Times New Roman"/>
          <w:i/>
          <w:color w:val="auto"/>
          <w:highlight w:val="none"/>
        </w:rPr>
        <w:t>N</w:t>
      </w:r>
      <w:r>
        <w:rPr>
          <w:rFonts w:hint="default" w:ascii="Times New Roman" w:hAnsi="Times New Roman" w:cs="Times New Roman"/>
          <w:color w:val="auto"/>
          <w:highlight w:val="none"/>
        </w:rPr>
        <w:t>——室外声源个数；</w:t>
      </w:r>
    </w:p>
    <w:p w14:paraId="0C90F9B9">
      <w:pPr>
        <w:pStyle w:val="25"/>
        <w:ind w:firstLine="480"/>
        <w:rPr>
          <w:rFonts w:hint="default" w:ascii="Times New Roman" w:hAnsi="Times New Roman" w:cs="Times New Roman"/>
          <w:color w:val="auto"/>
          <w:highlight w:val="none"/>
        </w:rPr>
      </w:pPr>
      <w:r>
        <w:rPr>
          <w:rFonts w:hint="default" w:ascii="Times New Roman" w:hAnsi="Times New Roman" w:cs="Times New Roman"/>
          <w:i/>
          <w:color w:val="auto"/>
          <w:highlight w:val="none"/>
        </w:rPr>
        <w:t>ti</w:t>
      </w:r>
      <w:r>
        <w:rPr>
          <w:rFonts w:hint="default" w:ascii="Times New Roman" w:hAnsi="Times New Roman" w:cs="Times New Roman"/>
          <w:color w:val="auto"/>
          <w:highlight w:val="none"/>
        </w:rPr>
        <w:t>——在</w:t>
      </w:r>
      <w:r>
        <w:rPr>
          <w:rFonts w:hint="default" w:ascii="Times New Roman" w:hAnsi="Times New Roman" w:cs="Times New Roman"/>
          <w:i/>
          <w:color w:val="auto"/>
          <w:highlight w:val="none"/>
        </w:rPr>
        <w:t>T</w:t>
      </w:r>
      <w:r>
        <w:rPr>
          <w:rFonts w:hint="default" w:ascii="Times New Roman" w:hAnsi="Times New Roman" w:cs="Times New Roman"/>
          <w:color w:val="auto"/>
          <w:highlight w:val="none"/>
        </w:rPr>
        <w:t>时间内</w:t>
      </w:r>
      <w:r>
        <w:rPr>
          <w:rFonts w:hint="default" w:ascii="Times New Roman" w:hAnsi="Times New Roman" w:cs="Times New Roman"/>
          <w:i/>
          <w:color w:val="auto"/>
          <w:highlight w:val="none"/>
        </w:rPr>
        <w:t>i</w:t>
      </w:r>
      <w:r>
        <w:rPr>
          <w:rFonts w:hint="default" w:ascii="Times New Roman" w:hAnsi="Times New Roman" w:cs="Times New Roman"/>
          <w:color w:val="auto"/>
          <w:highlight w:val="none"/>
        </w:rPr>
        <w:t>声源工作时间，s；</w:t>
      </w:r>
    </w:p>
    <w:p w14:paraId="60C7D77F">
      <w:pPr>
        <w:pStyle w:val="25"/>
        <w:ind w:firstLine="480"/>
        <w:rPr>
          <w:rFonts w:hint="default" w:ascii="Times New Roman" w:hAnsi="Times New Roman" w:cs="Times New Roman"/>
          <w:color w:val="auto"/>
          <w:highlight w:val="none"/>
        </w:rPr>
      </w:pPr>
      <w:r>
        <w:rPr>
          <w:rFonts w:hint="default" w:ascii="Times New Roman" w:hAnsi="Times New Roman" w:cs="Times New Roman"/>
          <w:i/>
          <w:color w:val="auto"/>
          <w:highlight w:val="none"/>
        </w:rPr>
        <w:t>M</w:t>
      </w:r>
      <w:r>
        <w:rPr>
          <w:rFonts w:hint="default" w:ascii="Times New Roman" w:hAnsi="Times New Roman" w:cs="Times New Roman"/>
          <w:color w:val="auto"/>
          <w:highlight w:val="none"/>
        </w:rPr>
        <w:t>——等效室外声源个数；</w:t>
      </w:r>
    </w:p>
    <w:p w14:paraId="7EF24CF1">
      <w:pPr>
        <w:pStyle w:val="25"/>
        <w:ind w:firstLine="480"/>
        <w:rPr>
          <w:rFonts w:hint="default" w:ascii="Times New Roman" w:hAnsi="Times New Roman" w:cs="Times New Roman"/>
          <w:color w:val="auto"/>
          <w:highlight w:val="none"/>
        </w:rPr>
      </w:pPr>
      <w:r>
        <w:rPr>
          <w:rFonts w:hint="default" w:ascii="Times New Roman" w:hAnsi="Times New Roman" w:cs="Times New Roman"/>
          <w:i/>
          <w:color w:val="auto"/>
          <w:highlight w:val="none"/>
        </w:rPr>
        <w:t>tj</w:t>
      </w:r>
      <w:r>
        <w:rPr>
          <w:rFonts w:hint="default" w:ascii="Times New Roman" w:hAnsi="Times New Roman" w:cs="Times New Roman"/>
          <w:color w:val="auto"/>
          <w:highlight w:val="none"/>
        </w:rPr>
        <w:t>——在</w:t>
      </w:r>
      <w:r>
        <w:rPr>
          <w:rFonts w:hint="default" w:ascii="Times New Roman" w:hAnsi="Times New Roman" w:cs="Times New Roman"/>
          <w:i/>
          <w:color w:val="auto"/>
          <w:highlight w:val="none"/>
        </w:rPr>
        <w:t>T</w:t>
      </w:r>
      <w:r>
        <w:rPr>
          <w:rFonts w:hint="default" w:ascii="Times New Roman" w:hAnsi="Times New Roman" w:cs="Times New Roman"/>
          <w:color w:val="auto"/>
          <w:highlight w:val="none"/>
        </w:rPr>
        <w:t>时间内</w:t>
      </w:r>
      <w:r>
        <w:rPr>
          <w:rFonts w:hint="default" w:ascii="Times New Roman" w:hAnsi="Times New Roman" w:cs="Times New Roman"/>
          <w:i/>
          <w:color w:val="auto"/>
          <w:highlight w:val="none"/>
        </w:rPr>
        <w:t>j</w:t>
      </w:r>
      <w:r>
        <w:rPr>
          <w:rFonts w:hint="default" w:ascii="Times New Roman" w:hAnsi="Times New Roman" w:cs="Times New Roman"/>
          <w:color w:val="auto"/>
          <w:highlight w:val="none"/>
        </w:rPr>
        <w:t>声源工作时间，s。</w:t>
      </w:r>
    </w:p>
    <w:p w14:paraId="5C45EBE8">
      <w:pPr>
        <w:pStyle w:val="5"/>
        <w:bidi w:val="0"/>
        <w:rPr>
          <w:rFonts w:hint="default" w:ascii="Times New Roman" w:hAnsi="Times New Roman" w:cs="Times New Roman"/>
          <w:color w:val="auto"/>
        </w:rPr>
      </w:pPr>
      <w:r>
        <w:rPr>
          <w:rFonts w:hint="default" w:ascii="Times New Roman" w:hAnsi="Times New Roman" w:cs="Times New Roman"/>
          <w:color w:val="auto"/>
        </w:rPr>
        <w:t>5.</w:t>
      </w:r>
      <w:r>
        <w:rPr>
          <w:rFonts w:hint="default" w:ascii="Times New Roman" w:hAnsi="Times New Roman" w:cs="Times New Roman"/>
          <w:color w:val="auto"/>
          <w:lang w:val="en-US" w:eastAsia="zh-CN"/>
        </w:rPr>
        <w:t>1.3</w:t>
      </w:r>
      <w:r>
        <w:rPr>
          <w:rFonts w:hint="default" w:ascii="Times New Roman" w:hAnsi="Times New Roman" w:cs="Times New Roman"/>
          <w:color w:val="auto"/>
        </w:rPr>
        <w:t>.3预测结果</w:t>
      </w:r>
    </w:p>
    <w:p w14:paraId="1CFC2C7E">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噪声预测采用网格布点法，建立直角坐标系，厂界噪声预测结果见下表。</w:t>
      </w:r>
    </w:p>
    <w:p w14:paraId="66B4C9F5">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表5-</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5  2#项目区边界</w:t>
      </w:r>
      <w:r>
        <w:rPr>
          <w:rFonts w:hint="default" w:ascii="Times New Roman" w:hAnsi="Times New Roman" w:cs="Times New Roman"/>
          <w:color w:val="auto"/>
          <w:highlight w:val="none"/>
        </w:rPr>
        <w:t>及噪声贡献结果一览表 单位：dB(A)</w:t>
      </w:r>
    </w:p>
    <w:tbl>
      <w:tblPr>
        <w:tblStyle w:val="2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457"/>
        <w:gridCol w:w="1435"/>
        <w:gridCol w:w="1599"/>
        <w:gridCol w:w="2028"/>
      </w:tblGrid>
      <w:tr w14:paraId="73F962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029" w:type="pct"/>
            <w:vMerge w:val="restart"/>
            <w:tcBorders>
              <w:tl2br w:val="nil"/>
              <w:tr2bl w:val="nil"/>
            </w:tcBorders>
            <w:vAlign w:val="center"/>
          </w:tcPr>
          <w:p w14:paraId="3AE5F79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预测点</w:t>
            </w:r>
          </w:p>
        </w:tc>
        <w:tc>
          <w:tcPr>
            <w:tcW w:w="842" w:type="pct"/>
            <w:vMerge w:val="restart"/>
            <w:tcBorders>
              <w:tl2br w:val="nil"/>
              <w:tr2bl w:val="nil"/>
            </w:tcBorders>
            <w:vAlign w:val="center"/>
          </w:tcPr>
          <w:p w14:paraId="016CA44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时段</w:t>
            </w:r>
          </w:p>
        </w:tc>
        <w:tc>
          <w:tcPr>
            <w:tcW w:w="938" w:type="pct"/>
            <w:vMerge w:val="restart"/>
            <w:tcBorders>
              <w:tl2br w:val="nil"/>
              <w:tr2bl w:val="nil"/>
            </w:tcBorders>
            <w:vAlign w:val="center"/>
          </w:tcPr>
          <w:p w14:paraId="3560060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贡献值</w:t>
            </w:r>
          </w:p>
        </w:tc>
        <w:tc>
          <w:tcPr>
            <w:tcW w:w="1190" w:type="pct"/>
            <w:vMerge w:val="restart"/>
            <w:tcBorders>
              <w:tl2br w:val="nil"/>
              <w:tr2bl w:val="nil"/>
            </w:tcBorders>
            <w:vAlign w:val="center"/>
          </w:tcPr>
          <w:p w14:paraId="50FA5AB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达标情况</w:t>
            </w:r>
          </w:p>
        </w:tc>
      </w:tr>
      <w:tr w14:paraId="56B850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029" w:type="pct"/>
            <w:vMerge w:val="continue"/>
            <w:tcBorders>
              <w:tl2br w:val="nil"/>
              <w:tr2bl w:val="nil"/>
            </w:tcBorders>
            <w:vAlign w:val="center"/>
          </w:tcPr>
          <w:p w14:paraId="054FAD2F">
            <w:pPr>
              <w:pStyle w:val="44"/>
              <w:bidi w:val="0"/>
              <w:rPr>
                <w:rFonts w:hint="default" w:ascii="Times New Roman" w:hAnsi="Times New Roman" w:cs="Times New Roman"/>
                <w:color w:val="auto"/>
                <w:highlight w:val="none"/>
              </w:rPr>
            </w:pPr>
          </w:p>
        </w:tc>
        <w:tc>
          <w:tcPr>
            <w:tcW w:w="842" w:type="pct"/>
            <w:vMerge w:val="continue"/>
            <w:tcBorders>
              <w:tl2br w:val="nil"/>
              <w:tr2bl w:val="nil"/>
            </w:tcBorders>
            <w:vAlign w:val="center"/>
          </w:tcPr>
          <w:p w14:paraId="4ED16AE4">
            <w:pPr>
              <w:pStyle w:val="44"/>
              <w:bidi w:val="0"/>
              <w:rPr>
                <w:rFonts w:hint="default" w:ascii="Times New Roman" w:hAnsi="Times New Roman" w:cs="Times New Roman"/>
                <w:color w:val="auto"/>
                <w:highlight w:val="none"/>
              </w:rPr>
            </w:pPr>
          </w:p>
        </w:tc>
        <w:tc>
          <w:tcPr>
            <w:tcW w:w="938" w:type="pct"/>
            <w:vMerge w:val="continue"/>
            <w:tcBorders>
              <w:tl2br w:val="nil"/>
              <w:tr2bl w:val="nil"/>
            </w:tcBorders>
            <w:vAlign w:val="center"/>
          </w:tcPr>
          <w:p w14:paraId="28797301">
            <w:pPr>
              <w:pStyle w:val="44"/>
              <w:bidi w:val="0"/>
              <w:rPr>
                <w:rFonts w:hint="default" w:ascii="Times New Roman" w:hAnsi="Times New Roman" w:cs="Times New Roman"/>
                <w:color w:val="auto"/>
                <w:highlight w:val="none"/>
              </w:rPr>
            </w:pPr>
          </w:p>
        </w:tc>
        <w:tc>
          <w:tcPr>
            <w:tcW w:w="1190" w:type="pct"/>
            <w:vMerge w:val="continue"/>
            <w:tcBorders>
              <w:tl2br w:val="nil"/>
              <w:tr2bl w:val="nil"/>
            </w:tcBorders>
            <w:vAlign w:val="center"/>
          </w:tcPr>
          <w:p w14:paraId="04FB2F00">
            <w:pPr>
              <w:pStyle w:val="44"/>
              <w:bidi w:val="0"/>
              <w:rPr>
                <w:rFonts w:hint="default" w:ascii="Times New Roman" w:hAnsi="Times New Roman" w:cs="Times New Roman"/>
                <w:color w:val="auto"/>
                <w:highlight w:val="none"/>
              </w:rPr>
            </w:pPr>
          </w:p>
        </w:tc>
      </w:tr>
      <w:tr w14:paraId="37634E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2029" w:type="pct"/>
            <w:tcBorders>
              <w:tl2br w:val="nil"/>
              <w:tr2bl w:val="nil"/>
            </w:tcBorders>
            <w:vAlign w:val="center"/>
          </w:tcPr>
          <w:p w14:paraId="0BF2140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作业区东侧1m处</w:t>
            </w:r>
          </w:p>
        </w:tc>
        <w:tc>
          <w:tcPr>
            <w:tcW w:w="842" w:type="pct"/>
            <w:tcBorders>
              <w:tl2br w:val="nil"/>
              <w:tr2bl w:val="nil"/>
            </w:tcBorders>
            <w:vAlign w:val="center"/>
          </w:tcPr>
          <w:p w14:paraId="28718D9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昼间</w:t>
            </w:r>
          </w:p>
        </w:tc>
        <w:tc>
          <w:tcPr>
            <w:tcW w:w="938" w:type="pct"/>
            <w:tcBorders>
              <w:tl2br w:val="nil"/>
              <w:tr2bl w:val="nil"/>
            </w:tcBorders>
            <w:vAlign w:val="center"/>
          </w:tcPr>
          <w:p w14:paraId="4A42842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33.5</w:t>
            </w:r>
          </w:p>
        </w:tc>
        <w:tc>
          <w:tcPr>
            <w:tcW w:w="1190" w:type="pct"/>
            <w:tcBorders>
              <w:tl2br w:val="nil"/>
              <w:tr2bl w:val="nil"/>
            </w:tcBorders>
            <w:vAlign w:val="center"/>
          </w:tcPr>
          <w:p w14:paraId="63EFBE6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45B4F5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2029" w:type="pct"/>
            <w:tcBorders>
              <w:tl2br w:val="nil"/>
              <w:tr2bl w:val="nil"/>
            </w:tcBorders>
            <w:vAlign w:val="center"/>
          </w:tcPr>
          <w:p w14:paraId="29815C4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作业区南侧1m处</w:t>
            </w:r>
          </w:p>
        </w:tc>
        <w:tc>
          <w:tcPr>
            <w:tcW w:w="842" w:type="pct"/>
            <w:tcBorders>
              <w:tl2br w:val="nil"/>
              <w:tr2bl w:val="nil"/>
            </w:tcBorders>
            <w:vAlign w:val="center"/>
          </w:tcPr>
          <w:p w14:paraId="67DD422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昼间</w:t>
            </w:r>
          </w:p>
        </w:tc>
        <w:tc>
          <w:tcPr>
            <w:tcW w:w="938" w:type="pct"/>
            <w:tcBorders>
              <w:tl2br w:val="nil"/>
              <w:tr2bl w:val="nil"/>
            </w:tcBorders>
            <w:vAlign w:val="center"/>
          </w:tcPr>
          <w:p w14:paraId="65AF85C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31.2</w:t>
            </w:r>
          </w:p>
        </w:tc>
        <w:tc>
          <w:tcPr>
            <w:tcW w:w="1190" w:type="pct"/>
            <w:tcBorders>
              <w:tl2br w:val="nil"/>
              <w:tr2bl w:val="nil"/>
            </w:tcBorders>
            <w:vAlign w:val="center"/>
          </w:tcPr>
          <w:p w14:paraId="7C7D464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6CF9F3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2029" w:type="pct"/>
            <w:tcBorders>
              <w:tl2br w:val="nil"/>
              <w:tr2bl w:val="nil"/>
            </w:tcBorders>
            <w:vAlign w:val="center"/>
          </w:tcPr>
          <w:p w14:paraId="4A6FD25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作业区西侧1m处</w:t>
            </w:r>
          </w:p>
        </w:tc>
        <w:tc>
          <w:tcPr>
            <w:tcW w:w="842" w:type="pct"/>
            <w:tcBorders>
              <w:tl2br w:val="nil"/>
              <w:tr2bl w:val="nil"/>
            </w:tcBorders>
            <w:vAlign w:val="center"/>
          </w:tcPr>
          <w:p w14:paraId="35B0538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昼间</w:t>
            </w:r>
          </w:p>
        </w:tc>
        <w:tc>
          <w:tcPr>
            <w:tcW w:w="938" w:type="pct"/>
            <w:tcBorders>
              <w:tl2br w:val="nil"/>
              <w:tr2bl w:val="nil"/>
            </w:tcBorders>
            <w:vAlign w:val="center"/>
          </w:tcPr>
          <w:p w14:paraId="1F1C263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28.4</w:t>
            </w:r>
          </w:p>
        </w:tc>
        <w:tc>
          <w:tcPr>
            <w:tcW w:w="1190" w:type="pct"/>
            <w:tcBorders>
              <w:tl2br w:val="nil"/>
              <w:tr2bl w:val="nil"/>
            </w:tcBorders>
            <w:vAlign w:val="center"/>
          </w:tcPr>
          <w:p w14:paraId="7D91AF9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2B2311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2029" w:type="pct"/>
            <w:tcBorders>
              <w:tl2br w:val="nil"/>
              <w:tr2bl w:val="nil"/>
            </w:tcBorders>
            <w:vAlign w:val="center"/>
          </w:tcPr>
          <w:p w14:paraId="22DD24A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作业区北侧1m处</w:t>
            </w:r>
          </w:p>
        </w:tc>
        <w:tc>
          <w:tcPr>
            <w:tcW w:w="842" w:type="pct"/>
            <w:tcBorders>
              <w:tl2br w:val="nil"/>
              <w:tr2bl w:val="nil"/>
            </w:tcBorders>
            <w:vAlign w:val="center"/>
          </w:tcPr>
          <w:p w14:paraId="5503357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昼间</w:t>
            </w:r>
          </w:p>
        </w:tc>
        <w:tc>
          <w:tcPr>
            <w:tcW w:w="938" w:type="pct"/>
            <w:tcBorders>
              <w:tl2br w:val="nil"/>
              <w:tr2bl w:val="nil"/>
            </w:tcBorders>
            <w:vAlign w:val="center"/>
          </w:tcPr>
          <w:p w14:paraId="11369D5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40.2</w:t>
            </w:r>
          </w:p>
        </w:tc>
        <w:tc>
          <w:tcPr>
            <w:tcW w:w="1190" w:type="pct"/>
            <w:tcBorders>
              <w:tl2br w:val="nil"/>
              <w:tr2bl w:val="nil"/>
            </w:tcBorders>
            <w:vAlign w:val="center"/>
          </w:tcPr>
          <w:p w14:paraId="67AC573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bl>
    <w:p w14:paraId="4583A946">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通过作业时设置围挡、车辆限速行驶、禁止鸣笛、采用低噪声设备，采取减振隔声等措施，减少回填区设备噪声影响。由下表可知，本项目投产后厂界昼间噪声贡献值满足《工业企业厂界环境噪声排放标准》(GB12348-2008）表1中1类标准。</w:t>
      </w:r>
    </w:p>
    <w:p w14:paraId="106952CB">
      <w:pPr>
        <w:pStyle w:val="5"/>
        <w:bidi w:val="0"/>
        <w:rPr>
          <w:rFonts w:hint="default" w:ascii="Times New Roman" w:hAnsi="Times New Roman" w:cs="Times New Roman"/>
          <w:color w:val="auto"/>
        </w:rPr>
      </w:pPr>
      <w:r>
        <w:rPr>
          <w:rFonts w:hint="default" w:ascii="Times New Roman" w:hAnsi="Times New Roman" w:cs="Times New Roman"/>
          <w:color w:val="auto"/>
        </w:rPr>
        <w:t>5.</w:t>
      </w:r>
      <w:r>
        <w:rPr>
          <w:rFonts w:hint="default" w:ascii="Times New Roman" w:hAnsi="Times New Roman" w:cs="Times New Roman"/>
          <w:color w:val="auto"/>
          <w:lang w:val="en-US" w:eastAsia="zh-CN"/>
        </w:rPr>
        <w:t>1.3</w:t>
      </w:r>
      <w:r>
        <w:rPr>
          <w:rFonts w:hint="default" w:ascii="Times New Roman" w:hAnsi="Times New Roman" w:cs="Times New Roman"/>
          <w:color w:val="auto"/>
        </w:rPr>
        <w:t>.4交通噪声影响分析</w:t>
      </w:r>
    </w:p>
    <w:p w14:paraId="0EF38E53">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（1）噪声源强</w:t>
      </w:r>
    </w:p>
    <w:p w14:paraId="1D40EAF7">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运输车辆时速为20km/h时，平均辐射噪声级（7.5m处）约69.25dB(A)。</w:t>
      </w:r>
    </w:p>
    <w:p w14:paraId="4101E4EA">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（2）影响预测</w:t>
      </w:r>
    </w:p>
    <w:p w14:paraId="15CB0FA4">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评价采用《环境影响评价技术导则 声环境》(HJ2.4-2021）中的公路交通噪声预测模式，模式的误差范围为±2.5dB(A)，模式如下：第i类车等效声级预测模式：</w:t>
      </w:r>
    </w:p>
    <w:p w14:paraId="0ECB8739">
      <w:pPr>
        <w:pStyle w:val="25"/>
        <w:spacing w:line="240" w:lineRule="auto"/>
        <w:ind w:firstLine="48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0" distR="0">
            <wp:extent cx="3686175" cy="476250"/>
            <wp:effectExtent l="0" t="0" r="9525" b="0"/>
            <wp:docPr id="6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3686175" cy="476250"/>
                    </a:xfrm>
                    <a:prstGeom prst="rect">
                      <a:avLst/>
                    </a:prstGeom>
                    <a:noFill/>
                    <a:ln>
                      <a:noFill/>
                    </a:ln>
                  </pic:spPr>
                </pic:pic>
              </a:graphicData>
            </a:graphic>
          </wp:inline>
        </w:drawing>
      </w:r>
    </w:p>
    <w:p w14:paraId="7A1B293A">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式中：</w:t>
      </w:r>
      <w:r>
        <w:rPr>
          <w:rFonts w:hint="default" w:ascii="Times New Roman" w:hAnsi="Times New Roman" w:cs="Times New Roman"/>
          <w:i/>
          <w:color w:val="auto"/>
          <w:highlight w:val="none"/>
        </w:rPr>
        <w:t>L</w:t>
      </w:r>
      <w:r>
        <w:rPr>
          <w:rFonts w:hint="default" w:ascii="Times New Roman" w:hAnsi="Times New Roman" w:cs="Times New Roman"/>
          <w:color w:val="auto"/>
          <w:highlight w:val="none"/>
        </w:rPr>
        <w:t>eq(</w:t>
      </w:r>
      <w:r>
        <w:rPr>
          <w:rFonts w:hint="default" w:ascii="Times New Roman" w:hAnsi="Times New Roman" w:cs="Times New Roman"/>
          <w:i/>
          <w:color w:val="auto"/>
          <w:highlight w:val="none"/>
        </w:rPr>
        <w:t>h</w:t>
      </w:r>
      <w:r>
        <w:rPr>
          <w:rFonts w:hint="default" w:ascii="Times New Roman" w:hAnsi="Times New Roman" w:cs="Times New Roman"/>
          <w:color w:val="auto"/>
          <w:highlight w:val="none"/>
        </w:rPr>
        <w:t>)——第</w:t>
      </w:r>
      <w:r>
        <w:rPr>
          <w:rFonts w:hint="default" w:ascii="Times New Roman" w:hAnsi="Times New Roman" w:cs="Times New Roman"/>
          <w:i/>
          <w:color w:val="auto"/>
          <w:highlight w:val="none"/>
        </w:rPr>
        <w:t>i</w:t>
      </w:r>
      <w:r>
        <w:rPr>
          <w:rFonts w:hint="default" w:ascii="Times New Roman" w:hAnsi="Times New Roman" w:cs="Times New Roman"/>
          <w:color w:val="auto"/>
          <w:highlight w:val="none"/>
        </w:rPr>
        <w:t>类车的小时等效声级，dB(A)；</w:t>
      </w:r>
    </w:p>
    <w:p w14:paraId="657C8885">
      <w:pPr>
        <w:pStyle w:val="25"/>
        <w:spacing w:line="240" w:lineRule="auto"/>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0" distR="0">
            <wp:extent cx="381000" cy="270510"/>
            <wp:effectExtent l="0" t="0" r="0" b="15240"/>
            <wp:docPr id="6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a:xfrm>
                      <a:off x="0" y="0"/>
                      <a:ext cx="385801" cy="274512"/>
                    </a:xfrm>
                    <a:prstGeom prst="rect">
                      <a:avLst/>
                    </a:prstGeom>
                    <a:noFill/>
                    <a:ln>
                      <a:noFill/>
                    </a:ln>
                  </pic:spPr>
                </pic:pic>
              </a:graphicData>
            </a:graphic>
          </wp:inline>
        </w:drawing>
      </w:r>
      <w:r>
        <w:rPr>
          <w:rFonts w:hint="default" w:ascii="Times New Roman" w:hAnsi="Times New Roman" w:cs="Times New Roman"/>
          <w:color w:val="auto"/>
          <w:highlight w:val="none"/>
        </w:rPr>
        <w:t>——第</w:t>
      </w:r>
      <w:r>
        <w:rPr>
          <w:rFonts w:hint="default" w:ascii="Times New Roman" w:hAnsi="Times New Roman" w:cs="Times New Roman"/>
          <w:i/>
          <w:color w:val="auto"/>
          <w:highlight w:val="none"/>
        </w:rPr>
        <w:t>i</w:t>
      </w:r>
      <w:r>
        <w:rPr>
          <w:rFonts w:hint="default" w:ascii="Times New Roman" w:hAnsi="Times New Roman" w:cs="Times New Roman"/>
          <w:color w:val="auto"/>
          <w:highlight w:val="none"/>
        </w:rPr>
        <w:t>类车速度为</w:t>
      </w:r>
      <w:r>
        <w:rPr>
          <w:rFonts w:hint="default" w:ascii="Times New Roman" w:hAnsi="Times New Roman" w:cs="Times New Roman"/>
          <w:i/>
          <w:color w:val="auto"/>
          <w:highlight w:val="none"/>
        </w:rPr>
        <w:t>V</w:t>
      </w:r>
      <w:r>
        <w:rPr>
          <w:rFonts w:hint="default" w:ascii="Times New Roman" w:hAnsi="Times New Roman" w:cs="Times New Roman"/>
          <w:i/>
          <w:color w:val="auto"/>
          <w:highlight w:val="none"/>
          <w:vertAlign w:val="subscript"/>
        </w:rPr>
        <w:t>i</w:t>
      </w:r>
      <w:r>
        <w:rPr>
          <w:rFonts w:hint="default" w:ascii="Times New Roman" w:hAnsi="Times New Roman" w:cs="Times New Roman"/>
          <w:color w:val="auto"/>
          <w:highlight w:val="none"/>
        </w:rPr>
        <w:t>，km/h，水平距离为7.5m处的能量平均A声级，dB，取74.9；</w:t>
      </w:r>
    </w:p>
    <w:p w14:paraId="18BF621A">
      <w:pPr>
        <w:pStyle w:val="25"/>
        <w:ind w:firstLine="480"/>
        <w:rPr>
          <w:rFonts w:hint="default" w:ascii="Times New Roman" w:hAnsi="Times New Roman" w:cs="Times New Roman"/>
          <w:color w:val="auto"/>
          <w:highlight w:val="none"/>
        </w:rPr>
      </w:pPr>
      <w:r>
        <w:rPr>
          <w:rFonts w:hint="default" w:ascii="Times New Roman" w:hAnsi="Times New Roman" w:cs="Times New Roman"/>
          <w:i/>
          <w:color w:val="auto"/>
          <w:highlight w:val="none"/>
        </w:rPr>
        <w:t>Ni</w:t>
      </w:r>
      <w:r>
        <w:rPr>
          <w:rFonts w:hint="default" w:ascii="Times New Roman" w:hAnsi="Times New Roman" w:cs="Times New Roman"/>
          <w:color w:val="auto"/>
          <w:highlight w:val="none"/>
        </w:rPr>
        <w:t>——昼间，夜间通过某个预测点的第</w:t>
      </w:r>
      <w:r>
        <w:rPr>
          <w:rFonts w:hint="default" w:ascii="Times New Roman" w:hAnsi="Times New Roman" w:cs="Times New Roman"/>
          <w:i/>
          <w:color w:val="auto"/>
          <w:highlight w:val="none"/>
        </w:rPr>
        <w:t>i</w:t>
      </w:r>
      <w:r>
        <w:rPr>
          <w:rFonts w:hint="default" w:ascii="Times New Roman" w:hAnsi="Times New Roman" w:cs="Times New Roman"/>
          <w:color w:val="auto"/>
          <w:highlight w:val="none"/>
        </w:rPr>
        <w:t>类车平均小时车流量，辆/h，取2.8；</w:t>
      </w:r>
    </w:p>
    <w:p w14:paraId="2665FD8A">
      <w:pPr>
        <w:pStyle w:val="25"/>
        <w:ind w:firstLine="480"/>
        <w:rPr>
          <w:rFonts w:hint="default" w:ascii="Times New Roman" w:hAnsi="Times New Roman" w:cs="Times New Roman"/>
          <w:color w:val="auto"/>
          <w:highlight w:val="none"/>
        </w:rPr>
      </w:pPr>
      <w:r>
        <w:rPr>
          <w:rFonts w:hint="default" w:ascii="Times New Roman" w:hAnsi="Times New Roman" w:cs="Times New Roman"/>
          <w:i/>
          <w:color w:val="auto"/>
          <w:highlight w:val="none"/>
        </w:rPr>
        <w:t>Vi</w:t>
      </w:r>
      <w:r>
        <w:rPr>
          <w:rFonts w:hint="default" w:ascii="Times New Roman" w:hAnsi="Times New Roman" w:cs="Times New Roman"/>
          <w:color w:val="auto"/>
          <w:highlight w:val="none"/>
        </w:rPr>
        <w:t>——第</w:t>
      </w:r>
      <w:r>
        <w:rPr>
          <w:rFonts w:hint="default" w:ascii="Times New Roman" w:hAnsi="Times New Roman" w:cs="Times New Roman"/>
          <w:i/>
          <w:color w:val="auto"/>
          <w:highlight w:val="none"/>
        </w:rPr>
        <w:t>i</w:t>
      </w:r>
      <w:r>
        <w:rPr>
          <w:rFonts w:hint="default" w:ascii="Times New Roman" w:hAnsi="Times New Roman" w:cs="Times New Roman"/>
          <w:color w:val="auto"/>
          <w:highlight w:val="none"/>
        </w:rPr>
        <w:t>类车的平均车速，km/h，取20；</w:t>
      </w:r>
    </w:p>
    <w:p w14:paraId="70CA1FAF">
      <w:pPr>
        <w:pStyle w:val="25"/>
        <w:ind w:firstLine="480"/>
        <w:rPr>
          <w:rFonts w:hint="default" w:ascii="Times New Roman" w:hAnsi="Times New Roman" w:cs="Times New Roman"/>
          <w:color w:val="auto"/>
          <w:highlight w:val="none"/>
        </w:rPr>
      </w:pPr>
      <w:r>
        <w:rPr>
          <w:rFonts w:hint="default" w:ascii="Times New Roman" w:hAnsi="Times New Roman" w:cs="Times New Roman"/>
          <w:i/>
          <w:color w:val="auto"/>
          <w:highlight w:val="none"/>
        </w:rPr>
        <w:t>T</w:t>
      </w:r>
      <w:r>
        <w:rPr>
          <w:rFonts w:hint="default" w:ascii="Times New Roman" w:hAnsi="Times New Roman" w:cs="Times New Roman"/>
          <w:color w:val="auto"/>
          <w:highlight w:val="none"/>
        </w:rPr>
        <w:t>——计算等效声级的时间，1h；</w:t>
      </w:r>
    </w:p>
    <w:p w14:paraId="47248EAB">
      <w:pPr>
        <w:pStyle w:val="25"/>
        <w:spacing w:line="240" w:lineRule="auto"/>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0" distR="0">
            <wp:extent cx="381000" cy="238760"/>
            <wp:effectExtent l="0" t="0" r="0" b="8890"/>
            <wp:docPr id="6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a:xfrm>
                      <a:off x="0" y="0"/>
                      <a:ext cx="384083" cy="240993"/>
                    </a:xfrm>
                    <a:prstGeom prst="rect">
                      <a:avLst/>
                    </a:prstGeom>
                    <a:noFill/>
                    <a:ln>
                      <a:noFill/>
                    </a:ln>
                  </pic:spPr>
                </pic:pic>
              </a:graphicData>
            </a:graphic>
          </wp:inline>
        </w:drawing>
      </w:r>
      <w:r>
        <w:rPr>
          <w:rFonts w:hint="default" w:ascii="Times New Roman" w:hAnsi="Times New Roman" w:cs="Times New Roman"/>
          <w:color w:val="auto"/>
          <w:highlight w:val="none"/>
        </w:rPr>
        <w:t>——距离衰减量，dB(A)，小时车流量大于等于300辆/小时：</w:t>
      </w:r>
    </w:p>
    <w:p w14:paraId="61E66170">
      <w:pPr>
        <w:pStyle w:val="25"/>
        <w:spacing w:line="240" w:lineRule="auto"/>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0" distR="0">
            <wp:extent cx="352425" cy="220980"/>
            <wp:effectExtent l="0" t="0" r="9525" b="7620"/>
            <wp:docPr id="6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a:xfrm>
                      <a:off x="0" y="0"/>
                      <a:ext cx="354812" cy="222627"/>
                    </a:xfrm>
                    <a:prstGeom prst="rect">
                      <a:avLst/>
                    </a:prstGeom>
                    <a:noFill/>
                    <a:ln>
                      <a:noFill/>
                    </a:ln>
                  </pic:spPr>
                </pic:pic>
              </a:graphicData>
            </a:graphic>
          </wp:inline>
        </w:drawing>
      </w:r>
      <w:r>
        <w:rPr>
          <w:rFonts w:hint="default" w:ascii="Times New Roman" w:hAnsi="Times New Roman" w:cs="Times New Roman"/>
          <w:color w:val="auto"/>
          <w:highlight w:val="none"/>
        </w:rPr>
        <w:t>=10lg(7.5/</w:t>
      </w:r>
      <w:r>
        <w:rPr>
          <w:rFonts w:hint="default" w:ascii="Times New Roman" w:hAnsi="Times New Roman" w:cs="Times New Roman"/>
          <w:i/>
          <w:color w:val="auto"/>
          <w:highlight w:val="none"/>
        </w:rPr>
        <w:t>r</w:t>
      </w:r>
      <w:r>
        <w:rPr>
          <w:rFonts w:hint="default" w:ascii="Times New Roman" w:hAnsi="Times New Roman" w:cs="Times New Roman"/>
          <w:color w:val="auto"/>
          <w:highlight w:val="none"/>
        </w:rPr>
        <w:t>)，小时车流量小于300辆/小时：</w:t>
      </w:r>
      <w:r>
        <w:rPr>
          <w:rFonts w:hint="default" w:ascii="Times New Roman" w:hAnsi="Times New Roman" w:cs="Times New Roman"/>
          <w:color w:val="auto"/>
          <w:highlight w:val="none"/>
        </w:rPr>
        <w:drawing>
          <wp:inline distT="0" distB="0" distL="0" distR="0">
            <wp:extent cx="381000" cy="238760"/>
            <wp:effectExtent l="0" t="0" r="0" b="8890"/>
            <wp:docPr id="7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a:xfrm>
                      <a:off x="0" y="0"/>
                      <a:ext cx="384619" cy="241330"/>
                    </a:xfrm>
                    <a:prstGeom prst="rect">
                      <a:avLst/>
                    </a:prstGeom>
                    <a:noFill/>
                    <a:ln>
                      <a:noFill/>
                    </a:ln>
                  </pic:spPr>
                </pic:pic>
              </a:graphicData>
            </a:graphic>
          </wp:inline>
        </w:drawing>
      </w:r>
      <w:r>
        <w:rPr>
          <w:rFonts w:hint="default" w:ascii="Times New Roman" w:hAnsi="Times New Roman" w:cs="Times New Roman"/>
          <w:color w:val="auto"/>
          <w:highlight w:val="none"/>
        </w:rPr>
        <w:t>=15lg(7.5/</w:t>
      </w:r>
      <w:r>
        <w:rPr>
          <w:rFonts w:hint="default" w:ascii="Times New Roman" w:hAnsi="Times New Roman" w:cs="Times New Roman"/>
          <w:i/>
          <w:color w:val="auto"/>
          <w:highlight w:val="none"/>
        </w:rPr>
        <w:t>r</w:t>
      </w:r>
      <w:r>
        <w:rPr>
          <w:rFonts w:hint="default" w:ascii="Times New Roman" w:hAnsi="Times New Roman" w:cs="Times New Roman"/>
          <w:color w:val="auto"/>
          <w:highlight w:val="none"/>
        </w:rPr>
        <w:t>)；</w:t>
      </w:r>
    </w:p>
    <w:p w14:paraId="36608B39">
      <w:pPr>
        <w:pStyle w:val="25"/>
        <w:ind w:firstLine="480"/>
        <w:rPr>
          <w:rFonts w:hint="default" w:ascii="Times New Roman" w:hAnsi="Times New Roman" w:cs="Times New Roman"/>
          <w:color w:val="auto"/>
          <w:highlight w:val="none"/>
        </w:rPr>
      </w:pPr>
      <w:r>
        <w:rPr>
          <w:rFonts w:hint="default" w:ascii="Times New Roman" w:hAnsi="Times New Roman" w:cs="Times New Roman"/>
          <w:i/>
          <w:color w:val="auto"/>
          <w:highlight w:val="none"/>
        </w:rPr>
        <w:t>r</w:t>
      </w:r>
      <w:r>
        <w:rPr>
          <w:rFonts w:hint="default" w:ascii="Times New Roman" w:hAnsi="Times New Roman" w:cs="Times New Roman"/>
          <w:color w:val="auto"/>
          <w:highlight w:val="none"/>
        </w:rPr>
        <w:t>——从车道中心线到预测点的距离，m，式（B.7）适用于</w:t>
      </w:r>
      <w:r>
        <w:rPr>
          <w:rFonts w:hint="default" w:ascii="Times New Roman" w:hAnsi="Times New Roman" w:cs="Times New Roman"/>
          <w:i/>
          <w:color w:val="auto"/>
          <w:highlight w:val="none"/>
        </w:rPr>
        <w:t>r</w:t>
      </w:r>
      <w:r>
        <w:rPr>
          <w:rFonts w:hint="default" w:ascii="Times New Roman" w:hAnsi="Times New Roman" w:cs="Times New Roman"/>
          <w:color w:val="auto"/>
          <w:highlight w:val="none"/>
        </w:rPr>
        <w:t>＞7.5m的预测点的噪声预测；</w:t>
      </w:r>
    </w:p>
    <w:p w14:paraId="51C16E65">
      <w:pPr>
        <w:pStyle w:val="25"/>
        <w:numPr>
          <w:ilvl w:val="0"/>
          <w:numId w:val="6"/>
        </w:numPr>
        <w:ind w:firstLineChars="0"/>
        <w:rPr>
          <w:rFonts w:hint="default" w:ascii="Times New Roman" w:hAnsi="Times New Roman" w:cs="Times New Roman"/>
          <w:color w:val="auto"/>
          <w:highlight w:val="none"/>
        </w:rPr>
      </w:pPr>
      <w:r>
        <w:rPr>
          <w:rFonts w:hint="default" w:ascii="Times New Roman" w:hAnsi="Times New Roman" w:cs="Times New Roman"/>
          <w:i/>
          <w:color w:val="auto"/>
          <w:highlight w:val="none"/>
        </w:rPr>
        <w:drawing>
          <wp:inline distT="0" distB="0" distL="0" distR="0">
            <wp:extent cx="152400" cy="171450"/>
            <wp:effectExtent l="0" t="0" r="0" b="0"/>
            <wp:docPr id="71" name="图片 71" descr="D:\用户目录\我的文档\WeChat Files\mengtingting239478\FileStorage\Temp\1702199981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D:\用户目录\我的文档\WeChat Files\mengtingting239478\FileStorage\Temp\1702199981005.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a:xfrm>
                      <a:off x="0" y="0"/>
                      <a:ext cx="152400" cy="171450"/>
                    </a:xfrm>
                    <a:prstGeom prst="rect">
                      <a:avLst/>
                    </a:prstGeom>
                    <a:noFill/>
                    <a:ln>
                      <a:noFill/>
                    </a:ln>
                  </pic:spPr>
                </pic:pic>
              </a:graphicData>
            </a:graphic>
          </wp:inline>
        </w:drawing>
      </w:r>
      <w:r>
        <w:rPr>
          <w:rFonts w:hint="default" w:ascii="Times New Roman" w:hAnsi="Times New Roman" w:cs="Times New Roman"/>
          <w:color w:val="auto"/>
          <w:highlight w:val="none"/>
        </w:rPr>
        <w:t>——预测点到有限长路段两端的张角，弧度。</w:t>
      </w:r>
    </w:p>
    <w:p w14:paraId="50E79EB5">
      <w:pPr>
        <w:pStyle w:val="25"/>
        <w:spacing w:line="240" w:lineRule="auto"/>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0" distR="0">
            <wp:extent cx="200025" cy="245745"/>
            <wp:effectExtent l="0" t="0" r="9525" b="1905"/>
            <wp:docPr id="7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203065" cy="249927"/>
                    </a:xfrm>
                    <a:prstGeom prst="rect">
                      <a:avLst/>
                    </a:prstGeom>
                    <a:noFill/>
                    <a:ln>
                      <a:noFill/>
                    </a:ln>
                  </pic:spPr>
                </pic:pic>
              </a:graphicData>
            </a:graphic>
          </wp:inline>
        </w:drawing>
      </w:r>
      <w:r>
        <w:rPr>
          <w:rFonts w:hint="default" w:ascii="Times New Roman" w:hAnsi="Times New Roman" w:cs="Times New Roman"/>
          <w:color w:val="auto"/>
          <w:highlight w:val="none"/>
        </w:rPr>
        <w:t>——由其他因素引起的修正量，取0。</w:t>
      </w:r>
    </w:p>
    <w:p w14:paraId="1B7D5A6A">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（3）预测结果</w:t>
      </w:r>
    </w:p>
    <w:p w14:paraId="217BF64F">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本次噪声预测包括运输道路两侧10～100m车速为20km/h时的噪声值。运输道路噪声预测结果见下表所示。</w:t>
      </w:r>
    </w:p>
    <w:p w14:paraId="4663AFF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表5-</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6</w:t>
      </w:r>
      <w:r>
        <w:rPr>
          <w:rFonts w:hint="default" w:ascii="Times New Roman" w:hAnsi="Times New Roman" w:cs="Times New Roman"/>
          <w:color w:val="auto"/>
          <w:highlight w:val="none"/>
        </w:rPr>
        <w:t>运输车辆噪声影响预测结果</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单位：dB(A)</w:t>
      </w:r>
    </w:p>
    <w:tbl>
      <w:tblPr>
        <w:tblStyle w:val="2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72"/>
        <w:gridCol w:w="1142"/>
        <w:gridCol w:w="1142"/>
        <w:gridCol w:w="1142"/>
        <w:gridCol w:w="1142"/>
        <w:gridCol w:w="1142"/>
        <w:gridCol w:w="1140"/>
      </w:tblGrid>
      <w:tr w14:paraId="17C22B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981" w:type="pct"/>
            <w:tcBorders>
              <w:tl2br w:val="nil"/>
              <w:tr2bl w:val="nil"/>
            </w:tcBorders>
            <w:vAlign w:val="center"/>
          </w:tcPr>
          <w:p w14:paraId="6FCDE099">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距离</w:t>
            </w:r>
          </w:p>
          <w:p w14:paraId="538199D3">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声级值</w:t>
            </w:r>
          </w:p>
        </w:tc>
        <w:tc>
          <w:tcPr>
            <w:tcW w:w="4019" w:type="pct"/>
            <w:gridSpan w:val="6"/>
            <w:tcBorders>
              <w:tl2br w:val="nil"/>
              <w:tr2bl w:val="nil"/>
            </w:tcBorders>
            <w:vAlign w:val="center"/>
          </w:tcPr>
          <w:p w14:paraId="22B8D8BD">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距路面中心线距离（m）</w:t>
            </w:r>
          </w:p>
        </w:tc>
      </w:tr>
      <w:tr w14:paraId="5F7F59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81" w:type="pct"/>
            <w:vMerge w:val="restart"/>
            <w:tcBorders>
              <w:tl2br w:val="nil"/>
              <w:tr2bl w:val="nil"/>
            </w:tcBorders>
            <w:vAlign w:val="center"/>
          </w:tcPr>
          <w:p w14:paraId="52D315CA">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预测值</w:t>
            </w:r>
          </w:p>
        </w:tc>
        <w:tc>
          <w:tcPr>
            <w:tcW w:w="670" w:type="pct"/>
            <w:tcBorders>
              <w:tl2br w:val="nil"/>
              <w:tr2bl w:val="nil"/>
            </w:tcBorders>
            <w:vAlign w:val="center"/>
          </w:tcPr>
          <w:p w14:paraId="7B860C2B">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670" w:type="pct"/>
            <w:tcBorders>
              <w:tl2br w:val="nil"/>
              <w:tr2bl w:val="nil"/>
            </w:tcBorders>
            <w:vAlign w:val="center"/>
          </w:tcPr>
          <w:p w14:paraId="6A0FDDC2">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20</w:t>
            </w:r>
          </w:p>
        </w:tc>
        <w:tc>
          <w:tcPr>
            <w:tcW w:w="670" w:type="pct"/>
            <w:tcBorders>
              <w:tl2br w:val="nil"/>
              <w:tr2bl w:val="nil"/>
            </w:tcBorders>
            <w:vAlign w:val="center"/>
          </w:tcPr>
          <w:p w14:paraId="570EE88F">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30</w:t>
            </w:r>
          </w:p>
        </w:tc>
        <w:tc>
          <w:tcPr>
            <w:tcW w:w="670" w:type="pct"/>
            <w:tcBorders>
              <w:tl2br w:val="nil"/>
              <w:tr2bl w:val="nil"/>
            </w:tcBorders>
            <w:vAlign w:val="center"/>
          </w:tcPr>
          <w:p w14:paraId="333FBD63">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40</w:t>
            </w:r>
          </w:p>
        </w:tc>
        <w:tc>
          <w:tcPr>
            <w:tcW w:w="670" w:type="pct"/>
            <w:tcBorders>
              <w:tl2br w:val="nil"/>
              <w:tr2bl w:val="nil"/>
            </w:tcBorders>
            <w:vAlign w:val="center"/>
          </w:tcPr>
          <w:p w14:paraId="1EBC794E">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50</w:t>
            </w:r>
          </w:p>
        </w:tc>
        <w:tc>
          <w:tcPr>
            <w:tcW w:w="670" w:type="pct"/>
            <w:tcBorders>
              <w:tl2br w:val="nil"/>
              <w:tr2bl w:val="nil"/>
            </w:tcBorders>
            <w:vAlign w:val="center"/>
          </w:tcPr>
          <w:p w14:paraId="23921F05">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100</w:t>
            </w:r>
          </w:p>
        </w:tc>
      </w:tr>
      <w:tr w14:paraId="05F1D1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81" w:type="pct"/>
            <w:vMerge w:val="continue"/>
            <w:tcBorders>
              <w:tl2br w:val="nil"/>
              <w:tr2bl w:val="nil"/>
            </w:tcBorders>
            <w:vAlign w:val="center"/>
          </w:tcPr>
          <w:p w14:paraId="441DBC97">
            <w:pPr>
              <w:pStyle w:val="44"/>
              <w:bidi w:val="0"/>
              <w:jc w:val="center"/>
              <w:rPr>
                <w:rFonts w:hint="default" w:ascii="Times New Roman" w:hAnsi="Times New Roman" w:cs="Times New Roman"/>
                <w:color w:val="auto"/>
                <w:highlight w:val="none"/>
              </w:rPr>
            </w:pPr>
          </w:p>
        </w:tc>
        <w:tc>
          <w:tcPr>
            <w:tcW w:w="670" w:type="pct"/>
            <w:tcBorders>
              <w:tl2br w:val="nil"/>
              <w:tr2bl w:val="nil"/>
            </w:tcBorders>
            <w:vAlign w:val="center"/>
          </w:tcPr>
          <w:p w14:paraId="25FC9589">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43.81</w:t>
            </w:r>
          </w:p>
        </w:tc>
        <w:tc>
          <w:tcPr>
            <w:tcW w:w="670" w:type="pct"/>
            <w:tcBorders>
              <w:tl2br w:val="nil"/>
              <w:tr2bl w:val="nil"/>
            </w:tcBorders>
            <w:vAlign w:val="center"/>
          </w:tcPr>
          <w:p w14:paraId="204ED7E8">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40.67</w:t>
            </w:r>
          </w:p>
        </w:tc>
        <w:tc>
          <w:tcPr>
            <w:tcW w:w="670" w:type="pct"/>
            <w:tcBorders>
              <w:tl2br w:val="nil"/>
              <w:tr2bl w:val="nil"/>
            </w:tcBorders>
            <w:vAlign w:val="center"/>
          </w:tcPr>
          <w:p w14:paraId="00A72A63">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38.04</w:t>
            </w:r>
          </w:p>
        </w:tc>
        <w:tc>
          <w:tcPr>
            <w:tcW w:w="670" w:type="pct"/>
            <w:tcBorders>
              <w:tl2br w:val="nil"/>
              <w:tr2bl w:val="nil"/>
            </w:tcBorders>
            <w:vAlign w:val="center"/>
          </w:tcPr>
          <w:p w14:paraId="26DDBFCF">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36.10</w:t>
            </w:r>
          </w:p>
        </w:tc>
        <w:tc>
          <w:tcPr>
            <w:tcW w:w="670" w:type="pct"/>
            <w:tcBorders>
              <w:tl2br w:val="nil"/>
              <w:tr2bl w:val="nil"/>
            </w:tcBorders>
            <w:vAlign w:val="center"/>
          </w:tcPr>
          <w:p w14:paraId="476CE4C6">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34.61</w:t>
            </w:r>
          </w:p>
        </w:tc>
        <w:tc>
          <w:tcPr>
            <w:tcW w:w="670" w:type="pct"/>
            <w:tcBorders>
              <w:tl2br w:val="nil"/>
              <w:tr2bl w:val="nil"/>
            </w:tcBorders>
            <w:vAlign w:val="center"/>
          </w:tcPr>
          <w:p w14:paraId="78AFBB2B">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28.94</w:t>
            </w:r>
          </w:p>
        </w:tc>
      </w:tr>
    </w:tbl>
    <w:p w14:paraId="3F380421">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由上表可知，行车速度在20km/h的情况下，道路红线两侧10m～100m范围内昼间、夜间均可满足《声环境质量标准》(GB3096-2008)1类、2类标准限值要求。煤矸石的运入，将使区域道路车流量增多，高峰时运输车辆将增加4.1辆/h，由于是间断运输，增加车流量较小，对交通噪声贡献量不会很大。运输车辆在经过沿途声环境敏感点时禁止鸣笛，减速慢行，对周围敏感点声环境影响较小。</w:t>
      </w:r>
    </w:p>
    <w:p w14:paraId="0713B1A9">
      <w:pPr>
        <w:pStyle w:val="25"/>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综上所述，本项目在采取相应措施后，对声环境影响可接受。</w:t>
      </w:r>
    </w:p>
    <w:p w14:paraId="7CDECC78">
      <w:pPr>
        <w:pStyle w:val="39"/>
        <w:rPr>
          <w:rFonts w:hint="default" w:ascii="Times New Roman" w:hAnsi="Times New Roman" w:cs="Times New Roman"/>
          <w:color w:val="auto"/>
          <w:highlight w:val="none"/>
        </w:rPr>
      </w:pPr>
      <w:bookmarkStart w:id="288" w:name="_Toc5179"/>
      <w:r>
        <w:rPr>
          <w:rFonts w:hint="default" w:ascii="Times New Roman" w:hAnsi="Times New Roman" w:cs="Times New Roman"/>
          <w:color w:val="auto"/>
          <w:highlight w:val="none"/>
        </w:rPr>
        <w:t>5.1.4施工期固体废物环境影响评价</w:t>
      </w:r>
      <w:bookmarkEnd w:id="288"/>
    </w:p>
    <w:p w14:paraId="0A571D7F">
      <w:pPr>
        <w:pStyle w:val="25"/>
        <w:bidi w:val="0"/>
        <w:rPr>
          <w:rFonts w:hint="default" w:ascii="Times New Roman" w:hAnsi="Times New Roman" w:cs="Times New Roman"/>
          <w:color w:val="auto"/>
          <w:highlight w:val="none"/>
        </w:rPr>
      </w:pPr>
      <w:bookmarkStart w:id="289" w:name="_Toc486255087"/>
      <w:bookmarkStart w:id="290" w:name="_Toc15991680"/>
      <w:r>
        <w:rPr>
          <w:rFonts w:hint="default" w:ascii="Times New Roman" w:hAnsi="Times New Roman" w:cs="Times New Roman"/>
          <w:color w:val="auto"/>
          <w:highlight w:val="none"/>
        </w:rPr>
        <w:t>固体废物主要为排水沟开挖产生的土方、建筑废弃物、清基杂物施工中的固废均为一般固体废物。</w:t>
      </w:r>
    </w:p>
    <w:p w14:paraId="39A0CEE9">
      <w:pPr>
        <w:pStyle w:val="25"/>
        <w:bidi w:val="0"/>
        <w:rPr>
          <w:rFonts w:hint="default" w:ascii="Times New Roman" w:hAnsi="Times New Roman" w:cs="Times New Roman"/>
          <w:color w:val="auto"/>
          <w:highlight w:val="none"/>
        </w:rPr>
      </w:pPr>
      <w:bookmarkStart w:id="291" w:name="_Toc26898"/>
      <w:r>
        <w:rPr>
          <w:rFonts w:hint="default" w:ascii="Times New Roman" w:hAnsi="Times New Roman" w:cs="Times New Roman"/>
          <w:color w:val="auto"/>
          <w:highlight w:val="none"/>
        </w:rPr>
        <w:t>本项目施工期产生固废为建筑垃圾、场地清理废物。建筑材料下脚料、包装袋等建筑废弃物，外售废品回收部门；场地清理废物包含杂草、草木根茎、杂物等，集中收集后交由市政部门统一处理。生活垃圾集中收集，交由市政部门统一处理。</w:t>
      </w:r>
      <w:r>
        <w:rPr>
          <w:rFonts w:hint="default" w:ascii="Times New Roman" w:hAnsi="Times New Roman" w:cs="Times New Roman"/>
          <w:color w:val="auto"/>
          <w:sz w:val="24"/>
          <w:szCs w:val="24"/>
          <w:highlight w:val="none"/>
          <w:lang w:val="en-US" w:eastAsia="zh-CN"/>
        </w:rPr>
        <w:t>沉淀池沉渣在沉淀池内经自然沉淀后，无需清理，后期直接回填。</w:t>
      </w: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施工期</w:t>
      </w:r>
      <w:r>
        <w:rPr>
          <w:rFonts w:hint="default" w:ascii="Times New Roman" w:hAnsi="Times New Roman" w:cs="Times New Roman"/>
          <w:color w:val="auto"/>
          <w:highlight w:val="none"/>
        </w:rPr>
        <w:t>产生的固体废物均可以得到安全、妥善地处理处置，对周围环境影响较小。</w:t>
      </w:r>
    </w:p>
    <w:p w14:paraId="2A8A4BE3">
      <w:pPr>
        <w:pStyle w:val="39"/>
        <w:rPr>
          <w:rFonts w:hint="default" w:ascii="Times New Roman" w:hAnsi="Times New Roman" w:cs="Times New Roman"/>
          <w:color w:val="auto"/>
          <w:highlight w:val="none"/>
        </w:rPr>
      </w:pPr>
      <w:r>
        <w:rPr>
          <w:rFonts w:hint="default" w:ascii="Times New Roman" w:hAnsi="Times New Roman" w:cs="Times New Roman"/>
          <w:color w:val="auto"/>
          <w:highlight w:val="none"/>
        </w:rPr>
        <w:t>5.1.5施工期生态环境影响</w:t>
      </w:r>
      <w:bookmarkEnd w:id="289"/>
      <w:r>
        <w:rPr>
          <w:rFonts w:hint="default" w:ascii="Times New Roman" w:hAnsi="Times New Roman" w:cs="Times New Roman"/>
          <w:color w:val="auto"/>
          <w:highlight w:val="none"/>
        </w:rPr>
        <w:t>预测与评价</w:t>
      </w:r>
      <w:bookmarkEnd w:id="290"/>
      <w:bookmarkEnd w:id="291"/>
    </w:p>
    <w:p w14:paraId="168E107E">
      <w:pPr>
        <w:pStyle w:val="25"/>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本工程在施工过程中，将导致土壤和植被破坏，会对自然景观、水土流失、生物多样性、土地利用功能等产生影响。</w:t>
      </w:r>
    </w:p>
    <w:p w14:paraId="631B811F">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本项目建设地点位于</w:t>
      </w:r>
      <w:r>
        <w:rPr>
          <w:rFonts w:hint="default" w:ascii="Times New Roman" w:hAnsi="Times New Roman" w:cs="Times New Roman"/>
          <w:bCs/>
          <w:color w:val="auto"/>
          <w:highlight w:val="none"/>
        </w:rPr>
        <w:t>鸡西</w:t>
      </w:r>
      <w:r>
        <w:rPr>
          <w:rFonts w:hint="default" w:ascii="Times New Roman" w:hAnsi="Times New Roman" w:cs="Times New Roman"/>
          <w:bCs/>
          <w:color w:val="auto"/>
          <w:highlight w:val="none"/>
          <w:lang w:val="en-US" w:eastAsia="zh-CN"/>
        </w:rPr>
        <w:t>城子河区</w:t>
      </w:r>
      <w:r>
        <w:rPr>
          <w:rFonts w:hint="default" w:ascii="Times New Roman" w:hAnsi="Times New Roman" w:cs="Times New Roman"/>
          <w:color w:val="auto"/>
          <w:highlight w:val="none"/>
        </w:rPr>
        <w:t>，永久占地类型为</w:t>
      </w:r>
      <w:r>
        <w:rPr>
          <w:rFonts w:hint="default" w:ascii="Times New Roman" w:hAnsi="Times New Roman" w:cs="Times New Roman"/>
          <w:bCs/>
          <w:color w:val="auto"/>
          <w:highlight w:val="none"/>
        </w:rPr>
        <w:t>采矿用地，</w:t>
      </w:r>
      <w:r>
        <w:rPr>
          <w:rFonts w:hint="default" w:ascii="Times New Roman" w:hAnsi="Times New Roman" w:cs="Times New Roman"/>
          <w:snapToGrid w:val="0"/>
          <w:color w:val="auto"/>
          <w:highlight w:val="none"/>
        </w:rPr>
        <w:t>修复治理面积</w:t>
      </w:r>
      <w:r>
        <w:rPr>
          <w:rFonts w:hint="eastAsia" w:cs="Times New Roman"/>
          <w:snapToGrid w:val="0"/>
          <w:color w:val="auto"/>
          <w:highlight w:val="none"/>
          <w:lang w:eastAsia="zh-CN"/>
        </w:rPr>
        <w:t>26.648</w:t>
      </w:r>
      <w:r>
        <w:rPr>
          <w:rFonts w:hint="default" w:ascii="Times New Roman" w:hAnsi="Times New Roman" w:cs="Times New Roman"/>
          <w:snapToGrid w:val="0"/>
          <w:color w:val="auto"/>
          <w:highlight w:val="none"/>
        </w:rPr>
        <w:t>hm</w:t>
      </w:r>
      <w:r>
        <w:rPr>
          <w:rFonts w:hint="default" w:ascii="Times New Roman" w:hAnsi="Times New Roman" w:cs="Times New Roman"/>
          <w:snapToGrid w:val="0"/>
          <w:color w:val="auto"/>
          <w:highlight w:val="none"/>
          <w:vertAlign w:val="superscript"/>
        </w:rPr>
        <w:t>2</w:t>
      </w:r>
      <w:r>
        <w:rPr>
          <w:rFonts w:hint="default" w:ascii="Times New Roman" w:hAnsi="Times New Roman" w:cs="Times New Roman"/>
          <w:color w:val="auto"/>
          <w:lang w:eastAsia="zh-CN"/>
        </w:rPr>
        <w:t>。</w:t>
      </w:r>
      <w:r>
        <w:rPr>
          <w:rFonts w:hint="default" w:ascii="Times New Roman" w:hAnsi="Times New Roman" w:cs="Times New Roman"/>
          <w:color w:val="auto"/>
          <w:highlight w:val="none"/>
        </w:rPr>
        <w:t>施工期生态环境影响主要表现为工程施工扰动地表，导致临土地利用功能的改变，加重土壤侵蚀和水土流失及发生生物群落变化，施工期振动地貌单元上栖息的小型动物将被迫迁移，污染增加，环境质量下降，施工结束后需要采取相应措施恢复景观及减少环境污染的措施。</w:t>
      </w:r>
      <w:r>
        <w:rPr>
          <w:rFonts w:hint="default" w:ascii="Times New Roman" w:hAnsi="Times New Roman" w:cs="Times New Roman"/>
          <w:snapToGrid w:val="0"/>
          <w:color w:val="auto"/>
          <w:highlight w:val="none"/>
        </w:rPr>
        <w:t>项目所在区域植物种类较少，且没有不可恢复或者珍稀植物。施工结束后，进行生态恢复，通过土地复垦，将有利于植被的保护与恢复，起到水土保持、防风固沙的效果，会增加占地内的植被覆盖率和生物产量，并有利于植物的生长。随着采取有效的人工措施，以及植物的自我恢复能力，项目周边被影响或破坏的植物逐渐得到恢复。</w:t>
      </w:r>
      <w:r>
        <w:rPr>
          <w:rFonts w:hint="eastAsia" w:cs="Times New Roman"/>
          <w:snapToGrid w:val="0"/>
          <w:color w:val="auto"/>
          <w:highlight w:val="none"/>
          <w:lang w:val="en-US" w:eastAsia="zh-CN"/>
        </w:rPr>
        <w:t>项目占地类型从采矿用地变为建设用地和林地。</w:t>
      </w:r>
      <w:r>
        <w:rPr>
          <w:rFonts w:hint="default" w:ascii="Times New Roman" w:hAnsi="Times New Roman" w:cs="Times New Roman"/>
          <w:snapToGrid w:val="0"/>
          <w:color w:val="auto"/>
          <w:highlight w:val="none"/>
        </w:rPr>
        <w:t>建设单位为</w:t>
      </w:r>
      <w:r>
        <w:rPr>
          <w:rFonts w:hint="default" w:ascii="Times New Roman" w:hAnsi="Times New Roman" w:cs="Times New Roman" w:eastAsiaTheme="majorEastAsia"/>
          <w:color w:val="auto"/>
          <w:highlight w:val="none"/>
        </w:rPr>
        <w:t>生态恢复工程实施主体。</w:t>
      </w:r>
    </w:p>
    <w:p w14:paraId="313569D0">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（1）对植被、野生动物、生物多样性的影响</w:t>
      </w:r>
    </w:p>
    <w:p w14:paraId="69292B73">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项目区内没有国家重点保护野生植物，灌木及草本植被也为该区域地带性植被，项目的建设不会导致植被种类的减少。因此，项目的建设对植被、生物多样性的影响很小。</w:t>
      </w:r>
    </w:p>
    <w:p w14:paraId="6B74C147">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区域内没有国家级重点保护野生动物和鸟类，没有发现国家和省级重点保护两栖、爬行类动物活体。项目施工使部分小动物栖息地受到破坏减少了其生存空间，致使野生动物被迫迁移、回避。因而可能使项目区域内野生动物的数量减少，但野生动物将前往附近同类环境，动物迁徙能力强，且同类生境易于在附近寻找，物种种群与数量不会受到明显影响。</w:t>
      </w:r>
    </w:p>
    <w:p w14:paraId="7927AD36">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因此，项目建设不会对植被、野生动物、生物多样性产生较大影响，这种影响是可控的，可以接受的。</w:t>
      </w:r>
    </w:p>
    <w:p w14:paraId="022CEA88">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kern w:val="24"/>
          <w:highlight w:val="none"/>
        </w:rPr>
        <w:t>（2）水土流失影响分析</w:t>
      </w:r>
    </w:p>
    <w:p w14:paraId="102E04E7">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项目的建设过程扰动原地貌、占压土地、损坏植被等活动，减弱了地表的抗蚀抗冲能力，若产生的水土流失得不到有效地治理，就会对区域生态环境造成不利影响。</w:t>
      </w:r>
    </w:p>
    <w:p w14:paraId="78F080EC">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项目施工建设过程中，施工区无植被覆盖，土体结构疏松，容易造成水土流失，由于该项目建设时间不长，所以应采取有效的预防和保护措施，防止引起生态环境的破坏和恶化</w:t>
      </w:r>
    </w:p>
    <w:p w14:paraId="118C2408">
      <w:pPr>
        <w:pStyle w:val="25"/>
        <w:ind w:firstLine="48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3</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对黑土地影响分析</w:t>
      </w:r>
    </w:p>
    <w:p w14:paraId="5A074A32">
      <w:pPr>
        <w:pStyle w:val="25"/>
        <w:ind w:firstLine="48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val="en-US" w:eastAsia="zh-CN"/>
        </w:rPr>
        <w:t>工程</w:t>
      </w:r>
      <w:r>
        <w:rPr>
          <w:rFonts w:hint="eastAsia" w:ascii="Times New Roman" w:hAnsi="Times New Roman" w:eastAsia="宋体" w:cs="Times New Roman"/>
          <w:color w:val="auto"/>
          <w:highlight w:val="none"/>
        </w:rPr>
        <w:t>开挖造成地表原有植被破坏，致使地表裸露，植被对土壤的覆盖保护作用和根系固土作用减弱，</w:t>
      </w:r>
      <w:r>
        <w:rPr>
          <w:rFonts w:hint="eastAsia" w:ascii="Times New Roman" w:hAnsi="Times New Roman" w:eastAsia="宋体" w:cs="Times New Roman"/>
          <w:color w:val="auto"/>
          <w:highlight w:val="none"/>
          <w:lang w:val="en-US" w:eastAsia="zh-CN"/>
        </w:rPr>
        <w:t>使</w:t>
      </w:r>
      <w:r>
        <w:rPr>
          <w:rFonts w:hint="eastAsia" w:ascii="Times New Roman" w:hAnsi="Times New Roman" w:eastAsia="宋体" w:cs="Times New Roman"/>
          <w:color w:val="auto"/>
          <w:highlight w:val="none"/>
        </w:rPr>
        <w:t>少量的松散表土发生运移，土壤的渗水性减弱</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rPr>
        <w:t>土壤水分大量散失，土体结构破坏，大大降低了原地表土壤的抗蚀力，在水力和风力的侵蚀作用下，易造成水土流失</w:t>
      </w:r>
      <w:r>
        <w:rPr>
          <w:rFonts w:hint="eastAsia" w:ascii="Times New Roman" w:hAnsi="Times New Roman" w:eastAsia="宋体" w:cs="Times New Roman"/>
          <w:color w:val="auto"/>
          <w:highlight w:val="none"/>
          <w:lang w:eastAsia="zh-CN"/>
        </w:rPr>
        <w:t>。</w:t>
      </w:r>
    </w:p>
    <w:p w14:paraId="12D1209E">
      <w:pPr>
        <w:pStyle w:val="25"/>
        <w:ind w:firstLine="48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项目施工期对表土层进行剥离，可有效保护黑土地中土壤肥力及水分，防止表土堆置期间产生流失，在表土外表面苫盖密目网，坡脚用编织袋填筑土埂压盖</w:t>
      </w:r>
    </w:p>
    <w:p w14:paraId="49A16E22">
      <w:pPr>
        <w:pStyle w:val="25"/>
        <w:ind w:firstLine="48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本工程</w:t>
      </w:r>
      <w:r>
        <w:rPr>
          <w:rFonts w:hint="eastAsia" w:ascii="Times New Roman" w:hAnsi="Times New Roman" w:eastAsia="宋体" w:cs="Times New Roman"/>
          <w:color w:val="auto"/>
          <w:highlight w:val="none"/>
          <w:lang w:val="en-US" w:eastAsia="zh-CN"/>
        </w:rPr>
        <w:t>将剥离表土用于复垦，最大化减少对工程建设对黑土地的影响</w:t>
      </w:r>
    </w:p>
    <w:p w14:paraId="6A139A3D">
      <w:pPr>
        <w:pStyle w:val="25"/>
        <w:numPr>
          <w:ilvl w:val="0"/>
          <w:numId w:val="0"/>
        </w:numPr>
        <w:ind w:left="0" w:leftChars="0" w:firstLine="480" w:firstLineChars="20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kern w:val="2"/>
          <w:sz w:val="24"/>
          <w:szCs w:val="24"/>
          <w:lang w:val="en-US" w:eastAsia="zh-CN" w:bidi="ar-SA"/>
        </w:rPr>
        <w:t>（4）</w:t>
      </w:r>
      <w:r>
        <w:rPr>
          <w:rFonts w:hint="eastAsia" w:ascii="Times New Roman" w:hAnsi="Times New Roman" w:eastAsia="宋体" w:cs="Times New Roman"/>
          <w:color w:val="auto"/>
          <w:highlight w:val="none"/>
          <w:lang w:val="en-US" w:eastAsia="zh-CN"/>
        </w:rPr>
        <w:t>对生态系统影响</w:t>
      </w:r>
    </w:p>
    <w:p w14:paraId="507ECCD0">
      <w:pPr>
        <w:pStyle w:val="25"/>
        <w:numPr>
          <w:ilvl w:val="0"/>
          <w:numId w:val="0"/>
        </w:numPr>
        <w:ind w:left="0" w:leftChars="0" w:firstLine="480" w:firstLineChars="20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本工程共12个历史遗留矿山，矿山的持续开采使区域植被铲除生物量减少，改变评价区生态系统类型，本工程建设后会使区域植被覆盖率增加，随着土地复垦的进行，将工程区内生态系统恢复为森林生态系统，区域生态、结构稳定性和功能多样性能够得到恢复。</w:t>
      </w:r>
    </w:p>
    <w:p w14:paraId="2B842F91">
      <w:pPr>
        <w:pStyle w:val="39"/>
        <w:rPr>
          <w:rFonts w:hint="default" w:ascii="Times New Roman" w:hAnsi="Times New Roman" w:cs="Times New Roman"/>
          <w:color w:val="auto"/>
          <w:highlight w:val="none"/>
        </w:rPr>
      </w:pPr>
      <w:bookmarkStart w:id="292" w:name="_Toc14584"/>
      <w:r>
        <w:rPr>
          <w:rFonts w:hint="default" w:ascii="Times New Roman" w:hAnsi="Times New Roman" w:cs="Times New Roman"/>
          <w:color w:val="auto"/>
          <w:highlight w:val="none"/>
        </w:rPr>
        <w:t>5.1.6施工期土壤影响分析</w:t>
      </w:r>
      <w:bookmarkEnd w:id="292"/>
    </w:p>
    <w:p w14:paraId="0F6F0521">
      <w:pPr>
        <w:pStyle w:val="5"/>
        <w:bidi w:val="0"/>
        <w:rPr>
          <w:rFonts w:hint="default" w:ascii="Times New Roman" w:hAnsi="Times New Roman" w:cs="Times New Roman"/>
          <w:color w:val="auto"/>
          <w:highlight w:val="none"/>
        </w:rPr>
      </w:pPr>
      <w:bookmarkStart w:id="293" w:name="_Toc415146703"/>
      <w:bookmarkStart w:id="294" w:name="_Toc119316806"/>
      <w:bookmarkStart w:id="295" w:name="_Toc28282"/>
      <w:bookmarkStart w:id="296" w:name="_Toc152926825"/>
      <w:bookmarkStart w:id="297" w:name="_Toc494017092"/>
      <w:r>
        <w:rPr>
          <w:rFonts w:hint="default" w:ascii="Times New Roman" w:hAnsi="Times New Roman" w:cs="Times New Roman"/>
          <w:color w:val="auto"/>
          <w:highlight w:val="none"/>
        </w:rPr>
        <w:t>5.</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.6.1土壤环境影响识别</w:t>
      </w:r>
    </w:p>
    <w:p w14:paraId="7DD84B35">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本项目为</w:t>
      </w:r>
      <w:r>
        <w:rPr>
          <w:rFonts w:hint="default" w:ascii="Times New Roman" w:hAnsi="Times New Roman" w:cs="Times New Roman"/>
          <w:color w:val="auto"/>
          <w:highlight w:val="none"/>
          <w:lang w:val="en-US" w:eastAsia="zh-CN"/>
        </w:rPr>
        <w:t>历史遗留矿山修复</w:t>
      </w:r>
      <w:r>
        <w:rPr>
          <w:rFonts w:hint="default" w:ascii="Times New Roman" w:hAnsi="Times New Roman" w:cs="Times New Roman"/>
          <w:color w:val="auto"/>
          <w:highlight w:val="none"/>
        </w:rPr>
        <w:t>，土壤环境影响主要是</w:t>
      </w:r>
      <w:r>
        <w:rPr>
          <w:rFonts w:hint="default" w:ascii="Times New Roman" w:hAnsi="Times New Roman" w:cs="Times New Roman"/>
          <w:color w:val="auto"/>
          <w:highlight w:val="none"/>
          <w:lang w:val="en-US" w:eastAsia="zh-CN"/>
        </w:rPr>
        <w:t>2#项目区</w:t>
      </w:r>
      <w:r>
        <w:rPr>
          <w:rFonts w:hint="default" w:ascii="Times New Roman" w:hAnsi="Times New Roman" w:cs="Times New Roman"/>
          <w:color w:val="auto"/>
          <w:highlight w:val="none"/>
        </w:rPr>
        <w:t>煤矸石在回填过程中，一是由于</w:t>
      </w:r>
      <w:r>
        <w:rPr>
          <w:rFonts w:hint="default" w:ascii="Times New Roman" w:hAnsi="Times New Roman" w:cs="Times New Roman"/>
          <w:color w:val="auto"/>
          <w:highlight w:val="none"/>
          <w:lang w:val="en-US" w:eastAsia="zh-CN"/>
        </w:rPr>
        <w:t>降雨量大时，</w:t>
      </w:r>
      <w:r>
        <w:rPr>
          <w:rFonts w:hint="default" w:ascii="Times New Roman" w:hAnsi="Times New Roman" w:cs="Times New Roman"/>
          <w:color w:val="auto"/>
          <w:highlight w:val="none"/>
        </w:rPr>
        <w:t>雨水渗透淋溶作用对附近土壤产生影响，二是煤矸石在回填过程产生的扬尘会对附近土壤产生影响。识别结果见下表。</w:t>
      </w:r>
    </w:p>
    <w:p w14:paraId="3EDA2177">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表5-</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7</w:t>
      </w:r>
      <w:r>
        <w:rPr>
          <w:rFonts w:hint="default" w:ascii="Times New Roman" w:hAnsi="Times New Roman" w:cs="Times New Roman"/>
          <w:color w:val="auto"/>
          <w:highlight w:val="none"/>
        </w:rPr>
        <w:t>建设项目土壤环境影响类型与影响途径表</w:t>
      </w:r>
    </w:p>
    <w:tbl>
      <w:tblPr>
        <w:tblStyle w:val="20"/>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59"/>
        <w:gridCol w:w="1660"/>
        <w:gridCol w:w="1585"/>
        <w:gridCol w:w="2341"/>
        <w:gridCol w:w="1574"/>
      </w:tblGrid>
      <w:tr w14:paraId="082933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98" w:type="pct"/>
            <w:vMerge w:val="restart"/>
            <w:vAlign w:val="center"/>
          </w:tcPr>
          <w:p w14:paraId="0B8E599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不同时期</w:t>
            </w:r>
          </w:p>
        </w:tc>
        <w:tc>
          <w:tcPr>
            <w:tcW w:w="4201" w:type="pct"/>
            <w:gridSpan w:val="4"/>
            <w:vAlign w:val="center"/>
          </w:tcPr>
          <w:p w14:paraId="179EABF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污染影响性</w:t>
            </w:r>
          </w:p>
        </w:tc>
      </w:tr>
      <w:tr w14:paraId="72B4EC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98" w:type="pct"/>
            <w:vMerge w:val="continue"/>
            <w:vAlign w:val="center"/>
          </w:tcPr>
          <w:p w14:paraId="5F4937DC">
            <w:pPr>
              <w:pStyle w:val="44"/>
              <w:bidi w:val="0"/>
              <w:rPr>
                <w:rFonts w:hint="default" w:ascii="Times New Roman" w:hAnsi="Times New Roman" w:cs="Times New Roman"/>
                <w:color w:val="auto"/>
                <w:highlight w:val="none"/>
              </w:rPr>
            </w:pPr>
          </w:p>
        </w:tc>
        <w:tc>
          <w:tcPr>
            <w:tcW w:w="974" w:type="pct"/>
            <w:vAlign w:val="center"/>
          </w:tcPr>
          <w:p w14:paraId="6395476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大气沉降</w:t>
            </w:r>
          </w:p>
        </w:tc>
        <w:tc>
          <w:tcPr>
            <w:tcW w:w="930" w:type="pct"/>
            <w:vAlign w:val="center"/>
          </w:tcPr>
          <w:p w14:paraId="2C1F47A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地面漫流</w:t>
            </w:r>
          </w:p>
        </w:tc>
        <w:tc>
          <w:tcPr>
            <w:tcW w:w="1374" w:type="pct"/>
            <w:vAlign w:val="center"/>
          </w:tcPr>
          <w:p w14:paraId="13F5125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垂直渗入</w:t>
            </w:r>
          </w:p>
        </w:tc>
        <w:tc>
          <w:tcPr>
            <w:tcW w:w="921" w:type="pct"/>
            <w:vAlign w:val="center"/>
          </w:tcPr>
          <w:p w14:paraId="4305043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其它</w:t>
            </w:r>
          </w:p>
        </w:tc>
      </w:tr>
      <w:tr w14:paraId="66B21B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5" w:hRule="atLeast"/>
        </w:trPr>
        <w:tc>
          <w:tcPr>
            <w:tcW w:w="798" w:type="pct"/>
            <w:vAlign w:val="center"/>
          </w:tcPr>
          <w:p w14:paraId="0B5A7F66">
            <w:pPr>
              <w:pStyle w:val="44"/>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施工期</w:t>
            </w:r>
          </w:p>
        </w:tc>
        <w:tc>
          <w:tcPr>
            <w:tcW w:w="974" w:type="pct"/>
            <w:vAlign w:val="center"/>
          </w:tcPr>
          <w:p w14:paraId="5E3EA0A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930" w:type="pct"/>
            <w:vAlign w:val="center"/>
          </w:tcPr>
          <w:p w14:paraId="440D098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374" w:type="pct"/>
            <w:vAlign w:val="center"/>
          </w:tcPr>
          <w:p w14:paraId="5D7E44C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921" w:type="pct"/>
            <w:vAlign w:val="center"/>
          </w:tcPr>
          <w:p w14:paraId="3241C9F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14:paraId="4CCE15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98" w:type="pct"/>
            <w:vAlign w:val="center"/>
          </w:tcPr>
          <w:p w14:paraId="1B6783C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生态恢复期</w:t>
            </w:r>
          </w:p>
        </w:tc>
        <w:tc>
          <w:tcPr>
            <w:tcW w:w="974" w:type="pct"/>
            <w:vAlign w:val="center"/>
          </w:tcPr>
          <w:p w14:paraId="4B5C911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930" w:type="pct"/>
            <w:vAlign w:val="center"/>
          </w:tcPr>
          <w:p w14:paraId="2BC3188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374" w:type="pct"/>
            <w:vAlign w:val="center"/>
          </w:tcPr>
          <w:p w14:paraId="5F2A194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921" w:type="pct"/>
            <w:vAlign w:val="center"/>
          </w:tcPr>
          <w:p w14:paraId="5B23362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14:paraId="7932BC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5"/>
            <w:vAlign w:val="center"/>
          </w:tcPr>
          <w:p w14:paraId="16CCBE3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注：在可能产生的土壤环境影响类型处打“√”，列表未涵盖的可自行设计</w:t>
            </w:r>
          </w:p>
        </w:tc>
      </w:tr>
    </w:tbl>
    <w:p w14:paraId="055C7602">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表5-</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8</w:t>
      </w:r>
      <w:r>
        <w:rPr>
          <w:rFonts w:hint="default" w:ascii="Times New Roman" w:hAnsi="Times New Roman" w:cs="Times New Roman"/>
          <w:color w:val="auto"/>
          <w:highlight w:val="none"/>
        </w:rPr>
        <w:t>土壤环境影响源及影响因子识别表</w:t>
      </w:r>
    </w:p>
    <w:tbl>
      <w:tblPr>
        <w:tblStyle w:val="2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49"/>
        <w:gridCol w:w="1662"/>
        <w:gridCol w:w="1285"/>
        <w:gridCol w:w="1266"/>
        <w:gridCol w:w="1187"/>
        <w:gridCol w:w="1873"/>
      </w:tblGrid>
      <w:tr w14:paraId="6C7D6B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2" w:type="pct"/>
            <w:tcBorders>
              <w:tl2br w:val="nil"/>
              <w:tr2bl w:val="nil"/>
            </w:tcBorders>
            <w:vAlign w:val="center"/>
          </w:tcPr>
          <w:p w14:paraId="4883F49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污染源</w:t>
            </w:r>
          </w:p>
        </w:tc>
        <w:tc>
          <w:tcPr>
            <w:tcW w:w="975" w:type="pct"/>
            <w:tcBorders>
              <w:tl2br w:val="nil"/>
              <w:tr2bl w:val="nil"/>
            </w:tcBorders>
            <w:vAlign w:val="center"/>
          </w:tcPr>
          <w:p w14:paraId="49CB26F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工艺流程/节点</w:t>
            </w:r>
          </w:p>
        </w:tc>
        <w:tc>
          <w:tcPr>
            <w:tcW w:w="753" w:type="pct"/>
            <w:tcBorders>
              <w:tl2br w:val="nil"/>
              <w:tr2bl w:val="nil"/>
            </w:tcBorders>
            <w:vAlign w:val="center"/>
          </w:tcPr>
          <w:p w14:paraId="060DD01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污染途径</w:t>
            </w:r>
          </w:p>
        </w:tc>
        <w:tc>
          <w:tcPr>
            <w:tcW w:w="742" w:type="pct"/>
            <w:tcBorders>
              <w:tl2br w:val="nil"/>
              <w:tr2bl w:val="nil"/>
            </w:tcBorders>
            <w:vAlign w:val="center"/>
          </w:tcPr>
          <w:p w14:paraId="7A7FFDD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污染因子</w:t>
            </w:r>
          </w:p>
        </w:tc>
        <w:tc>
          <w:tcPr>
            <w:tcW w:w="696" w:type="pct"/>
            <w:tcBorders>
              <w:tl2br w:val="nil"/>
              <w:tr2bl w:val="nil"/>
            </w:tcBorders>
            <w:vAlign w:val="center"/>
          </w:tcPr>
          <w:p w14:paraId="46891FA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特征因子</w:t>
            </w:r>
          </w:p>
        </w:tc>
        <w:tc>
          <w:tcPr>
            <w:tcW w:w="1098" w:type="pct"/>
            <w:tcBorders>
              <w:tl2br w:val="nil"/>
              <w:tr2bl w:val="nil"/>
            </w:tcBorders>
            <w:vAlign w:val="center"/>
          </w:tcPr>
          <w:p w14:paraId="5DE2D98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备注</w:t>
            </w:r>
          </w:p>
        </w:tc>
      </w:tr>
      <w:tr w14:paraId="2B249F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2" w:type="pct"/>
            <w:tcBorders>
              <w:tl2br w:val="nil"/>
              <w:tr2bl w:val="nil"/>
            </w:tcBorders>
            <w:vAlign w:val="center"/>
          </w:tcPr>
          <w:p w14:paraId="5F3CF30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回填区</w:t>
            </w:r>
          </w:p>
        </w:tc>
        <w:tc>
          <w:tcPr>
            <w:tcW w:w="975" w:type="pct"/>
            <w:tcBorders>
              <w:tl2br w:val="nil"/>
              <w:tr2bl w:val="nil"/>
            </w:tcBorders>
            <w:vAlign w:val="center"/>
          </w:tcPr>
          <w:p w14:paraId="6A1E451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无组织废气</w:t>
            </w:r>
          </w:p>
        </w:tc>
        <w:tc>
          <w:tcPr>
            <w:tcW w:w="753" w:type="pct"/>
            <w:tcBorders>
              <w:tl2br w:val="nil"/>
              <w:tr2bl w:val="nil"/>
            </w:tcBorders>
            <w:vAlign w:val="center"/>
          </w:tcPr>
          <w:p w14:paraId="2F12D19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大气沉降</w:t>
            </w:r>
          </w:p>
        </w:tc>
        <w:tc>
          <w:tcPr>
            <w:tcW w:w="742" w:type="pct"/>
            <w:tcBorders>
              <w:tl2br w:val="nil"/>
              <w:tr2bl w:val="nil"/>
            </w:tcBorders>
            <w:vAlign w:val="center"/>
          </w:tcPr>
          <w:p w14:paraId="0CA6A16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TSP</w:t>
            </w:r>
          </w:p>
        </w:tc>
        <w:tc>
          <w:tcPr>
            <w:tcW w:w="696" w:type="pct"/>
            <w:tcBorders>
              <w:tl2br w:val="nil"/>
              <w:tr2bl w:val="nil"/>
            </w:tcBorders>
            <w:vAlign w:val="center"/>
          </w:tcPr>
          <w:p w14:paraId="61F3EBA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098" w:type="pct"/>
            <w:tcBorders>
              <w:tl2br w:val="nil"/>
              <w:tr2bl w:val="nil"/>
            </w:tcBorders>
            <w:vAlign w:val="center"/>
          </w:tcPr>
          <w:p w14:paraId="17DE8B9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间歇排放；</w:t>
            </w:r>
          </w:p>
          <w:p w14:paraId="6CF1338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废气主要成分为TSP，无重金属等有毒有害物质，对表层土壤污染很小。</w:t>
            </w:r>
          </w:p>
        </w:tc>
      </w:tr>
      <w:tr w14:paraId="26098C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0" w:hRule="atLeast"/>
        </w:trPr>
        <w:tc>
          <w:tcPr>
            <w:tcW w:w="732" w:type="pct"/>
            <w:tcBorders>
              <w:tl2br w:val="nil"/>
              <w:tr2bl w:val="nil"/>
            </w:tcBorders>
            <w:vAlign w:val="center"/>
          </w:tcPr>
          <w:p w14:paraId="0078027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淋溶水</w:t>
            </w:r>
          </w:p>
        </w:tc>
        <w:tc>
          <w:tcPr>
            <w:tcW w:w="975" w:type="pct"/>
            <w:tcBorders>
              <w:tl2br w:val="nil"/>
              <w:tr2bl w:val="nil"/>
            </w:tcBorders>
            <w:vAlign w:val="center"/>
          </w:tcPr>
          <w:p w14:paraId="0B5218F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垂直渗入</w:t>
            </w:r>
          </w:p>
        </w:tc>
        <w:tc>
          <w:tcPr>
            <w:tcW w:w="753" w:type="pct"/>
            <w:tcBorders>
              <w:tl2br w:val="nil"/>
              <w:tr2bl w:val="nil"/>
            </w:tcBorders>
            <w:vAlign w:val="center"/>
          </w:tcPr>
          <w:p w14:paraId="20DCC19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垂直入渗</w:t>
            </w:r>
          </w:p>
        </w:tc>
        <w:tc>
          <w:tcPr>
            <w:tcW w:w="742" w:type="pct"/>
            <w:tcBorders>
              <w:tl2br w:val="nil"/>
              <w:tr2bl w:val="nil"/>
            </w:tcBorders>
            <w:vAlign w:val="center"/>
          </w:tcPr>
          <w:p w14:paraId="7946FC5C">
            <w:pPr>
              <w:pStyle w:val="44"/>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六价铬</w:t>
            </w:r>
          </w:p>
        </w:tc>
        <w:tc>
          <w:tcPr>
            <w:tcW w:w="696" w:type="pct"/>
            <w:tcBorders>
              <w:tl2br w:val="nil"/>
              <w:tr2bl w:val="nil"/>
            </w:tcBorders>
            <w:vAlign w:val="center"/>
          </w:tcPr>
          <w:p w14:paraId="0BA289B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六价铬</w:t>
            </w:r>
          </w:p>
        </w:tc>
        <w:tc>
          <w:tcPr>
            <w:tcW w:w="1098" w:type="pct"/>
            <w:tcBorders>
              <w:tl2br w:val="nil"/>
              <w:tr2bl w:val="nil"/>
            </w:tcBorders>
            <w:vAlign w:val="center"/>
          </w:tcPr>
          <w:p w14:paraId="567D0C1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垂直下渗污染土壤</w:t>
            </w:r>
          </w:p>
        </w:tc>
      </w:tr>
    </w:tbl>
    <w:p w14:paraId="71748A9B">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由土壤污染风险识别结果可知：本项目主要通过大气沉降和垂直下渗两个方面对土壤造成污染。本文从这两个方面出发进行预测分析。</w:t>
      </w:r>
    </w:p>
    <w:p w14:paraId="68254082">
      <w:pPr>
        <w:pStyle w:val="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.6.2评价范围</w:t>
      </w:r>
    </w:p>
    <w:p w14:paraId="5E9C82D9">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根据《环境影响评价技术导则 土壤环境》（HJ 964－2018）“表5现状调查范围”，评价工作等级为二级的污染影响型项目调查范围应为占地范围边界外扩0.2km范围内。</w:t>
      </w:r>
    </w:p>
    <w:p w14:paraId="36CF9E27">
      <w:pPr>
        <w:pStyle w:val="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.6.3大气沉降土壤影响分析</w:t>
      </w:r>
    </w:p>
    <w:p w14:paraId="503DAC1D">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由上述污染识别结果可知，发生大气沉降的区域主要为作业区的无组织废气。项目大气污染为运输及贮存时产生的少量扬尘；由于工程对粉尘排放都采取严格的防治措施，实际增加的污染物排放量很小，且根据项目的回填材料成分可知，回填材料主要成为Si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、Al</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、Fe</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MgO、CaO等，不含有毒有害的重金属，且所有无组织废气降落到地面后不会下渗；因此发生大气沉降时对土壤影响轻微。因此，只要厂区严格落实各项大气污染防治措施，确保达标排放，大气沉降对项目厂区及周边的表层土壤影响甚微，预计对土壤质量的影响仍将维持在现有水平。</w:t>
      </w:r>
    </w:p>
    <w:p w14:paraId="018E97AB">
      <w:pPr>
        <w:pStyle w:val="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.6.4垂直入渗土壤预测与评价</w:t>
      </w:r>
    </w:p>
    <w:p w14:paraId="666B7F12">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1、预测情景设定</w:t>
      </w:r>
    </w:p>
    <w:p w14:paraId="22CAB916">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本项目对土壤环境产生影响为淋溶水，正常状况下不会通过漫流和入渗途径对土壤环境造成影响，但是若</w:t>
      </w:r>
      <w:r>
        <w:rPr>
          <w:rFonts w:hint="default" w:ascii="Times New Roman" w:hAnsi="Times New Roman" w:cs="Times New Roman"/>
          <w:color w:val="auto"/>
          <w:highlight w:val="none"/>
          <w:lang w:val="en-US" w:eastAsia="zh-CN"/>
        </w:rPr>
        <w:t>在雨量大的时期</w:t>
      </w:r>
      <w:r>
        <w:rPr>
          <w:rFonts w:hint="default" w:ascii="Times New Roman" w:hAnsi="Times New Roman" w:cs="Times New Roman"/>
          <w:color w:val="auto"/>
          <w:highlight w:val="none"/>
        </w:rPr>
        <w:t>，导致污染物入渗进入土壤，对土壤环境造成影响。因此，项目对土壤环境的影响途径主要为淋溶水非正常状况下的垂直入渗。预测时段设定为发生淋溶水泄漏后的100天、1000天、服务期满（5000天）。</w:t>
      </w:r>
    </w:p>
    <w:p w14:paraId="4A9BFB9F">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2、预测因子确定</w:t>
      </w:r>
    </w:p>
    <w:p w14:paraId="2133E33A">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煤矸石淋溶水中含有</w:t>
      </w:r>
      <w:r>
        <w:rPr>
          <w:rFonts w:hint="default" w:ascii="Times New Roman" w:hAnsi="Times New Roman" w:cs="Times New Roman"/>
          <w:color w:val="auto"/>
          <w:highlight w:val="none"/>
          <w:lang w:val="en-US" w:eastAsia="zh-CN"/>
        </w:rPr>
        <w:t>六价</w:t>
      </w:r>
      <w:r>
        <w:rPr>
          <w:rFonts w:hint="default" w:ascii="Times New Roman" w:hAnsi="Times New Roman" w:cs="Times New Roman"/>
          <w:color w:val="auto"/>
          <w:highlight w:val="none"/>
        </w:rPr>
        <w:t>铬等重金属污染物。</w:t>
      </w:r>
      <w:r>
        <w:rPr>
          <w:rFonts w:hint="default" w:ascii="Times New Roman" w:hAnsi="Times New Roman" w:cs="Times New Roman"/>
          <w:color w:val="auto"/>
          <w:highlight w:val="none"/>
          <w:lang w:val="en-US" w:eastAsia="zh-CN"/>
        </w:rPr>
        <w:t>本</w:t>
      </w:r>
      <w:r>
        <w:rPr>
          <w:rFonts w:hint="default" w:ascii="Times New Roman" w:hAnsi="Times New Roman" w:cs="Times New Roman"/>
          <w:color w:val="auto"/>
          <w:highlight w:val="none"/>
        </w:rPr>
        <w:t>选取土壤特征因子</w:t>
      </w:r>
      <w:r>
        <w:rPr>
          <w:rFonts w:hint="default" w:ascii="Times New Roman" w:hAnsi="Times New Roman" w:cs="Times New Roman"/>
          <w:color w:val="auto"/>
          <w:highlight w:val="none"/>
          <w:lang w:val="en-US" w:eastAsia="zh-CN"/>
        </w:rPr>
        <w:t>六价铬</w:t>
      </w:r>
      <w:r>
        <w:rPr>
          <w:rFonts w:hint="default" w:ascii="Times New Roman" w:hAnsi="Times New Roman" w:cs="Times New Roman"/>
          <w:color w:val="auto"/>
          <w:highlight w:val="none"/>
        </w:rPr>
        <w:t>作为预测因子。</w:t>
      </w:r>
    </w:p>
    <w:p w14:paraId="2C1595D4">
      <w:pPr>
        <w:pStyle w:val="25"/>
        <w:ind w:firstLine="480"/>
        <w:rPr>
          <w:rFonts w:hint="default" w:ascii="Times New Roman" w:hAnsi="Times New Roman" w:cs="Times New Roman"/>
          <w:color w:val="auto"/>
          <w:szCs w:val="22"/>
          <w:highlight w:val="none"/>
        </w:rPr>
      </w:pPr>
      <w:r>
        <w:rPr>
          <w:rFonts w:hint="default" w:ascii="Times New Roman" w:hAnsi="Times New Roman" w:cs="Times New Roman"/>
          <w:color w:val="auto"/>
          <w:highlight w:val="none"/>
        </w:rPr>
        <w:t>3、</w:t>
      </w:r>
      <w:r>
        <w:rPr>
          <w:rFonts w:hint="default" w:ascii="Times New Roman" w:hAnsi="Times New Roman" w:cs="Times New Roman"/>
          <w:color w:val="auto"/>
          <w:szCs w:val="22"/>
          <w:highlight w:val="none"/>
        </w:rPr>
        <w:t>预测模型选取</w:t>
      </w:r>
    </w:p>
    <w:p w14:paraId="72A045ED">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（1）模型概化</w:t>
      </w:r>
    </w:p>
    <w:p w14:paraId="7E418379">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本项目采用HYDRUS-1D进行计算和模拟。</w:t>
      </w:r>
    </w:p>
    <w:p w14:paraId="69388C30">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不考虑土壤中热对流及热扩散，仅考虑土壤垂向一维水分运移及溶质扩散。土壤水分运动方程为：</w:t>
      </w:r>
    </w:p>
    <w:p w14:paraId="0FB868AC">
      <w:pPr>
        <w:ind w:firstLine="480" w:firstLineChars="200"/>
        <w:jc w:val="center"/>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drawing>
          <wp:inline distT="0" distB="0" distL="0" distR="0">
            <wp:extent cx="1333500" cy="571500"/>
            <wp:effectExtent l="0" t="0" r="0" b="0"/>
            <wp:docPr id="7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1333500" cy="571500"/>
                    </a:xfrm>
                    <a:prstGeom prst="rect">
                      <a:avLst/>
                    </a:prstGeom>
                    <a:noFill/>
                    <a:ln>
                      <a:noFill/>
                    </a:ln>
                  </pic:spPr>
                </pic:pic>
              </a:graphicData>
            </a:graphic>
          </wp:inline>
        </w:drawing>
      </w:r>
    </w:p>
    <w:p w14:paraId="6D8D106A">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式中</w:t>
      </w:r>
      <w:r>
        <w:rPr>
          <w:rFonts w:hint="default" w:ascii="Times New Roman" w:hAnsi="Times New Roman" w:cs="Times New Roman"/>
          <w:i/>
          <w:iCs/>
          <w:color w:val="auto"/>
          <w:sz w:val="24"/>
          <w:szCs w:val="22"/>
          <w:highlight w:val="none"/>
        </w:rPr>
        <w:t>θ</w:t>
      </w:r>
      <w:r>
        <w:rPr>
          <w:rFonts w:hint="default" w:ascii="Times New Roman" w:hAnsi="Times New Roman" w:cs="Times New Roman"/>
          <w:color w:val="auto"/>
          <w:sz w:val="24"/>
          <w:szCs w:val="22"/>
          <w:highlight w:val="none"/>
        </w:rPr>
        <w:t>为土壤体积含水量，cm</w:t>
      </w:r>
      <w:r>
        <w:rPr>
          <w:rFonts w:hint="default" w:ascii="Times New Roman" w:hAnsi="Times New Roman" w:cs="Times New Roman"/>
          <w:color w:val="auto"/>
          <w:sz w:val="24"/>
          <w:szCs w:val="22"/>
          <w:highlight w:val="none"/>
          <w:vertAlign w:val="superscript"/>
        </w:rPr>
        <w:t>3</w:t>
      </w:r>
      <w:r>
        <w:rPr>
          <w:rFonts w:hint="default" w:ascii="Times New Roman" w:hAnsi="Times New Roman" w:cs="Times New Roman"/>
          <w:color w:val="auto"/>
          <w:sz w:val="24"/>
          <w:szCs w:val="22"/>
          <w:highlight w:val="none"/>
        </w:rPr>
        <w:t>/cm</w:t>
      </w:r>
      <w:r>
        <w:rPr>
          <w:rFonts w:hint="default" w:ascii="Times New Roman" w:hAnsi="Times New Roman" w:cs="Times New Roman"/>
          <w:color w:val="auto"/>
          <w:sz w:val="24"/>
          <w:szCs w:val="22"/>
          <w:highlight w:val="none"/>
          <w:vertAlign w:val="superscript"/>
        </w:rPr>
        <w:t>3</w:t>
      </w:r>
      <w:r>
        <w:rPr>
          <w:rFonts w:hint="default" w:ascii="Times New Roman" w:hAnsi="Times New Roman" w:cs="Times New Roman"/>
          <w:color w:val="auto"/>
          <w:sz w:val="24"/>
          <w:szCs w:val="22"/>
          <w:highlight w:val="none"/>
        </w:rPr>
        <w:t>；</w:t>
      </w:r>
    </w:p>
    <w:p w14:paraId="016B6369">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i/>
          <w:iCs/>
          <w:color w:val="auto"/>
          <w:sz w:val="24"/>
          <w:szCs w:val="22"/>
          <w:highlight w:val="none"/>
        </w:rPr>
        <w:t>t</w:t>
      </w:r>
      <w:r>
        <w:rPr>
          <w:rFonts w:hint="default" w:ascii="Times New Roman" w:hAnsi="Times New Roman" w:cs="Times New Roman"/>
          <w:color w:val="auto"/>
          <w:sz w:val="24"/>
          <w:szCs w:val="22"/>
          <w:highlight w:val="none"/>
        </w:rPr>
        <w:t>为时间，</w:t>
      </w:r>
      <w:r>
        <w:rPr>
          <w:rFonts w:hint="default" w:ascii="Times New Roman" w:hAnsi="Times New Roman" w:cs="Times New Roman"/>
          <w:i/>
          <w:iCs/>
          <w:color w:val="auto"/>
          <w:sz w:val="24"/>
          <w:szCs w:val="22"/>
          <w:highlight w:val="none"/>
        </w:rPr>
        <w:t>d</w:t>
      </w:r>
      <w:r>
        <w:rPr>
          <w:rFonts w:hint="default" w:ascii="Times New Roman" w:hAnsi="Times New Roman" w:cs="Times New Roman"/>
          <w:color w:val="auto"/>
          <w:sz w:val="24"/>
          <w:szCs w:val="22"/>
          <w:highlight w:val="none"/>
        </w:rPr>
        <w:t>；</w:t>
      </w:r>
    </w:p>
    <w:p w14:paraId="5C67580B">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i/>
          <w:iCs/>
          <w:color w:val="auto"/>
          <w:sz w:val="24"/>
          <w:szCs w:val="22"/>
          <w:highlight w:val="none"/>
        </w:rPr>
        <w:t>z</w:t>
      </w:r>
      <w:r>
        <w:rPr>
          <w:rFonts w:hint="default" w:ascii="Times New Roman" w:hAnsi="Times New Roman" w:cs="Times New Roman"/>
          <w:color w:val="auto"/>
          <w:sz w:val="24"/>
          <w:szCs w:val="22"/>
          <w:highlight w:val="none"/>
        </w:rPr>
        <w:t>为垂向坐标，cm；</w:t>
      </w:r>
    </w:p>
    <w:p w14:paraId="5204AEB4">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i/>
          <w:iCs/>
          <w:color w:val="auto"/>
          <w:sz w:val="24"/>
          <w:szCs w:val="22"/>
          <w:highlight w:val="none"/>
        </w:rPr>
        <w:t>h</w:t>
      </w:r>
      <w:r>
        <w:rPr>
          <w:rFonts w:hint="default" w:ascii="Times New Roman" w:hAnsi="Times New Roman" w:cs="Times New Roman"/>
          <w:color w:val="auto"/>
          <w:sz w:val="24"/>
          <w:szCs w:val="22"/>
          <w:highlight w:val="none"/>
        </w:rPr>
        <w:t>为压力水头，cm；</w:t>
      </w:r>
    </w:p>
    <w:p w14:paraId="08397A76">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i/>
          <w:iCs/>
          <w:color w:val="auto"/>
          <w:sz w:val="24"/>
          <w:szCs w:val="22"/>
          <w:highlight w:val="none"/>
        </w:rPr>
        <w:t>K</w:t>
      </w:r>
      <w:r>
        <w:rPr>
          <w:rFonts w:hint="default" w:ascii="Times New Roman" w:hAnsi="Times New Roman" w:cs="Times New Roman"/>
          <w:color w:val="auto"/>
          <w:sz w:val="24"/>
          <w:szCs w:val="22"/>
          <w:highlight w:val="none"/>
        </w:rPr>
        <w:t>为土壤非饱和导水系数，cm/s；</w:t>
      </w:r>
    </w:p>
    <w:p w14:paraId="63C514CC">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i/>
          <w:iCs/>
          <w:color w:val="auto"/>
          <w:sz w:val="24"/>
          <w:szCs w:val="22"/>
          <w:highlight w:val="none"/>
        </w:rPr>
        <w:t>S</w:t>
      </w:r>
      <w:r>
        <w:rPr>
          <w:rFonts w:hint="default" w:ascii="Times New Roman" w:hAnsi="Times New Roman" w:cs="Times New Roman"/>
          <w:color w:val="auto"/>
          <w:sz w:val="24"/>
          <w:szCs w:val="22"/>
          <w:highlight w:val="none"/>
        </w:rPr>
        <w:t>为模型的源汇项。</w:t>
      </w:r>
    </w:p>
    <w:p w14:paraId="05570641">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式中</w:t>
      </w:r>
      <w:r>
        <w:rPr>
          <w:rFonts w:hint="default" w:ascii="Times New Roman" w:hAnsi="Times New Roman" w:cs="Times New Roman"/>
          <w:i/>
          <w:iCs/>
          <w:color w:val="auto"/>
          <w:sz w:val="24"/>
          <w:szCs w:val="22"/>
          <w:highlight w:val="none"/>
        </w:rPr>
        <w:t>K</w:t>
      </w:r>
      <w:r>
        <w:rPr>
          <w:rFonts w:hint="default" w:ascii="Times New Roman" w:hAnsi="Times New Roman" w:cs="Times New Roman"/>
          <w:color w:val="auto"/>
          <w:sz w:val="24"/>
          <w:szCs w:val="22"/>
          <w:highlight w:val="none"/>
        </w:rPr>
        <w:t>与土壤含水率或土壤基质势有关。本项目仅考虑溶质与液态水耦合运移，忽略溶质固相和气相成分，因此土壤非饱和溶质运移方程为：</w:t>
      </w:r>
    </w:p>
    <w:p w14:paraId="2BA72B64">
      <w:pPr>
        <w:ind w:firstLine="480" w:firstLineChars="200"/>
        <w:jc w:val="center"/>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drawing>
          <wp:inline distT="0" distB="0" distL="0" distR="0">
            <wp:extent cx="2019300" cy="542925"/>
            <wp:effectExtent l="0" t="0" r="0" b="9525"/>
            <wp:docPr id="7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2019300" cy="542925"/>
                    </a:xfrm>
                    <a:prstGeom prst="rect">
                      <a:avLst/>
                    </a:prstGeom>
                    <a:noFill/>
                    <a:ln>
                      <a:noFill/>
                    </a:ln>
                  </pic:spPr>
                </pic:pic>
              </a:graphicData>
            </a:graphic>
          </wp:inline>
        </w:drawing>
      </w:r>
    </w:p>
    <w:p w14:paraId="086F32EC">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式中</w:t>
      </w:r>
      <w:r>
        <w:rPr>
          <w:rFonts w:hint="default" w:ascii="Times New Roman" w:hAnsi="Times New Roman" w:cs="Times New Roman"/>
          <w:i/>
          <w:iCs/>
          <w:color w:val="auto"/>
          <w:sz w:val="24"/>
          <w:szCs w:val="22"/>
          <w:highlight w:val="none"/>
        </w:rPr>
        <w:t>θ</w:t>
      </w:r>
      <w:r>
        <w:rPr>
          <w:rFonts w:hint="default" w:ascii="Times New Roman" w:hAnsi="Times New Roman" w:cs="Times New Roman"/>
          <w:color w:val="auto"/>
          <w:sz w:val="24"/>
          <w:szCs w:val="22"/>
          <w:highlight w:val="none"/>
        </w:rPr>
        <w:t>为土壤体积含水量，cm</w:t>
      </w:r>
      <w:r>
        <w:rPr>
          <w:rFonts w:hint="default" w:ascii="Times New Roman" w:hAnsi="Times New Roman" w:cs="Times New Roman"/>
          <w:color w:val="auto"/>
          <w:sz w:val="24"/>
          <w:szCs w:val="22"/>
          <w:highlight w:val="none"/>
          <w:vertAlign w:val="superscript"/>
        </w:rPr>
        <w:t>3</w:t>
      </w:r>
      <w:r>
        <w:rPr>
          <w:rFonts w:hint="default" w:ascii="Times New Roman" w:hAnsi="Times New Roman" w:cs="Times New Roman"/>
          <w:color w:val="auto"/>
          <w:sz w:val="24"/>
          <w:szCs w:val="22"/>
          <w:highlight w:val="none"/>
        </w:rPr>
        <w:t>/cm</w:t>
      </w:r>
      <w:r>
        <w:rPr>
          <w:rFonts w:hint="default" w:ascii="Times New Roman" w:hAnsi="Times New Roman" w:cs="Times New Roman"/>
          <w:color w:val="auto"/>
          <w:sz w:val="24"/>
          <w:szCs w:val="22"/>
          <w:highlight w:val="none"/>
          <w:vertAlign w:val="superscript"/>
        </w:rPr>
        <w:t>3</w:t>
      </w:r>
      <w:r>
        <w:rPr>
          <w:rFonts w:hint="default" w:ascii="Times New Roman" w:hAnsi="Times New Roman" w:cs="Times New Roman"/>
          <w:color w:val="auto"/>
          <w:sz w:val="24"/>
          <w:szCs w:val="22"/>
          <w:highlight w:val="none"/>
        </w:rPr>
        <w:t>；</w:t>
      </w:r>
    </w:p>
    <w:p w14:paraId="67639981">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i/>
          <w:iCs/>
          <w:color w:val="auto"/>
          <w:sz w:val="24"/>
          <w:szCs w:val="22"/>
          <w:highlight w:val="none"/>
        </w:rPr>
        <w:t>c</w:t>
      </w:r>
      <w:r>
        <w:rPr>
          <w:rFonts w:hint="default" w:ascii="Times New Roman" w:hAnsi="Times New Roman" w:cs="Times New Roman"/>
          <w:color w:val="auto"/>
          <w:sz w:val="24"/>
          <w:szCs w:val="22"/>
          <w:highlight w:val="none"/>
        </w:rPr>
        <w:t>为污染物介质中的浓度，mg/L；</w:t>
      </w:r>
    </w:p>
    <w:p w14:paraId="3053C9C6">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i/>
          <w:iCs/>
          <w:color w:val="auto"/>
          <w:sz w:val="24"/>
          <w:szCs w:val="22"/>
          <w:highlight w:val="none"/>
        </w:rPr>
        <w:t>D</w:t>
      </w:r>
      <w:r>
        <w:rPr>
          <w:rFonts w:hint="default" w:ascii="Times New Roman" w:hAnsi="Times New Roman" w:cs="Times New Roman"/>
          <w:color w:val="auto"/>
          <w:sz w:val="24"/>
          <w:szCs w:val="22"/>
          <w:highlight w:val="none"/>
        </w:rPr>
        <w:t>为弥散系数，cm</w:t>
      </w:r>
      <w:r>
        <w:rPr>
          <w:rFonts w:hint="default" w:ascii="Times New Roman" w:hAnsi="Times New Roman" w:cs="Times New Roman"/>
          <w:color w:val="auto"/>
          <w:sz w:val="24"/>
          <w:szCs w:val="22"/>
          <w:highlight w:val="none"/>
          <w:vertAlign w:val="superscript"/>
        </w:rPr>
        <w:t>2</w:t>
      </w:r>
      <w:r>
        <w:rPr>
          <w:rFonts w:hint="default" w:ascii="Times New Roman" w:hAnsi="Times New Roman" w:cs="Times New Roman"/>
          <w:color w:val="auto"/>
          <w:sz w:val="24"/>
          <w:szCs w:val="22"/>
          <w:highlight w:val="none"/>
        </w:rPr>
        <w:t>/d；</w:t>
      </w:r>
    </w:p>
    <w:p w14:paraId="04726BAF">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i/>
          <w:iCs/>
          <w:color w:val="auto"/>
          <w:sz w:val="24"/>
          <w:szCs w:val="22"/>
          <w:highlight w:val="none"/>
        </w:rPr>
        <w:t>g</w:t>
      </w:r>
      <w:r>
        <w:rPr>
          <w:rFonts w:hint="default" w:ascii="Times New Roman" w:hAnsi="Times New Roman" w:cs="Times New Roman"/>
          <w:color w:val="auto"/>
          <w:sz w:val="24"/>
          <w:szCs w:val="22"/>
          <w:highlight w:val="none"/>
        </w:rPr>
        <w:t>为渗流速率，m/d；</w:t>
      </w:r>
    </w:p>
    <w:p w14:paraId="2B97FF1A">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i/>
          <w:iCs/>
          <w:color w:val="auto"/>
          <w:sz w:val="24"/>
          <w:szCs w:val="22"/>
          <w:highlight w:val="none"/>
        </w:rPr>
        <w:t>t</w:t>
      </w:r>
      <w:r>
        <w:rPr>
          <w:rFonts w:hint="default" w:ascii="Times New Roman" w:hAnsi="Times New Roman" w:cs="Times New Roman"/>
          <w:color w:val="auto"/>
          <w:sz w:val="24"/>
          <w:szCs w:val="22"/>
          <w:highlight w:val="none"/>
        </w:rPr>
        <w:t>为时间变量，d。</w:t>
      </w:r>
    </w:p>
    <w:p w14:paraId="67C6C063">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实验室测量的土壤水分一般是土壤质量或者体积含水量，利用土壤水分特征曲线可将其与土壤基质相关联。此处采用转换函数法利用经验参数，基于vanGenuchten-Mualem模型描述土壤含水量与基质吸力、土壤饱和度与导水率的关系为：</w:t>
      </w:r>
    </w:p>
    <w:p w14:paraId="62A20034">
      <w:pPr>
        <w:ind w:firstLine="480" w:firstLineChars="200"/>
        <w:jc w:val="center"/>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drawing>
          <wp:inline distT="0" distB="0" distL="0" distR="0">
            <wp:extent cx="2505075" cy="1276350"/>
            <wp:effectExtent l="0" t="0" r="9525" b="0"/>
            <wp:docPr id="7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a:xfrm>
                      <a:off x="0" y="0"/>
                      <a:ext cx="2505075" cy="1276350"/>
                    </a:xfrm>
                    <a:prstGeom prst="rect">
                      <a:avLst/>
                    </a:prstGeom>
                    <a:noFill/>
                    <a:ln>
                      <a:noFill/>
                    </a:ln>
                  </pic:spPr>
                </pic:pic>
              </a:graphicData>
            </a:graphic>
          </wp:inline>
        </w:drawing>
      </w:r>
    </w:p>
    <w:p w14:paraId="506834BD">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式中</w:t>
      </w:r>
      <w:r>
        <w:rPr>
          <w:rFonts w:hint="default" w:ascii="Times New Roman" w:hAnsi="Times New Roman" w:cs="Times New Roman"/>
          <w:i/>
          <w:iCs/>
          <w:color w:val="auto"/>
          <w:sz w:val="24"/>
          <w:szCs w:val="22"/>
          <w:highlight w:val="none"/>
        </w:rPr>
        <w:t>θ（h）</w:t>
      </w:r>
      <w:r>
        <w:rPr>
          <w:rFonts w:hint="default" w:ascii="Times New Roman" w:hAnsi="Times New Roman" w:cs="Times New Roman"/>
          <w:color w:val="auto"/>
          <w:sz w:val="24"/>
          <w:szCs w:val="22"/>
          <w:highlight w:val="none"/>
        </w:rPr>
        <w:t>为土壤体积含水量，cm</w:t>
      </w:r>
      <w:r>
        <w:rPr>
          <w:rFonts w:hint="default" w:ascii="Times New Roman" w:hAnsi="Times New Roman" w:cs="Times New Roman"/>
          <w:color w:val="auto"/>
          <w:sz w:val="24"/>
          <w:szCs w:val="22"/>
          <w:highlight w:val="none"/>
          <w:vertAlign w:val="superscript"/>
        </w:rPr>
        <w:t>3</w:t>
      </w:r>
      <w:r>
        <w:rPr>
          <w:rFonts w:hint="default" w:ascii="Times New Roman" w:hAnsi="Times New Roman" w:cs="Times New Roman"/>
          <w:color w:val="auto"/>
          <w:sz w:val="24"/>
          <w:szCs w:val="22"/>
          <w:highlight w:val="none"/>
        </w:rPr>
        <w:t>/cm</w:t>
      </w:r>
      <w:r>
        <w:rPr>
          <w:rFonts w:hint="default" w:ascii="Times New Roman" w:hAnsi="Times New Roman" w:cs="Times New Roman"/>
          <w:color w:val="auto"/>
          <w:sz w:val="24"/>
          <w:szCs w:val="22"/>
          <w:highlight w:val="none"/>
          <w:vertAlign w:val="superscript"/>
        </w:rPr>
        <w:t>3</w:t>
      </w:r>
      <w:r>
        <w:rPr>
          <w:rFonts w:hint="default" w:ascii="Times New Roman" w:hAnsi="Times New Roman" w:cs="Times New Roman"/>
          <w:color w:val="auto"/>
          <w:sz w:val="24"/>
          <w:szCs w:val="22"/>
          <w:highlight w:val="none"/>
        </w:rPr>
        <w:t>；</w:t>
      </w:r>
    </w:p>
    <w:p w14:paraId="3F9AFD71">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i/>
          <w:iCs/>
          <w:color w:val="auto"/>
          <w:sz w:val="24"/>
          <w:szCs w:val="22"/>
          <w:highlight w:val="none"/>
        </w:rPr>
        <w:t>θ</w:t>
      </w:r>
      <w:r>
        <w:rPr>
          <w:rFonts w:hint="default" w:ascii="Times New Roman" w:hAnsi="Times New Roman" w:cs="Times New Roman"/>
          <w:i/>
          <w:iCs/>
          <w:color w:val="auto"/>
          <w:sz w:val="24"/>
          <w:szCs w:val="22"/>
          <w:highlight w:val="none"/>
          <w:vertAlign w:val="subscript"/>
        </w:rPr>
        <w:t>s</w:t>
      </w:r>
      <w:r>
        <w:rPr>
          <w:rFonts w:hint="default" w:ascii="Times New Roman" w:hAnsi="Times New Roman" w:cs="Times New Roman"/>
          <w:color w:val="auto"/>
          <w:sz w:val="24"/>
          <w:szCs w:val="22"/>
          <w:highlight w:val="none"/>
        </w:rPr>
        <w:t>、</w:t>
      </w:r>
      <w:r>
        <w:rPr>
          <w:rFonts w:hint="default" w:ascii="Times New Roman" w:hAnsi="Times New Roman" w:cs="Times New Roman"/>
          <w:i/>
          <w:iCs/>
          <w:color w:val="auto"/>
          <w:sz w:val="24"/>
          <w:szCs w:val="22"/>
          <w:highlight w:val="none"/>
        </w:rPr>
        <w:t>θ</w:t>
      </w:r>
      <w:r>
        <w:rPr>
          <w:rFonts w:hint="default" w:ascii="Times New Roman" w:hAnsi="Times New Roman" w:cs="Times New Roman"/>
          <w:i/>
          <w:iCs/>
          <w:color w:val="auto"/>
          <w:sz w:val="24"/>
          <w:szCs w:val="22"/>
          <w:highlight w:val="none"/>
          <w:vertAlign w:val="subscript"/>
        </w:rPr>
        <w:t>r</w:t>
      </w:r>
      <w:r>
        <w:rPr>
          <w:rFonts w:hint="default" w:ascii="Times New Roman" w:hAnsi="Times New Roman" w:cs="Times New Roman"/>
          <w:color w:val="auto"/>
          <w:sz w:val="24"/>
          <w:szCs w:val="22"/>
          <w:highlight w:val="none"/>
        </w:rPr>
        <w:t>、α、</w:t>
      </w:r>
      <w:r>
        <w:rPr>
          <w:rFonts w:hint="default" w:ascii="Times New Roman" w:hAnsi="Times New Roman" w:cs="Times New Roman"/>
          <w:i/>
          <w:iCs/>
          <w:color w:val="auto"/>
          <w:sz w:val="24"/>
          <w:szCs w:val="22"/>
          <w:highlight w:val="none"/>
        </w:rPr>
        <w:t>n</w:t>
      </w:r>
      <w:r>
        <w:rPr>
          <w:rFonts w:hint="default" w:ascii="Times New Roman" w:hAnsi="Times New Roman" w:cs="Times New Roman"/>
          <w:color w:val="auto"/>
          <w:sz w:val="24"/>
          <w:szCs w:val="22"/>
          <w:highlight w:val="none"/>
        </w:rPr>
        <w:t>为模型的四个重要参数，</w:t>
      </w:r>
      <w:r>
        <w:rPr>
          <w:rFonts w:hint="default" w:ascii="Times New Roman" w:hAnsi="Times New Roman" w:cs="Times New Roman"/>
          <w:i/>
          <w:iCs/>
          <w:color w:val="auto"/>
          <w:sz w:val="24"/>
          <w:szCs w:val="22"/>
          <w:highlight w:val="none"/>
        </w:rPr>
        <w:t>θ</w:t>
      </w:r>
      <w:r>
        <w:rPr>
          <w:rFonts w:hint="default" w:ascii="Times New Roman" w:hAnsi="Times New Roman" w:cs="Times New Roman"/>
          <w:i/>
          <w:iCs/>
          <w:color w:val="auto"/>
          <w:sz w:val="24"/>
          <w:szCs w:val="22"/>
          <w:highlight w:val="none"/>
          <w:vertAlign w:val="subscript"/>
        </w:rPr>
        <w:t>s</w:t>
      </w:r>
      <w:r>
        <w:rPr>
          <w:rFonts w:hint="default" w:ascii="Times New Roman" w:hAnsi="Times New Roman" w:cs="Times New Roman"/>
          <w:color w:val="auto"/>
          <w:sz w:val="24"/>
          <w:szCs w:val="22"/>
          <w:highlight w:val="none"/>
        </w:rPr>
        <w:t>、</w:t>
      </w:r>
      <w:r>
        <w:rPr>
          <w:rFonts w:hint="default" w:ascii="Times New Roman" w:hAnsi="Times New Roman" w:cs="Times New Roman"/>
          <w:i/>
          <w:iCs/>
          <w:color w:val="auto"/>
          <w:sz w:val="24"/>
          <w:szCs w:val="22"/>
          <w:highlight w:val="none"/>
        </w:rPr>
        <w:t>θ</w:t>
      </w:r>
      <w:r>
        <w:rPr>
          <w:rFonts w:hint="default" w:ascii="Times New Roman" w:hAnsi="Times New Roman" w:cs="Times New Roman"/>
          <w:i/>
          <w:iCs/>
          <w:color w:val="auto"/>
          <w:sz w:val="24"/>
          <w:szCs w:val="22"/>
          <w:highlight w:val="none"/>
          <w:vertAlign w:val="subscript"/>
        </w:rPr>
        <w:t>r</w:t>
      </w:r>
      <w:r>
        <w:rPr>
          <w:rFonts w:hint="default" w:ascii="Times New Roman" w:hAnsi="Times New Roman" w:cs="Times New Roman"/>
          <w:color w:val="auto"/>
          <w:sz w:val="24"/>
          <w:szCs w:val="22"/>
          <w:highlight w:val="none"/>
        </w:rPr>
        <w:t>是土壤的饱和含水量与残留含水量，α、</w:t>
      </w:r>
      <w:r>
        <w:rPr>
          <w:rFonts w:hint="default" w:ascii="Times New Roman" w:hAnsi="Times New Roman" w:cs="Times New Roman"/>
          <w:i/>
          <w:iCs/>
          <w:color w:val="auto"/>
          <w:sz w:val="24"/>
          <w:szCs w:val="22"/>
          <w:highlight w:val="none"/>
        </w:rPr>
        <w:t>n、m</w:t>
      </w:r>
      <w:r>
        <w:rPr>
          <w:rFonts w:hint="default" w:ascii="Times New Roman" w:hAnsi="Times New Roman" w:cs="Times New Roman"/>
          <w:color w:val="auto"/>
          <w:sz w:val="24"/>
          <w:szCs w:val="22"/>
          <w:highlight w:val="none"/>
        </w:rPr>
        <w:t>为经验参数，其中m=1-1/n(n＞1)。</w:t>
      </w:r>
    </w:p>
    <w:p w14:paraId="4BEEB5A6">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i/>
          <w:iCs/>
          <w:color w:val="auto"/>
          <w:sz w:val="24"/>
          <w:szCs w:val="22"/>
          <w:highlight w:val="none"/>
        </w:rPr>
        <w:t>K（h）</w:t>
      </w:r>
      <w:r>
        <w:rPr>
          <w:rFonts w:hint="default" w:ascii="Times New Roman" w:hAnsi="Times New Roman" w:cs="Times New Roman"/>
          <w:color w:val="auto"/>
          <w:sz w:val="24"/>
          <w:szCs w:val="22"/>
          <w:highlight w:val="none"/>
        </w:rPr>
        <w:t>为土壤的非饱和导水率，</w:t>
      </w:r>
      <w:r>
        <w:rPr>
          <w:rFonts w:hint="default" w:ascii="Times New Roman" w:hAnsi="Times New Roman" w:cs="Times New Roman"/>
          <w:i/>
          <w:iCs/>
          <w:color w:val="auto"/>
          <w:sz w:val="24"/>
          <w:szCs w:val="22"/>
          <w:highlight w:val="none"/>
        </w:rPr>
        <w:t>Ks</w:t>
      </w:r>
      <w:r>
        <w:rPr>
          <w:rFonts w:hint="default" w:ascii="Times New Roman" w:hAnsi="Times New Roman" w:cs="Times New Roman"/>
          <w:color w:val="auto"/>
          <w:sz w:val="24"/>
          <w:szCs w:val="22"/>
          <w:highlight w:val="none"/>
        </w:rPr>
        <w:t>为土壤的饱和导水率，m/s；</w:t>
      </w:r>
    </w:p>
    <w:p w14:paraId="28E7BA87">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i/>
          <w:iCs/>
          <w:color w:val="auto"/>
          <w:sz w:val="24"/>
          <w:szCs w:val="22"/>
          <w:highlight w:val="none"/>
        </w:rPr>
        <w:t>S</w:t>
      </w:r>
      <w:r>
        <w:rPr>
          <w:rFonts w:hint="default" w:ascii="Times New Roman" w:hAnsi="Times New Roman" w:cs="Times New Roman"/>
          <w:i/>
          <w:iCs/>
          <w:color w:val="auto"/>
          <w:sz w:val="24"/>
          <w:szCs w:val="22"/>
          <w:highlight w:val="none"/>
          <w:vertAlign w:val="subscript"/>
        </w:rPr>
        <w:t>e</w:t>
      </w:r>
      <w:r>
        <w:rPr>
          <w:rFonts w:hint="default" w:ascii="Times New Roman" w:hAnsi="Times New Roman" w:cs="Times New Roman"/>
          <w:i/>
          <w:iCs/>
          <w:color w:val="auto"/>
          <w:sz w:val="24"/>
          <w:szCs w:val="22"/>
          <w:highlight w:val="none"/>
          <w:vertAlign w:val="superscript"/>
        </w:rPr>
        <w:t>l</w:t>
      </w:r>
      <w:r>
        <w:rPr>
          <w:rFonts w:hint="default" w:ascii="Times New Roman" w:hAnsi="Times New Roman" w:cs="Times New Roman"/>
          <w:color w:val="auto"/>
          <w:sz w:val="24"/>
          <w:szCs w:val="22"/>
          <w:highlight w:val="none"/>
        </w:rPr>
        <w:t>为土壤水有效饱和度，</w:t>
      </w:r>
      <w:r>
        <w:rPr>
          <w:rFonts w:hint="default" w:ascii="Times New Roman" w:hAnsi="Times New Roman" w:cs="Times New Roman"/>
          <w:i/>
          <w:iCs/>
          <w:color w:val="auto"/>
          <w:sz w:val="24"/>
          <w:szCs w:val="22"/>
          <w:highlight w:val="none"/>
        </w:rPr>
        <w:t>S</w:t>
      </w:r>
      <w:r>
        <w:rPr>
          <w:rFonts w:hint="default" w:ascii="Times New Roman" w:hAnsi="Times New Roman" w:cs="Times New Roman"/>
          <w:i/>
          <w:iCs/>
          <w:color w:val="auto"/>
          <w:sz w:val="24"/>
          <w:szCs w:val="22"/>
          <w:highlight w:val="none"/>
          <w:vertAlign w:val="subscript"/>
        </w:rPr>
        <w:t>e</w:t>
      </w:r>
      <w:r>
        <w:rPr>
          <w:rFonts w:hint="default" w:ascii="Times New Roman" w:hAnsi="Times New Roman" w:cs="Times New Roman"/>
          <w:color w:val="auto"/>
          <w:sz w:val="24"/>
          <w:szCs w:val="22"/>
          <w:highlight w:val="none"/>
        </w:rPr>
        <w:t>=（</w:t>
      </w:r>
      <w:r>
        <w:rPr>
          <w:rFonts w:hint="default" w:ascii="Times New Roman" w:hAnsi="Times New Roman" w:cs="Times New Roman"/>
          <w:i/>
          <w:iCs/>
          <w:color w:val="auto"/>
          <w:sz w:val="24"/>
          <w:szCs w:val="22"/>
          <w:highlight w:val="none"/>
        </w:rPr>
        <w:t>θ-θ</w:t>
      </w:r>
      <w:r>
        <w:rPr>
          <w:rFonts w:hint="default" w:ascii="Times New Roman" w:hAnsi="Times New Roman" w:cs="Times New Roman"/>
          <w:i/>
          <w:iCs/>
          <w:color w:val="auto"/>
          <w:sz w:val="24"/>
          <w:szCs w:val="22"/>
          <w:highlight w:val="none"/>
          <w:vertAlign w:val="subscript"/>
        </w:rPr>
        <w:t>r</w:t>
      </w:r>
      <w:r>
        <w:rPr>
          <w:rFonts w:hint="default" w:ascii="Times New Roman" w:hAnsi="Times New Roman" w:cs="Times New Roman"/>
          <w:color w:val="auto"/>
          <w:sz w:val="24"/>
          <w:szCs w:val="22"/>
          <w:highlight w:val="none"/>
        </w:rPr>
        <w:t>）/（</w:t>
      </w:r>
      <w:r>
        <w:rPr>
          <w:rFonts w:hint="default" w:ascii="Times New Roman" w:hAnsi="Times New Roman" w:cs="Times New Roman"/>
          <w:i/>
          <w:iCs/>
          <w:color w:val="auto"/>
          <w:sz w:val="24"/>
          <w:szCs w:val="22"/>
          <w:highlight w:val="none"/>
        </w:rPr>
        <w:t>θ</w:t>
      </w:r>
      <w:r>
        <w:rPr>
          <w:rFonts w:hint="default" w:ascii="Times New Roman" w:hAnsi="Times New Roman" w:cs="Times New Roman"/>
          <w:i/>
          <w:iCs/>
          <w:color w:val="auto"/>
          <w:sz w:val="24"/>
          <w:szCs w:val="22"/>
          <w:highlight w:val="none"/>
          <w:vertAlign w:val="subscript"/>
        </w:rPr>
        <w:t>s</w:t>
      </w:r>
      <w:r>
        <w:rPr>
          <w:rFonts w:hint="default" w:ascii="Times New Roman" w:hAnsi="Times New Roman" w:cs="Times New Roman"/>
          <w:i/>
          <w:iCs/>
          <w:color w:val="auto"/>
          <w:sz w:val="24"/>
          <w:szCs w:val="22"/>
          <w:highlight w:val="none"/>
        </w:rPr>
        <w:t>-θ</w:t>
      </w:r>
      <w:r>
        <w:rPr>
          <w:rFonts w:hint="default" w:ascii="Times New Roman" w:hAnsi="Times New Roman" w:cs="Times New Roman"/>
          <w:i/>
          <w:iCs/>
          <w:color w:val="auto"/>
          <w:sz w:val="24"/>
          <w:szCs w:val="22"/>
          <w:highlight w:val="none"/>
          <w:vertAlign w:val="subscript"/>
        </w:rPr>
        <w:t>r</w:t>
      </w:r>
      <w:r>
        <w:rPr>
          <w:rFonts w:hint="default" w:ascii="Times New Roman" w:hAnsi="Times New Roman" w:cs="Times New Roman"/>
          <w:color w:val="auto"/>
          <w:sz w:val="24"/>
          <w:szCs w:val="22"/>
          <w:highlight w:val="none"/>
        </w:rPr>
        <w:t>），上表</w:t>
      </w:r>
      <w:r>
        <w:rPr>
          <w:rFonts w:hint="default" w:ascii="Times New Roman" w:hAnsi="Times New Roman" w:cs="Times New Roman"/>
          <w:i/>
          <w:iCs/>
          <w:color w:val="auto"/>
          <w:sz w:val="24"/>
          <w:szCs w:val="22"/>
          <w:highlight w:val="none"/>
        </w:rPr>
        <w:t>l</w:t>
      </w:r>
      <w:r>
        <w:rPr>
          <w:rFonts w:hint="default" w:ascii="Times New Roman" w:hAnsi="Times New Roman" w:cs="Times New Roman"/>
          <w:color w:val="auto"/>
          <w:sz w:val="24"/>
          <w:szCs w:val="22"/>
          <w:highlight w:val="none"/>
        </w:rPr>
        <w:t>为孔隙联通参数。</w:t>
      </w:r>
    </w:p>
    <w:p w14:paraId="4BE26E2C">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（2）边界条件</w:t>
      </w:r>
    </w:p>
    <w:p w14:paraId="0A3686A0">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①水流运动模型边界条件假设淋溶水在同一个点持续渗漏，上边界定为定通量边界；下边界为自由排泄边界。</w:t>
      </w:r>
    </w:p>
    <w:p w14:paraId="26018B0E">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②溶质运移模型边界条件初始条件：</w:t>
      </w:r>
    </w:p>
    <w:p w14:paraId="2BDB680D">
      <w:pPr>
        <w:ind w:firstLine="480" w:firstLineChars="200"/>
        <w:jc w:val="center"/>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drawing>
          <wp:inline distT="0" distB="0" distL="0" distR="0">
            <wp:extent cx="2476500" cy="238125"/>
            <wp:effectExtent l="0" t="0" r="0" b="9525"/>
            <wp:docPr id="7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a:xfrm>
                      <a:off x="0" y="0"/>
                      <a:ext cx="2476500" cy="238125"/>
                    </a:xfrm>
                    <a:prstGeom prst="rect">
                      <a:avLst/>
                    </a:prstGeom>
                    <a:noFill/>
                    <a:ln>
                      <a:noFill/>
                    </a:ln>
                  </pic:spPr>
                </pic:pic>
              </a:graphicData>
            </a:graphic>
          </wp:inline>
        </w:drawing>
      </w:r>
    </w:p>
    <w:p w14:paraId="6942F81B">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上边界条件：设定连续点源污染（污染物以定浓度c0连续注入）的情境下，地表为给定浓度的第一类Dirichlet边界条件。</w:t>
      </w:r>
    </w:p>
    <w:p w14:paraId="045DC02A">
      <w:pPr>
        <w:spacing w:line="500" w:lineRule="exact"/>
        <w:ind w:firstLine="480" w:firstLineChars="200"/>
        <w:jc w:val="center"/>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drawing>
          <wp:inline distT="0" distB="0" distL="0" distR="0">
            <wp:extent cx="2324100" cy="228600"/>
            <wp:effectExtent l="0" t="0" r="0" b="0"/>
            <wp:docPr id="7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a:xfrm>
                      <a:off x="0" y="0"/>
                      <a:ext cx="2324100" cy="228600"/>
                    </a:xfrm>
                    <a:prstGeom prst="rect">
                      <a:avLst/>
                    </a:prstGeom>
                    <a:noFill/>
                    <a:ln>
                      <a:noFill/>
                    </a:ln>
                  </pic:spPr>
                </pic:pic>
              </a:graphicData>
            </a:graphic>
          </wp:inline>
        </w:drawing>
      </w:r>
    </w:p>
    <w:p w14:paraId="48B8B7DF">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下边界条件：由于模拟选择的下边界为潜水面，污染物质呈自由渗漏状态，边界内外的浓度相等，故而将其认为是不存在弥散通量的第二类Neumann零梯度边界。</w:t>
      </w:r>
    </w:p>
    <w:p w14:paraId="432AF65D">
      <w:pPr>
        <w:ind w:firstLine="480" w:firstLineChars="200"/>
        <w:jc w:val="center"/>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drawing>
          <wp:inline distT="0" distB="0" distL="0" distR="0">
            <wp:extent cx="2190750" cy="438150"/>
            <wp:effectExtent l="0" t="0" r="0" b="0"/>
            <wp:docPr id="7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a:xfrm>
                      <a:off x="0" y="0"/>
                      <a:ext cx="2190750" cy="438150"/>
                    </a:xfrm>
                    <a:prstGeom prst="rect">
                      <a:avLst/>
                    </a:prstGeom>
                    <a:noFill/>
                    <a:ln>
                      <a:noFill/>
                    </a:ln>
                  </pic:spPr>
                </pic:pic>
              </a:graphicData>
            </a:graphic>
          </wp:inline>
        </w:drawing>
      </w:r>
    </w:p>
    <w:p w14:paraId="2D5DFF50">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（3）模拟软件选取</w:t>
      </w:r>
    </w:p>
    <w:p w14:paraId="172125D6">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在本次预测与评价中应用HYDRUS软件求解包气带中的水分与溶质迁移方程。HYDRUS是由美国国家盐改中心（US Salinity laboratory）于1991成功开发的一套用于模拟变饱和多孔介质中水分、能量、溶质运移的数值模型。经改进与完善，得到了广泛的认可与应用。能够较好地模拟水分、溶质与能量在土壤中的分布，时空变化，运移规律，分析人们普遍关注的农田灌溉、田间施肥、环境污染等实际问题。它也可以与其他地下水、地表水模型相结合，从宏观上分析水资源的转化规律。后经过众多学者的开发研究，HYDRUS的功能更加完善，已经非常成功地应用于世界各地地下饱和、非饱和带污染物迁移研究。</w:t>
      </w:r>
    </w:p>
    <w:p w14:paraId="2183EF80">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（4）参数选取</w:t>
      </w:r>
    </w:p>
    <w:p w14:paraId="67A613AB">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水力参数见下表。</w:t>
      </w:r>
    </w:p>
    <w:p w14:paraId="7B2976DF">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表5-</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9</w:t>
      </w:r>
      <w:r>
        <w:rPr>
          <w:rFonts w:hint="default" w:ascii="Times New Roman" w:hAnsi="Times New Roman" w:cs="Times New Roman"/>
          <w:color w:val="auto"/>
          <w:highlight w:val="none"/>
        </w:rPr>
        <w:t>水力参数一览表</w:t>
      </w:r>
    </w:p>
    <w:tbl>
      <w:tblPr>
        <w:tblStyle w:val="20"/>
        <w:tblW w:w="0" w:type="auto"/>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123"/>
        <w:gridCol w:w="929"/>
        <w:gridCol w:w="1285"/>
        <w:gridCol w:w="1285"/>
        <w:gridCol w:w="1126"/>
        <w:gridCol w:w="1285"/>
        <w:gridCol w:w="1446"/>
      </w:tblGrid>
      <w:tr w14:paraId="0FB5874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197" w:hRule="atLeast"/>
          <w:jc w:val="center"/>
        </w:trPr>
        <w:tc>
          <w:tcPr>
            <w:tcW w:w="1123" w:type="dxa"/>
            <w:vAlign w:val="center"/>
          </w:tcPr>
          <w:p w14:paraId="6C138EE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土壤层次（cm）</w:t>
            </w:r>
          </w:p>
        </w:tc>
        <w:tc>
          <w:tcPr>
            <w:tcW w:w="929" w:type="dxa"/>
            <w:vAlign w:val="center"/>
          </w:tcPr>
          <w:p w14:paraId="701DD1D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土壤类型</w:t>
            </w:r>
          </w:p>
        </w:tc>
        <w:tc>
          <w:tcPr>
            <w:tcW w:w="1285" w:type="dxa"/>
            <w:vAlign w:val="center"/>
          </w:tcPr>
          <w:p w14:paraId="309D6C6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土壤残余含水率cm3/cm</w:t>
            </w:r>
            <w:r>
              <w:rPr>
                <w:rFonts w:hint="default" w:ascii="Times New Roman" w:hAnsi="Times New Roman" w:cs="Times New Roman"/>
                <w:color w:val="auto"/>
                <w:highlight w:val="none"/>
                <w:vertAlign w:val="superscript"/>
              </w:rPr>
              <w:t>3</w:t>
            </w:r>
          </w:p>
        </w:tc>
        <w:tc>
          <w:tcPr>
            <w:tcW w:w="1285" w:type="dxa"/>
            <w:vAlign w:val="center"/>
          </w:tcPr>
          <w:p w14:paraId="6F9E145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饱和土壤含水率cm3/cm</w:t>
            </w:r>
            <w:r>
              <w:rPr>
                <w:rFonts w:hint="default" w:ascii="Times New Roman" w:hAnsi="Times New Roman" w:cs="Times New Roman"/>
                <w:color w:val="auto"/>
                <w:highlight w:val="none"/>
                <w:vertAlign w:val="superscript"/>
              </w:rPr>
              <w:t>3</w:t>
            </w:r>
          </w:p>
        </w:tc>
        <w:tc>
          <w:tcPr>
            <w:tcW w:w="1126" w:type="dxa"/>
            <w:vAlign w:val="center"/>
          </w:tcPr>
          <w:p w14:paraId="07B9B17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土壤水分保持参数1/cm</w:t>
            </w:r>
          </w:p>
        </w:tc>
        <w:tc>
          <w:tcPr>
            <w:tcW w:w="1285" w:type="dxa"/>
            <w:vAlign w:val="center"/>
          </w:tcPr>
          <w:p w14:paraId="4042566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饱和导水率cm/days</w:t>
            </w:r>
          </w:p>
        </w:tc>
        <w:tc>
          <w:tcPr>
            <w:tcW w:w="1446" w:type="dxa"/>
            <w:vAlign w:val="center"/>
          </w:tcPr>
          <w:p w14:paraId="0054A707">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电导率函数中的弯曲参数</w:t>
            </w:r>
          </w:p>
        </w:tc>
      </w:tr>
      <w:tr w14:paraId="7DAB19E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99" w:hRule="atLeast"/>
          <w:jc w:val="center"/>
        </w:trPr>
        <w:tc>
          <w:tcPr>
            <w:tcW w:w="1123" w:type="dxa"/>
            <w:vAlign w:val="center"/>
          </w:tcPr>
          <w:p w14:paraId="2D79D3C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0-100</w:t>
            </w:r>
          </w:p>
        </w:tc>
        <w:tc>
          <w:tcPr>
            <w:tcW w:w="929" w:type="dxa"/>
            <w:vAlign w:val="center"/>
          </w:tcPr>
          <w:p w14:paraId="19BBDA6C">
            <w:pPr>
              <w:pStyle w:val="44"/>
              <w:bidi w:val="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岩石</w:t>
            </w:r>
          </w:p>
        </w:tc>
        <w:tc>
          <w:tcPr>
            <w:tcW w:w="1285" w:type="dxa"/>
            <w:vAlign w:val="center"/>
          </w:tcPr>
          <w:p w14:paraId="0E5D4DA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0.078</w:t>
            </w:r>
          </w:p>
        </w:tc>
        <w:tc>
          <w:tcPr>
            <w:tcW w:w="1285" w:type="dxa"/>
            <w:vAlign w:val="center"/>
          </w:tcPr>
          <w:p w14:paraId="191006C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0.43</w:t>
            </w:r>
          </w:p>
        </w:tc>
        <w:tc>
          <w:tcPr>
            <w:tcW w:w="1126" w:type="dxa"/>
            <w:vAlign w:val="center"/>
          </w:tcPr>
          <w:p w14:paraId="44BCCFB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1.56</w:t>
            </w:r>
          </w:p>
        </w:tc>
        <w:tc>
          <w:tcPr>
            <w:tcW w:w="1285" w:type="dxa"/>
            <w:vAlign w:val="center"/>
          </w:tcPr>
          <w:p w14:paraId="6775D3F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24.96</w:t>
            </w:r>
          </w:p>
        </w:tc>
        <w:tc>
          <w:tcPr>
            <w:tcW w:w="1446" w:type="dxa"/>
            <w:vAlign w:val="center"/>
          </w:tcPr>
          <w:p w14:paraId="4189CBD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0.5</w:t>
            </w:r>
          </w:p>
        </w:tc>
      </w:tr>
    </w:tbl>
    <w:p w14:paraId="72B78C2E">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溶质运移参数见下表。</w:t>
      </w:r>
    </w:p>
    <w:p w14:paraId="77996876">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表5-</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-1</w:t>
      </w:r>
      <w:r>
        <w:rPr>
          <w:rFonts w:hint="default" w:ascii="Times New Roman" w:hAnsi="Times New Roman" w:cs="Times New Roman"/>
          <w:color w:val="auto"/>
          <w:highlight w:val="none"/>
          <w:lang w:val="en-US" w:eastAsia="zh-CN"/>
        </w:rPr>
        <w:t>0</w:t>
      </w:r>
      <w:r>
        <w:rPr>
          <w:rFonts w:hint="default" w:ascii="Times New Roman" w:hAnsi="Times New Roman" w:cs="Times New Roman"/>
          <w:color w:val="auto"/>
          <w:highlight w:val="none"/>
        </w:rPr>
        <w:t>溶质运移相关一览表</w:t>
      </w:r>
    </w:p>
    <w:tbl>
      <w:tblPr>
        <w:tblStyle w:val="20"/>
        <w:tblW w:w="8463"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990"/>
        <w:gridCol w:w="719"/>
        <w:gridCol w:w="811"/>
        <w:gridCol w:w="898"/>
        <w:gridCol w:w="761"/>
        <w:gridCol w:w="794"/>
        <w:gridCol w:w="962"/>
        <w:gridCol w:w="1264"/>
        <w:gridCol w:w="1264"/>
      </w:tblGrid>
      <w:tr w14:paraId="54753CE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898" w:hRule="atLeast"/>
          <w:jc w:val="center"/>
        </w:trPr>
        <w:tc>
          <w:tcPr>
            <w:tcW w:w="991" w:type="dxa"/>
            <w:vAlign w:val="center"/>
          </w:tcPr>
          <w:p w14:paraId="45F2477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土壤层次（cm）</w:t>
            </w:r>
          </w:p>
        </w:tc>
        <w:tc>
          <w:tcPr>
            <w:tcW w:w="722" w:type="dxa"/>
            <w:vAlign w:val="center"/>
          </w:tcPr>
          <w:p w14:paraId="4A27B0E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土壤类型</w:t>
            </w:r>
          </w:p>
        </w:tc>
        <w:tc>
          <w:tcPr>
            <w:tcW w:w="813" w:type="dxa"/>
            <w:vAlign w:val="center"/>
          </w:tcPr>
          <w:p w14:paraId="3A58FB5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污染物浓度mg/L</w:t>
            </w:r>
          </w:p>
        </w:tc>
        <w:tc>
          <w:tcPr>
            <w:tcW w:w="900" w:type="dxa"/>
            <w:vAlign w:val="center"/>
          </w:tcPr>
          <w:p w14:paraId="4987DF3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土壤密度g/cm</w:t>
            </w:r>
            <w:r>
              <w:rPr>
                <w:rFonts w:hint="default" w:ascii="Times New Roman" w:hAnsi="Times New Roman" w:cs="Times New Roman"/>
                <w:color w:val="auto"/>
                <w:highlight w:val="none"/>
                <w:vertAlign w:val="superscript"/>
              </w:rPr>
              <w:t>3</w:t>
            </w:r>
          </w:p>
        </w:tc>
        <w:tc>
          <w:tcPr>
            <w:tcW w:w="764" w:type="dxa"/>
            <w:vAlign w:val="center"/>
          </w:tcPr>
          <w:p w14:paraId="585C9E9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纵向弥散系数cm</w:t>
            </w:r>
          </w:p>
        </w:tc>
        <w:tc>
          <w:tcPr>
            <w:tcW w:w="795" w:type="dxa"/>
            <w:vAlign w:val="center"/>
          </w:tcPr>
          <w:p w14:paraId="313A0A2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扩散系数cm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/d</w:t>
            </w:r>
          </w:p>
        </w:tc>
        <w:tc>
          <w:tcPr>
            <w:tcW w:w="966" w:type="dxa"/>
            <w:vAlign w:val="center"/>
          </w:tcPr>
          <w:p w14:paraId="4DC5283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Kd</w:t>
            </w:r>
          </w:p>
          <w:p w14:paraId="45577F0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/g</w:t>
            </w:r>
          </w:p>
        </w:tc>
        <w:tc>
          <w:tcPr>
            <w:tcW w:w="1256" w:type="dxa"/>
            <w:vAlign w:val="center"/>
          </w:tcPr>
          <w:p w14:paraId="1961AF4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在空气中的扩散系数（cm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/days)</w:t>
            </w:r>
          </w:p>
        </w:tc>
        <w:tc>
          <w:tcPr>
            <w:tcW w:w="1256" w:type="dxa"/>
            <w:vAlign w:val="center"/>
          </w:tcPr>
          <w:p w14:paraId="55CFD59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在水中的扩散系数（cm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/days)</w:t>
            </w:r>
          </w:p>
        </w:tc>
      </w:tr>
      <w:tr w14:paraId="7A564D9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31" w:hRule="atLeast"/>
          <w:jc w:val="center"/>
        </w:trPr>
        <w:tc>
          <w:tcPr>
            <w:tcW w:w="991" w:type="dxa"/>
            <w:vAlign w:val="center"/>
          </w:tcPr>
          <w:p w14:paraId="47543B3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0-100</w:t>
            </w:r>
          </w:p>
        </w:tc>
        <w:tc>
          <w:tcPr>
            <w:tcW w:w="722" w:type="dxa"/>
            <w:vAlign w:val="center"/>
          </w:tcPr>
          <w:p w14:paraId="580DFFD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岩石</w:t>
            </w:r>
          </w:p>
        </w:tc>
        <w:tc>
          <w:tcPr>
            <w:tcW w:w="813" w:type="dxa"/>
            <w:vAlign w:val="center"/>
          </w:tcPr>
          <w:p w14:paraId="0BF99082">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0.13</w:t>
            </w:r>
          </w:p>
        </w:tc>
        <w:tc>
          <w:tcPr>
            <w:tcW w:w="900" w:type="dxa"/>
            <w:vAlign w:val="center"/>
          </w:tcPr>
          <w:p w14:paraId="6C62BDC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1.3</w:t>
            </w:r>
          </w:p>
        </w:tc>
        <w:tc>
          <w:tcPr>
            <w:tcW w:w="764" w:type="dxa"/>
            <w:vAlign w:val="center"/>
          </w:tcPr>
          <w:p w14:paraId="7BF3DE2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795" w:type="dxa"/>
            <w:vAlign w:val="center"/>
          </w:tcPr>
          <w:p w14:paraId="06F963AF">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11.52</w:t>
            </w:r>
          </w:p>
        </w:tc>
        <w:tc>
          <w:tcPr>
            <w:tcW w:w="966" w:type="dxa"/>
            <w:vAlign w:val="center"/>
          </w:tcPr>
          <w:p w14:paraId="753DF284">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1256" w:type="dxa"/>
            <w:vAlign w:val="center"/>
          </w:tcPr>
          <w:p w14:paraId="35F864B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1256" w:type="dxa"/>
            <w:vAlign w:val="center"/>
          </w:tcPr>
          <w:p w14:paraId="4E67F4E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r>
    </w:tbl>
    <w:p w14:paraId="5F71EE4C">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4、渗漏情景预测结果</w:t>
      </w:r>
    </w:p>
    <w:p w14:paraId="6490CFD8">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模拟结果见下图。</w:t>
      </w:r>
    </w:p>
    <w:p w14:paraId="1855E901">
      <w:pPr>
        <w:spacing w:line="360" w:lineRule="auto"/>
        <w:jc w:val="center"/>
        <w:rPr>
          <w:rFonts w:hint="default" w:ascii="Times New Roman" w:hAnsi="Times New Roman" w:cs="Times New Roman"/>
          <w:color w:val="auto"/>
          <w:sz w:val="24"/>
          <w:highlight w:val="none"/>
        </w:rPr>
      </w:pPr>
      <w:r>
        <w:rPr>
          <w:rFonts w:hint="default" w:ascii="Times New Roman" w:hAnsi="Times New Roman" w:cs="Times New Roman"/>
          <w:color w:val="auto"/>
          <w:position w:val="-116"/>
          <w:highlight w:val="none"/>
        </w:rPr>
        <w:drawing>
          <wp:inline distT="0" distB="0" distL="0" distR="0">
            <wp:extent cx="4736465" cy="3687445"/>
            <wp:effectExtent l="0" t="0" r="6985" b="8255"/>
            <wp:docPr id="79" name="IM 282"/>
            <wp:cNvGraphicFramePr/>
            <a:graphic xmlns:a="http://schemas.openxmlformats.org/drawingml/2006/main">
              <a:graphicData uri="http://schemas.openxmlformats.org/drawingml/2006/picture">
                <pic:pic xmlns:pic="http://schemas.openxmlformats.org/drawingml/2006/picture">
                  <pic:nvPicPr>
                    <pic:cNvPr id="79" name="IM 282"/>
                    <pic:cNvPicPr/>
                  </pic:nvPicPr>
                  <pic:blipFill>
                    <a:blip r:embed="rId104"/>
                    <a:stretch>
                      <a:fillRect/>
                    </a:stretch>
                  </pic:blipFill>
                  <pic:spPr>
                    <a:xfrm>
                      <a:off x="0" y="0"/>
                      <a:ext cx="4736591" cy="3688079"/>
                    </a:xfrm>
                    <a:prstGeom prst="rect">
                      <a:avLst/>
                    </a:prstGeom>
                  </pic:spPr>
                </pic:pic>
              </a:graphicData>
            </a:graphic>
          </wp:inline>
        </w:drawing>
      </w:r>
    </w:p>
    <w:p w14:paraId="3E571569">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图5-</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不同位置观测点处</w:t>
      </w:r>
      <w:r>
        <w:rPr>
          <w:rFonts w:hint="default" w:ascii="Times New Roman" w:hAnsi="Times New Roman" w:cs="Times New Roman"/>
          <w:color w:val="auto"/>
          <w:highlight w:val="none"/>
          <w:lang w:val="en-US" w:eastAsia="zh-CN"/>
        </w:rPr>
        <w:t>六价</w:t>
      </w:r>
      <w:r>
        <w:rPr>
          <w:rFonts w:hint="default" w:ascii="Times New Roman" w:hAnsi="Times New Roman" w:cs="Times New Roman"/>
          <w:color w:val="auto"/>
          <w:highlight w:val="none"/>
        </w:rPr>
        <w:t>铬浓度图</w:t>
      </w:r>
    </w:p>
    <w:p w14:paraId="3C059B0F">
      <w:pPr>
        <w:pStyle w:val="27"/>
        <w:bidi w:val="0"/>
        <w:rPr>
          <w:rFonts w:hint="default" w:ascii="Times New Roman" w:hAnsi="Times New Roman" w:cs="Times New Roman"/>
          <w:color w:val="auto"/>
          <w:highlight w:val="none"/>
        </w:rPr>
      </w:pPr>
    </w:p>
    <w:p w14:paraId="40FE5CBE">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5、</w:t>
      </w:r>
      <w:r>
        <w:rPr>
          <w:rFonts w:hint="default" w:ascii="Times New Roman" w:hAnsi="Times New Roman" w:cs="Times New Roman"/>
          <w:color w:val="auto"/>
          <w:highlight w:val="none"/>
          <w:lang w:val="en-US" w:eastAsia="zh-CN"/>
        </w:rPr>
        <w:t>下渗</w:t>
      </w:r>
      <w:r>
        <w:rPr>
          <w:rFonts w:hint="default" w:ascii="Times New Roman" w:hAnsi="Times New Roman" w:cs="Times New Roman"/>
          <w:color w:val="auto"/>
          <w:highlight w:val="none"/>
        </w:rPr>
        <w:t>情景预测结果分析</w:t>
      </w:r>
    </w:p>
    <w:p w14:paraId="3A0DE01B">
      <w:pPr>
        <w:pStyle w:val="25"/>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从图可以看出，</w:t>
      </w:r>
      <w:r>
        <w:rPr>
          <w:rFonts w:hint="default" w:ascii="Times New Roman" w:hAnsi="Times New Roman" w:cs="Times New Roman"/>
          <w:color w:val="auto"/>
          <w:highlight w:val="none"/>
          <w:lang w:val="en-US" w:eastAsia="zh-CN"/>
        </w:rPr>
        <w:t>六价</w:t>
      </w:r>
      <w:r>
        <w:rPr>
          <w:rFonts w:hint="default" w:ascii="Times New Roman" w:hAnsi="Times New Roman" w:cs="Times New Roman"/>
          <w:color w:val="auto"/>
          <w:highlight w:val="none"/>
        </w:rPr>
        <w:t>铬在包气带向下迁移过程中，垂向观测点上最大浓度分 别为 0.0015μg/cm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88d</w:t>
      </w:r>
      <w:r>
        <w:rPr>
          <w:rFonts w:hint="default" w:ascii="Times New Roman" w:hAnsi="Times New Roman" w:cs="Times New Roman"/>
          <w:color w:val="auto"/>
          <w:highlight w:val="none"/>
        </w:rPr>
        <w:t>）、0.001</w:t>
      </w:r>
      <w:r>
        <w:rPr>
          <w:rFonts w:hint="default" w:ascii="Times New Roman" w:hAnsi="Times New Roman" w:cs="Times New Roman"/>
          <w:color w:val="auto"/>
          <w:highlight w:val="none"/>
          <w:lang w:val="en-US" w:eastAsia="zh-CN"/>
        </w:rPr>
        <w:t>12</w:t>
      </w:r>
      <w:r>
        <w:rPr>
          <w:rFonts w:hint="default" w:ascii="Times New Roman" w:hAnsi="Times New Roman" w:cs="Times New Roman"/>
          <w:color w:val="auto"/>
          <w:highlight w:val="none"/>
        </w:rPr>
        <w:t>μg/cm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rPr>
        <w:t>（2</w:t>
      </w:r>
      <w:r>
        <w:rPr>
          <w:rFonts w:hint="default" w:ascii="Times New Roman" w:hAnsi="Times New Roman" w:cs="Times New Roman"/>
          <w:color w:val="auto"/>
          <w:highlight w:val="none"/>
          <w:lang w:val="en-US" w:eastAsia="zh-CN"/>
        </w:rPr>
        <w:t>16</w:t>
      </w:r>
      <w:r>
        <w:rPr>
          <w:rFonts w:hint="default" w:ascii="Times New Roman" w:hAnsi="Times New Roman" w:cs="Times New Roman"/>
          <w:color w:val="auto"/>
          <w:highlight w:val="none"/>
        </w:rPr>
        <w:t>d）、0.00080</w:t>
      </w:r>
      <w:r>
        <w:rPr>
          <w:rFonts w:hint="default" w:ascii="Times New Roman" w:hAnsi="Times New Roman" w:cs="Times New Roman"/>
          <w:color w:val="auto"/>
          <w:highlight w:val="none"/>
          <w:lang w:val="en-US" w:eastAsia="zh-CN"/>
        </w:rPr>
        <w:t>11</w:t>
      </w:r>
      <w:r>
        <w:rPr>
          <w:rFonts w:hint="default" w:ascii="Times New Roman" w:hAnsi="Times New Roman" w:cs="Times New Roman"/>
          <w:color w:val="auto"/>
          <w:highlight w:val="none"/>
        </w:rPr>
        <w:t>μg/cm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（3</w:t>
      </w:r>
      <w:r>
        <w:rPr>
          <w:rFonts w:hint="default" w:ascii="Times New Roman" w:hAnsi="Times New Roman" w:cs="Times New Roman"/>
          <w:color w:val="auto"/>
          <w:highlight w:val="none"/>
          <w:lang w:val="en-US" w:eastAsia="zh-CN"/>
        </w:rPr>
        <w:t>58</w:t>
      </w:r>
      <w:r>
        <w:rPr>
          <w:rFonts w:hint="default" w:ascii="Times New Roman" w:hAnsi="Times New Roman" w:cs="Times New Roman"/>
          <w:color w:val="auto"/>
          <w:highlight w:val="none"/>
        </w:rPr>
        <w:t>d）、0.0006</w:t>
      </w:r>
      <w:r>
        <w:rPr>
          <w:rFonts w:hint="default" w:ascii="Times New Roman" w:hAnsi="Times New Roman" w:cs="Times New Roman"/>
          <w:color w:val="auto"/>
          <w:highlight w:val="none"/>
          <w:lang w:val="en-US" w:eastAsia="zh-CN"/>
        </w:rPr>
        <w:t>812</w:t>
      </w:r>
      <w:r>
        <w:rPr>
          <w:rFonts w:hint="default" w:ascii="Times New Roman" w:hAnsi="Times New Roman" w:cs="Times New Roman"/>
          <w:color w:val="auto"/>
          <w:highlight w:val="none"/>
        </w:rPr>
        <w:t>μg/cm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（530d），污染物浓度在纵向上呈不断减小的趋势。土壤容重按1.2g/cm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饱和含水率（体积比）为46% ，经计算，土壤中</w:t>
      </w:r>
      <w:r>
        <w:rPr>
          <w:rFonts w:hint="default" w:ascii="Times New Roman" w:hAnsi="Times New Roman" w:cs="Times New Roman"/>
          <w:color w:val="auto"/>
          <w:highlight w:val="none"/>
          <w:lang w:val="en-US" w:eastAsia="zh-CN"/>
        </w:rPr>
        <w:t>六价铬</w:t>
      </w:r>
      <w:r>
        <w:rPr>
          <w:rFonts w:hint="default" w:ascii="Times New Roman" w:hAnsi="Times New Roman" w:cs="Times New Roman"/>
          <w:color w:val="auto"/>
          <w:highlight w:val="none"/>
        </w:rPr>
        <w:t>最大浓度0.0015</w:t>
      </w:r>
      <w:r>
        <w:rPr>
          <w:rFonts w:hint="default" w:ascii="Times New Roman" w:hAnsi="Times New Roman" w:cs="Times New Roman"/>
          <w:color w:val="auto"/>
          <w:highlight w:val="none"/>
          <w:lang w:val="en-US" w:eastAsia="zh-CN"/>
        </w:rPr>
        <w:t>12</w:t>
      </w:r>
      <w:r>
        <w:rPr>
          <w:rFonts w:hint="default" w:ascii="Times New Roman" w:hAnsi="Times New Roman" w:cs="Times New Roman"/>
          <w:color w:val="auto"/>
          <w:highlight w:val="none"/>
        </w:rPr>
        <w:t>μg/cm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 xml:space="preserve"> 折算为0.00057</w:t>
      </w:r>
      <w:r>
        <w:rPr>
          <w:rFonts w:hint="default" w:ascii="Times New Roman" w:hAnsi="Times New Roman" w:cs="Times New Roman"/>
          <w:color w:val="auto"/>
          <w:highlight w:val="none"/>
          <w:lang w:val="en-US" w:eastAsia="zh-CN"/>
        </w:rPr>
        <w:t>41</w:t>
      </w:r>
      <w:r>
        <w:rPr>
          <w:rFonts w:hint="default" w:ascii="Times New Roman" w:hAnsi="Times New Roman" w:cs="Times New Roman"/>
          <w:color w:val="auto"/>
          <w:highlight w:val="none"/>
        </w:rPr>
        <w:t>mg/kg ，污染物浓度较低，贡献值较小。叠加土壤背景最大值后，</w:t>
      </w:r>
      <w:r>
        <w:rPr>
          <w:rFonts w:hint="default" w:ascii="Times New Roman" w:hAnsi="Times New Roman" w:cs="Times New Roman"/>
          <w:color w:val="auto"/>
          <w:highlight w:val="none"/>
          <w:lang w:val="en-US" w:eastAsia="zh-CN"/>
        </w:rPr>
        <w:t>六价</w:t>
      </w:r>
      <w:r>
        <w:rPr>
          <w:rFonts w:hint="default" w:ascii="Times New Roman" w:hAnsi="Times New Roman" w:cs="Times New Roman"/>
          <w:color w:val="auto"/>
          <w:highlight w:val="none"/>
        </w:rPr>
        <w:t>铬浓度基本不变，远远低于《土壤环境质量</w:t>
      </w:r>
      <w:r>
        <w:rPr>
          <w:rFonts w:hint="default" w:ascii="Times New Roman" w:hAnsi="Times New Roman" w:cs="Times New Roman"/>
          <w:color w:val="auto"/>
          <w:highlight w:val="none"/>
          <w:lang w:val="en-US" w:eastAsia="zh-CN"/>
        </w:rPr>
        <w:t>建设用</w:t>
      </w:r>
      <w:r>
        <w:rPr>
          <w:rFonts w:hint="default" w:ascii="Times New Roman" w:hAnsi="Times New Roman" w:cs="Times New Roman"/>
          <w:color w:val="auto"/>
          <w:highlight w:val="none"/>
        </w:rPr>
        <w:t>地土壤污染风险管控标准</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试行）》的风险筛选值要求。因此，本项目的建设对土壤环境影响较小。</w:t>
      </w:r>
    </w:p>
    <w:p w14:paraId="07B1AAB8">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企业应根据本环评及相关法律法规要求实施土壤环境监测，记录监测数据，建立档案，并定期向建设单位安全环保部门汇报，对于常规监测数据应该进行公开，特别是对项目所在区域的公众进行公开，满足法律中关于知情权的要求。如发现异常或发生事故，加密监测频次，并分析污染原因，确定泄漏污染源，确定是否对土壤、地下水有影响，及时采取相应应急措施。</w:t>
      </w:r>
    </w:p>
    <w:p w14:paraId="630DEDFA">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综上所述，本项目在认真落实上述提出的各项土壤及地下水污染防治措施的基础上，项目建设不会对当地土壤环境产生明显不利影响，结合环境风险评估报告，项目煤矸石中可溶性重金属含量较低，对土壤和地下水水质的影响轻微，淋溶水不会对地下水和周边土壤环境造成明显影响，对周边环境风险可接受，从土壤环境保护角度而言，项目建设可行。</w:t>
      </w:r>
    </w:p>
    <w:p w14:paraId="0ADED752">
      <w:pPr>
        <w:pStyle w:val="39"/>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5.1.7地下水影响预测与分析</w:t>
      </w:r>
    </w:p>
    <w:p w14:paraId="7CDF0187">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为了准确、详细刻画事故工况下淋溶水渗漏事故对区域地下水环境的影响，本次评价预测非正常工况下淋溶水渗漏对区域地下水环境的影响。</w:t>
      </w:r>
    </w:p>
    <w:p w14:paraId="1277DA5C">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填埋过程</w:t>
      </w:r>
      <w:r>
        <w:rPr>
          <w:rFonts w:hint="default" w:ascii="Times New Roman" w:hAnsi="Times New Roman" w:cs="Times New Roman"/>
          <w:color w:val="auto"/>
          <w:highlight w:val="none"/>
        </w:rPr>
        <w:t>强降雨时，雨水入渗将使煤矸石的含水量超过持水度，形成淋溶水，通过回填区底层渗入地下，造成对区域地下水的污染。根据工程分析，本项目强降雨时淋溶水下渗对地下水影响最大，因此，预测强降雨时，当因地质塌陷等非正常状况下对地下水的影响。</w:t>
      </w:r>
    </w:p>
    <w:p w14:paraId="0C53CA1D">
      <w:pPr>
        <w:pStyle w:val="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5.1.7.1水文地质条件</w:t>
      </w:r>
    </w:p>
    <w:p w14:paraId="365D3DED">
      <w:pPr>
        <w:pStyle w:val="25"/>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本项目</w:t>
      </w:r>
      <w:r>
        <w:rPr>
          <w:rFonts w:hint="default" w:ascii="Times New Roman" w:hAnsi="Times New Roman" w:cs="Times New Roman"/>
          <w:color w:val="auto"/>
          <w:lang w:val="en-US" w:eastAsia="zh-CN"/>
        </w:rPr>
        <w:t>位于鸡西市城子河区城海村西，属丘陵地貌，</w:t>
      </w:r>
      <w:r>
        <w:rPr>
          <w:rFonts w:hint="default" w:ascii="Times New Roman" w:hAnsi="Times New Roman" w:cs="Times New Roman"/>
          <w:color w:val="auto"/>
          <w:lang w:val="en-US" w:eastAsia="en-US"/>
        </w:rPr>
        <w:t>大地构造单元位于老爷岭地块区</w:t>
      </w:r>
      <w:r>
        <w:rPr>
          <w:rFonts w:hint="default" w:ascii="Times New Roman" w:hAnsi="Times New Roman" w:cs="Times New Roman"/>
          <w:color w:val="auto"/>
          <w:lang w:val="en-US" w:eastAsia="zh-CN"/>
        </w:rPr>
        <w:t>佳木斯隆起带，根据地质钻探、水文地质试验及水文地质调查结果：2#地块场地外的地区上部普遍分布有薄层的砂土及碎石第四系残坡积层，结构松散，属于透水层；整个勘察区内的基岩风化带（厚度为5-15m）风化裂隙发育且无填充物，赋存风化裂隙水，并且具有随着深度的增加富水性减弱的特征；基岩风化带以下岩石完整性好，裂隙发育极少且多为闭合裂隙，与上覆含水层水量交换微弱，构成该区风化裂隙含水层的底板，为隔水层；区内的人工回填层由碎石及砂构成，为透水层。本区</w:t>
      </w:r>
      <w:r>
        <w:rPr>
          <w:rFonts w:hint="default" w:ascii="Times New Roman" w:hAnsi="Times New Roman" w:cs="Times New Roman"/>
          <w:color w:val="auto"/>
          <w:lang w:val="en-US" w:eastAsia="en-US"/>
        </w:rPr>
        <w:t>水文地质情况</w:t>
      </w:r>
      <w:r>
        <w:rPr>
          <w:rFonts w:hint="default" w:ascii="Times New Roman" w:hAnsi="Times New Roman" w:cs="Times New Roman"/>
          <w:color w:val="auto"/>
          <w:lang w:val="en-US" w:eastAsia="zh-CN"/>
        </w:rPr>
        <w:t>分述</w:t>
      </w:r>
      <w:r>
        <w:rPr>
          <w:rFonts w:hint="default" w:ascii="Times New Roman" w:hAnsi="Times New Roman" w:cs="Times New Roman"/>
          <w:color w:val="auto"/>
          <w:lang w:val="en-US" w:eastAsia="en-US"/>
        </w:rPr>
        <w:t>如下：</w:t>
      </w:r>
    </w:p>
    <w:p w14:paraId="2C1DE147">
      <w:pPr>
        <w:pStyle w:val="25"/>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cs="Times New Roman"/>
          <w:color w:val="auto"/>
        </w:rPr>
      </w:pPr>
      <w:r>
        <w:rPr>
          <w:rFonts w:hint="default" w:ascii="Times New Roman" w:hAnsi="Times New Roman" w:cs="Times New Roman"/>
          <w:color w:val="auto"/>
          <w:lang w:val="en-US" w:eastAsia="zh-CN"/>
        </w:rPr>
        <w:t>1、</w:t>
      </w:r>
      <w:r>
        <w:rPr>
          <w:rFonts w:hint="default" w:ascii="Times New Roman" w:hAnsi="Times New Roman" w:cs="Times New Roman"/>
          <w:color w:val="auto"/>
        </w:rPr>
        <w:t>含水层</w:t>
      </w:r>
    </w:p>
    <w:p w14:paraId="21B3E7F3">
      <w:pPr>
        <w:pStyle w:val="25"/>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勘察区内含水层为基岩风化裂隙水层，赋存于近地表岩石风化带中，在整个勘察区除采坑范围外分布，含水层厚度为3.88-6.53m，渗透系数0.105-0.138m/d，导水系数为0.41-0.67m2/d，地下水埋深为5.12-8.15m，实测单井涌水量为0.78-1.36m3/d，单位涌水量为0.20-0.28m3/（d·m），推算单井涌水量&lt;10m3/d，水量极贫乏。</w:t>
      </w:r>
      <w:r>
        <w:rPr>
          <w:rFonts w:hint="default" w:ascii="Times New Roman" w:hAnsi="Times New Roman" w:cs="Times New Roman"/>
          <w:color w:val="auto"/>
        </w:rPr>
        <w:t>该含水岩组地下水矿化度</w:t>
      </w:r>
      <w:r>
        <w:rPr>
          <w:rFonts w:hint="default" w:ascii="Times New Roman" w:hAnsi="Times New Roman" w:cs="Times New Roman"/>
          <w:color w:val="auto"/>
          <w:lang w:val="en-US" w:eastAsia="zh-CN"/>
        </w:rPr>
        <w:t>&lt;1000m</w:t>
      </w:r>
      <w:r>
        <w:rPr>
          <w:rFonts w:hint="default" w:ascii="Times New Roman" w:hAnsi="Times New Roman" w:cs="Times New Roman"/>
          <w:color w:val="auto"/>
        </w:rPr>
        <w:t>g/L</w:t>
      </w:r>
      <w:r>
        <w:rPr>
          <w:rFonts w:hint="default" w:ascii="Times New Roman" w:hAnsi="Times New Roman" w:cs="Times New Roman"/>
          <w:color w:val="auto"/>
          <w:lang w:eastAsia="zh-CN"/>
        </w:rPr>
        <w:t>，</w:t>
      </w:r>
      <w:r>
        <w:rPr>
          <w:rFonts w:hint="default" w:ascii="Times New Roman" w:hAnsi="Times New Roman" w:cs="Times New Roman"/>
          <w:color w:val="auto"/>
        </w:rPr>
        <w:t>总硬度</w:t>
      </w:r>
      <w:r>
        <w:rPr>
          <w:rFonts w:hint="default" w:ascii="Times New Roman" w:hAnsi="Times New Roman" w:cs="Times New Roman"/>
          <w:color w:val="auto"/>
          <w:lang w:val="en-US" w:eastAsia="zh-CN"/>
        </w:rPr>
        <w:t>&lt;450</w:t>
      </w:r>
      <w:r>
        <w:rPr>
          <w:rFonts w:hint="default" w:ascii="Times New Roman" w:hAnsi="Times New Roman" w:cs="Times New Roman"/>
          <w:color w:val="auto"/>
        </w:rPr>
        <w:t>mg/L，属重碳酸钙钠、钙镁及重碳酸钙型水。</w:t>
      </w:r>
    </w:p>
    <w:p w14:paraId="13F58882">
      <w:pPr>
        <w:pStyle w:val="25"/>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2、透水层</w:t>
      </w:r>
    </w:p>
    <w:p w14:paraId="3325DFA9">
      <w:pPr>
        <w:pStyle w:val="25"/>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本区透水层主要为第四系残坡积层、人工回填层，分述如下：</w:t>
      </w:r>
    </w:p>
    <w:p w14:paraId="04EC12C3">
      <w:pPr>
        <w:pStyle w:val="25"/>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（1）第四系残坡积层</w:t>
      </w:r>
    </w:p>
    <w:p w14:paraId="563FEA7F">
      <w:pPr>
        <w:pStyle w:val="25"/>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分布于</w:t>
      </w:r>
      <w:r>
        <w:rPr>
          <w:rFonts w:hint="eastAsia" w:ascii="Times New Roman" w:hAnsi="Times New Roman" w:cs="Times New Roman"/>
          <w:color w:val="auto"/>
          <w:lang w:val="en-US" w:eastAsia="zh-CN"/>
        </w:rPr>
        <w:t>矿坑</w:t>
      </w:r>
      <w:r>
        <w:rPr>
          <w:rFonts w:hint="default" w:ascii="Times New Roman" w:hAnsi="Times New Roman" w:cs="Times New Roman"/>
          <w:color w:val="auto"/>
          <w:lang w:val="en-US" w:eastAsia="zh-CN"/>
        </w:rPr>
        <w:t>外的地区，厚度0.2-0.3m，岩性由砂土及碎石组成，结构松散，大气降水垂向渗入后迅速流失补给至下伏的基岩风化裂隙水层，具有较好的渗透性，为透水层。</w:t>
      </w:r>
    </w:p>
    <w:p w14:paraId="6FF8435C">
      <w:pPr>
        <w:pStyle w:val="25"/>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（2）人工回填层</w:t>
      </w:r>
    </w:p>
    <w:p w14:paraId="74714002">
      <w:pPr>
        <w:pStyle w:val="25"/>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在采坑之外的区域分布，厚度2-5m，岩性由碎石及砂构成，结构松散，大气降水垂向渗入后迅速流失补给至下伏的基岩风化裂隙水层，具有较好的渗透性，为透水层。</w:t>
      </w:r>
    </w:p>
    <w:p w14:paraId="3D41A830">
      <w:pPr>
        <w:pStyle w:val="25"/>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3、隔水层</w:t>
      </w:r>
    </w:p>
    <w:p w14:paraId="6164C3CA">
      <w:pPr>
        <w:pStyle w:val="25"/>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cs="Times New Roman"/>
          <w:color w:val="auto"/>
          <w:lang w:val="en-US" w:eastAsia="zh-CN"/>
        </w:rPr>
      </w:pPr>
      <w:bookmarkStart w:id="298" w:name="_Toc24059"/>
      <w:r>
        <w:rPr>
          <w:rFonts w:hint="default" w:ascii="Times New Roman" w:hAnsi="Times New Roman" w:cs="Times New Roman"/>
          <w:color w:val="auto"/>
          <w:lang w:val="en-US" w:eastAsia="zh-CN"/>
        </w:rPr>
        <w:t>隔水层为完整基岩，伏于风化带底部，采坑范围内由于采矿活动的影响导致岩壁底部及坑底裸露，该地层构成了全区基岩风化裂隙潜水层底板，岩性由元古代混合花岗岩构成，本次钻探钻进至该隔水层5m深度而未穿透，根据区域资料推测其厚度可达数百米，根据钻孔压水试验确定其渗透系数为3.2-4.2×10</w:t>
      </w:r>
      <w:r>
        <w:rPr>
          <w:rFonts w:hint="default" w:ascii="Times New Roman" w:hAnsi="Times New Roman" w:cs="Times New Roman"/>
          <w:color w:val="auto"/>
          <w:vertAlign w:val="superscript"/>
          <w:lang w:val="en-US" w:eastAsia="zh-CN"/>
        </w:rPr>
        <w:t>-6</w:t>
      </w:r>
      <w:r>
        <w:rPr>
          <w:rFonts w:hint="default" w:ascii="Times New Roman" w:hAnsi="Times New Roman" w:cs="Times New Roman"/>
          <w:color w:val="auto"/>
          <w:lang w:val="en-US" w:eastAsia="zh-CN"/>
        </w:rPr>
        <w:t>cm/s。</w:t>
      </w:r>
      <w:bookmarkEnd w:id="298"/>
    </w:p>
    <w:p w14:paraId="7BD0E229">
      <w:pPr>
        <w:pStyle w:val="25"/>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4、地下水补给、径流及排泄条件</w:t>
      </w:r>
    </w:p>
    <w:p w14:paraId="2C7FC5FE">
      <w:pPr>
        <w:pStyle w:val="25"/>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由于本区地表覆盖层较薄且透水性较好，因此大气降水可透过覆盖层渗入直接补给基</w:t>
      </w:r>
      <w:r>
        <w:rPr>
          <w:rFonts w:hint="default" w:ascii="Times New Roman" w:hAnsi="Times New Roman" w:cs="Times New Roman"/>
          <w:color w:val="auto"/>
          <w:lang w:eastAsia="zh-CN"/>
        </w:rPr>
        <w:t>岩风化裂隙水层，同时含水层也接受上游含水层的侧向径流补给，地下水在基岩风化裂隙中赋存并运移，受地势的影响由地势高处向地势低处运动，在地表切割含水层的地形低洼处流出汇集形成水坑或以侧向径流的形式向区外下游含水层进行排泄。</w:t>
      </w:r>
    </w:p>
    <w:p w14:paraId="6B9F76DE">
      <w:pPr>
        <w:pStyle w:val="25"/>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5、采坑围岩岩土体分布情况及其水文地质特征</w:t>
      </w:r>
    </w:p>
    <w:p w14:paraId="4FA2AD4C">
      <w:pPr>
        <w:pStyle w:val="25"/>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cs="Times New Roman"/>
          <w:color w:val="auto"/>
          <w:lang w:val="en-US" w:eastAsia="zh-CN"/>
        </w:rPr>
      </w:pPr>
      <w:r>
        <w:rPr>
          <w:rFonts w:hint="default" w:ascii="Times New Roman" w:hAnsi="Times New Roman" w:cs="Times New Roman"/>
          <w:color w:val="auto"/>
        </w:rPr>
        <w:t>通过</w:t>
      </w:r>
      <w:r>
        <w:rPr>
          <w:rFonts w:hint="default" w:ascii="Times New Roman" w:hAnsi="Times New Roman" w:cs="Times New Roman"/>
          <w:color w:val="auto"/>
          <w:lang w:eastAsia="zh-CN"/>
        </w:rPr>
        <w:t>采坑岩壁水文地质调查、</w:t>
      </w:r>
      <w:r>
        <w:rPr>
          <w:rFonts w:hint="default" w:ascii="Times New Roman" w:hAnsi="Times New Roman" w:cs="Times New Roman"/>
          <w:color w:val="auto"/>
        </w:rPr>
        <w:t>地质孔的钻探揭露情况</w:t>
      </w:r>
      <w:r>
        <w:rPr>
          <w:rFonts w:hint="default" w:ascii="Times New Roman" w:hAnsi="Times New Roman" w:cs="Times New Roman"/>
          <w:color w:val="auto"/>
          <w:lang w:eastAsia="zh-CN"/>
        </w:rPr>
        <w:t>及</w:t>
      </w:r>
      <w:r>
        <w:rPr>
          <w:rFonts w:hint="default" w:ascii="Times New Roman" w:hAnsi="Times New Roman" w:cs="Times New Roman"/>
          <w:color w:val="auto"/>
        </w:rPr>
        <w:t>水文地质试验结果，</w:t>
      </w:r>
      <w:r>
        <w:rPr>
          <w:rFonts w:hint="default" w:ascii="Times New Roman" w:hAnsi="Times New Roman" w:cs="Times New Roman"/>
          <w:color w:val="auto"/>
          <w:lang w:eastAsia="zh-CN"/>
        </w:rPr>
        <w:t>采坑区围岩</w:t>
      </w:r>
      <w:r>
        <w:rPr>
          <w:rFonts w:hint="default" w:ascii="Times New Roman" w:hAnsi="Times New Roman" w:cs="Times New Roman"/>
          <w:color w:val="auto"/>
        </w:rPr>
        <w:t>岩土</w:t>
      </w:r>
      <w:r>
        <w:rPr>
          <w:rFonts w:hint="default" w:ascii="Times New Roman" w:hAnsi="Times New Roman" w:cs="Times New Roman"/>
          <w:color w:val="auto"/>
          <w:lang w:eastAsia="zh-CN"/>
        </w:rPr>
        <w:t>体分布情况及</w:t>
      </w:r>
      <w:r>
        <w:rPr>
          <w:rFonts w:hint="default" w:ascii="Times New Roman" w:hAnsi="Times New Roman" w:cs="Times New Roman"/>
          <w:color w:val="auto"/>
        </w:rPr>
        <w:t>水文地质特</w:t>
      </w:r>
      <w:r>
        <w:rPr>
          <w:rFonts w:hint="default" w:ascii="Times New Roman" w:hAnsi="Times New Roman" w:cs="Times New Roman"/>
          <w:color w:val="auto"/>
          <w:lang w:eastAsia="zh-CN"/>
        </w:rPr>
        <w:t>征</w:t>
      </w:r>
      <w:r>
        <w:rPr>
          <w:rFonts w:hint="default" w:ascii="Times New Roman" w:hAnsi="Times New Roman" w:cs="Times New Roman"/>
          <w:color w:val="auto"/>
        </w:rPr>
        <w:t>由上至下为：第一层</w:t>
      </w:r>
      <w:r>
        <w:rPr>
          <w:rFonts w:hint="default" w:ascii="Times New Roman" w:hAnsi="Times New Roman" w:cs="Times New Roman"/>
          <w:color w:val="auto"/>
          <w:lang w:eastAsia="zh-CN"/>
        </w:rPr>
        <w:t>是以砂土及碎石为主的第四系残坡积层或碎石、砂人工回填层，分布于采坑岩壁的顶部，其中第四系残坡积层厚度为</w:t>
      </w:r>
      <w:r>
        <w:rPr>
          <w:rFonts w:hint="default" w:ascii="Times New Roman" w:hAnsi="Times New Roman" w:cs="Times New Roman"/>
          <w:color w:val="auto"/>
          <w:lang w:val="en-US" w:eastAsia="zh-CN"/>
        </w:rPr>
        <w:t>0.2-0.3m，人工回填层厚度2-5m，二者透水性中等，属透水层，渗透性强于下部的混合花岗岩风化带；第二层为混合花岗岩风化带，分布于采坑岩壁的中部，厚度5-15m，渗透系数1.2-1.6×10</w:t>
      </w:r>
      <w:r>
        <w:rPr>
          <w:rFonts w:hint="default" w:ascii="Times New Roman" w:hAnsi="Times New Roman" w:cs="Times New Roman"/>
          <w:color w:val="auto"/>
          <w:vertAlign w:val="superscript"/>
          <w:lang w:val="en-US" w:eastAsia="zh-CN"/>
        </w:rPr>
        <w:t>-4</w:t>
      </w:r>
      <w:r>
        <w:rPr>
          <w:rFonts w:hint="default" w:ascii="Times New Roman" w:hAnsi="Times New Roman" w:cs="Times New Roman"/>
          <w:color w:val="auto"/>
          <w:lang w:val="en-US" w:eastAsia="zh-CN"/>
        </w:rPr>
        <w:t>cm/d，透水性弱，赋存地下水，属于含水层；第三层是完整的混合花岗岩岩层，稳定的分布于采坑岩壁的下部及采坑底部，厚度&gt;5m，渗透系数3.2-4.2×10</w:t>
      </w:r>
      <w:r>
        <w:rPr>
          <w:rFonts w:hint="default" w:ascii="Times New Roman" w:hAnsi="Times New Roman" w:cs="Times New Roman"/>
          <w:color w:val="auto"/>
          <w:vertAlign w:val="superscript"/>
          <w:lang w:val="en-US" w:eastAsia="zh-CN"/>
        </w:rPr>
        <w:t>-6</w:t>
      </w:r>
      <w:r>
        <w:rPr>
          <w:rFonts w:hint="default" w:ascii="Times New Roman" w:hAnsi="Times New Roman" w:cs="Times New Roman"/>
          <w:color w:val="auto"/>
          <w:lang w:val="en-US" w:eastAsia="zh-CN"/>
        </w:rPr>
        <w:t>cm/s，透水性微，属于隔水层。</w:t>
      </w:r>
    </w:p>
    <w:p w14:paraId="63CA72D7">
      <w:pPr>
        <w:pStyle w:val="25"/>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6、</w:t>
      </w:r>
      <w:r>
        <w:rPr>
          <w:rFonts w:hint="default" w:ascii="Times New Roman" w:hAnsi="Times New Roman" w:cs="Times New Roman"/>
          <w:color w:val="auto"/>
          <w:lang w:val="en-US" w:eastAsia="zh-CN"/>
        </w:rPr>
        <w:t>地下水动态变化规律</w:t>
      </w:r>
    </w:p>
    <w:p w14:paraId="5E3E3249">
      <w:pPr>
        <w:pStyle w:val="25"/>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区地下水主要补给来源为大气降水，故地下水动态受季节性影响较大，地下水水位最低值出现在4-5月，8-9月水位达到最高值。地下水位动态呈现季节性变化规律，每年4-5月地表蒸发量开始增强而降水量依然较小，季节性冻土层开始融化，地下水尚未得到降水和融化雪水的有效补给，水位较低；此后，随降雨量增加，渗入补给量随之增大，地下水水位开始普遍上升，并随着降水量增大，地下水水位上升速度加快，至8-9月达到峰值；从9月底开始，降水量不断减少，地下水水位开始缓慢下降，11月地表开始冻结，直到翌年4-5月份冻土融化为止，地下水都处于下降状态。</w:t>
      </w:r>
    </w:p>
    <w:p w14:paraId="3404657B">
      <w:pPr>
        <w:pStyle w:val="5"/>
        <w:bidi w:val="0"/>
        <w:rPr>
          <w:rFonts w:hint="default" w:ascii="Times New Roman" w:hAnsi="Times New Roman" w:cs="Times New Roman"/>
          <w:color w:val="auto"/>
        </w:rPr>
      </w:pPr>
      <w:r>
        <w:rPr>
          <w:rFonts w:hint="default" w:ascii="Times New Roman" w:hAnsi="Times New Roman" w:cs="Times New Roman"/>
          <w:color w:val="auto"/>
          <w:lang w:val="en-US" w:eastAsia="zh-CN"/>
        </w:rPr>
        <w:t>5.1.7.2</w:t>
      </w:r>
      <w:r>
        <w:rPr>
          <w:rFonts w:hint="default" w:ascii="Times New Roman" w:hAnsi="Times New Roman" w:cs="Times New Roman"/>
          <w:color w:val="auto"/>
        </w:rPr>
        <w:t>预测范围</w:t>
      </w:r>
    </w:p>
    <w:p w14:paraId="437A52F1">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根据《环境影响评价技术导则 地下水环境》（HJ610-2016）的要求，本次地下水环境影响评价预测范围与地下水现状调查范围一致，即：项目所在区域范围内。预测层位为地下水的潜水含水层。</w:t>
      </w:r>
    </w:p>
    <w:p w14:paraId="33792976">
      <w:pPr>
        <w:pStyle w:val="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5.1.7.3预测时段</w:t>
      </w:r>
    </w:p>
    <w:p w14:paraId="28E9E04F">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选取可能产生地下水污染的关键时段，预测时段设定为发生淋溶水泄漏后的100天、1000天、</w:t>
      </w:r>
      <w:r>
        <w:rPr>
          <w:rFonts w:hint="default" w:ascii="Times New Roman" w:hAnsi="Times New Roman" w:cs="Times New Roman"/>
          <w:color w:val="auto"/>
          <w:highlight w:val="none"/>
          <w:lang w:val="en-US" w:eastAsia="zh-CN"/>
        </w:rPr>
        <w:t>3650天</w:t>
      </w:r>
      <w:r>
        <w:rPr>
          <w:rFonts w:hint="default" w:ascii="Times New Roman" w:hAnsi="Times New Roman" w:cs="Times New Roman"/>
          <w:color w:val="auto"/>
          <w:highlight w:val="none"/>
        </w:rPr>
        <w:t>。</w:t>
      </w:r>
    </w:p>
    <w:p w14:paraId="320F0A34">
      <w:pPr>
        <w:pStyle w:val="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5.1.7.4预测因子</w:t>
      </w:r>
    </w:p>
    <w:p w14:paraId="6390B7AE">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按照《环境影响评价技术导则 地下水环境》（HJ610-2016）要求“对每一类别的各项因子采用标准指数法进行排序，分别取标准指数最大的因子作为预测因子”。根据前文对煤矸石浸出液检测数据，首先筛选出超出检出限的污染因子，其次将筛选出的污染物按照特性分类，按重金属、持久性有机污染物及其他类别进行分类，根据污染物识别结果及淋溶水水质指标，最后，对照《地下水质量标准》（GB/T14848-2017）、《地表水环境质量标准》（GB3838-2002）计算标准指数，各污染物污染指数排序结果见下表。本项目不涉及持久性有机污染物，重金属因子选择标准指数最大的</w:t>
      </w:r>
      <w:r>
        <w:rPr>
          <w:rFonts w:hint="default" w:ascii="Times New Roman" w:hAnsi="Times New Roman" w:cs="Times New Roman"/>
          <w:color w:val="auto"/>
          <w:highlight w:val="none"/>
          <w:lang w:val="en-US" w:eastAsia="zh-CN"/>
        </w:rPr>
        <w:t>六价铬</w:t>
      </w:r>
      <w:r>
        <w:rPr>
          <w:rFonts w:hint="default" w:ascii="Times New Roman" w:hAnsi="Times New Roman" w:cs="Times New Roman"/>
          <w:color w:val="auto"/>
          <w:highlight w:val="none"/>
        </w:rPr>
        <w:t>作为评价因子，其他类别选择标准指数最大的</w:t>
      </w:r>
      <w:r>
        <w:rPr>
          <w:rFonts w:hint="default" w:ascii="Times New Roman" w:hAnsi="Times New Roman" w:cs="Times New Roman"/>
          <w:color w:val="auto"/>
          <w:highlight w:val="none"/>
          <w:lang w:val="en-US" w:eastAsia="zh-CN"/>
        </w:rPr>
        <w:t>COD</w:t>
      </w:r>
      <w:r>
        <w:rPr>
          <w:rFonts w:hint="default" w:ascii="Times New Roman" w:hAnsi="Times New Roman" w:cs="Times New Roman"/>
          <w:color w:val="auto"/>
          <w:highlight w:val="none"/>
        </w:rPr>
        <w:t>作为预测因子。</w:t>
      </w:r>
    </w:p>
    <w:p w14:paraId="2E38607D">
      <w:pPr>
        <w:pStyle w:val="27"/>
        <w:bidi w:val="0"/>
        <w:rPr>
          <w:rFonts w:hint="default" w:ascii="Times New Roman" w:hAnsi="Times New Roman" w:cs="Times New Roman"/>
          <w:color w:val="auto"/>
        </w:rPr>
      </w:pPr>
      <w:r>
        <w:rPr>
          <w:rFonts w:hint="default" w:ascii="Times New Roman" w:hAnsi="Times New Roman" w:cs="Times New Roman"/>
          <w:color w:val="auto"/>
        </w:rPr>
        <w:t>表5-</w:t>
      </w:r>
      <w:r>
        <w:rPr>
          <w:rFonts w:hint="default" w:ascii="Times New Roman" w:hAnsi="Times New Roman" w:cs="Times New Roman"/>
          <w:color w:val="auto"/>
          <w:lang w:val="en-US" w:eastAsia="zh-CN"/>
        </w:rPr>
        <w:t>1</w:t>
      </w:r>
      <w:r>
        <w:rPr>
          <w:rFonts w:hint="default" w:ascii="Times New Roman" w:hAnsi="Times New Roman" w:cs="Times New Roman"/>
          <w:color w:val="auto"/>
        </w:rPr>
        <w:t>-</w:t>
      </w:r>
      <w:r>
        <w:rPr>
          <w:rFonts w:hint="default" w:ascii="Times New Roman" w:hAnsi="Times New Roman" w:cs="Times New Roman"/>
          <w:color w:val="auto"/>
          <w:lang w:val="en-US" w:eastAsia="zh-CN"/>
        </w:rPr>
        <w:t>11</w:t>
      </w:r>
      <w:r>
        <w:rPr>
          <w:rFonts w:hint="default" w:ascii="Times New Roman" w:hAnsi="Times New Roman" w:cs="Times New Roman"/>
          <w:color w:val="auto"/>
        </w:rPr>
        <w:t>淋溶水污染特征因子标准指数计算结果表</w:t>
      </w:r>
    </w:p>
    <w:tbl>
      <w:tblPr>
        <w:tblStyle w:val="21"/>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212"/>
        <w:gridCol w:w="1219"/>
        <w:gridCol w:w="1219"/>
        <w:gridCol w:w="1219"/>
        <w:gridCol w:w="1219"/>
        <w:gridCol w:w="1219"/>
        <w:gridCol w:w="1215"/>
      </w:tblGrid>
      <w:tr w14:paraId="1756752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711" w:type="pct"/>
            <w:vAlign w:val="center"/>
          </w:tcPr>
          <w:p w14:paraId="7D9B280F">
            <w:pPr>
              <w:pStyle w:val="44"/>
              <w:bidi w:val="0"/>
              <w:rPr>
                <w:rFonts w:hint="default" w:ascii="Times New Roman" w:hAnsi="Times New Roman" w:cs="Times New Roman"/>
                <w:color w:val="auto"/>
              </w:rPr>
            </w:pPr>
            <w:r>
              <w:rPr>
                <w:rFonts w:hint="default" w:ascii="Times New Roman" w:hAnsi="Times New Roman" w:cs="Times New Roman"/>
                <w:color w:val="auto"/>
              </w:rPr>
              <w:t>废水名称</w:t>
            </w:r>
          </w:p>
        </w:tc>
        <w:tc>
          <w:tcPr>
            <w:tcW w:w="715" w:type="pct"/>
            <w:vAlign w:val="center"/>
          </w:tcPr>
          <w:p w14:paraId="43B79C17">
            <w:pPr>
              <w:pStyle w:val="44"/>
              <w:bidi w:val="0"/>
              <w:rPr>
                <w:rFonts w:hint="default" w:ascii="Times New Roman" w:hAnsi="Times New Roman" w:cs="Times New Roman"/>
                <w:color w:val="auto"/>
              </w:rPr>
            </w:pPr>
            <w:r>
              <w:rPr>
                <w:rFonts w:hint="default" w:ascii="Times New Roman" w:hAnsi="Times New Roman" w:cs="Times New Roman"/>
                <w:color w:val="auto"/>
              </w:rPr>
              <w:t>污染物</w:t>
            </w:r>
          </w:p>
        </w:tc>
        <w:tc>
          <w:tcPr>
            <w:tcW w:w="715" w:type="pct"/>
            <w:vAlign w:val="center"/>
          </w:tcPr>
          <w:p w14:paraId="22587E08">
            <w:pPr>
              <w:pStyle w:val="44"/>
              <w:bidi w:val="0"/>
              <w:rPr>
                <w:rFonts w:hint="default" w:ascii="Times New Roman" w:hAnsi="Times New Roman" w:cs="Times New Roman"/>
                <w:color w:val="auto"/>
              </w:rPr>
            </w:pPr>
            <w:r>
              <w:rPr>
                <w:rFonts w:hint="default" w:ascii="Times New Roman" w:hAnsi="Times New Roman" w:cs="Times New Roman"/>
                <w:color w:val="auto"/>
              </w:rPr>
              <w:t>现状浓度（mg/L）</w:t>
            </w:r>
          </w:p>
        </w:tc>
        <w:tc>
          <w:tcPr>
            <w:tcW w:w="715" w:type="pct"/>
            <w:vAlign w:val="center"/>
          </w:tcPr>
          <w:p w14:paraId="63D91BA3">
            <w:pPr>
              <w:pStyle w:val="44"/>
              <w:bidi w:val="0"/>
              <w:rPr>
                <w:rFonts w:hint="default" w:ascii="Times New Roman" w:hAnsi="Times New Roman" w:cs="Times New Roman"/>
                <w:color w:val="auto"/>
              </w:rPr>
            </w:pPr>
            <w:r>
              <w:rPr>
                <w:rFonts w:hint="default" w:ascii="Times New Roman" w:hAnsi="Times New Roman" w:cs="Times New Roman"/>
                <w:color w:val="auto"/>
              </w:rPr>
              <w:t>标准值（mg/L）</w:t>
            </w:r>
          </w:p>
        </w:tc>
        <w:tc>
          <w:tcPr>
            <w:tcW w:w="715" w:type="pct"/>
            <w:vAlign w:val="center"/>
          </w:tcPr>
          <w:p w14:paraId="36290C34">
            <w:pPr>
              <w:pStyle w:val="44"/>
              <w:bidi w:val="0"/>
              <w:rPr>
                <w:rFonts w:hint="default" w:ascii="Times New Roman" w:hAnsi="Times New Roman" w:cs="Times New Roman"/>
                <w:color w:val="auto"/>
              </w:rPr>
            </w:pPr>
            <w:r>
              <w:rPr>
                <w:rFonts w:hint="default" w:ascii="Times New Roman" w:hAnsi="Times New Roman" w:cs="Times New Roman"/>
                <w:color w:val="auto"/>
              </w:rPr>
              <w:t>标准指数</w:t>
            </w:r>
          </w:p>
        </w:tc>
        <w:tc>
          <w:tcPr>
            <w:tcW w:w="715" w:type="pct"/>
            <w:vAlign w:val="center"/>
          </w:tcPr>
          <w:p w14:paraId="15A39780">
            <w:pPr>
              <w:pStyle w:val="44"/>
              <w:bidi w:val="0"/>
              <w:rPr>
                <w:rFonts w:hint="default" w:ascii="Times New Roman" w:hAnsi="Times New Roman" w:cs="Times New Roman"/>
                <w:color w:val="auto"/>
              </w:rPr>
            </w:pPr>
            <w:r>
              <w:rPr>
                <w:rFonts w:hint="default" w:ascii="Times New Roman" w:hAnsi="Times New Roman" w:cs="Times New Roman"/>
                <w:color w:val="auto"/>
              </w:rPr>
              <w:t>排序</w:t>
            </w:r>
          </w:p>
        </w:tc>
        <w:tc>
          <w:tcPr>
            <w:tcW w:w="712" w:type="pct"/>
            <w:vAlign w:val="center"/>
          </w:tcPr>
          <w:p w14:paraId="0C047954">
            <w:pPr>
              <w:pStyle w:val="44"/>
              <w:bidi w:val="0"/>
              <w:rPr>
                <w:rFonts w:hint="default" w:ascii="Times New Roman" w:hAnsi="Times New Roman" w:cs="Times New Roman"/>
                <w:color w:val="auto"/>
              </w:rPr>
            </w:pPr>
            <w:r>
              <w:rPr>
                <w:rFonts w:hint="default" w:ascii="Times New Roman" w:hAnsi="Times New Roman" w:cs="Times New Roman"/>
                <w:color w:val="auto"/>
              </w:rPr>
              <w:t>分类</w:t>
            </w:r>
          </w:p>
        </w:tc>
      </w:tr>
      <w:tr w14:paraId="0CCCEB4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53" w:hRule="atLeast"/>
          <w:jc w:val="center"/>
        </w:trPr>
        <w:tc>
          <w:tcPr>
            <w:tcW w:w="711" w:type="pct"/>
            <w:vMerge w:val="restart"/>
            <w:vAlign w:val="center"/>
          </w:tcPr>
          <w:p w14:paraId="33996C33">
            <w:pPr>
              <w:pStyle w:val="44"/>
              <w:bidi w:val="0"/>
              <w:rPr>
                <w:rFonts w:hint="default" w:ascii="Times New Roman" w:hAnsi="Times New Roman" w:cs="Times New Roman"/>
                <w:color w:val="auto"/>
              </w:rPr>
            </w:pPr>
            <w:r>
              <w:rPr>
                <w:rFonts w:hint="default" w:ascii="Times New Roman" w:hAnsi="Times New Roman" w:cs="Times New Roman"/>
                <w:color w:val="auto"/>
              </w:rPr>
              <w:t>淋溶水</w:t>
            </w:r>
          </w:p>
        </w:tc>
        <w:tc>
          <w:tcPr>
            <w:tcW w:w="715" w:type="pct"/>
            <w:vAlign w:val="center"/>
          </w:tcPr>
          <w:p w14:paraId="40ACBF95">
            <w:pPr>
              <w:pStyle w:val="44"/>
              <w:bidi w:val="0"/>
              <w:rPr>
                <w:rFonts w:hint="default" w:ascii="Times New Roman" w:hAnsi="Times New Roman" w:cs="Times New Roman"/>
                <w:color w:val="auto"/>
              </w:rPr>
            </w:pPr>
            <w:r>
              <w:rPr>
                <w:rFonts w:hint="default" w:ascii="Times New Roman" w:hAnsi="Times New Roman" w:cs="Times New Roman"/>
                <w:color w:val="auto"/>
              </w:rPr>
              <w:t>氟化物</w:t>
            </w:r>
          </w:p>
        </w:tc>
        <w:tc>
          <w:tcPr>
            <w:tcW w:w="715" w:type="pct"/>
            <w:vAlign w:val="center"/>
          </w:tcPr>
          <w:p w14:paraId="11CE8D74">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0.19</w:t>
            </w:r>
          </w:p>
        </w:tc>
        <w:tc>
          <w:tcPr>
            <w:tcW w:w="715" w:type="pct"/>
            <w:vAlign w:val="center"/>
          </w:tcPr>
          <w:p w14:paraId="36960B5B">
            <w:pPr>
              <w:pStyle w:val="44"/>
              <w:bidi w:val="0"/>
              <w:rPr>
                <w:rFonts w:hint="default" w:ascii="Times New Roman" w:hAnsi="Times New Roman" w:cs="Times New Roman"/>
                <w:color w:val="auto"/>
              </w:rPr>
            </w:pPr>
            <w:r>
              <w:rPr>
                <w:rFonts w:hint="default" w:ascii="Times New Roman" w:hAnsi="Times New Roman" w:cs="Times New Roman"/>
                <w:color w:val="auto"/>
              </w:rPr>
              <w:t>1.0</w:t>
            </w:r>
          </w:p>
        </w:tc>
        <w:tc>
          <w:tcPr>
            <w:tcW w:w="715" w:type="pct"/>
            <w:vAlign w:val="center"/>
          </w:tcPr>
          <w:p w14:paraId="601946FF">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0.19</w:t>
            </w:r>
          </w:p>
        </w:tc>
        <w:tc>
          <w:tcPr>
            <w:tcW w:w="715" w:type="pct"/>
            <w:vAlign w:val="center"/>
          </w:tcPr>
          <w:p w14:paraId="10CAAFA2">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4</w:t>
            </w:r>
          </w:p>
        </w:tc>
        <w:tc>
          <w:tcPr>
            <w:tcW w:w="712" w:type="pct"/>
            <w:vAlign w:val="center"/>
          </w:tcPr>
          <w:p w14:paraId="2F393E9C">
            <w:pPr>
              <w:pStyle w:val="44"/>
              <w:bidi w:val="0"/>
              <w:rPr>
                <w:rFonts w:hint="default" w:ascii="Times New Roman" w:hAnsi="Times New Roman" w:cs="Times New Roman"/>
                <w:color w:val="auto"/>
              </w:rPr>
            </w:pPr>
            <w:r>
              <w:rPr>
                <w:rFonts w:hint="default" w:ascii="Times New Roman" w:hAnsi="Times New Roman" w:cs="Times New Roman"/>
                <w:color w:val="auto"/>
              </w:rPr>
              <w:t>其他类别</w:t>
            </w:r>
          </w:p>
        </w:tc>
      </w:tr>
      <w:tr w14:paraId="0EB3C69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58" w:hRule="atLeast"/>
          <w:jc w:val="center"/>
        </w:trPr>
        <w:tc>
          <w:tcPr>
            <w:tcW w:w="711" w:type="pct"/>
            <w:vMerge w:val="continue"/>
            <w:vAlign w:val="center"/>
          </w:tcPr>
          <w:p w14:paraId="2CA32861">
            <w:pPr>
              <w:pStyle w:val="44"/>
              <w:bidi w:val="0"/>
              <w:rPr>
                <w:rFonts w:hint="default" w:ascii="Times New Roman" w:hAnsi="Times New Roman" w:cs="Times New Roman"/>
                <w:color w:val="auto"/>
              </w:rPr>
            </w:pPr>
          </w:p>
        </w:tc>
        <w:tc>
          <w:tcPr>
            <w:tcW w:w="715" w:type="pct"/>
            <w:vAlign w:val="center"/>
          </w:tcPr>
          <w:p w14:paraId="5C246E0B">
            <w:pPr>
              <w:pStyle w:val="44"/>
              <w:bidi w:val="0"/>
              <w:rPr>
                <w:rFonts w:hint="default" w:ascii="Times New Roman" w:hAnsi="Times New Roman" w:cs="Times New Roman"/>
                <w:color w:val="auto"/>
              </w:rPr>
            </w:pPr>
            <w:r>
              <w:rPr>
                <w:rFonts w:hint="default" w:ascii="Times New Roman" w:hAnsi="Times New Roman" w:cs="Times New Roman"/>
                <w:color w:val="auto"/>
              </w:rPr>
              <w:t>COD</w:t>
            </w:r>
          </w:p>
        </w:tc>
        <w:tc>
          <w:tcPr>
            <w:tcW w:w="715" w:type="pct"/>
            <w:vAlign w:val="center"/>
          </w:tcPr>
          <w:p w14:paraId="4D1C309C">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96</w:t>
            </w:r>
          </w:p>
        </w:tc>
        <w:tc>
          <w:tcPr>
            <w:tcW w:w="715" w:type="pct"/>
            <w:vAlign w:val="center"/>
          </w:tcPr>
          <w:p w14:paraId="50F922B9">
            <w:pPr>
              <w:pStyle w:val="44"/>
              <w:bidi w:val="0"/>
              <w:rPr>
                <w:rFonts w:hint="default" w:ascii="Times New Roman" w:hAnsi="Times New Roman" w:cs="Times New Roman"/>
                <w:color w:val="auto"/>
              </w:rPr>
            </w:pPr>
            <w:r>
              <w:rPr>
                <w:rFonts w:hint="default" w:ascii="Times New Roman" w:hAnsi="Times New Roman" w:cs="Times New Roman"/>
                <w:color w:val="auto"/>
              </w:rPr>
              <w:t>20</w:t>
            </w:r>
          </w:p>
        </w:tc>
        <w:tc>
          <w:tcPr>
            <w:tcW w:w="715" w:type="pct"/>
            <w:vAlign w:val="center"/>
          </w:tcPr>
          <w:p w14:paraId="20E60A54">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4.8</w:t>
            </w:r>
          </w:p>
        </w:tc>
        <w:tc>
          <w:tcPr>
            <w:tcW w:w="715" w:type="pct"/>
            <w:vAlign w:val="center"/>
          </w:tcPr>
          <w:p w14:paraId="0FA74999">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1</w:t>
            </w:r>
          </w:p>
        </w:tc>
        <w:tc>
          <w:tcPr>
            <w:tcW w:w="712" w:type="pct"/>
            <w:vAlign w:val="center"/>
          </w:tcPr>
          <w:p w14:paraId="33CC617D">
            <w:pPr>
              <w:pStyle w:val="44"/>
              <w:bidi w:val="0"/>
              <w:rPr>
                <w:rFonts w:hint="default" w:ascii="Times New Roman" w:hAnsi="Times New Roman" w:cs="Times New Roman"/>
                <w:color w:val="auto"/>
              </w:rPr>
            </w:pPr>
            <w:r>
              <w:rPr>
                <w:rFonts w:hint="default" w:ascii="Times New Roman" w:hAnsi="Times New Roman" w:cs="Times New Roman"/>
                <w:color w:val="auto"/>
              </w:rPr>
              <w:t>其他类别</w:t>
            </w:r>
          </w:p>
        </w:tc>
      </w:tr>
      <w:tr w14:paraId="6A8DF0E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14" w:hRule="atLeast"/>
          <w:jc w:val="center"/>
        </w:trPr>
        <w:tc>
          <w:tcPr>
            <w:tcW w:w="711" w:type="pct"/>
            <w:vMerge w:val="continue"/>
            <w:vAlign w:val="center"/>
          </w:tcPr>
          <w:p w14:paraId="2D994150">
            <w:pPr>
              <w:pStyle w:val="44"/>
              <w:bidi w:val="0"/>
              <w:rPr>
                <w:rFonts w:hint="default" w:ascii="Times New Roman" w:hAnsi="Times New Roman" w:cs="Times New Roman"/>
                <w:color w:val="auto"/>
              </w:rPr>
            </w:pPr>
          </w:p>
        </w:tc>
        <w:tc>
          <w:tcPr>
            <w:tcW w:w="715" w:type="pct"/>
            <w:vAlign w:val="center"/>
          </w:tcPr>
          <w:p w14:paraId="35F8C280">
            <w:pPr>
              <w:pStyle w:val="44"/>
              <w:bidi w:val="0"/>
              <w:rPr>
                <w:rFonts w:hint="default" w:ascii="Times New Roman" w:hAnsi="Times New Roman" w:cs="Times New Roman"/>
                <w:color w:val="auto"/>
              </w:rPr>
            </w:pPr>
            <w:r>
              <w:rPr>
                <w:rFonts w:hint="default" w:ascii="Times New Roman" w:hAnsi="Times New Roman" w:cs="Times New Roman"/>
                <w:color w:val="auto"/>
              </w:rPr>
              <w:t>氨氮</w:t>
            </w:r>
          </w:p>
        </w:tc>
        <w:tc>
          <w:tcPr>
            <w:tcW w:w="715" w:type="pct"/>
            <w:vAlign w:val="center"/>
          </w:tcPr>
          <w:p w14:paraId="3B6701D5">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0.165</w:t>
            </w:r>
          </w:p>
        </w:tc>
        <w:tc>
          <w:tcPr>
            <w:tcW w:w="715" w:type="pct"/>
            <w:vAlign w:val="center"/>
          </w:tcPr>
          <w:p w14:paraId="53ABC4E7">
            <w:pPr>
              <w:pStyle w:val="44"/>
              <w:bidi w:val="0"/>
              <w:rPr>
                <w:rFonts w:hint="default" w:ascii="Times New Roman" w:hAnsi="Times New Roman" w:cs="Times New Roman"/>
                <w:color w:val="auto"/>
              </w:rPr>
            </w:pPr>
            <w:r>
              <w:rPr>
                <w:rFonts w:hint="default" w:ascii="Times New Roman" w:hAnsi="Times New Roman" w:cs="Times New Roman"/>
                <w:color w:val="auto"/>
              </w:rPr>
              <w:t>0.5</w:t>
            </w:r>
          </w:p>
        </w:tc>
        <w:tc>
          <w:tcPr>
            <w:tcW w:w="715" w:type="pct"/>
            <w:vAlign w:val="center"/>
          </w:tcPr>
          <w:p w14:paraId="4E75DD23">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0.33</w:t>
            </w:r>
          </w:p>
        </w:tc>
        <w:tc>
          <w:tcPr>
            <w:tcW w:w="715" w:type="pct"/>
            <w:vAlign w:val="center"/>
          </w:tcPr>
          <w:p w14:paraId="5E077F0F">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3</w:t>
            </w:r>
          </w:p>
        </w:tc>
        <w:tc>
          <w:tcPr>
            <w:tcW w:w="712" w:type="pct"/>
            <w:vAlign w:val="center"/>
          </w:tcPr>
          <w:p w14:paraId="4ECBEC5A">
            <w:pPr>
              <w:pStyle w:val="44"/>
              <w:bidi w:val="0"/>
              <w:rPr>
                <w:rFonts w:hint="default" w:ascii="Times New Roman" w:hAnsi="Times New Roman" w:cs="Times New Roman"/>
                <w:color w:val="auto"/>
              </w:rPr>
            </w:pPr>
            <w:r>
              <w:rPr>
                <w:rFonts w:hint="default" w:ascii="Times New Roman" w:hAnsi="Times New Roman" w:cs="Times New Roman"/>
                <w:color w:val="auto"/>
              </w:rPr>
              <w:t>其他类别</w:t>
            </w:r>
          </w:p>
        </w:tc>
      </w:tr>
      <w:tr w14:paraId="63DFAF4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 w:hRule="atLeast"/>
          <w:jc w:val="center"/>
        </w:trPr>
        <w:tc>
          <w:tcPr>
            <w:tcW w:w="711" w:type="pct"/>
            <w:vMerge w:val="continue"/>
            <w:vAlign w:val="center"/>
          </w:tcPr>
          <w:p w14:paraId="61514863">
            <w:pPr>
              <w:pStyle w:val="44"/>
              <w:bidi w:val="0"/>
              <w:rPr>
                <w:rFonts w:hint="default" w:ascii="Times New Roman" w:hAnsi="Times New Roman" w:cs="Times New Roman"/>
                <w:color w:val="auto"/>
              </w:rPr>
            </w:pPr>
          </w:p>
        </w:tc>
        <w:tc>
          <w:tcPr>
            <w:tcW w:w="715" w:type="pct"/>
            <w:vAlign w:val="center"/>
          </w:tcPr>
          <w:p w14:paraId="2DB287DE">
            <w:pPr>
              <w:pStyle w:val="44"/>
              <w:bidi w:val="0"/>
              <w:rPr>
                <w:rFonts w:hint="default" w:ascii="Times New Roman" w:hAnsi="Times New Roman" w:cs="Times New Roman"/>
                <w:color w:val="auto"/>
              </w:rPr>
            </w:pPr>
            <w:r>
              <w:rPr>
                <w:rFonts w:hint="default" w:ascii="Times New Roman" w:hAnsi="Times New Roman" w:cs="Times New Roman"/>
                <w:color w:val="auto"/>
              </w:rPr>
              <w:t>BOD5</w:t>
            </w:r>
          </w:p>
        </w:tc>
        <w:tc>
          <w:tcPr>
            <w:tcW w:w="715" w:type="pct"/>
            <w:vAlign w:val="center"/>
          </w:tcPr>
          <w:p w14:paraId="7C6F6300">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19.2</w:t>
            </w:r>
          </w:p>
        </w:tc>
        <w:tc>
          <w:tcPr>
            <w:tcW w:w="715" w:type="pct"/>
            <w:vAlign w:val="center"/>
          </w:tcPr>
          <w:p w14:paraId="5A5DD802">
            <w:pPr>
              <w:pStyle w:val="44"/>
              <w:bidi w:val="0"/>
              <w:rPr>
                <w:rFonts w:hint="default" w:ascii="Times New Roman" w:hAnsi="Times New Roman" w:cs="Times New Roman"/>
                <w:color w:val="auto"/>
              </w:rPr>
            </w:pPr>
            <w:r>
              <w:rPr>
                <w:rFonts w:hint="default" w:ascii="Times New Roman" w:hAnsi="Times New Roman" w:cs="Times New Roman"/>
                <w:color w:val="auto"/>
              </w:rPr>
              <w:t>4</w:t>
            </w:r>
          </w:p>
        </w:tc>
        <w:tc>
          <w:tcPr>
            <w:tcW w:w="715" w:type="pct"/>
            <w:vAlign w:val="center"/>
          </w:tcPr>
          <w:p w14:paraId="0903DDAE">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4.8</w:t>
            </w:r>
          </w:p>
        </w:tc>
        <w:tc>
          <w:tcPr>
            <w:tcW w:w="715" w:type="pct"/>
            <w:vAlign w:val="center"/>
          </w:tcPr>
          <w:p w14:paraId="0E374ED6">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2</w:t>
            </w:r>
          </w:p>
        </w:tc>
        <w:tc>
          <w:tcPr>
            <w:tcW w:w="712" w:type="pct"/>
            <w:vAlign w:val="center"/>
          </w:tcPr>
          <w:p w14:paraId="1BB5958D">
            <w:pPr>
              <w:pStyle w:val="44"/>
              <w:bidi w:val="0"/>
              <w:rPr>
                <w:rFonts w:hint="default" w:ascii="Times New Roman" w:hAnsi="Times New Roman" w:cs="Times New Roman"/>
                <w:color w:val="auto"/>
              </w:rPr>
            </w:pPr>
            <w:r>
              <w:rPr>
                <w:rFonts w:hint="default" w:ascii="Times New Roman" w:hAnsi="Times New Roman" w:cs="Times New Roman"/>
                <w:color w:val="auto"/>
              </w:rPr>
              <w:t>其他类别</w:t>
            </w:r>
          </w:p>
        </w:tc>
      </w:tr>
      <w:tr w14:paraId="4041909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 w:hRule="atLeast"/>
          <w:jc w:val="center"/>
        </w:trPr>
        <w:tc>
          <w:tcPr>
            <w:tcW w:w="711" w:type="pct"/>
            <w:vMerge w:val="continue"/>
            <w:vAlign w:val="center"/>
          </w:tcPr>
          <w:p w14:paraId="5C7AFCED">
            <w:pPr>
              <w:pStyle w:val="44"/>
              <w:bidi w:val="0"/>
              <w:rPr>
                <w:rFonts w:hint="default" w:ascii="Times New Roman" w:hAnsi="Times New Roman" w:cs="Times New Roman"/>
                <w:color w:val="auto"/>
              </w:rPr>
            </w:pPr>
          </w:p>
        </w:tc>
        <w:tc>
          <w:tcPr>
            <w:tcW w:w="715" w:type="pct"/>
            <w:vAlign w:val="center"/>
          </w:tcPr>
          <w:p w14:paraId="09102D68">
            <w:pPr>
              <w:pStyle w:val="44"/>
              <w:bidi w:val="0"/>
              <w:rPr>
                <w:rFonts w:hint="default" w:ascii="Times New Roman" w:hAnsi="Times New Roman" w:cs="Times New Roman"/>
                <w:color w:val="auto"/>
              </w:rPr>
            </w:pPr>
            <w:r>
              <w:rPr>
                <w:rFonts w:hint="default" w:ascii="Times New Roman" w:hAnsi="Times New Roman" w:cs="Times New Roman"/>
                <w:color w:val="auto"/>
              </w:rPr>
              <w:t>磷酸盐</w:t>
            </w:r>
          </w:p>
        </w:tc>
        <w:tc>
          <w:tcPr>
            <w:tcW w:w="715" w:type="pct"/>
            <w:vAlign w:val="center"/>
          </w:tcPr>
          <w:p w14:paraId="30B9F93F">
            <w:pPr>
              <w:pStyle w:val="44"/>
              <w:bidi w:val="0"/>
              <w:rPr>
                <w:rFonts w:hint="default" w:ascii="Times New Roman" w:hAnsi="Times New Roman" w:cs="Times New Roman"/>
                <w:color w:val="auto"/>
              </w:rPr>
            </w:pPr>
            <w:r>
              <w:rPr>
                <w:rFonts w:hint="default" w:ascii="Times New Roman" w:hAnsi="Times New Roman" w:cs="Times New Roman"/>
                <w:color w:val="auto"/>
              </w:rPr>
              <w:t>0.1</w:t>
            </w:r>
          </w:p>
        </w:tc>
        <w:tc>
          <w:tcPr>
            <w:tcW w:w="715" w:type="pct"/>
            <w:vAlign w:val="center"/>
          </w:tcPr>
          <w:p w14:paraId="5D148591">
            <w:pPr>
              <w:pStyle w:val="44"/>
              <w:bidi w:val="0"/>
              <w:rPr>
                <w:rFonts w:hint="default" w:ascii="Times New Roman" w:hAnsi="Times New Roman" w:cs="Times New Roman"/>
                <w:color w:val="auto"/>
              </w:rPr>
            </w:pPr>
            <w:r>
              <w:rPr>
                <w:rFonts w:hint="default" w:ascii="Times New Roman" w:hAnsi="Times New Roman" w:cs="Times New Roman"/>
                <w:color w:val="auto"/>
              </w:rPr>
              <w:t>/</w:t>
            </w:r>
          </w:p>
        </w:tc>
        <w:tc>
          <w:tcPr>
            <w:tcW w:w="715" w:type="pct"/>
            <w:vAlign w:val="center"/>
          </w:tcPr>
          <w:p w14:paraId="07AB342E">
            <w:pPr>
              <w:pStyle w:val="44"/>
              <w:bidi w:val="0"/>
              <w:rPr>
                <w:rFonts w:hint="default" w:ascii="Times New Roman" w:hAnsi="Times New Roman" w:cs="Times New Roman"/>
                <w:color w:val="auto"/>
              </w:rPr>
            </w:pPr>
            <w:r>
              <w:rPr>
                <w:rFonts w:hint="default" w:ascii="Times New Roman" w:hAnsi="Times New Roman" w:cs="Times New Roman"/>
                <w:color w:val="auto"/>
              </w:rPr>
              <w:t>/</w:t>
            </w:r>
          </w:p>
        </w:tc>
        <w:tc>
          <w:tcPr>
            <w:tcW w:w="715" w:type="pct"/>
          </w:tcPr>
          <w:p w14:paraId="12FDC539">
            <w:pPr>
              <w:pStyle w:val="44"/>
              <w:bidi w:val="0"/>
              <w:rPr>
                <w:rFonts w:hint="default" w:ascii="Times New Roman" w:hAnsi="Times New Roman" w:cs="Times New Roman"/>
                <w:color w:val="auto"/>
              </w:rPr>
            </w:pPr>
            <w:r>
              <w:rPr>
                <w:rFonts w:hint="default" w:ascii="Times New Roman" w:hAnsi="Times New Roman" w:cs="Times New Roman"/>
                <w:color w:val="auto"/>
              </w:rPr>
              <w:t>/</w:t>
            </w:r>
          </w:p>
        </w:tc>
        <w:tc>
          <w:tcPr>
            <w:tcW w:w="712" w:type="pct"/>
            <w:vAlign w:val="center"/>
          </w:tcPr>
          <w:p w14:paraId="6C7882C2">
            <w:pPr>
              <w:pStyle w:val="44"/>
              <w:bidi w:val="0"/>
              <w:rPr>
                <w:rFonts w:hint="default" w:ascii="Times New Roman" w:hAnsi="Times New Roman" w:cs="Times New Roman"/>
                <w:color w:val="auto"/>
              </w:rPr>
            </w:pPr>
            <w:r>
              <w:rPr>
                <w:rFonts w:hint="default" w:ascii="Times New Roman" w:hAnsi="Times New Roman" w:cs="Times New Roman"/>
                <w:color w:val="auto"/>
              </w:rPr>
              <w:t>其他类别</w:t>
            </w:r>
          </w:p>
        </w:tc>
      </w:tr>
      <w:tr w14:paraId="467E7FE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 w:hRule="atLeast"/>
          <w:jc w:val="center"/>
        </w:trPr>
        <w:tc>
          <w:tcPr>
            <w:tcW w:w="711" w:type="pct"/>
            <w:vMerge w:val="continue"/>
            <w:vAlign w:val="center"/>
          </w:tcPr>
          <w:p w14:paraId="673784B0">
            <w:pPr>
              <w:pStyle w:val="44"/>
              <w:bidi w:val="0"/>
              <w:rPr>
                <w:rFonts w:hint="default" w:ascii="Times New Roman" w:hAnsi="Times New Roman" w:cs="Times New Roman"/>
                <w:color w:val="auto"/>
              </w:rPr>
            </w:pPr>
          </w:p>
        </w:tc>
        <w:tc>
          <w:tcPr>
            <w:tcW w:w="715" w:type="pct"/>
            <w:vAlign w:val="center"/>
          </w:tcPr>
          <w:p w14:paraId="4A203D55">
            <w:pPr>
              <w:pStyle w:val="44"/>
              <w:bidi w:val="0"/>
              <w:rPr>
                <w:rFonts w:hint="default" w:ascii="Times New Roman" w:hAnsi="Times New Roman" w:cs="Times New Roman"/>
                <w:color w:val="auto"/>
              </w:rPr>
            </w:pPr>
            <w:r>
              <w:rPr>
                <w:rFonts w:hint="default" w:ascii="Times New Roman" w:hAnsi="Times New Roman" w:cs="Times New Roman"/>
                <w:color w:val="auto"/>
              </w:rPr>
              <w:t>悬浮物</w:t>
            </w:r>
          </w:p>
        </w:tc>
        <w:tc>
          <w:tcPr>
            <w:tcW w:w="715" w:type="pct"/>
            <w:vAlign w:val="center"/>
          </w:tcPr>
          <w:p w14:paraId="49445B05">
            <w:pPr>
              <w:pStyle w:val="44"/>
              <w:bidi w:val="0"/>
              <w:rPr>
                <w:rFonts w:hint="default" w:ascii="Times New Roman" w:hAnsi="Times New Roman" w:cs="Times New Roman"/>
                <w:color w:val="auto"/>
              </w:rPr>
            </w:pPr>
            <w:r>
              <w:rPr>
                <w:rFonts w:hint="default" w:ascii="Times New Roman" w:hAnsi="Times New Roman" w:cs="Times New Roman"/>
                <w:color w:val="auto"/>
              </w:rPr>
              <w:t>20</w:t>
            </w:r>
          </w:p>
        </w:tc>
        <w:tc>
          <w:tcPr>
            <w:tcW w:w="715" w:type="pct"/>
            <w:vAlign w:val="center"/>
          </w:tcPr>
          <w:p w14:paraId="525419B5">
            <w:pPr>
              <w:pStyle w:val="44"/>
              <w:bidi w:val="0"/>
              <w:rPr>
                <w:rFonts w:hint="default" w:ascii="Times New Roman" w:hAnsi="Times New Roman" w:cs="Times New Roman"/>
                <w:color w:val="auto"/>
              </w:rPr>
            </w:pPr>
            <w:r>
              <w:rPr>
                <w:rFonts w:hint="default" w:ascii="Times New Roman" w:hAnsi="Times New Roman" w:cs="Times New Roman"/>
                <w:color w:val="auto"/>
              </w:rPr>
              <w:t>/</w:t>
            </w:r>
          </w:p>
        </w:tc>
        <w:tc>
          <w:tcPr>
            <w:tcW w:w="715" w:type="pct"/>
            <w:vAlign w:val="center"/>
          </w:tcPr>
          <w:p w14:paraId="1C718D3B">
            <w:pPr>
              <w:pStyle w:val="44"/>
              <w:bidi w:val="0"/>
              <w:rPr>
                <w:rFonts w:hint="default" w:ascii="Times New Roman" w:hAnsi="Times New Roman" w:cs="Times New Roman"/>
                <w:color w:val="auto"/>
              </w:rPr>
            </w:pPr>
            <w:r>
              <w:rPr>
                <w:rFonts w:hint="default" w:ascii="Times New Roman" w:hAnsi="Times New Roman" w:cs="Times New Roman"/>
                <w:color w:val="auto"/>
              </w:rPr>
              <w:t>/</w:t>
            </w:r>
          </w:p>
        </w:tc>
        <w:tc>
          <w:tcPr>
            <w:tcW w:w="715" w:type="pct"/>
          </w:tcPr>
          <w:p w14:paraId="221E6061">
            <w:pPr>
              <w:pStyle w:val="44"/>
              <w:bidi w:val="0"/>
              <w:rPr>
                <w:rFonts w:hint="default" w:ascii="Times New Roman" w:hAnsi="Times New Roman" w:cs="Times New Roman"/>
                <w:color w:val="auto"/>
              </w:rPr>
            </w:pPr>
            <w:r>
              <w:rPr>
                <w:rFonts w:hint="default" w:ascii="Times New Roman" w:hAnsi="Times New Roman" w:cs="Times New Roman"/>
                <w:color w:val="auto"/>
              </w:rPr>
              <w:t>/</w:t>
            </w:r>
          </w:p>
        </w:tc>
        <w:tc>
          <w:tcPr>
            <w:tcW w:w="712" w:type="pct"/>
            <w:vAlign w:val="center"/>
          </w:tcPr>
          <w:p w14:paraId="0D166C38">
            <w:pPr>
              <w:pStyle w:val="44"/>
              <w:bidi w:val="0"/>
              <w:rPr>
                <w:rFonts w:hint="default" w:ascii="Times New Roman" w:hAnsi="Times New Roman" w:cs="Times New Roman"/>
                <w:color w:val="auto"/>
              </w:rPr>
            </w:pPr>
            <w:r>
              <w:rPr>
                <w:rFonts w:hint="default" w:ascii="Times New Roman" w:hAnsi="Times New Roman" w:cs="Times New Roman"/>
                <w:color w:val="auto"/>
              </w:rPr>
              <w:t>其他类别</w:t>
            </w:r>
          </w:p>
        </w:tc>
      </w:tr>
      <w:tr w14:paraId="0330B36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 w:hRule="atLeast"/>
          <w:jc w:val="center"/>
        </w:trPr>
        <w:tc>
          <w:tcPr>
            <w:tcW w:w="711" w:type="pct"/>
            <w:vMerge w:val="continue"/>
            <w:vAlign w:val="center"/>
          </w:tcPr>
          <w:p w14:paraId="4DFB477F">
            <w:pPr>
              <w:pStyle w:val="44"/>
              <w:bidi w:val="0"/>
              <w:rPr>
                <w:rFonts w:hint="default" w:ascii="Times New Roman" w:hAnsi="Times New Roman" w:cs="Times New Roman"/>
                <w:color w:val="auto"/>
              </w:rPr>
            </w:pPr>
          </w:p>
        </w:tc>
        <w:tc>
          <w:tcPr>
            <w:tcW w:w="715" w:type="pct"/>
            <w:vAlign w:val="center"/>
          </w:tcPr>
          <w:p w14:paraId="72FDE92D">
            <w:pPr>
              <w:pStyle w:val="44"/>
              <w:bidi w:val="0"/>
              <w:rPr>
                <w:rFonts w:hint="default" w:ascii="Times New Roman" w:hAnsi="Times New Roman" w:cs="Times New Roman"/>
                <w:color w:val="auto"/>
              </w:rPr>
            </w:pPr>
            <w:r>
              <w:rPr>
                <w:rFonts w:hint="default" w:ascii="Times New Roman" w:hAnsi="Times New Roman" w:cs="Times New Roman"/>
                <w:color w:val="auto"/>
              </w:rPr>
              <w:t>铍</w:t>
            </w:r>
          </w:p>
        </w:tc>
        <w:tc>
          <w:tcPr>
            <w:tcW w:w="715" w:type="pct"/>
            <w:vAlign w:val="center"/>
          </w:tcPr>
          <w:p w14:paraId="463B31BD">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0.00008</w:t>
            </w:r>
          </w:p>
        </w:tc>
        <w:tc>
          <w:tcPr>
            <w:tcW w:w="715" w:type="pct"/>
            <w:vAlign w:val="center"/>
          </w:tcPr>
          <w:p w14:paraId="6FEAD107">
            <w:pPr>
              <w:pStyle w:val="44"/>
              <w:bidi w:val="0"/>
              <w:rPr>
                <w:rFonts w:hint="default" w:ascii="Times New Roman" w:hAnsi="Times New Roman" w:cs="Times New Roman"/>
                <w:color w:val="auto"/>
              </w:rPr>
            </w:pPr>
            <w:r>
              <w:rPr>
                <w:rFonts w:hint="default" w:ascii="Times New Roman" w:hAnsi="Times New Roman" w:cs="Times New Roman"/>
                <w:color w:val="auto"/>
              </w:rPr>
              <w:t>0.002</w:t>
            </w:r>
          </w:p>
        </w:tc>
        <w:tc>
          <w:tcPr>
            <w:tcW w:w="715" w:type="pct"/>
            <w:vAlign w:val="center"/>
          </w:tcPr>
          <w:p w14:paraId="214C52CD">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0.04</w:t>
            </w:r>
          </w:p>
        </w:tc>
        <w:tc>
          <w:tcPr>
            <w:tcW w:w="715" w:type="pct"/>
            <w:vAlign w:val="center"/>
          </w:tcPr>
          <w:p w14:paraId="2EDBF309">
            <w:pPr>
              <w:pStyle w:val="44"/>
              <w:bidi w:val="0"/>
              <w:rPr>
                <w:rFonts w:hint="default" w:ascii="Times New Roman" w:hAnsi="Times New Roman" w:cs="Times New Roman"/>
                <w:color w:val="auto"/>
              </w:rPr>
            </w:pPr>
            <w:r>
              <w:rPr>
                <w:rFonts w:hint="default" w:ascii="Times New Roman" w:hAnsi="Times New Roman" w:cs="Times New Roman"/>
                <w:color w:val="auto"/>
              </w:rPr>
              <w:t>2</w:t>
            </w:r>
          </w:p>
        </w:tc>
        <w:tc>
          <w:tcPr>
            <w:tcW w:w="712" w:type="pct"/>
            <w:vAlign w:val="center"/>
          </w:tcPr>
          <w:p w14:paraId="314B2E35">
            <w:pPr>
              <w:pStyle w:val="44"/>
              <w:bidi w:val="0"/>
              <w:rPr>
                <w:rFonts w:hint="default" w:ascii="Times New Roman" w:hAnsi="Times New Roman" w:cs="Times New Roman"/>
                <w:color w:val="auto"/>
              </w:rPr>
            </w:pPr>
            <w:r>
              <w:rPr>
                <w:rFonts w:hint="default" w:ascii="Times New Roman" w:hAnsi="Times New Roman" w:cs="Times New Roman"/>
                <w:color w:val="auto"/>
              </w:rPr>
              <w:t>重金属</w:t>
            </w:r>
          </w:p>
        </w:tc>
      </w:tr>
      <w:tr w14:paraId="2ED67A3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 w:hRule="atLeast"/>
          <w:jc w:val="center"/>
        </w:trPr>
        <w:tc>
          <w:tcPr>
            <w:tcW w:w="711" w:type="pct"/>
            <w:vMerge w:val="continue"/>
            <w:vAlign w:val="center"/>
          </w:tcPr>
          <w:p w14:paraId="1142095E">
            <w:pPr>
              <w:pStyle w:val="44"/>
              <w:bidi w:val="0"/>
              <w:rPr>
                <w:rFonts w:hint="default" w:ascii="Times New Roman" w:hAnsi="Times New Roman" w:cs="Times New Roman"/>
                <w:color w:val="auto"/>
              </w:rPr>
            </w:pPr>
          </w:p>
        </w:tc>
        <w:tc>
          <w:tcPr>
            <w:tcW w:w="715" w:type="pct"/>
            <w:vAlign w:val="center"/>
          </w:tcPr>
          <w:p w14:paraId="51A0F147">
            <w:pPr>
              <w:pStyle w:val="44"/>
              <w:bidi w:val="0"/>
              <w:rPr>
                <w:rFonts w:hint="default" w:ascii="Times New Roman" w:hAnsi="Times New Roman" w:cs="Times New Roman"/>
                <w:color w:val="auto"/>
              </w:rPr>
            </w:pPr>
            <w:r>
              <w:rPr>
                <w:rFonts w:hint="default" w:ascii="Times New Roman" w:hAnsi="Times New Roman" w:cs="Times New Roman"/>
                <w:color w:val="auto"/>
              </w:rPr>
              <w:t>铬</w:t>
            </w:r>
          </w:p>
        </w:tc>
        <w:tc>
          <w:tcPr>
            <w:tcW w:w="715" w:type="pct"/>
            <w:vAlign w:val="center"/>
          </w:tcPr>
          <w:p w14:paraId="44D33FEB">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0.028</w:t>
            </w:r>
          </w:p>
        </w:tc>
        <w:tc>
          <w:tcPr>
            <w:tcW w:w="715" w:type="pct"/>
            <w:vAlign w:val="center"/>
          </w:tcPr>
          <w:p w14:paraId="1A923C20">
            <w:pPr>
              <w:pStyle w:val="44"/>
              <w:bidi w:val="0"/>
              <w:rPr>
                <w:rFonts w:hint="default" w:ascii="Times New Roman" w:hAnsi="Times New Roman" w:cs="Times New Roman"/>
                <w:color w:val="auto"/>
              </w:rPr>
            </w:pPr>
            <w:r>
              <w:rPr>
                <w:rFonts w:hint="default" w:ascii="Times New Roman" w:hAnsi="Times New Roman" w:cs="Times New Roman"/>
                <w:color w:val="auto"/>
              </w:rPr>
              <w:t>0.05</w:t>
            </w:r>
          </w:p>
        </w:tc>
        <w:tc>
          <w:tcPr>
            <w:tcW w:w="715" w:type="pct"/>
            <w:vAlign w:val="center"/>
          </w:tcPr>
          <w:p w14:paraId="48F8885B">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0.56</w:t>
            </w:r>
          </w:p>
        </w:tc>
        <w:tc>
          <w:tcPr>
            <w:tcW w:w="715" w:type="pct"/>
            <w:vAlign w:val="center"/>
          </w:tcPr>
          <w:p w14:paraId="57993256">
            <w:pPr>
              <w:pStyle w:val="44"/>
              <w:bidi w:val="0"/>
              <w:rPr>
                <w:rFonts w:hint="default" w:ascii="Times New Roman" w:hAnsi="Times New Roman" w:cs="Times New Roman"/>
                <w:color w:val="auto"/>
              </w:rPr>
            </w:pPr>
            <w:r>
              <w:rPr>
                <w:rFonts w:hint="default" w:ascii="Times New Roman" w:hAnsi="Times New Roman" w:cs="Times New Roman"/>
                <w:color w:val="auto"/>
              </w:rPr>
              <w:t>1</w:t>
            </w:r>
          </w:p>
        </w:tc>
        <w:tc>
          <w:tcPr>
            <w:tcW w:w="712" w:type="pct"/>
            <w:vAlign w:val="center"/>
          </w:tcPr>
          <w:p w14:paraId="4F478C14">
            <w:pPr>
              <w:pStyle w:val="44"/>
              <w:bidi w:val="0"/>
              <w:rPr>
                <w:rFonts w:hint="default" w:ascii="Times New Roman" w:hAnsi="Times New Roman" w:cs="Times New Roman"/>
                <w:color w:val="auto"/>
              </w:rPr>
            </w:pPr>
            <w:r>
              <w:rPr>
                <w:rFonts w:hint="default" w:ascii="Times New Roman" w:hAnsi="Times New Roman" w:cs="Times New Roman"/>
                <w:color w:val="auto"/>
              </w:rPr>
              <w:t>重金属</w:t>
            </w:r>
          </w:p>
        </w:tc>
      </w:tr>
    </w:tbl>
    <w:p w14:paraId="09B45EB3">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表5-</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12</w:t>
      </w:r>
      <w:r>
        <w:rPr>
          <w:rFonts w:hint="default" w:ascii="Times New Roman" w:hAnsi="Times New Roman" w:cs="Times New Roman"/>
          <w:color w:val="auto"/>
          <w:highlight w:val="none"/>
        </w:rPr>
        <w:t>淋溶水污染特征因子标准指数计算结果表</w:t>
      </w:r>
    </w:p>
    <w:tbl>
      <w:tblPr>
        <w:tblStyle w:val="20"/>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069"/>
        <w:gridCol w:w="1470"/>
        <w:gridCol w:w="1563"/>
        <w:gridCol w:w="1287"/>
        <w:gridCol w:w="1787"/>
        <w:gridCol w:w="1343"/>
      </w:tblGrid>
      <w:tr w14:paraId="7DFD2B0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785" w:hRule="atLeast"/>
          <w:jc w:val="center"/>
        </w:trPr>
        <w:tc>
          <w:tcPr>
            <w:tcW w:w="627" w:type="pct"/>
            <w:tcBorders>
              <w:tl2br w:val="nil"/>
              <w:tr2bl w:val="nil"/>
            </w:tcBorders>
            <w:shd w:val="clear" w:color="auto" w:fill="auto"/>
            <w:vAlign w:val="center"/>
          </w:tcPr>
          <w:p w14:paraId="35A6BA39">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序号</w:t>
            </w:r>
          </w:p>
        </w:tc>
        <w:tc>
          <w:tcPr>
            <w:tcW w:w="862" w:type="pct"/>
            <w:tcBorders>
              <w:tl2br w:val="nil"/>
              <w:tr2bl w:val="nil"/>
            </w:tcBorders>
            <w:shd w:val="clear" w:color="auto" w:fill="auto"/>
            <w:vAlign w:val="center"/>
          </w:tcPr>
          <w:p w14:paraId="102CC525">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污染物</w:t>
            </w:r>
          </w:p>
        </w:tc>
        <w:tc>
          <w:tcPr>
            <w:tcW w:w="917" w:type="pct"/>
            <w:tcBorders>
              <w:tl2br w:val="nil"/>
              <w:tr2bl w:val="nil"/>
            </w:tcBorders>
            <w:shd w:val="clear" w:color="auto" w:fill="auto"/>
            <w:vAlign w:val="center"/>
          </w:tcPr>
          <w:p w14:paraId="0402557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渗漏面积m</w:t>
            </w:r>
            <w:r>
              <w:rPr>
                <w:rFonts w:hint="default" w:ascii="Times New Roman" w:hAnsi="Times New Roman" w:cs="Times New Roman"/>
                <w:color w:val="auto"/>
                <w:highlight w:val="none"/>
                <w:vertAlign w:val="superscript"/>
                <w:lang w:val="en-US" w:eastAsia="zh-CN"/>
              </w:rPr>
              <w:t>2</w:t>
            </w:r>
          </w:p>
        </w:tc>
        <w:tc>
          <w:tcPr>
            <w:tcW w:w="755" w:type="pct"/>
            <w:tcBorders>
              <w:tl2br w:val="nil"/>
              <w:tr2bl w:val="nil"/>
            </w:tcBorders>
            <w:shd w:val="clear" w:color="auto" w:fill="auto"/>
            <w:vAlign w:val="center"/>
          </w:tcPr>
          <w:p w14:paraId="64EADB5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渗漏强度m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/d</w:t>
            </w:r>
          </w:p>
        </w:tc>
        <w:tc>
          <w:tcPr>
            <w:tcW w:w="1048" w:type="pct"/>
            <w:tcBorders>
              <w:tl2br w:val="nil"/>
              <w:tr2bl w:val="nil"/>
            </w:tcBorders>
            <w:shd w:val="clear" w:color="auto" w:fill="auto"/>
            <w:vAlign w:val="center"/>
          </w:tcPr>
          <w:p w14:paraId="4997D536">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污染物浓度</w:t>
            </w:r>
          </w:p>
          <w:p w14:paraId="0EE046ED">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mg/L</w:t>
            </w:r>
          </w:p>
        </w:tc>
        <w:tc>
          <w:tcPr>
            <w:tcW w:w="788" w:type="pct"/>
            <w:tcBorders>
              <w:tl2br w:val="nil"/>
              <w:tr2bl w:val="nil"/>
            </w:tcBorders>
            <w:shd w:val="clear" w:color="auto" w:fill="auto"/>
            <w:vAlign w:val="center"/>
          </w:tcPr>
          <w:p w14:paraId="2ED71F6F">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污染物质量</w:t>
            </w:r>
          </w:p>
          <w:p w14:paraId="437F924E">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g/d</w:t>
            </w:r>
          </w:p>
        </w:tc>
      </w:tr>
      <w:tr w14:paraId="23FB779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27" w:hRule="atLeast"/>
          <w:jc w:val="center"/>
        </w:trPr>
        <w:tc>
          <w:tcPr>
            <w:tcW w:w="627" w:type="pct"/>
            <w:tcBorders>
              <w:tl2br w:val="nil"/>
              <w:tr2bl w:val="nil"/>
            </w:tcBorders>
            <w:shd w:val="clear" w:color="auto" w:fill="auto"/>
            <w:vAlign w:val="center"/>
          </w:tcPr>
          <w:p w14:paraId="63B6A8F4">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862" w:type="pct"/>
            <w:tcBorders>
              <w:tl2br w:val="nil"/>
              <w:tr2bl w:val="nil"/>
            </w:tcBorders>
            <w:shd w:val="clear" w:color="auto" w:fill="auto"/>
            <w:vAlign w:val="center"/>
          </w:tcPr>
          <w:p w14:paraId="770E4298">
            <w:pPr>
              <w:pStyle w:val="44"/>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COD</w:t>
            </w:r>
          </w:p>
        </w:tc>
        <w:tc>
          <w:tcPr>
            <w:tcW w:w="917" w:type="pct"/>
            <w:tcBorders>
              <w:tl2br w:val="nil"/>
              <w:tr2bl w:val="nil"/>
            </w:tcBorders>
            <w:shd w:val="clear" w:color="auto" w:fill="auto"/>
            <w:vAlign w:val="center"/>
          </w:tcPr>
          <w:p w14:paraId="26FEE4A7">
            <w:pPr>
              <w:pStyle w:val="44"/>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3801</w:t>
            </w:r>
          </w:p>
        </w:tc>
        <w:tc>
          <w:tcPr>
            <w:tcW w:w="755" w:type="pct"/>
            <w:tcBorders>
              <w:tl2br w:val="nil"/>
              <w:tr2bl w:val="nil"/>
            </w:tcBorders>
            <w:shd w:val="clear" w:color="auto" w:fill="auto"/>
            <w:vAlign w:val="center"/>
          </w:tcPr>
          <w:p w14:paraId="4482A1B1">
            <w:pPr>
              <w:pStyle w:val="44"/>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0.016</w:t>
            </w:r>
          </w:p>
        </w:tc>
        <w:tc>
          <w:tcPr>
            <w:tcW w:w="1048" w:type="pct"/>
            <w:tcBorders>
              <w:tl2br w:val="nil"/>
              <w:tr2bl w:val="nil"/>
            </w:tcBorders>
            <w:shd w:val="clear" w:color="auto" w:fill="auto"/>
            <w:vAlign w:val="center"/>
          </w:tcPr>
          <w:p w14:paraId="55EC5E7E">
            <w:pPr>
              <w:pStyle w:val="44"/>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96</w:t>
            </w:r>
          </w:p>
        </w:tc>
        <w:tc>
          <w:tcPr>
            <w:tcW w:w="788" w:type="pct"/>
            <w:tcBorders>
              <w:tl2br w:val="nil"/>
              <w:tr2bl w:val="nil"/>
            </w:tcBorders>
            <w:shd w:val="clear" w:color="auto" w:fill="auto"/>
            <w:vAlign w:val="center"/>
          </w:tcPr>
          <w:p w14:paraId="1E28CE93">
            <w:pPr>
              <w:pStyle w:val="44"/>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5838.336</w:t>
            </w:r>
          </w:p>
        </w:tc>
      </w:tr>
      <w:tr w14:paraId="2953923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27" w:hRule="atLeast"/>
          <w:jc w:val="center"/>
        </w:trPr>
        <w:tc>
          <w:tcPr>
            <w:tcW w:w="627" w:type="pct"/>
            <w:tcBorders>
              <w:tl2br w:val="nil"/>
              <w:tr2bl w:val="nil"/>
            </w:tcBorders>
            <w:shd w:val="clear" w:color="auto" w:fill="auto"/>
            <w:vAlign w:val="center"/>
          </w:tcPr>
          <w:p w14:paraId="128E1B96">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862" w:type="pct"/>
            <w:tcBorders>
              <w:tl2br w:val="nil"/>
              <w:tr2bl w:val="nil"/>
            </w:tcBorders>
            <w:shd w:val="clear" w:color="auto" w:fill="auto"/>
            <w:vAlign w:val="center"/>
          </w:tcPr>
          <w:p w14:paraId="06BE2491">
            <w:pPr>
              <w:pStyle w:val="44"/>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六价铬</w:t>
            </w:r>
          </w:p>
        </w:tc>
        <w:tc>
          <w:tcPr>
            <w:tcW w:w="917" w:type="pct"/>
            <w:tcBorders>
              <w:tl2br w:val="nil"/>
              <w:tr2bl w:val="nil"/>
            </w:tcBorders>
            <w:shd w:val="clear" w:color="auto" w:fill="auto"/>
            <w:vAlign w:val="center"/>
          </w:tcPr>
          <w:p w14:paraId="09BDD7DF">
            <w:pPr>
              <w:pStyle w:val="44"/>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3801</w:t>
            </w:r>
          </w:p>
        </w:tc>
        <w:tc>
          <w:tcPr>
            <w:tcW w:w="755" w:type="pct"/>
            <w:tcBorders>
              <w:tl2br w:val="nil"/>
              <w:tr2bl w:val="nil"/>
            </w:tcBorders>
            <w:shd w:val="clear" w:color="auto" w:fill="auto"/>
            <w:vAlign w:val="center"/>
          </w:tcPr>
          <w:p w14:paraId="77D8DE1A">
            <w:pPr>
              <w:pStyle w:val="44"/>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0.016</w:t>
            </w:r>
          </w:p>
        </w:tc>
        <w:tc>
          <w:tcPr>
            <w:tcW w:w="1048" w:type="pct"/>
            <w:tcBorders>
              <w:tl2br w:val="nil"/>
              <w:tr2bl w:val="nil"/>
            </w:tcBorders>
            <w:shd w:val="clear" w:color="auto" w:fill="auto"/>
            <w:vAlign w:val="center"/>
          </w:tcPr>
          <w:p w14:paraId="5D9E2EA0">
            <w:pPr>
              <w:pStyle w:val="44"/>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0.028</w:t>
            </w:r>
          </w:p>
        </w:tc>
        <w:tc>
          <w:tcPr>
            <w:tcW w:w="788" w:type="pct"/>
            <w:tcBorders>
              <w:tl2br w:val="nil"/>
              <w:tr2bl w:val="nil"/>
            </w:tcBorders>
            <w:shd w:val="clear" w:color="auto" w:fill="auto"/>
            <w:vAlign w:val="center"/>
          </w:tcPr>
          <w:p w14:paraId="152C0AEE">
            <w:pPr>
              <w:pStyle w:val="44"/>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1.702848</w:t>
            </w:r>
          </w:p>
        </w:tc>
      </w:tr>
    </w:tbl>
    <w:p w14:paraId="57C770C6">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根据上表，本次预测分别选取</w:t>
      </w:r>
      <w:r>
        <w:rPr>
          <w:rFonts w:hint="default" w:ascii="Times New Roman" w:hAnsi="Times New Roman" w:cs="Times New Roman"/>
          <w:color w:val="auto"/>
          <w:highlight w:val="none"/>
          <w:lang w:val="en-US" w:eastAsia="zh-CN"/>
        </w:rPr>
        <w:t>六价铬</w:t>
      </w:r>
      <w:r>
        <w:rPr>
          <w:rFonts w:hint="default" w:ascii="Times New Roman" w:hAnsi="Times New Roman" w:cs="Times New Roman"/>
          <w:color w:val="auto"/>
          <w:highlight w:val="none"/>
        </w:rPr>
        <w:t>铬、</w:t>
      </w:r>
      <w:r>
        <w:rPr>
          <w:rFonts w:hint="default" w:ascii="Times New Roman" w:hAnsi="Times New Roman" w:cs="Times New Roman"/>
          <w:color w:val="auto"/>
          <w:highlight w:val="none"/>
          <w:lang w:val="en-US" w:eastAsia="zh-CN"/>
        </w:rPr>
        <w:t>COD</w:t>
      </w:r>
      <w:r>
        <w:rPr>
          <w:rFonts w:hint="default" w:ascii="Times New Roman" w:hAnsi="Times New Roman" w:cs="Times New Roman"/>
          <w:color w:val="auto"/>
          <w:highlight w:val="none"/>
        </w:rPr>
        <w:t>作为预测因子。</w:t>
      </w:r>
    </w:p>
    <w:p w14:paraId="763D60E2">
      <w:pPr>
        <w:pStyle w:val="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5.1.7.5评价标准</w:t>
      </w:r>
    </w:p>
    <w:p w14:paraId="61911D7B">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铬的评价标准按照《地下水质量标准》（GB/T14848-2017）Ш类标准（铬</w:t>
      </w:r>
      <w:r>
        <w:rPr>
          <w:rFonts w:hint="default" w:ascii="Times New Roman" w:hAnsi="Times New Roman" w:cs="Times New Roman"/>
          <w:color w:val="auto"/>
          <w:highlight w:val="none"/>
          <w:lang w:val="en-US" w:eastAsia="zh-CN"/>
        </w:rPr>
        <w:t>(六价)</w:t>
      </w:r>
      <w:r>
        <w:rPr>
          <w:rFonts w:hint="default" w:ascii="Times New Roman" w:hAnsi="Times New Roman" w:cs="Times New Roman"/>
          <w:color w:val="auto"/>
          <w:highlight w:val="none"/>
        </w:rPr>
        <w:t>≤0.05mg/L），</w:t>
      </w:r>
      <w:r>
        <w:rPr>
          <w:rFonts w:hint="default" w:ascii="Times New Roman" w:hAnsi="Times New Roman" w:cs="Times New Roman"/>
          <w:color w:val="auto"/>
          <w:highlight w:val="none"/>
          <w:lang w:val="en-US" w:eastAsia="zh-CN"/>
        </w:rPr>
        <w:t>COD</w:t>
      </w:r>
      <w:r>
        <w:rPr>
          <w:rFonts w:hint="default" w:ascii="Times New Roman" w:hAnsi="Times New Roman" w:cs="Times New Roman"/>
          <w:color w:val="auto"/>
          <w:highlight w:val="none"/>
        </w:rPr>
        <w:t>类参照《地表水环境质量标准》（GB3838-2002）（</w:t>
      </w:r>
      <w:r>
        <w:rPr>
          <w:rFonts w:hint="default" w:ascii="Times New Roman" w:hAnsi="Times New Roman" w:cs="Times New Roman"/>
          <w:color w:val="auto"/>
          <w:highlight w:val="none"/>
          <w:lang w:val="en-US" w:eastAsia="zh-CN"/>
        </w:rPr>
        <w:t>COD</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20</w:t>
      </w:r>
      <w:r>
        <w:rPr>
          <w:rFonts w:hint="default" w:ascii="Times New Roman" w:hAnsi="Times New Roman" w:cs="Times New Roman"/>
          <w:color w:val="auto"/>
          <w:highlight w:val="none"/>
        </w:rPr>
        <w:t>mg/L）。</w:t>
      </w:r>
    </w:p>
    <w:p w14:paraId="0B2236B8">
      <w:pPr>
        <w:pStyle w:val="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5.1.7.6预测模式</w:t>
      </w:r>
    </w:p>
    <w:p w14:paraId="6380CAC2">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1）预测模型</w:t>
      </w:r>
    </w:p>
    <w:p w14:paraId="55FC29B8">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根据《环境影响评价技术导则 地下水环境》（HJ610-2016）要求，地下水环境影响评价三级评价预测方法可以选用解析法。根据本项目地下水的污染特性选用一维预测模型，公式如下。</w:t>
      </w:r>
    </w:p>
    <w:p w14:paraId="0CE23F70">
      <w:pPr>
        <w:pStyle w:val="25"/>
        <w:spacing w:line="240" w:lineRule="auto"/>
        <w:ind w:firstLine="48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0" distR="0">
            <wp:extent cx="3219450" cy="752475"/>
            <wp:effectExtent l="0" t="0" r="0" b="952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a:xfrm>
                      <a:off x="0" y="0"/>
                      <a:ext cx="3219450" cy="752475"/>
                    </a:xfrm>
                    <a:prstGeom prst="rect">
                      <a:avLst/>
                    </a:prstGeom>
                    <a:noFill/>
                    <a:ln>
                      <a:noFill/>
                    </a:ln>
                  </pic:spPr>
                </pic:pic>
              </a:graphicData>
            </a:graphic>
          </wp:inline>
        </w:drawing>
      </w:r>
    </w:p>
    <w:p w14:paraId="7ACCAB75">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式中：x—距注入点的距离，m；</w:t>
      </w:r>
    </w:p>
    <w:p w14:paraId="224943B5">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t—时间，d；</w:t>
      </w:r>
    </w:p>
    <w:p w14:paraId="7FFCA6B3">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C（x,t）—t时刻点x处的示踪剂浓度，g/L；</w:t>
      </w:r>
    </w:p>
    <w:p w14:paraId="41B5B5FE">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C</w:t>
      </w:r>
      <w:r>
        <w:rPr>
          <w:rFonts w:hint="default" w:ascii="Times New Roman" w:hAnsi="Times New Roman" w:cs="Times New Roman"/>
          <w:color w:val="auto"/>
          <w:highlight w:val="none"/>
          <w:vertAlign w:val="subscript"/>
        </w:rPr>
        <w:t>0</w:t>
      </w:r>
      <w:r>
        <w:rPr>
          <w:rFonts w:hint="default" w:ascii="Times New Roman" w:hAnsi="Times New Roman" w:cs="Times New Roman"/>
          <w:color w:val="auto"/>
          <w:highlight w:val="none"/>
        </w:rPr>
        <w:t>—注入示踪剂浓度，g/L；</w:t>
      </w:r>
    </w:p>
    <w:p w14:paraId="27DBD025">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u—水流速度，m/d；</w:t>
      </w:r>
    </w:p>
    <w:p w14:paraId="19153DD8">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mc:AlternateContent>
          <mc:Choice Requires="wps">
            <w:drawing>
              <wp:anchor distT="0" distB="0" distL="114300" distR="114300" simplePos="0" relativeHeight="251677696" behindDoc="1" locked="0" layoutInCell="1" allowOverlap="1">
                <wp:simplePos x="0" y="0"/>
                <wp:positionH relativeFrom="page">
                  <wp:posOffset>1970405</wp:posOffset>
                </wp:positionH>
                <wp:positionV relativeFrom="paragraph">
                  <wp:posOffset>159385</wp:posOffset>
                </wp:positionV>
                <wp:extent cx="38100" cy="76200"/>
                <wp:effectExtent l="0" t="0" r="0" b="0"/>
                <wp:wrapNone/>
                <wp:docPr id="81" name="文本框 81"/>
                <wp:cNvGraphicFramePr/>
                <a:graphic xmlns:a="http://schemas.openxmlformats.org/drawingml/2006/main">
                  <a:graphicData uri="http://schemas.microsoft.com/office/word/2010/wordprocessingShape">
                    <wps:wsp>
                      <wps:cNvSpPr txBox="1"/>
                      <wps:spPr>
                        <a:xfrm>
                          <a:off x="0" y="0"/>
                          <a:ext cx="38100" cy="76200"/>
                        </a:xfrm>
                        <a:prstGeom prst="rect">
                          <a:avLst/>
                        </a:prstGeom>
                        <a:noFill/>
                        <a:ln>
                          <a:noFill/>
                        </a:ln>
                      </wps:spPr>
                      <wps:txbx>
                        <w:txbxContent>
                          <w:p w14:paraId="655A2CC7">
                            <w:pPr>
                              <w:spacing w:line="120" w:lineRule="exact"/>
                              <w:ind w:firstLine="240"/>
                              <w:rPr>
                                <w:rFonts w:hint="eastAsia" w:ascii="宋体" w:hAnsi="宋体" w:cs="宋体"/>
                                <w:sz w:val="12"/>
                                <w:szCs w:val="12"/>
                              </w:rPr>
                            </w:pPr>
                            <w:r>
                              <w:rPr>
                                <w:rFonts w:hint="eastAsia" w:ascii="宋体"/>
                                <w:sz w:val="12"/>
                              </w:rPr>
                              <w:t>L</w:t>
                            </w:r>
                          </w:p>
                        </w:txbxContent>
                      </wps:txbx>
                      <wps:bodyPr lIns="0" tIns="0" rIns="0" bIns="0" upright="1"/>
                    </wps:wsp>
                  </a:graphicData>
                </a:graphic>
              </wp:anchor>
            </w:drawing>
          </mc:Choice>
          <mc:Fallback>
            <w:pict>
              <v:shape id="_x0000_s1026" o:spid="_x0000_s1026" o:spt="202" type="#_x0000_t202" style="position:absolute;left:0pt;margin-left:155.15pt;margin-top:12.55pt;height:6pt;width:3pt;mso-position-horizontal-relative:page;z-index:-251638784;mso-width-relative:page;mso-height-relative:page;" filled="f" stroked="f" coordsize="21600,21600" o:gfxdata="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RmvIjdcAAAAJAQAADwAAAAAAAAABACAAAAAiAAAAZHJzL2Rvd25yZXYueG1sUEsBAhQAFAAA&#10;AAgAh07iQNB2ApK3AQAAcQMAAA4AAAAAAAAAAQAgAAAAJgEAAGRycy9lMm9Eb2MueG1sUEsFBgAA&#10;AAAGAAYAWQEAAE8FAAAAAA==&#10;">
                <v:fill on="f" focussize="0,0"/>
                <v:stroke on="f"/>
                <v:imagedata o:title=""/>
                <o:lock v:ext="edit" aspectratio="f"/>
                <v:textbox inset="0mm,0mm,0mm,0mm">
                  <w:txbxContent>
                    <w:p w14:paraId="655A2CC7">
                      <w:pPr>
                        <w:spacing w:line="120" w:lineRule="exact"/>
                        <w:ind w:firstLine="240"/>
                        <w:rPr>
                          <w:rFonts w:hint="eastAsia" w:ascii="宋体" w:hAnsi="宋体" w:cs="宋体"/>
                          <w:sz w:val="12"/>
                          <w:szCs w:val="12"/>
                        </w:rPr>
                      </w:pPr>
                      <w:r>
                        <w:rPr>
                          <w:rFonts w:hint="eastAsia" w:ascii="宋体"/>
                          <w:sz w:val="12"/>
                        </w:rPr>
                        <w:t>L</w:t>
                      </w:r>
                    </w:p>
                  </w:txbxContent>
                </v:textbox>
              </v:shape>
            </w:pict>
          </mc:Fallback>
        </mc:AlternateContent>
      </w:r>
      <w:r>
        <w:rPr>
          <w:rFonts w:hint="default" w:ascii="Times New Roman" w:hAnsi="Times New Roman" w:cs="Times New Roman"/>
          <w:color w:val="auto"/>
          <w:highlight w:val="none"/>
        </w:rPr>
        <w:t>D—纵向弥散系数，m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/d；</w:t>
      </w:r>
    </w:p>
    <w:p w14:paraId="3DC6F27D">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erfc（）—余差数函数；</w:t>
      </w:r>
    </w:p>
    <w:p w14:paraId="14D1086A">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2）模式中参数的确定</w:t>
      </w:r>
    </w:p>
    <w:p w14:paraId="38E9D6C1">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水流速度（u）：根据达西定律u=含水层渗透系数×地下水水力坡度，</w:t>
      </w:r>
      <w:r>
        <w:rPr>
          <w:rFonts w:hint="default" w:ascii="Times New Roman" w:hAnsi="Times New Roman" w:cs="Times New Roman"/>
          <w:color w:val="auto"/>
          <w:highlight w:val="none"/>
          <w:lang w:val="en-US" w:eastAsia="zh-CN"/>
        </w:rPr>
        <w:t>本项目</w:t>
      </w:r>
      <w:r>
        <w:rPr>
          <w:rFonts w:hint="default" w:ascii="Times New Roman" w:hAnsi="Times New Roman" w:eastAsia="宋体" w:cs="Times New Roman"/>
          <w:color w:val="auto"/>
          <w:sz w:val="24"/>
          <w:szCs w:val="24"/>
          <w:highlight w:val="none"/>
        </w:rPr>
        <w:t>渗透系数</w:t>
      </w:r>
      <w:r>
        <w:rPr>
          <w:rFonts w:hint="default" w:ascii="Times New Roman" w:hAnsi="Times New Roman" w:eastAsia="宋体" w:cs="Times New Roman"/>
          <w:color w:val="auto"/>
          <w:sz w:val="24"/>
          <w:szCs w:val="24"/>
          <w:highlight w:val="none"/>
          <w:lang w:val="en-US" w:eastAsia="zh-CN"/>
        </w:rPr>
        <w:t>由</w:t>
      </w:r>
      <w:r>
        <w:rPr>
          <w:rFonts w:hint="default" w:ascii="Times New Roman" w:hAnsi="Times New Roman" w:cs="Times New Roman"/>
          <w:color w:val="auto"/>
          <w:sz w:val="24"/>
          <w:szCs w:val="24"/>
          <w:highlight w:val="none"/>
          <w:lang w:val="en-US" w:eastAsia="zh-CN"/>
        </w:rPr>
        <w:t>《鸡西市城子河区历史遗留矿山生态修复项目2#项目区采坑区压水试验总结》（黑龙江省卓阳勘测有限公司2023.9））</w:t>
      </w:r>
      <w:r>
        <w:rPr>
          <w:rFonts w:hint="default" w:ascii="Times New Roman" w:hAnsi="Times New Roman" w:eastAsia="宋体" w:cs="Times New Roman"/>
          <w:color w:val="auto"/>
          <w:sz w:val="24"/>
          <w:szCs w:val="24"/>
          <w:highlight w:val="none"/>
          <w:lang w:val="en-US" w:eastAsia="zh-CN"/>
        </w:rPr>
        <w:t>确定，</w:t>
      </w:r>
      <w:r>
        <w:rPr>
          <w:rFonts w:hint="default" w:ascii="Times New Roman" w:hAnsi="Times New Roman" w:cs="Times New Roman"/>
          <w:color w:val="auto"/>
          <w:sz w:val="24"/>
          <w:szCs w:val="24"/>
          <w:highlight w:val="none"/>
          <w:lang w:val="en-US" w:eastAsia="zh-CN"/>
        </w:rPr>
        <w:t>3.2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10</w:t>
      </w:r>
      <w:r>
        <w:rPr>
          <w:rFonts w:hint="default" w:ascii="Times New Roman" w:hAnsi="Times New Roman" w:eastAsia="宋体" w:cs="Times New Roman"/>
          <w:color w:val="auto"/>
          <w:sz w:val="24"/>
          <w:szCs w:val="24"/>
          <w:highlight w:val="none"/>
          <w:vertAlign w:val="superscript"/>
          <w:lang w:val="en-US" w:eastAsia="zh-CN"/>
        </w:rPr>
        <w:t>-</w:t>
      </w:r>
      <w:r>
        <w:rPr>
          <w:rFonts w:hint="default" w:ascii="Times New Roman" w:hAnsi="Times New Roman" w:cs="Times New Roman"/>
          <w:color w:val="auto"/>
          <w:sz w:val="24"/>
          <w:szCs w:val="24"/>
          <w:highlight w:val="none"/>
          <w:vertAlign w:val="superscript"/>
          <w:lang w:val="en-US" w:eastAsia="zh-CN"/>
        </w:rPr>
        <w:t>6</w:t>
      </w:r>
      <w:r>
        <w:rPr>
          <w:rFonts w:hint="default" w:ascii="Times New Roman" w:hAnsi="Times New Roman" w:eastAsia="宋体" w:cs="Times New Roman"/>
          <w:color w:val="auto"/>
          <w:sz w:val="24"/>
          <w:szCs w:val="24"/>
          <w:highlight w:val="none"/>
          <w:lang w:val="en-US" w:eastAsia="zh-CN"/>
        </w:rPr>
        <w:t>cm/</w:t>
      </w:r>
      <w:r>
        <w:rPr>
          <w:rFonts w:hint="default" w:ascii="Times New Roman" w:hAnsi="Times New Roman" w:cs="Times New Roman"/>
          <w:color w:val="auto"/>
          <w:sz w:val="24"/>
          <w:szCs w:val="24"/>
          <w:highlight w:val="none"/>
          <w:lang w:val="en-US" w:eastAsia="zh-CN"/>
        </w:rPr>
        <w:t>d</w:t>
      </w:r>
      <w:r>
        <w:rPr>
          <w:rFonts w:hint="default" w:ascii="Times New Roman" w:hAnsi="Times New Roman" w:cs="Times New Roman"/>
          <w:color w:val="auto"/>
          <w:highlight w:val="none"/>
        </w:rPr>
        <w:t>，水力坡度I=0.0158，所以u=</w:t>
      </w:r>
      <w:r>
        <w:rPr>
          <w:rFonts w:hint="default" w:ascii="Times New Roman" w:hAnsi="Times New Roman" w:cs="Times New Roman"/>
          <w:color w:val="auto"/>
          <w:highlight w:val="none"/>
          <w:lang w:val="en-US" w:eastAsia="zh-CN"/>
        </w:rPr>
        <w:t>0.0000442</w:t>
      </w:r>
      <w:r>
        <w:rPr>
          <w:rFonts w:hint="default" w:ascii="Times New Roman" w:hAnsi="Times New Roman" w:cs="Times New Roman"/>
          <w:color w:val="auto"/>
          <w:highlight w:val="none"/>
        </w:rPr>
        <w:t>m/d。</w:t>
      </w:r>
    </w:p>
    <w:p w14:paraId="40F78010">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有效孔隙度（n）：根据资料选取，0.3。</w:t>
      </w:r>
    </w:p>
    <w:p w14:paraId="29BDE20A">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弥散系数：纵横弥散系数根据含水层岩性及渗透系数、水力坡度等因素，本项目参考《海岸工程》第17卷第3期－地下水弥散系数的测定中的弥散系数参考表，具体见下表。</w:t>
      </w:r>
    </w:p>
    <w:p w14:paraId="2064A01B">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表5-</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13</w:t>
      </w:r>
      <w:r>
        <w:rPr>
          <w:rFonts w:hint="default" w:ascii="Times New Roman" w:hAnsi="Times New Roman" w:cs="Times New Roman"/>
          <w:color w:val="auto"/>
          <w:highlight w:val="none"/>
        </w:rPr>
        <w:t xml:space="preserve">弥散系数参考表 </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1108"/>
        <w:gridCol w:w="1937"/>
        <w:gridCol w:w="2527"/>
        <w:gridCol w:w="2734"/>
      </w:tblGrid>
      <w:tr w14:paraId="162CD7A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jc w:val="center"/>
        </w:trPr>
        <w:tc>
          <w:tcPr>
            <w:tcW w:w="667" w:type="pct"/>
            <w:vMerge w:val="restart"/>
            <w:vAlign w:val="center"/>
          </w:tcPr>
          <w:p w14:paraId="511DB27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国内外经验系数</w:t>
            </w:r>
          </w:p>
        </w:tc>
        <w:tc>
          <w:tcPr>
            <w:tcW w:w="1166" w:type="pct"/>
            <w:vAlign w:val="center"/>
          </w:tcPr>
          <w:p w14:paraId="683C091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含水层类型</w:t>
            </w:r>
          </w:p>
        </w:tc>
        <w:tc>
          <w:tcPr>
            <w:tcW w:w="1521" w:type="pct"/>
            <w:vAlign w:val="center"/>
          </w:tcPr>
          <w:p w14:paraId="0CACF1F1">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纵向弥散系数（m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/d）</w:t>
            </w:r>
          </w:p>
        </w:tc>
        <w:tc>
          <w:tcPr>
            <w:tcW w:w="1646" w:type="pct"/>
            <w:vAlign w:val="center"/>
          </w:tcPr>
          <w:p w14:paraId="7A028C3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横向弥散系数（m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/d）</w:t>
            </w:r>
          </w:p>
        </w:tc>
      </w:tr>
      <w:tr w14:paraId="0D6108A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jc w:val="center"/>
        </w:trPr>
        <w:tc>
          <w:tcPr>
            <w:tcW w:w="667" w:type="pct"/>
            <w:vMerge w:val="continue"/>
            <w:vAlign w:val="center"/>
          </w:tcPr>
          <w:p w14:paraId="5C799977">
            <w:pPr>
              <w:pStyle w:val="44"/>
              <w:bidi w:val="0"/>
              <w:rPr>
                <w:rFonts w:hint="default" w:ascii="Times New Roman" w:hAnsi="Times New Roman" w:cs="Times New Roman"/>
                <w:color w:val="auto"/>
                <w:highlight w:val="none"/>
              </w:rPr>
            </w:pPr>
          </w:p>
        </w:tc>
        <w:tc>
          <w:tcPr>
            <w:tcW w:w="1166" w:type="pct"/>
            <w:vAlign w:val="center"/>
          </w:tcPr>
          <w:p w14:paraId="6F41CA7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细砂</w:t>
            </w:r>
          </w:p>
        </w:tc>
        <w:tc>
          <w:tcPr>
            <w:tcW w:w="1521" w:type="pct"/>
            <w:vAlign w:val="center"/>
          </w:tcPr>
          <w:p w14:paraId="1FDBE5F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0.05~0.5</w:t>
            </w:r>
          </w:p>
        </w:tc>
        <w:tc>
          <w:tcPr>
            <w:tcW w:w="1646" w:type="pct"/>
            <w:vAlign w:val="center"/>
          </w:tcPr>
          <w:p w14:paraId="34A27F2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0.005~0.01</w:t>
            </w:r>
          </w:p>
        </w:tc>
      </w:tr>
      <w:tr w14:paraId="3931A12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jc w:val="center"/>
        </w:trPr>
        <w:tc>
          <w:tcPr>
            <w:tcW w:w="667" w:type="pct"/>
            <w:vMerge w:val="continue"/>
            <w:vAlign w:val="center"/>
          </w:tcPr>
          <w:p w14:paraId="5BF72E19">
            <w:pPr>
              <w:pStyle w:val="44"/>
              <w:bidi w:val="0"/>
              <w:rPr>
                <w:rFonts w:hint="default" w:ascii="Times New Roman" w:hAnsi="Times New Roman" w:cs="Times New Roman"/>
                <w:color w:val="auto"/>
                <w:highlight w:val="none"/>
              </w:rPr>
            </w:pPr>
          </w:p>
        </w:tc>
        <w:tc>
          <w:tcPr>
            <w:tcW w:w="1166" w:type="pct"/>
            <w:vAlign w:val="center"/>
          </w:tcPr>
          <w:p w14:paraId="3A816B3B">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中粗砂</w:t>
            </w:r>
          </w:p>
        </w:tc>
        <w:tc>
          <w:tcPr>
            <w:tcW w:w="1521" w:type="pct"/>
            <w:vAlign w:val="center"/>
          </w:tcPr>
          <w:p w14:paraId="73C54DF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0.2~1</w:t>
            </w:r>
          </w:p>
        </w:tc>
        <w:tc>
          <w:tcPr>
            <w:tcW w:w="1646" w:type="pct"/>
            <w:vAlign w:val="center"/>
          </w:tcPr>
          <w:p w14:paraId="24FE074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0.05~0.1</w:t>
            </w:r>
          </w:p>
        </w:tc>
      </w:tr>
      <w:tr w14:paraId="5E92F77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jc w:val="center"/>
        </w:trPr>
        <w:tc>
          <w:tcPr>
            <w:tcW w:w="667" w:type="pct"/>
            <w:vMerge w:val="continue"/>
            <w:vAlign w:val="center"/>
          </w:tcPr>
          <w:p w14:paraId="6F6A8BA6">
            <w:pPr>
              <w:pStyle w:val="44"/>
              <w:bidi w:val="0"/>
              <w:rPr>
                <w:rFonts w:hint="default" w:ascii="Times New Roman" w:hAnsi="Times New Roman" w:cs="Times New Roman"/>
                <w:color w:val="auto"/>
                <w:highlight w:val="none"/>
              </w:rPr>
            </w:pPr>
          </w:p>
        </w:tc>
        <w:tc>
          <w:tcPr>
            <w:tcW w:w="1166" w:type="pct"/>
            <w:vAlign w:val="center"/>
          </w:tcPr>
          <w:p w14:paraId="0C691FE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砂砾</w:t>
            </w:r>
          </w:p>
        </w:tc>
        <w:tc>
          <w:tcPr>
            <w:tcW w:w="1521" w:type="pct"/>
            <w:vAlign w:val="center"/>
          </w:tcPr>
          <w:p w14:paraId="081D051E">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1~5</w:t>
            </w:r>
          </w:p>
        </w:tc>
        <w:tc>
          <w:tcPr>
            <w:tcW w:w="1646" w:type="pct"/>
            <w:vAlign w:val="center"/>
          </w:tcPr>
          <w:p w14:paraId="34954DA3">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0.2~1</w:t>
            </w:r>
          </w:p>
        </w:tc>
      </w:tr>
    </w:tbl>
    <w:p w14:paraId="37853CE4">
      <w:pPr>
        <w:pStyle w:val="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5.1.7.7预测结果</w:t>
      </w:r>
    </w:p>
    <w:p w14:paraId="6724E82B">
      <w:pPr>
        <w:pStyle w:val="25"/>
        <w:numPr>
          <w:ilvl w:val="0"/>
          <w:numId w:val="0"/>
        </w:numPr>
        <w:ind w:left="0" w:leftChars="0" w:firstLine="480" w:firstLineChars="20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最大运移距离：含水层中特征因子在地下水中运移的最远距离，以其检出限计。</w:t>
      </w:r>
    </w:p>
    <w:p w14:paraId="1C1D0ACB">
      <w:pPr>
        <w:pStyle w:val="25"/>
        <w:numPr>
          <w:ilvl w:val="0"/>
          <w:numId w:val="0"/>
        </w:numPr>
        <w:ind w:left="0" w:leftChars="0" w:firstLine="480" w:firstLineChars="20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影响范围：含水层中特征因子超出其检出限值的分布面积。</w:t>
      </w:r>
    </w:p>
    <w:p w14:paraId="72E07FDE">
      <w:pPr>
        <w:pStyle w:val="25"/>
        <w:numPr>
          <w:ilvl w:val="0"/>
          <w:numId w:val="0"/>
        </w:numPr>
        <w:ind w:left="0" w:leftChars="0" w:firstLine="480" w:firstLineChars="20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最大超标距离：含水层中特征因子超过相应标准值的运移距离。</w:t>
      </w:r>
    </w:p>
    <w:p w14:paraId="288FE5F9">
      <w:pPr>
        <w:pStyle w:val="25"/>
        <w:numPr>
          <w:ilvl w:val="0"/>
          <w:numId w:val="0"/>
        </w:numPr>
        <w:ind w:left="0" w:leftChars="0" w:firstLine="480" w:firstLineChars="20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超标范围：含水层中特征因子超过相应标准值的分布面积。</w:t>
      </w:r>
    </w:p>
    <w:p w14:paraId="6431685C">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预测计算结果见下表。</w:t>
      </w:r>
    </w:p>
    <w:p w14:paraId="5918562F">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default" w:ascii="Times New Roman" w:hAnsi="Times New Roman" w:cs="Times New Roman"/>
          <w:color w:val="auto"/>
          <w:highlight w:val="none"/>
          <w:lang w:val="en-US" w:eastAsia="zh-CN"/>
        </w:rPr>
        <w:t>5-1</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14</w:t>
      </w:r>
      <w:r>
        <w:rPr>
          <w:rFonts w:hint="default" w:ascii="Times New Roman" w:hAnsi="Times New Roman" w:cs="Times New Roman"/>
          <w:color w:val="auto"/>
          <w:highlight w:val="none"/>
        </w:rPr>
        <w:t>非正常状况下地下水环境影响范围预测结果</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870"/>
        <w:gridCol w:w="1107"/>
        <w:gridCol w:w="1701"/>
        <w:gridCol w:w="1417"/>
        <w:gridCol w:w="1701"/>
        <w:gridCol w:w="1510"/>
      </w:tblGrid>
      <w:tr w14:paraId="0C8D04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23" w:type="pct"/>
            <w:noWrap w:val="0"/>
            <w:vAlign w:val="center"/>
          </w:tcPr>
          <w:p w14:paraId="23B73D3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特征因子</w:t>
            </w:r>
          </w:p>
        </w:tc>
        <w:tc>
          <w:tcPr>
            <w:tcW w:w="666" w:type="pct"/>
            <w:noWrap w:val="0"/>
            <w:vAlign w:val="center"/>
          </w:tcPr>
          <w:p w14:paraId="703B368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预测年限</w:t>
            </w:r>
          </w:p>
        </w:tc>
        <w:tc>
          <w:tcPr>
            <w:tcW w:w="1023" w:type="pct"/>
            <w:noWrap w:val="0"/>
            <w:vAlign w:val="center"/>
          </w:tcPr>
          <w:p w14:paraId="4CCB5F4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最大运移距离(m)</w:t>
            </w:r>
          </w:p>
        </w:tc>
        <w:tc>
          <w:tcPr>
            <w:tcW w:w="852" w:type="pct"/>
            <w:noWrap w:val="0"/>
            <w:vAlign w:val="center"/>
          </w:tcPr>
          <w:p w14:paraId="6CCC70E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影响范围(m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p>
        </w:tc>
        <w:tc>
          <w:tcPr>
            <w:tcW w:w="1023" w:type="pct"/>
            <w:noWrap w:val="0"/>
            <w:vAlign w:val="center"/>
          </w:tcPr>
          <w:p w14:paraId="241A12B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最大超标距离(m)</w:t>
            </w:r>
          </w:p>
        </w:tc>
        <w:tc>
          <w:tcPr>
            <w:tcW w:w="908" w:type="pct"/>
            <w:noWrap w:val="0"/>
            <w:vAlign w:val="center"/>
          </w:tcPr>
          <w:p w14:paraId="4E36B188">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超标范围(m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p>
        </w:tc>
      </w:tr>
      <w:tr w14:paraId="6614E1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23" w:type="pct"/>
            <w:vMerge w:val="restart"/>
            <w:noWrap w:val="0"/>
            <w:vAlign w:val="center"/>
          </w:tcPr>
          <w:p w14:paraId="4E791D25">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COD</w:t>
            </w:r>
          </w:p>
        </w:tc>
        <w:tc>
          <w:tcPr>
            <w:tcW w:w="666" w:type="pct"/>
            <w:noWrap w:val="0"/>
            <w:vAlign w:val="center"/>
          </w:tcPr>
          <w:p w14:paraId="1CC32406">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100d</w:t>
            </w:r>
          </w:p>
        </w:tc>
        <w:tc>
          <w:tcPr>
            <w:tcW w:w="1023" w:type="pct"/>
            <w:noWrap w:val="0"/>
            <w:vAlign w:val="center"/>
          </w:tcPr>
          <w:p w14:paraId="4A5E0FD3">
            <w:pPr>
              <w:pStyle w:val="44"/>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未超标</w:t>
            </w:r>
          </w:p>
        </w:tc>
        <w:tc>
          <w:tcPr>
            <w:tcW w:w="852" w:type="pct"/>
            <w:noWrap w:val="0"/>
            <w:vAlign w:val="center"/>
          </w:tcPr>
          <w:p w14:paraId="78B4D14A">
            <w:pPr>
              <w:pStyle w:val="44"/>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未超标</w:t>
            </w:r>
          </w:p>
        </w:tc>
        <w:tc>
          <w:tcPr>
            <w:tcW w:w="1023" w:type="pct"/>
            <w:noWrap w:val="0"/>
            <w:vAlign w:val="center"/>
          </w:tcPr>
          <w:p w14:paraId="195C030E">
            <w:pPr>
              <w:pStyle w:val="44"/>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未超标</w:t>
            </w:r>
          </w:p>
        </w:tc>
        <w:tc>
          <w:tcPr>
            <w:tcW w:w="908" w:type="pct"/>
            <w:noWrap w:val="0"/>
            <w:vAlign w:val="center"/>
          </w:tcPr>
          <w:p w14:paraId="039370CA">
            <w:pPr>
              <w:pStyle w:val="44"/>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未超标</w:t>
            </w:r>
          </w:p>
        </w:tc>
      </w:tr>
      <w:tr w14:paraId="6FD462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1" w:hRule="atLeast"/>
          <w:jc w:val="center"/>
        </w:trPr>
        <w:tc>
          <w:tcPr>
            <w:tcW w:w="523" w:type="pct"/>
            <w:vMerge w:val="continue"/>
            <w:noWrap w:val="0"/>
            <w:vAlign w:val="center"/>
          </w:tcPr>
          <w:p w14:paraId="01832763">
            <w:pPr>
              <w:pStyle w:val="44"/>
              <w:bidi w:val="0"/>
              <w:rPr>
                <w:rFonts w:hint="default" w:ascii="Times New Roman" w:hAnsi="Times New Roman" w:cs="Times New Roman"/>
                <w:color w:val="auto"/>
                <w:highlight w:val="none"/>
              </w:rPr>
            </w:pPr>
          </w:p>
        </w:tc>
        <w:tc>
          <w:tcPr>
            <w:tcW w:w="666" w:type="pct"/>
            <w:noWrap w:val="0"/>
            <w:vAlign w:val="center"/>
          </w:tcPr>
          <w:p w14:paraId="06C7490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1000d</w:t>
            </w:r>
          </w:p>
        </w:tc>
        <w:tc>
          <w:tcPr>
            <w:tcW w:w="1023" w:type="pct"/>
            <w:noWrap w:val="0"/>
            <w:vAlign w:val="center"/>
          </w:tcPr>
          <w:p w14:paraId="2735F43F">
            <w:pPr>
              <w:pStyle w:val="44"/>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未超标</w:t>
            </w:r>
          </w:p>
        </w:tc>
        <w:tc>
          <w:tcPr>
            <w:tcW w:w="852" w:type="pct"/>
            <w:noWrap w:val="0"/>
            <w:vAlign w:val="center"/>
          </w:tcPr>
          <w:p w14:paraId="1E253B5E">
            <w:pPr>
              <w:pStyle w:val="44"/>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未超标</w:t>
            </w:r>
          </w:p>
        </w:tc>
        <w:tc>
          <w:tcPr>
            <w:tcW w:w="1023" w:type="pct"/>
            <w:noWrap w:val="0"/>
            <w:vAlign w:val="center"/>
          </w:tcPr>
          <w:p w14:paraId="77636840">
            <w:pPr>
              <w:pStyle w:val="44"/>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未超标</w:t>
            </w:r>
          </w:p>
        </w:tc>
        <w:tc>
          <w:tcPr>
            <w:tcW w:w="908" w:type="pct"/>
            <w:noWrap w:val="0"/>
            <w:vAlign w:val="center"/>
          </w:tcPr>
          <w:p w14:paraId="0D9B5A81">
            <w:pPr>
              <w:pStyle w:val="44"/>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未超标</w:t>
            </w:r>
          </w:p>
        </w:tc>
      </w:tr>
      <w:tr w14:paraId="1644EA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23" w:type="pct"/>
            <w:vMerge w:val="continue"/>
            <w:noWrap w:val="0"/>
            <w:vAlign w:val="center"/>
          </w:tcPr>
          <w:p w14:paraId="654DA8DE">
            <w:pPr>
              <w:pStyle w:val="44"/>
              <w:bidi w:val="0"/>
              <w:rPr>
                <w:rFonts w:hint="default" w:ascii="Times New Roman" w:hAnsi="Times New Roman" w:cs="Times New Roman"/>
                <w:color w:val="auto"/>
                <w:highlight w:val="none"/>
              </w:rPr>
            </w:pPr>
          </w:p>
        </w:tc>
        <w:tc>
          <w:tcPr>
            <w:tcW w:w="666" w:type="pct"/>
            <w:noWrap w:val="0"/>
            <w:vAlign w:val="center"/>
          </w:tcPr>
          <w:p w14:paraId="7A4B2C3D">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10a</w:t>
            </w:r>
          </w:p>
        </w:tc>
        <w:tc>
          <w:tcPr>
            <w:tcW w:w="1023" w:type="pct"/>
            <w:noWrap w:val="0"/>
            <w:vAlign w:val="center"/>
          </w:tcPr>
          <w:p w14:paraId="233B5F5E">
            <w:pPr>
              <w:pStyle w:val="44"/>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未超标</w:t>
            </w:r>
          </w:p>
        </w:tc>
        <w:tc>
          <w:tcPr>
            <w:tcW w:w="852" w:type="pct"/>
            <w:noWrap w:val="0"/>
            <w:vAlign w:val="center"/>
          </w:tcPr>
          <w:p w14:paraId="71C1D52C">
            <w:pPr>
              <w:pStyle w:val="44"/>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未超标</w:t>
            </w:r>
          </w:p>
        </w:tc>
        <w:tc>
          <w:tcPr>
            <w:tcW w:w="1023" w:type="pct"/>
            <w:noWrap w:val="0"/>
            <w:vAlign w:val="center"/>
          </w:tcPr>
          <w:p w14:paraId="09F5347B">
            <w:pPr>
              <w:pStyle w:val="44"/>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未超标</w:t>
            </w:r>
          </w:p>
        </w:tc>
        <w:tc>
          <w:tcPr>
            <w:tcW w:w="908" w:type="pct"/>
            <w:noWrap w:val="0"/>
            <w:vAlign w:val="center"/>
          </w:tcPr>
          <w:p w14:paraId="03721B56">
            <w:pPr>
              <w:pStyle w:val="44"/>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未超标</w:t>
            </w:r>
          </w:p>
        </w:tc>
      </w:tr>
      <w:tr w14:paraId="02BC56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23" w:type="pct"/>
            <w:vMerge w:val="restart"/>
            <w:noWrap w:val="0"/>
            <w:vAlign w:val="center"/>
          </w:tcPr>
          <w:p w14:paraId="77B5C30A">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铬（六价）</w:t>
            </w:r>
          </w:p>
        </w:tc>
        <w:tc>
          <w:tcPr>
            <w:tcW w:w="666" w:type="pct"/>
            <w:noWrap w:val="0"/>
            <w:vAlign w:val="center"/>
          </w:tcPr>
          <w:p w14:paraId="7D625880">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100d</w:t>
            </w:r>
          </w:p>
        </w:tc>
        <w:tc>
          <w:tcPr>
            <w:tcW w:w="1023" w:type="pct"/>
            <w:noWrap w:val="0"/>
            <w:vAlign w:val="center"/>
          </w:tcPr>
          <w:p w14:paraId="0807B221">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未超标</w:t>
            </w:r>
          </w:p>
        </w:tc>
        <w:tc>
          <w:tcPr>
            <w:tcW w:w="852" w:type="pct"/>
            <w:noWrap w:val="0"/>
            <w:vAlign w:val="center"/>
          </w:tcPr>
          <w:p w14:paraId="27EF0CA0">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未超标</w:t>
            </w:r>
          </w:p>
        </w:tc>
        <w:tc>
          <w:tcPr>
            <w:tcW w:w="1023" w:type="pct"/>
            <w:noWrap w:val="0"/>
            <w:vAlign w:val="center"/>
          </w:tcPr>
          <w:p w14:paraId="08370FC7">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未超标</w:t>
            </w:r>
          </w:p>
        </w:tc>
        <w:tc>
          <w:tcPr>
            <w:tcW w:w="908" w:type="pct"/>
            <w:noWrap w:val="0"/>
            <w:vAlign w:val="center"/>
          </w:tcPr>
          <w:p w14:paraId="2C2C1D1B">
            <w:pPr>
              <w:pStyle w:val="4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未超标</w:t>
            </w:r>
          </w:p>
        </w:tc>
      </w:tr>
      <w:tr w14:paraId="34A024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23" w:type="pct"/>
            <w:vMerge w:val="continue"/>
            <w:noWrap w:val="0"/>
            <w:vAlign w:val="center"/>
          </w:tcPr>
          <w:p w14:paraId="0B6AD2AD">
            <w:pPr>
              <w:pStyle w:val="44"/>
              <w:bidi w:val="0"/>
              <w:rPr>
                <w:rFonts w:hint="default" w:ascii="Times New Roman" w:hAnsi="Times New Roman" w:cs="Times New Roman"/>
                <w:color w:val="auto"/>
                <w:highlight w:val="none"/>
              </w:rPr>
            </w:pPr>
          </w:p>
        </w:tc>
        <w:tc>
          <w:tcPr>
            <w:tcW w:w="666" w:type="pct"/>
            <w:noWrap w:val="0"/>
            <w:vAlign w:val="center"/>
          </w:tcPr>
          <w:p w14:paraId="0E1BCCA9">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1000d</w:t>
            </w:r>
          </w:p>
        </w:tc>
        <w:tc>
          <w:tcPr>
            <w:tcW w:w="1023" w:type="pct"/>
            <w:noWrap w:val="0"/>
            <w:vAlign w:val="center"/>
          </w:tcPr>
          <w:p w14:paraId="4E5E79FF">
            <w:pPr>
              <w:pStyle w:val="44"/>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未超标</w:t>
            </w:r>
          </w:p>
        </w:tc>
        <w:tc>
          <w:tcPr>
            <w:tcW w:w="852" w:type="pct"/>
            <w:noWrap w:val="0"/>
            <w:vAlign w:val="center"/>
          </w:tcPr>
          <w:p w14:paraId="47F979F7">
            <w:pPr>
              <w:pStyle w:val="44"/>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未超标</w:t>
            </w:r>
          </w:p>
        </w:tc>
        <w:tc>
          <w:tcPr>
            <w:tcW w:w="1023" w:type="pct"/>
            <w:noWrap w:val="0"/>
            <w:vAlign w:val="center"/>
          </w:tcPr>
          <w:p w14:paraId="2913230D">
            <w:pPr>
              <w:pStyle w:val="44"/>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未超标</w:t>
            </w:r>
          </w:p>
        </w:tc>
        <w:tc>
          <w:tcPr>
            <w:tcW w:w="908" w:type="pct"/>
            <w:noWrap w:val="0"/>
            <w:vAlign w:val="center"/>
          </w:tcPr>
          <w:p w14:paraId="1391F973">
            <w:pPr>
              <w:pStyle w:val="44"/>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未超标</w:t>
            </w:r>
          </w:p>
        </w:tc>
      </w:tr>
      <w:tr w14:paraId="36F3F5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23" w:type="pct"/>
            <w:vMerge w:val="continue"/>
            <w:noWrap w:val="0"/>
            <w:vAlign w:val="center"/>
          </w:tcPr>
          <w:p w14:paraId="400C4666">
            <w:pPr>
              <w:pStyle w:val="44"/>
              <w:bidi w:val="0"/>
              <w:rPr>
                <w:rFonts w:hint="default" w:ascii="Times New Roman" w:hAnsi="Times New Roman" w:cs="Times New Roman"/>
                <w:color w:val="auto"/>
                <w:highlight w:val="none"/>
              </w:rPr>
            </w:pPr>
          </w:p>
        </w:tc>
        <w:tc>
          <w:tcPr>
            <w:tcW w:w="666" w:type="pct"/>
            <w:noWrap w:val="0"/>
            <w:vAlign w:val="center"/>
          </w:tcPr>
          <w:p w14:paraId="784EFC2A">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10a</w:t>
            </w:r>
          </w:p>
        </w:tc>
        <w:tc>
          <w:tcPr>
            <w:tcW w:w="1023" w:type="pct"/>
            <w:noWrap w:val="0"/>
            <w:vAlign w:val="center"/>
          </w:tcPr>
          <w:p w14:paraId="37ACF161">
            <w:pPr>
              <w:pStyle w:val="44"/>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未超标</w:t>
            </w:r>
          </w:p>
        </w:tc>
        <w:tc>
          <w:tcPr>
            <w:tcW w:w="852" w:type="pct"/>
            <w:noWrap w:val="0"/>
            <w:vAlign w:val="center"/>
          </w:tcPr>
          <w:p w14:paraId="256EC578">
            <w:pPr>
              <w:pStyle w:val="44"/>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未超标</w:t>
            </w:r>
          </w:p>
        </w:tc>
        <w:tc>
          <w:tcPr>
            <w:tcW w:w="1023" w:type="pct"/>
            <w:noWrap w:val="0"/>
            <w:vAlign w:val="center"/>
          </w:tcPr>
          <w:p w14:paraId="3EB48F73">
            <w:pPr>
              <w:pStyle w:val="44"/>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未超标</w:t>
            </w:r>
          </w:p>
        </w:tc>
        <w:tc>
          <w:tcPr>
            <w:tcW w:w="908" w:type="pct"/>
            <w:noWrap w:val="0"/>
            <w:vAlign w:val="center"/>
          </w:tcPr>
          <w:p w14:paraId="37579041">
            <w:pPr>
              <w:pStyle w:val="44"/>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未超标</w:t>
            </w:r>
          </w:p>
        </w:tc>
      </w:tr>
    </w:tbl>
    <w:p w14:paraId="6B6FC646">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铬</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六价</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COD</w:t>
      </w:r>
      <w:r>
        <w:rPr>
          <w:rFonts w:hint="default" w:ascii="Times New Roman" w:hAnsi="Times New Roman" w:cs="Times New Roman"/>
          <w:color w:val="auto"/>
          <w:highlight w:val="none"/>
        </w:rPr>
        <w:t>在水动力条件作用下主要由西</w:t>
      </w:r>
      <w:r>
        <w:rPr>
          <w:rFonts w:hint="default" w:ascii="Times New Roman" w:hAnsi="Times New Roman" w:cs="Times New Roman"/>
          <w:color w:val="auto"/>
          <w:highlight w:val="none"/>
          <w:lang w:val="en-US" w:eastAsia="zh-CN"/>
        </w:rPr>
        <w:t>北</w:t>
      </w:r>
      <w:r>
        <w:rPr>
          <w:rFonts w:hint="default" w:ascii="Times New Roman" w:hAnsi="Times New Roman" w:cs="Times New Roman"/>
          <w:color w:val="auto"/>
          <w:highlight w:val="none"/>
        </w:rPr>
        <w:t>向</w:t>
      </w:r>
      <w:r>
        <w:rPr>
          <w:rFonts w:hint="default" w:ascii="Times New Roman" w:hAnsi="Times New Roman" w:cs="Times New Roman"/>
          <w:color w:val="auto"/>
          <w:highlight w:val="none"/>
          <w:lang w:val="en-US" w:eastAsia="zh-CN"/>
        </w:rPr>
        <w:t>东南</w:t>
      </w:r>
      <w:r>
        <w:rPr>
          <w:rFonts w:hint="default" w:ascii="Times New Roman" w:hAnsi="Times New Roman" w:cs="Times New Roman"/>
          <w:color w:val="auto"/>
          <w:highlight w:val="none"/>
        </w:rPr>
        <w:t>方向运移，随时间的增加和运移的距离增加，含水层铬</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六价</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COD</w:t>
      </w:r>
      <w:r>
        <w:rPr>
          <w:rFonts w:hint="default" w:ascii="Times New Roman" w:hAnsi="Times New Roman" w:cs="Times New Roman"/>
          <w:color w:val="auto"/>
          <w:highlight w:val="none"/>
        </w:rPr>
        <w:t>浓度变化呈逐渐下降的趋势。铬</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六价</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COD</w:t>
      </w:r>
      <w:r>
        <w:rPr>
          <w:rFonts w:hint="default" w:ascii="Times New Roman" w:hAnsi="Times New Roman" w:cs="Times New Roman"/>
          <w:color w:val="auto"/>
          <w:highlight w:val="none"/>
        </w:rPr>
        <w:t>在运移100d</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1000d、10a</w:t>
      </w:r>
      <w:r>
        <w:rPr>
          <w:rFonts w:hint="default" w:ascii="Times New Roman" w:hAnsi="Times New Roman" w:cs="Times New Roman"/>
          <w:color w:val="auto"/>
          <w:highlight w:val="none"/>
        </w:rPr>
        <w:t>时，</w:t>
      </w:r>
      <w:r>
        <w:rPr>
          <w:rFonts w:hint="default" w:ascii="Times New Roman" w:hAnsi="Times New Roman" w:cs="Times New Roman"/>
          <w:color w:val="auto"/>
          <w:highlight w:val="none"/>
          <w:lang w:val="en-US" w:eastAsia="zh-CN"/>
        </w:rPr>
        <w:t>均未超标</w:t>
      </w:r>
      <w:r>
        <w:rPr>
          <w:rFonts w:hint="default" w:ascii="Times New Roman" w:hAnsi="Times New Roman" w:cs="Times New Roman"/>
          <w:color w:val="auto"/>
          <w:highlight w:val="none"/>
        </w:rPr>
        <w:t>满足《地下水质量标准》（GB/T14848-2017）</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3 \* ROMAN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III</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类水标准的规定，不会对区域地下水带来影响。结合环境风险评估报告，项目煤矸石中可溶性重金属含量较低，对地下水水质的影响轻微，淋溶水不会对地下水环境造成明显影响，对周边环境风险可接受。</w:t>
      </w:r>
    </w:p>
    <w:p w14:paraId="0CC70266">
      <w:pPr>
        <w:pStyle w:val="25"/>
        <w:ind w:firstLine="48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drawing>
          <wp:inline distT="0" distB="0" distL="114300" distR="114300">
            <wp:extent cx="3471545" cy="3207385"/>
            <wp:effectExtent l="0" t="0" r="14605" b="12065"/>
            <wp:docPr id="82" name="图片 82" descr="COD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COD100"/>
                    <pic:cNvPicPr>
                      <a:picLocks noChangeAspect="1"/>
                    </pic:cNvPicPr>
                  </pic:nvPicPr>
                  <pic:blipFill>
                    <a:blip r:embed="rId106"/>
                    <a:stretch>
                      <a:fillRect/>
                    </a:stretch>
                  </pic:blipFill>
                  <pic:spPr>
                    <a:xfrm>
                      <a:off x="0" y="0"/>
                      <a:ext cx="3471545" cy="3207385"/>
                    </a:xfrm>
                    <a:prstGeom prst="rect">
                      <a:avLst/>
                    </a:prstGeom>
                  </pic:spPr>
                </pic:pic>
              </a:graphicData>
            </a:graphic>
          </wp:inline>
        </w:drawing>
      </w:r>
    </w:p>
    <w:p w14:paraId="44BAB411">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图5-1-2COD100天预测图</w:t>
      </w:r>
    </w:p>
    <w:p w14:paraId="6103F558">
      <w:pPr>
        <w:pStyle w:val="27"/>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drawing>
          <wp:inline distT="0" distB="0" distL="114300" distR="114300">
            <wp:extent cx="3396615" cy="3402330"/>
            <wp:effectExtent l="0" t="0" r="13335" b="7620"/>
            <wp:docPr id="83" name="图片 83" descr="COD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COD1000"/>
                    <pic:cNvPicPr>
                      <a:picLocks noChangeAspect="1"/>
                    </pic:cNvPicPr>
                  </pic:nvPicPr>
                  <pic:blipFill>
                    <a:blip r:embed="rId107"/>
                    <a:stretch>
                      <a:fillRect/>
                    </a:stretch>
                  </pic:blipFill>
                  <pic:spPr>
                    <a:xfrm>
                      <a:off x="0" y="0"/>
                      <a:ext cx="3396615" cy="3402330"/>
                    </a:xfrm>
                    <a:prstGeom prst="rect">
                      <a:avLst/>
                    </a:prstGeom>
                  </pic:spPr>
                </pic:pic>
              </a:graphicData>
            </a:graphic>
          </wp:inline>
        </w:drawing>
      </w:r>
    </w:p>
    <w:p w14:paraId="726CCE88">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图5-1-3 COD1000天预测图</w:t>
      </w:r>
    </w:p>
    <w:p w14:paraId="684F3229">
      <w:pPr>
        <w:pStyle w:val="25"/>
        <w:ind w:left="0" w:leftChars="0" w:firstLine="0" w:firstLineChars="0"/>
        <w:rPr>
          <w:rFonts w:hint="default" w:ascii="Times New Roman" w:hAnsi="Times New Roman" w:eastAsia="宋体" w:cs="Times New Roman"/>
          <w:color w:val="auto"/>
          <w:highlight w:val="none"/>
          <w:lang w:eastAsia="zh-CN"/>
        </w:rPr>
      </w:pPr>
    </w:p>
    <w:p w14:paraId="22BCCBE7">
      <w:pPr>
        <w:pStyle w:val="25"/>
        <w:ind w:left="0" w:leftChars="0" w:firstLine="0" w:firstLine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drawing>
          <wp:inline distT="0" distB="0" distL="114300" distR="114300">
            <wp:extent cx="3390265" cy="3131820"/>
            <wp:effectExtent l="0" t="0" r="635" b="11430"/>
            <wp:docPr id="84" name="图片 84" descr="COD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COD3650"/>
                    <pic:cNvPicPr>
                      <a:picLocks noChangeAspect="1"/>
                    </pic:cNvPicPr>
                  </pic:nvPicPr>
                  <pic:blipFill>
                    <a:blip r:embed="rId108"/>
                    <a:stretch>
                      <a:fillRect/>
                    </a:stretch>
                  </pic:blipFill>
                  <pic:spPr>
                    <a:xfrm>
                      <a:off x="0" y="0"/>
                      <a:ext cx="3390265" cy="3131820"/>
                    </a:xfrm>
                    <a:prstGeom prst="rect">
                      <a:avLst/>
                    </a:prstGeom>
                  </pic:spPr>
                </pic:pic>
              </a:graphicData>
            </a:graphic>
          </wp:inline>
        </w:drawing>
      </w:r>
    </w:p>
    <w:p w14:paraId="21A098CA">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图5-1-4 COD3650天预测图</w:t>
      </w:r>
    </w:p>
    <w:p w14:paraId="5B8C4AC2">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drawing>
          <wp:inline distT="0" distB="0" distL="114300" distR="114300">
            <wp:extent cx="3624580" cy="3470910"/>
            <wp:effectExtent l="0" t="0" r="13970" b="15240"/>
            <wp:docPr id="85" name="图片 85" descr="Cr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Cr100"/>
                    <pic:cNvPicPr>
                      <a:picLocks noChangeAspect="1"/>
                    </pic:cNvPicPr>
                  </pic:nvPicPr>
                  <pic:blipFill>
                    <a:blip r:embed="rId109"/>
                    <a:stretch>
                      <a:fillRect/>
                    </a:stretch>
                  </pic:blipFill>
                  <pic:spPr>
                    <a:xfrm>
                      <a:off x="0" y="0"/>
                      <a:ext cx="3624580" cy="3470910"/>
                    </a:xfrm>
                    <a:prstGeom prst="rect">
                      <a:avLst/>
                    </a:prstGeom>
                  </pic:spPr>
                </pic:pic>
              </a:graphicData>
            </a:graphic>
          </wp:inline>
        </w:drawing>
      </w:r>
    </w:p>
    <w:p w14:paraId="62A6D915">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图5-1-5六价铬100天预测图</w:t>
      </w:r>
    </w:p>
    <w:p w14:paraId="448E3758">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drawing>
          <wp:inline distT="0" distB="0" distL="114300" distR="114300">
            <wp:extent cx="3850005" cy="3651885"/>
            <wp:effectExtent l="0" t="0" r="17145" b="5715"/>
            <wp:docPr id="86" name="图片 86" descr="Cr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Cr1000"/>
                    <pic:cNvPicPr>
                      <a:picLocks noChangeAspect="1"/>
                    </pic:cNvPicPr>
                  </pic:nvPicPr>
                  <pic:blipFill>
                    <a:blip r:embed="rId110"/>
                    <a:stretch>
                      <a:fillRect/>
                    </a:stretch>
                  </pic:blipFill>
                  <pic:spPr>
                    <a:xfrm>
                      <a:off x="0" y="0"/>
                      <a:ext cx="3850005" cy="3651885"/>
                    </a:xfrm>
                    <a:prstGeom prst="rect">
                      <a:avLst/>
                    </a:prstGeom>
                  </pic:spPr>
                </pic:pic>
              </a:graphicData>
            </a:graphic>
          </wp:inline>
        </w:drawing>
      </w:r>
    </w:p>
    <w:p w14:paraId="3D7792CD">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图5-1-6六价铬1000天预测图</w:t>
      </w:r>
    </w:p>
    <w:p w14:paraId="0B11E377">
      <w:pPr>
        <w:pStyle w:val="25"/>
        <w:bidi w:val="0"/>
        <w:rPr>
          <w:rFonts w:hint="default" w:ascii="Times New Roman" w:hAnsi="Times New Roman" w:cs="Times New Roman"/>
          <w:color w:val="auto"/>
          <w:lang w:val="en-US" w:eastAsia="zh-CN"/>
        </w:rPr>
      </w:pPr>
    </w:p>
    <w:p w14:paraId="3E2C3A89">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drawing>
          <wp:inline distT="0" distB="0" distL="114300" distR="114300">
            <wp:extent cx="3707765" cy="3430905"/>
            <wp:effectExtent l="0" t="0" r="6985" b="17145"/>
            <wp:docPr id="87" name="图片 87" descr="Cr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Cr3650"/>
                    <pic:cNvPicPr>
                      <a:picLocks noChangeAspect="1"/>
                    </pic:cNvPicPr>
                  </pic:nvPicPr>
                  <pic:blipFill>
                    <a:blip r:embed="rId111"/>
                    <a:stretch>
                      <a:fillRect/>
                    </a:stretch>
                  </pic:blipFill>
                  <pic:spPr>
                    <a:xfrm>
                      <a:off x="0" y="0"/>
                      <a:ext cx="3707765" cy="3430905"/>
                    </a:xfrm>
                    <a:prstGeom prst="rect">
                      <a:avLst/>
                    </a:prstGeom>
                  </pic:spPr>
                </pic:pic>
              </a:graphicData>
            </a:graphic>
          </wp:inline>
        </w:drawing>
      </w:r>
    </w:p>
    <w:p w14:paraId="09F89483">
      <w:pPr>
        <w:pStyle w:val="2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图5-1-7六价铬3650天预测图</w:t>
      </w:r>
    </w:p>
    <w:bookmarkEnd w:id="293"/>
    <w:bookmarkEnd w:id="294"/>
    <w:bookmarkEnd w:id="295"/>
    <w:bookmarkEnd w:id="296"/>
    <w:bookmarkEnd w:id="297"/>
    <w:p w14:paraId="17935242">
      <w:pPr>
        <w:pStyle w:val="41"/>
        <w:bidi w:val="0"/>
        <w:rPr>
          <w:rFonts w:hint="default" w:ascii="Times New Roman" w:hAnsi="Times New Roman" w:cs="Times New Roman"/>
          <w:color w:val="auto"/>
          <w:highlight w:val="none"/>
        </w:rPr>
      </w:pPr>
      <w:bookmarkStart w:id="299" w:name="_Toc27181"/>
      <w:bookmarkStart w:id="300" w:name="_Toc5607"/>
      <w:bookmarkStart w:id="301" w:name="_Toc152926826"/>
      <w:bookmarkStart w:id="302" w:name="_Toc140149431"/>
      <w:r>
        <w:rPr>
          <w:rFonts w:hint="default" w:ascii="Times New Roman" w:hAnsi="Times New Roman" w:cs="Times New Roman"/>
          <w:color w:val="auto"/>
          <w:highlight w:val="none"/>
        </w:rPr>
        <w:t>5.</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生态恢复期影响分析</w:t>
      </w:r>
      <w:bookmarkEnd w:id="299"/>
      <w:bookmarkEnd w:id="300"/>
      <w:bookmarkEnd w:id="301"/>
      <w:bookmarkEnd w:id="302"/>
      <w:r>
        <w:rPr>
          <w:rFonts w:hint="default" w:ascii="Times New Roman" w:hAnsi="Times New Roman" w:cs="Times New Roman"/>
          <w:color w:val="auto"/>
          <w:highlight w:val="none"/>
        </w:rPr>
        <w:t xml:space="preserve"> </w:t>
      </w:r>
    </w:p>
    <w:p w14:paraId="406E36C3">
      <w:pPr>
        <w:pStyle w:val="25"/>
        <w:bidi w:val="0"/>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pP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项目区现状为废弃采坑，本项目回填完成进行土地复垦为</w:t>
      </w:r>
      <w:r>
        <w:rPr>
          <w:rFonts w:hint="default" w:ascii="Times New Roman" w:hAnsi="Times New Roman" w:cs="Times New Roman"/>
          <w:color w:val="558ED5" w:themeColor="text2" w:themeTint="99"/>
          <w:highlight w:val="none"/>
          <w:lang w:val="en-US" w:eastAsia="zh-CN"/>
          <w14:textFill>
            <w14:solidFill>
              <w14:schemeClr w14:val="tx2">
                <w14:lumMod w14:val="60000"/>
                <w14:lumOff w14:val="40000"/>
              </w14:schemeClr>
            </w14:solidFill>
          </w14:textFill>
        </w:rPr>
        <w:t>林</w:t>
      </w: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地。受影响的土地将逐渐形成新的利用功能，生物组分斑块的空间分布格局逐渐向有利于景观稳定的方向变化，区域内生态系统稳定性将起到积极作用。</w:t>
      </w:r>
    </w:p>
    <w:p w14:paraId="54D570AC">
      <w:pPr>
        <w:pStyle w:val="25"/>
        <w:bidi w:val="0"/>
        <w:rPr>
          <w:rFonts w:hint="default" w:cs="Times New Roman"/>
          <w:color w:val="558ED5" w:themeColor="text2" w:themeTint="99"/>
          <w:highlight w:val="none"/>
          <w:lang w:val="en-US" w:eastAsia="zh-CN"/>
          <w14:textFill>
            <w14:solidFill>
              <w14:schemeClr w14:val="tx2">
                <w14:lumMod w14:val="60000"/>
                <w14:lumOff w14:val="40000"/>
              </w14:schemeClr>
            </w14:solidFill>
          </w14:textFill>
        </w:rPr>
      </w:pPr>
      <w:r>
        <w:rPr>
          <w:rFonts w:hint="eastAsia" w:ascii="Times New Roman" w:hAnsi="Times New Roman" w:cs="Times New Roman"/>
          <w:color w:val="558ED5" w:themeColor="text2" w:themeTint="99"/>
          <w:highlight w:val="none"/>
          <w:lang w:val="en-US" w:eastAsia="zh-CN"/>
          <w14:textFill>
            <w14:solidFill>
              <w14:schemeClr w14:val="tx2">
                <w14:lumMod w14:val="60000"/>
                <w14:lumOff w14:val="40000"/>
              </w14:schemeClr>
            </w14:solidFill>
          </w14:textFill>
        </w:rPr>
        <w:t>种植</w:t>
      </w: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作业环节，</w:t>
      </w:r>
      <w:r>
        <w:rPr>
          <w:rFonts w:hint="eastAsia" w:ascii="Times New Roman" w:hAnsi="Times New Roman" w:cs="Times New Roman"/>
          <w:color w:val="558ED5" w:themeColor="text2" w:themeTint="99"/>
          <w:highlight w:val="none"/>
          <w:lang w:val="en-US" w:eastAsia="zh-CN"/>
          <w14:textFill>
            <w14:solidFill>
              <w14:schemeClr w14:val="tx2">
                <w14:lumMod w14:val="60000"/>
                <w14:lumOff w14:val="40000"/>
              </w14:schemeClr>
            </w14:solidFill>
          </w14:textFill>
        </w:rPr>
        <w:t>为人工种植，主要污染源为运输机械产生的尾气及噪声，</w:t>
      </w: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主要因子是NO</w:t>
      </w:r>
      <w:r>
        <w:rPr>
          <w:rFonts w:hint="default" w:ascii="Times New Roman" w:hAnsi="Times New Roman" w:cs="Times New Roman"/>
          <w:color w:val="558ED5" w:themeColor="text2" w:themeTint="99"/>
          <w:highlight w:val="none"/>
          <w:vertAlign w:val="subscript"/>
          <w14:textFill>
            <w14:solidFill>
              <w14:schemeClr w14:val="tx2">
                <w14:lumMod w14:val="60000"/>
                <w14:lumOff w14:val="40000"/>
              </w14:schemeClr>
            </w14:solidFill>
          </w14:textFill>
        </w:rPr>
        <w:t>2</w:t>
      </w: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、CO、SO</w:t>
      </w:r>
      <w:r>
        <w:rPr>
          <w:rFonts w:hint="default" w:ascii="Times New Roman" w:hAnsi="Times New Roman" w:cs="Times New Roman"/>
          <w:color w:val="558ED5" w:themeColor="text2" w:themeTint="99"/>
          <w:highlight w:val="none"/>
          <w:vertAlign w:val="subscript"/>
          <w14:textFill>
            <w14:solidFill>
              <w14:schemeClr w14:val="tx2">
                <w14:lumMod w14:val="60000"/>
                <w14:lumOff w14:val="40000"/>
              </w14:schemeClr>
            </w14:solidFill>
          </w14:textFill>
        </w:rPr>
        <w:t>2</w:t>
      </w:r>
      <w:r>
        <w:rPr>
          <w:rFonts w:hint="eastAsia" w:ascii="Times New Roman" w:hAnsi="Times New Roman" w:cs="Times New Roman"/>
          <w:color w:val="558ED5" w:themeColor="text2" w:themeTint="99"/>
          <w:highlight w:val="none"/>
          <w:vertAlign w:val="baseline"/>
          <w:lang w:val="en-US" w:eastAsia="zh-CN"/>
          <w14:textFill>
            <w14:solidFill>
              <w14:schemeClr w14:val="tx2">
                <w14:lumMod w14:val="60000"/>
                <w14:lumOff w14:val="40000"/>
              </w14:schemeClr>
            </w14:solidFill>
          </w14:textFill>
        </w:rPr>
        <w:t>及噪声</w:t>
      </w: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r>
        <w:rPr>
          <w:rFonts w:hint="eastAsia" w:cs="Times New Roman"/>
          <w:color w:val="558ED5" w:themeColor="text2" w:themeTint="99"/>
          <w:highlight w:val="none"/>
          <w:lang w:val="en-US" w:eastAsia="zh-CN"/>
          <w14:textFill>
            <w14:solidFill>
              <w14:schemeClr w14:val="tx2">
                <w14:lumMod w14:val="60000"/>
                <w14:lumOff w14:val="40000"/>
              </w14:schemeClr>
            </w14:solidFill>
          </w14:textFill>
        </w:rPr>
        <w:t>种植期时间较短，且运输设备较少，对环境空气、噪声影响较小。</w:t>
      </w:r>
    </w:p>
    <w:p w14:paraId="6BE9D76D">
      <w:pPr>
        <w:pStyle w:val="41"/>
        <w:bidi w:val="0"/>
        <w:rPr>
          <w:rFonts w:hint="default" w:ascii="Times New Roman" w:hAnsi="Times New Roman" w:cs="Times New Roman"/>
          <w:color w:val="auto"/>
          <w:highlight w:val="none"/>
        </w:rPr>
      </w:pPr>
      <w:bookmarkStart w:id="303" w:name="_Toc25744"/>
      <w:bookmarkStart w:id="304" w:name="_Toc21314"/>
      <w:bookmarkStart w:id="305" w:name="_Toc152926827"/>
      <w:bookmarkStart w:id="306" w:name="_Toc119316808"/>
      <w:r>
        <w:rPr>
          <w:rFonts w:hint="default" w:ascii="Times New Roman" w:hAnsi="Times New Roman" w:cs="Times New Roman"/>
          <w:color w:val="auto"/>
          <w:highlight w:val="none"/>
        </w:rPr>
        <w:t>5.</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环境风险分析</w:t>
      </w:r>
      <w:bookmarkEnd w:id="303"/>
      <w:bookmarkEnd w:id="304"/>
      <w:bookmarkEnd w:id="305"/>
      <w:bookmarkEnd w:id="306"/>
    </w:p>
    <w:p w14:paraId="04FA57C7">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根据项目所在地气象资料，由于项目区所在区域降雨较少，区域蒸发量远大于降水量。距</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项目区地表水体为东侧</w:t>
      </w:r>
      <w:r>
        <w:rPr>
          <w:rFonts w:hint="default" w:ascii="Times New Roman" w:hAnsi="Times New Roman" w:cs="Times New Roman"/>
          <w:color w:val="auto"/>
          <w:highlight w:val="none"/>
          <w:lang w:val="en-US" w:eastAsia="zh-CN"/>
        </w:rPr>
        <w:t>及北</w:t>
      </w:r>
      <w:r>
        <w:rPr>
          <w:rFonts w:hint="default" w:ascii="Times New Roman" w:hAnsi="Times New Roman" w:cs="Times New Roman"/>
          <w:color w:val="auto"/>
          <w:highlight w:val="none"/>
        </w:rPr>
        <w:t>侧的</w:t>
      </w:r>
      <w:r>
        <w:rPr>
          <w:rFonts w:hint="default" w:ascii="Times New Roman" w:hAnsi="Times New Roman" w:cs="Times New Roman"/>
          <w:color w:val="auto"/>
          <w:highlight w:val="none"/>
          <w:lang w:val="en-US" w:eastAsia="zh-CN"/>
        </w:rPr>
        <w:t>城子河</w:t>
      </w:r>
      <w:r>
        <w:rPr>
          <w:rFonts w:hint="default" w:ascii="Times New Roman" w:hAnsi="Times New Roman" w:cs="Times New Roman"/>
          <w:color w:val="auto"/>
          <w:highlight w:val="none"/>
        </w:rPr>
        <w:t>。由于该区域不属于河流、水库等最高水位线以下的滩地和洪泛区，也不属于泄洪区，因此洪水对回填区影响不大。</w:t>
      </w:r>
    </w:p>
    <w:p w14:paraId="1306256B">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考虑到近年极端天气较频繁，从环保角度考虑，依照国家相关标准和技术规范进行设计及施工，本工程场区四周建设截水沟，场区外的地表降水由截水沟截流，防止雨水进入场。并且回填区不在当地泄洪通道上，及时疏通截水沟，及时导排厂外雨水，发生此风险的可能性极小。</w:t>
      </w:r>
    </w:p>
    <w:p w14:paraId="79FF6D17">
      <w:pPr>
        <w:pStyle w:val="25"/>
        <w:bidi w:val="0"/>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结合本项目风险评估报告</w:t>
      </w:r>
      <w:r>
        <w:rPr>
          <w:rFonts w:hint="default" w:ascii="Times New Roman" w:hAnsi="Times New Roman" w:cs="Times New Roman"/>
          <w:color w:val="auto"/>
        </w:rPr>
        <w:t>及本项目煤矸石淋溶水的检测结果，项目煤矸石中可溶性重金属含量较低，对地下水水质的影响轻微，淋溶水不会对地下水和周边土壤环境造成明显影响，对周边环境风险可接受</w:t>
      </w:r>
      <w:r>
        <w:rPr>
          <w:rFonts w:hint="eastAsia" w:ascii="Times New Roman" w:hAnsi="Times New Roman" w:cs="Times New Roman"/>
          <w:color w:val="auto"/>
          <w:lang w:eastAsia="zh-CN"/>
        </w:rPr>
        <w:t>。</w:t>
      </w:r>
    </w:p>
    <w:p w14:paraId="4CDE5DC5">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通过以上叙述，本项目环境风险事故可能会对周边环境产生一定的影响，建设单位应采取有效的事故预防和处理措施，加大事故防范力度和处理能力，将环境风险事故对周围环境的影响降至最低。在建设单位认真落实各项风险管理与防范措施，做好事故风险应急预案的前提下，本项目实施的环境风险可被接受。</w:t>
      </w:r>
    </w:p>
    <w:p w14:paraId="09C03419">
      <w:pPr>
        <w:pStyle w:val="25"/>
        <w:bidi w:val="0"/>
        <w:rPr>
          <w:rFonts w:hint="default" w:ascii="Times New Roman" w:hAnsi="Times New Roman" w:cs="Times New Roman"/>
          <w:color w:val="auto"/>
          <w:highlight w:val="none"/>
        </w:rPr>
      </w:pPr>
    </w:p>
    <w:p w14:paraId="2D9B5B48">
      <w:pPr>
        <w:rPr>
          <w:rFonts w:hint="default" w:ascii="Times New Roman" w:hAnsi="Times New Roman" w:cs="Times New Roman"/>
          <w:color w:val="auto"/>
          <w:highlight w:val="none"/>
        </w:rPr>
      </w:pPr>
    </w:p>
    <w:p w14:paraId="6A85E09A">
      <w:pPr>
        <w:rPr>
          <w:rFonts w:hint="default" w:ascii="Times New Roman" w:hAnsi="Times New Roman" w:cs="Times New Roman"/>
          <w:color w:val="auto"/>
          <w:kern w:val="0"/>
          <w:sz w:val="32"/>
          <w:szCs w:val="32"/>
          <w:highlight w:val="none"/>
        </w:rPr>
        <w:sectPr>
          <w:footerReference r:id="rId9"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bookmarkStart w:id="307" w:name="_Toc477954576"/>
      <w:bookmarkStart w:id="308" w:name="_Toc479252821"/>
    </w:p>
    <w:bookmarkEnd w:id="307"/>
    <w:bookmarkEnd w:id="308"/>
    <w:p w14:paraId="78964854">
      <w:pPr>
        <w:pStyle w:val="42"/>
        <w:bidi w:val="0"/>
        <w:rPr>
          <w:rFonts w:hint="default" w:ascii="Times New Roman" w:hAnsi="Times New Roman" w:cs="Times New Roman"/>
          <w:color w:val="auto"/>
        </w:rPr>
      </w:pPr>
      <w:bookmarkStart w:id="309" w:name="_Toc22574"/>
      <w:bookmarkStart w:id="310" w:name="_Toc11796"/>
      <w:bookmarkStart w:id="311" w:name="_Toc152926828"/>
      <w:bookmarkStart w:id="312" w:name="_Toc119316809"/>
      <w:bookmarkStart w:id="313" w:name="_Toc477954594"/>
      <w:bookmarkStart w:id="314" w:name="_Toc152926843"/>
      <w:bookmarkStart w:id="315" w:name="_Toc3673"/>
      <w:bookmarkStart w:id="316" w:name="_Toc119316825"/>
      <w:bookmarkStart w:id="317" w:name="_Toc484077219"/>
      <w:r>
        <w:rPr>
          <w:rFonts w:hint="default" w:ascii="Times New Roman" w:hAnsi="Times New Roman" w:cs="Times New Roman"/>
          <w:color w:val="auto"/>
        </w:rPr>
        <w:t>6环境保护措施及其可行性论证</w:t>
      </w:r>
      <w:bookmarkEnd w:id="309"/>
      <w:bookmarkEnd w:id="310"/>
      <w:bookmarkEnd w:id="311"/>
      <w:bookmarkEnd w:id="312"/>
    </w:p>
    <w:p w14:paraId="57955017">
      <w:pPr>
        <w:pStyle w:val="41"/>
        <w:bidi w:val="0"/>
        <w:rPr>
          <w:rFonts w:hint="default" w:ascii="Times New Roman" w:hAnsi="Times New Roman" w:cs="Times New Roman"/>
          <w:color w:val="auto"/>
        </w:rPr>
      </w:pPr>
      <w:bookmarkStart w:id="318" w:name="_Toc31150"/>
      <w:bookmarkStart w:id="319" w:name="_Toc152926829"/>
      <w:bookmarkStart w:id="320" w:name="_Toc119316810"/>
      <w:bookmarkStart w:id="321" w:name="_Toc494017094"/>
      <w:bookmarkStart w:id="322" w:name="_Toc30054"/>
      <w:bookmarkStart w:id="323" w:name="_Toc493664702"/>
      <w:r>
        <w:rPr>
          <w:rFonts w:hint="default" w:ascii="Times New Roman" w:hAnsi="Times New Roman" w:cs="Times New Roman"/>
          <w:color w:val="auto"/>
        </w:rPr>
        <w:t>6.1施工期环境保护措施</w:t>
      </w:r>
      <w:bookmarkEnd w:id="318"/>
      <w:bookmarkEnd w:id="319"/>
      <w:bookmarkEnd w:id="320"/>
      <w:bookmarkEnd w:id="321"/>
      <w:bookmarkEnd w:id="322"/>
      <w:bookmarkEnd w:id="323"/>
    </w:p>
    <w:p w14:paraId="431B1DCB">
      <w:pPr>
        <w:pStyle w:val="39"/>
        <w:bidi w:val="0"/>
        <w:rPr>
          <w:rFonts w:hint="default" w:ascii="Times New Roman" w:hAnsi="Times New Roman" w:cs="Times New Roman"/>
          <w:color w:val="auto"/>
        </w:rPr>
      </w:pPr>
      <w:bookmarkStart w:id="324" w:name="_Toc26596"/>
      <w:r>
        <w:rPr>
          <w:rFonts w:hint="default" w:ascii="Times New Roman" w:hAnsi="Times New Roman" w:cs="Times New Roman"/>
          <w:color w:val="auto"/>
        </w:rPr>
        <w:t>6.1.1施工期大气环境保护措施</w:t>
      </w:r>
      <w:bookmarkEnd w:id="324"/>
    </w:p>
    <w:p w14:paraId="5482D1AB">
      <w:pPr>
        <w:pStyle w:val="5"/>
        <w:bidi w:val="0"/>
        <w:rPr>
          <w:rFonts w:hint="default" w:ascii="Times New Roman" w:hAnsi="Times New Roman" w:eastAsia="宋体" w:cs="Times New Roman"/>
          <w:color w:val="auto"/>
          <w:lang w:val="en-US" w:eastAsia="zh-CN"/>
        </w:rPr>
      </w:pPr>
      <w:bookmarkStart w:id="325" w:name="_Toc3554"/>
      <w:r>
        <w:rPr>
          <w:rFonts w:hint="default" w:ascii="Times New Roman" w:hAnsi="Times New Roman" w:cs="Times New Roman"/>
          <w:color w:val="auto"/>
          <w:lang w:val="en-US" w:eastAsia="zh-CN"/>
        </w:rPr>
        <w:t>6.1.1.1扬尘防治措施</w:t>
      </w:r>
    </w:p>
    <w:p w14:paraId="6196CC1A">
      <w:pPr>
        <w:pStyle w:val="25"/>
        <w:bidi w:val="0"/>
        <w:rPr>
          <w:rFonts w:hint="default" w:ascii="Times New Roman" w:hAnsi="Times New Roman" w:cs="Times New Roman"/>
          <w:color w:val="auto"/>
        </w:rPr>
      </w:pPr>
      <w:r>
        <w:rPr>
          <w:rFonts w:hint="default" w:ascii="Times New Roman" w:hAnsi="Times New Roman" w:cs="Times New Roman"/>
          <w:color w:val="auto"/>
        </w:rPr>
        <w:t>采用全封闭式专用密闭运输汽车，将</w:t>
      </w:r>
      <w:r>
        <w:rPr>
          <w:rFonts w:hint="default" w:ascii="Times New Roman" w:hAnsi="Times New Roman" w:cs="Times New Roman"/>
          <w:color w:val="auto"/>
          <w:lang w:val="en-US" w:eastAsia="zh-CN"/>
        </w:rPr>
        <w:t>含有</w:t>
      </w:r>
      <w:r>
        <w:rPr>
          <w:rFonts w:hint="default" w:ascii="Times New Roman" w:hAnsi="Times New Roman" w:cs="Times New Roman"/>
          <w:color w:val="auto"/>
        </w:rPr>
        <w:t>一定水分的煤矸石，从厂区直接运入回填区；煤矸石卸车后，采用推土机推摊铺平；紧接着采用压实机碾压，堆而填之。采用全封闭式专用运输汽车</w:t>
      </w:r>
      <w:r>
        <w:rPr>
          <w:rFonts w:hint="eastAsia" w:ascii="Times New Roman" w:hAnsi="Times New Roman" w:cs="Times New Roman"/>
          <w:color w:val="auto"/>
          <w:lang w:val="en-US" w:eastAsia="zh-CN"/>
        </w:rPr>
        <w:t>对覆土进行运输，覆土卸载后，直接对作业面进行植被恢复，</w:t>
      </w:r>
      <w:r>
        <w:rPr>
          <w:rFonts w:hint="default" w:ascii="Times New Roman" w:hAnsi="Times New Roman" w:cs="Times New Roman"/>
          <w:color w:val="auto"/>
        </w:rPr>
        <w:t>管理人员可根据当地的气候变化规律，找出适合本工程的喷洒水规律，建立制度，控制回填作业扬尘。</w:t>
      </w:r>
    </w:p>
    <w:p w14:paraId="1175A933">
      <w:pPr>
        <w:pStyle w:val="25"/>
        <w:bidi w:val="0"/>
        <w:rPr>
          <w:rFonts w:hint="eastAsia" w:ascii="Times New Roman" w:hAnsi="Times New Roman" w:cs="Times New Roman"/>
          <w:color w:val="auto"/>
          <w:lang w:val="en-US" w:eastAsia="zh-CN"/>
        </w:rPr>
      </w:pPr>
      <w:r>
        <w:rPr>
          <w:rFonts w:hint="default" w:ascii="Times New Roman" w:hAnsi="Times New Roman" w:cs="Times New Roman"/>
          <w:color w:val="auto"/>
        </w:rPr>
        <w:t>煤矸石必须做到随倒随压，避免碾压不及时或未进行保湿时，风吹扬尘造成二次污染。分区分单元分层作业，</w:t>
      </w:r>
      <w:r>
        <w:rPr>
          <w:rFonts w:hint="eastAsia" w:cs="Times New Roman"/>
          <w:color w:val="auto"/>
          <w:lang w:val="en-US" w:eastAsia="zh-CN"/>
        </w:rPr>
        <w:t>每个</w:t>
      </w:r>
      <w:r>
        <w:rPr>
          <w:rFonts w:hint="default" w:ascii="Times New Roman" w:hAnsi="Times New Roman" w:cs="Times New Roman"/>
          <w:color w:val="auto"/>
        </w:rPr>
        <w:t>单元面积1200m</w:t>
      </w:r>
      <w:r>
        <w:rPr>
          <w:rFonts w:hint="default" w:ascii="Times New Roman" w:hAnsi="Times New Roman" w:cs="Times New Roman"/>
          <w:color w:val="auto"/>
          <w:vertAlign w:val="superscript"/>
        </w:rPr>
        <w:t>2</w:t>
      </w:r>
      <w:r>
        <w:rPr>
          <w:rFonts w:hint="default" w:ascii="Times New Roman" w:hAnsi="Times New Roman" w:cs="Times New Roman"/>
          <w:color w:val="auto"/>
        </w:rPr>
        <w:t>，作业时作业单元周边设置围挡，高度不小于1.8m，对每日回填完成的作业单元进行及时苫布覆盖，</w:t>
      </w:r>
      <w:r>
        <w:rPr>
          <w:rFonts w:hint="eastAsia" w:cs="Times New Roman"/>
          <w:color w:val="auto"/>
          <w:lang w:val="en-US" w:eastAsia="zh-CN"/>
        </w:rPr>
        <w:t>对</w:t>
      </w:r>
      <w:r>
        <w:rPr>
          <w:rFonts w:hint="default" w:ascii="Times New Roman" w:hAnsi="Times New Roman" w:cs="Times New Roman"/>
          <w:color w:val="auto"/>
        </w:rPr>
        <w:t>非作业面采用苫布覆盖</w:t>
      </w:r>
      <w:r>
        <w:rPr>
          <w:rFonts w:hint="eastAsia" w:cs="Times New Roman"/>
          <w:color w:val="auto"/>
          <w:lang w:eastAsia="zh-CN"/>
        </w:rPr>
        <w:t>、</w:t>
      </w:r>
      <w:r>
        <w:rPr>
          <w:rFonts w:hint="eastAsia" w:cs="Times New Roman"/>
          <w:color w:val="auto"/>
          <w:lang w:val="en-US" w:eastAsia="zh-CN"/>
        </w:rPr>
        <w:t>定期洒水降尘</w:t>
      </w:r>
      <w:r>
        <w:rPr>
          <w:rFonts w:hint="default" w:ascii="Times New Roman" w:hAnsi="Times New Roman" w:cs="Times New Roman"/>
          <w:color w:val="auto"/>
        </w:rPr>
        <w:t>。</w:t>
      </w:r>
      <w:r>
        <w:rPr>
          <w:rFonts w:hint="eastAsia" w:cs="Times New Roman"/>
          <w:color w:val="auto"/>
          <w:lang w:val="en-US" w:eastAsia="zh-CN"/>
        </w:rPr>
        <w:t>分层对厂区进行回填，从最低处开始，由下向上整宽度分层铺填碾压或夯实，在地形起伏之处，应做好接搓，修筑1，2台阶形成边坡，每台阶高可取30cm,，宽100 cm。分段填筑时每层接缝处应作成大于1： 1.5的斜坡， 碾迹重叠0.5-1 m,上下层错缝距离不应小于1 m。接缝部位不得在基础、 墙角、柱墩等重要部位。煤矸石</w:t>
      </w:r>
      <w:r>
        <w:rPr>
          <w:rFonts w:hint="default" w:ascii="Times New Roman" w:hAnsi="Times New Roman" w:cs="Times New Roman"/>
          <w:color w:val="auto"/>
        </w:rPr>
        <w:t>随倒随压</w:t>
      </w:r>
      <w:r>
        <w:rPr>
          <w:rFonts w:hint="eastAsia" w:ascii="Times New Roman" w:hAnsi="Times New Roman" w:cs="Times New Roman"/>
          <w:color w:val="auto"/>
          <w:lang w:val="en-US" w:eastAsia="zh-CN"/>
        </w:rPr>
        <w:t>直釆用“薄填、漫驶、多次”的方法，填方厚度不应超过30cm；碾压方向应从两边逐渐向中间，碾轮每次重叠宽度约15-25 cm,避免漏压。运行中碾轮边距填方边缘应大于50cm,以防止 发生溜坡倾倒。边角、边坡边缘压实不到之处，应辅以人力夯或小型夯实机具夯实。压实密度，除另有规定外，应压至轮子下沉量不超过l2cm为度。</w:t>
      </w:r>
    </w:p>
    <w:p w14:paraId="6598A097">
      <w:pPr>
        <w:pStyle w:val="25"/>
        <w:bidi w:val="0"/>
        <w:ind w:left="0" w:leftChars="0" w:firstLine="0" w:firstLineChars="0"/>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平碾碾压一层完后，应用人工或推土机将表面拉毛。土层表面太干时，应洒水湿润后，继续回填，以保证上、下层结合良好。煤矸石压后立即进行洒水，进行保湿减少扬尘。</w:t>
      </w:r>
    </w:p>
    <w:p w14:paraId="72EF2644">
      <w:pPr>
        <w:pStyle w:val="25"/>
        <w:bidi w:val="0"/>
        <w:rPr>
          <w:rFonts w:hint="default" w:ascii="Times New Roman" w:hAnsi="Times New Roman" w:cs="Times New Roman"/>
          <w:color w:val="auto"/>
        </w:rPr>
      </w:pPr>
      <w:r>
        <w:rPr>
          <w:rFonts w:hint="default" w:ascii="Times New Roman" w:hAnsi="Times New Roman" w:cs="Times New Roman"/>
          <w:color w:val="auto"/>
        </w:rPr>
        <w:t>为减轻卸车时产生的灰尘对大气环境的影响，应注意控制卸车时的速度，在干燥天气，应配备水车，边卸车边适当洒水，减少灰尘飞扬。</w:t>
      </w:r>
    </w:p>
    <w:p w14:paraId="269B4C5B">
      <w:pPr>
        <w:pStyle w:val="25"/>
        <w:bidi w:val="0"/>
        <w:rPr>
          <w:rFonts w:hint="default" w:ascii="Times New Roman" w:hAnsi="Times New Roman" w:cs="Times New Roman"/>
          <w:color w:val="auto"/>
        </w:rPr>
      </w:pPr>
      <w:r>
        <w:rPr>
          <w:rFonts w:hint="default" w:ascii="Times New Roman" w:hAnsi="Times New Roman" w:cs="Times New Roman"/>
          <w:color w:val="auto"/>
        </w:rPr>
        <w:t>回填区运行管理中应建立严格的质量保证体系，对碾压煤矸石的干容量、含水量、喷洒质量、设备完好率、回填设施的安全进行检测和检查。</w:t>
      </w:r>
    </w:p>
    <w:p w14:paraId="7C703EC2">
      <w:pPr>
        <w:pStyle w:val="25"/>
        <w:bidi w:val="0"/>
        <w:rPr>
          <w:rFonts w:hint="default" w:ascii="Times New Roman" w:hAnsi="Times New Roman" w:cs="Times New Roman"/>
          <w:color w:val="auto"/>
        </w:rPr>
      </w:pPr>
      <w:r>
        <w:rPr>
          <w:rFonts w:hint="default" w:ascii="Times New Roman" w:hAnsi="Times New Roman" w:cs="Times New Roman"/>
          <w:color w:val="auto"/>
        </w:rPr>
        <w:t>制定严格的回填区回填作业的运行规章制度，加强岗前和岗中培训，培养工作人员的高度责任心和环保意识。加强回填区的运行管理和环境管理，建立管理制度，严格按规程操作，在现场要有专人管理，加强扬尘的监视和防治。</w:t>
      </w:r>
    </w:p>
    <w:p w14:paraId="185BCE28">
      <w:pPr>
        <w:pStyle w:val="25"/>
        <w:bidi w:val="0"/>
        <w:rPr>
          <w:rFonts w:hint="default" w:ascii="Times New Roman" w:hAnsi="Times New Roman" w:cs="Times New Roman"/>
          <w:color w:val="auto"/>
        </w:rPr>
      </w:pPr>
      <w:r>
        <w:rPr>
          <w:rFonts w:hint="default" w:ascii="Times New Roman" w:hAnsi="Times New Roman" w:cs="Times New Roman"/>
          <w:color w:val="auto"/>
        </w:rPr>
        <w:t>与当地气象部门建立合作关系，根据中期和近期的大风预报情况制订并调整回填作业运作程序。当风力大于四级时，当停止本项目的煤矸石等的运输，同时暂停本项目回填运作，并在大风来临之前加强回填区域洒水作业，并提前对回填单元进行遮盖；在大风期间，要缩短洒水的时间间隔，适当增加调湿干灰的水量，以防扬尘的发生。</w:t>
      </w:r>
    </w:p>
    <w:p w14:paraId="3A9B7E5B">
      <w:pPr>
        <w:pStyle w:val="25"/>
        <w:bidi w:val="0"/>
        <w:rPr>
          <w:rFonts w:hint="default" w:ascii="Times New Roman" w:hAnsi="Times New Roman" w:cs="Times New Roman"/>
          <w:color w:val="auto"/>
        </w:rPr>
      </w:pPr>
      <w:r>
        <w:rPr>
          <w:rFonts w:hint="default" w:ascii="Times New Roman" w:hAnsi="Times New Roman" w:cs="Times New Roman"/>
          <w:color w:val="auto"/>
        </w:rPr>
        <w:t>在大风、干燥季节来临前，回填区应备用苫布等遮盖物，以便于在大风、干燥季节对未进行碾压的煤矸石等临时苫护，避免扬尘的产生。</w:t>
      </w:r>
    </w:p>
    <w:p w14:paraId="1B99D670">
      <w:pPr>
        <w:pStyle w:val="25"/>
        <w:bidi w:val="0"/>
        <w:rPr>
          <w:rFonts w:hint="default" w:ascii="Times New Roman" w:hAnsi="Times New Roman" w:cs="Times New Roman"/>
          <w:color w:val="auto"/>
        </w:rPr>
      </w:pPr>
      <w:r>
        <w:rPr>
          <w:rFonts w:hint="default" w:ascii="Times New Roman" w:hAnsi="Times New Roman" w:cs="Times New Roman"/>
          <w:color w:val="auto"/>
        </w:rPr>
        <w:t>在回填区下风向设监测点，定期对总悬浮微粒进行监测，为环境管理提供数据。</w:t>
      </w:r>
    </w:p>
    <w:p w14:paraId="6E45E0DD">
      <w:pPr>
        <w:pStyle w:val="25"/>
        <w:bidi w:val="0"/>
        <w:rPr>
          <w:rFonts w:hint="default" w:ascii="Times New Roman" w:hAnsi="Times New Roman" w:cs="Times New Roman"/>
          <w:color w:val="auto"/>
        </w:rPr>
      </w:pPr>
      <w:r>
        <w:rPr>
          <w:rFonts w:hint="default" w:ascii="Times New Roman" w:hAnsi="Times New Roman" w:cs="Times New Roman"/>
          <w:color w:val="auto"/>
        </w:rPr>
        <w:t>2、回填区洒水</w:t>
      </w:r>
    </w:p>
    <w:p w14:paraId="77428EEF">
      <w:pPr>
        <w:pStyle w:val="25"/>
        <w:bidi w:val="0"/>
        <w:rPr>
          <w:rFonts w:hint="default" w:ascii="Times New Roman" w:hAnsi="Times New Roman" w:cs="Times New Roman"/>
          <w:color w:val="auto"/>
        </w:rPr>
      </w:pPr>
      <w:r>
        <w:rPr>
          <w:rFonts w:hint="default" w:ascii="Times New Roman" w:hAnsi="Times New Roman" w:cs="Times New Roman"/>
          <w:color w:val="auto"/>
        </w:rPr>
        <w:t>洒水是抑制扬尘的重要工程措施。洒水周期和水量应根据季节和天气，适时洒水，避免因风吹而扬灰。例如干燥多风季节应勤洒多洒，阴雨天气可以少洒或不洒。一般情况下，建议每天洒4次水，每次洒水深度2mm。配备1辆移动式洒水车，在</w:t>
      </w:r>
      <w:r>
        <w:rPr>
          <w:rFonts w:hint="default" w:ascii="Times New Roman" w:hAnsi="Times New Roman" w:cs="Times New Roman"/>
          <w:color w:val="auto"/>
          <w:lang w:eastAsia="zh-CN"/>
        </w:rPr>
        <w:t>施工期</w:t>
      </w:r>
      <w:r>
        <w:rPr>
          <w:rFonts w:hint="default" w:ascii="Times New Roman" w:hAnsi="Times New Roman" w:cs="Times New Roman"/>
          <w:color w:val="auto"/>
        </w:rPr>
        <w:t>间定期对作业面进行洒水降尘，洒水面积1200m</w:t>
      </w:r>
      <w:r>
        <w:rPr>
          <w:rFonts w:hint="default" w:ascii="Times New Roman" w:hAnsi="Times New Roman" w:cs="Times New Roman"/>
          <w:color w:val="auto"/>
          <w:vertAlign w:val="superscript"/>
        </w:rPr>
        <w:t>2</w:t>
      </w:r>
      <w:r>
        <w:rPr>
          <w:rFonts w:hint="default" w:ascii="Times New Roman" w:hAnsi="Times New Roman" w:cs="Times New Roman"/>
          <w:color w:val="auto"/>
        </w:rPr>
        <w:t>。在运行过程中应经常了解天气预报，避免扬尘污染。不得在大风天气作业。</w:t>
      </w:r>
    </w:p>
    <w:p w14:paraId="0B31827A">
      <w:pPr>
        <w:pStyle w:val="25"/>
        <w:bidi w:val="0"/>
        <w:rPr>
          <w:rFonts w:hint="default" w:ascii="Times New Roman" w:hAnsi="Times New Roman" w:cs="Times New Roman"/>
          <w:color w:val="auto"/>
        </w:rPr>
      </w:pPr>
      <w:r>
        <w:rPr>
          <w:rFonts w:hint="default" w:ascii="Times New Roman" w:hAnsi="Times New Roman" w:cs="Times New Roman"/>
          <w:color w:val="auto"/>
        </w:rPr>
        <w:t>3、雨天运行时应满足下列要求：</w:t>
      </w:r>
    </w:p>
    <w:p w14:paraId="52DBD213">
      <w:pPr>
        <w:pStyle w:val="25"/>
        <w:bidi w:val="0"/>
        <w:rPr>
          <w:rFonts w:hint="default" w:ascii="Times New Roman" w:hAnsi="Times New Roman" w:cs="Times New Roman"/>
          <w:color w:val="auto"/>
        </w:rPr>
      </w:pPr>
      <w:r>
        <w:rPr>
          <w:rFonts w:hint="default" w:ascii="Times New Roman" w:hAnsi="Times New Roman" w:cs="Times New Roman"/>
          <w:color w:val="auto"/>
        </w:rPr>
        <w:t>阴雨天时卸到现场的煤矸石应及时铺平、碾压，避免雨天时将松散灰堆在现场；压实后的煤矸石表面应保持平整，避免中到大雨时形成的径流冲蚀灰面；阴雨天气应适当降低调湿灰的含水量，并适当降低灰面碾压过程的喷洒水量；运灰罐车内的粘灰应及时清理；雨天灰面碾压工作应在积水区边缘30m以外进行，不得在积水区卸灰及碾压；</w:t>
      </w:r>
    </w:p>
    <w:p w14:paraId="0BFE2056">
      <w:pPr>
        <w:pStyle w:val="25"/>
        <w:bidi w:val="0"/>
        <w:rPr>
          <w:rFonts w:hint="default" w:ascii="Times New Roman" w:hAnsi="Times New Roman" w:cs="Times New Roman"/>
          <w:color w:val="auto"/>
        </w:rPr>
      </w:pPr>
      <w:r>
        <w:rPr>
          <w:rFonts w:hint="default" w:ascii="Times New Roman" w:hAnsi="Times New Roman" w:cs="Times New Roman"/>
          <w:color w:val="auto"/>
          <w:lang w:val="en-US" w:eastAsia="zh-CN"/>
        </w:rPr>
        <w:t>4</w:t>
      </w:r>
      <w:r>
        <w:rPr>
          <w:rFonts w:hint="default" w:ascii="Times New Roman" w:hAnsi="Times New Roman" w:cs="Times New Roman"/>
          <w:color w:val="auto"/>
        </w:rPr>
        <w:t>、运输过程扬尘防治对策</w:t>
      </w:r>
    </w:p>
    <w:p w14:paraId="64C25BF6">
      <w:pPr>
        <w:pStyle w:val="25"/>
        <w:bidi w:val="0"/>
        <w:rPr>
          <w:rFonts w:hint="default" w:ascii="Times New Roman" w:hAnsi="Times New Roman" w:cs="Times New Roman"/>
          <w:color w:val="auto"/>
        </w:rPr>
      </w:pPr>
      <w:r>
        <w:rPr>
          <w:rFonts w:hint="default" w:ascii="Times New Roman" w:hAnsi="Times New Roman" w:cs="Times New Roman"/>
          <w:color w:val="auto"/>
        </w:rPr>
        <w:t>为防止炉渣等运输过程产生的扬尘污染，环评要求采取以下措施：</w:t>
      </w:r>
    </w:p>
    <w:p w14:paraId="00CBB939">
      <w:pPr>
        <w:pStyle w:val="25"/>
        <w:bidi w:val="0"/>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 1 \* GB3 </w:instrText>
      </w:r>
      <w:r>
        <w:rPr>
          <w:rFonts w:hint="default" w:ascii="Times New Roman" w:hAnsi="Times New Roman" w:cs="Times New Roman"/>
          <w:color w:val="auto"/>
        </w:rPr>
        <w:fldChar w:fldCharType="separate"/>
      </w:r>
      <w:r>
        <w:rPr>
          <w:rFonts w:hint="default" w:ascii="Times New Roman" w:hAnsi="Times New Roman" w:cs="Times New Roman"/>
          <w:color w:val="auto"/>
        </w:rPr>
        <w:t>①</w:t>
      </w:r>
      <w:r>
        <w:rPr>
          <w:rFonts w:hint="default" w:ascii="Times New Roman" w:hAnsi="Times New Roman" w:cs="Times New Roman"/>
          <w:color w:val="auto"/>
        </w:rPr>
        <w:fldChar w:fldCharType="end"/>
      </w:r>
      <w:r>
        <w:rPr>
          <w:rFonts w:hint="default" w:ascii="Times New Roman" w:hAnsi="Times New Roman" w:cs="Times New Roman"/>
          <w:color w:val="auto"/>
        </w:rPr>
        <w:t>煤矸石应加湿后用专用运灰车运输。</w:t>
      </w:r>
    </w:p>
    <w:p w14:paraId="2E2F360A">
      <w:pPr>
        <w:pStyle w:val="25"/>
        <w:bidi w:val="0"/>
        <w:rPr>
          <w:rFonts w:hint="default" w:ascii="Times New Roman" w:hAnsi="Times New Roman" w:cs="Times New Roman"/>
          <w:color w:val="auto"/>
        </w:rPr>
      </w:pPr>
      <w:r>
        <w:rPr>
          <w:rFonts w:hint="default" w:ascii="Times New Roman" w:hAnsi="Times New Roman" w:cs="Times New Roman"/>
          <w:color w:val="auto"/>
        </w:rPr>
        <w:t>②运输车辆往返回填区，车厢板和轮胎会滞留有残灰，会造成煤矸石沿运灰道路抛洒、散失，应定时对运输车辆进行清洗，杜绝运输途中发生扬尘污染。严格禁止超高装车，防止煤矸石散落。</w:t>
      </w:r>
    </w:p>
    <w:p w14:paraId="0C8BEEB0">
      <w:pPr>
        <w:pStyle w:val="25"/>
        <w:bidi w:val="0"/>
        <w:rPr>
          <w:rFonts w:hint="default" w:ascii="Times New Roman" w:hAnsi="Times New Roman" w:cs="Times New Roman"/>
          <w:color w:val="auto"/>
        </w:rPr>
      </w:pPr>
      <w:r>
        <w:rPr>
          <w:rFonts w:hint="default" w:ascii="Times New Roman" w:hAnsi="Times New Roman" w:cs="Times New Roman"/>
          <w:color w:val="auto"/>
        </w:rPr>
        <w:t>③遇大风天气，为防止扬尘污染不得进行运输、回填作业。</w:t>
      </w:r>
    </w:p>
    <w:p w14:paraId="43ECF5D9">
      <w:pPr>
        <w:pStyle w:val="5"/>
        <w:bidi w:val="0"/>
        <w:rPr>
          <w:rFonts w:hint="default" w:ascii="Times New Roman" w:hAnsi="Times New Roman" w:cs="Times New Roman"/>
          <w:color w:val="auto"/>
        </w:rPr>
      </w:pPr>
      <w:r>
        <w:rPr>
          <w:rFonts w:hint="default" w:ascii="Times New Roman" w:hAnsi="Times New Roman" w:cs="Times New Roman"/>
          <w:color w:val="auto"/>
        </w:rPr>
        <w:t>6.</w:t>
      </w:r>
      <w:r>
        <w:rPr>
          <w:rFonts w:hint="default" w:ascii="Times New Roman" w:hAnsi="Times New Roman" w:cs="Times New Roman"/>
          <w:color w:val="auto"/>
          <w:lang w:val="en-US" w:eastAsia="zh-CN"/>
        </w:rPr>
        <w:t>1</w:t>
      </w:r>
      <w:r>
        <w:rPr>
          <w:rFonts w:hint="default" w:ascii="Times New Roman" w:hAnsi="Times New Roman" w:cs="Times New Roman"/>
          <w:color w:val="auto"/>
        </w:rPr>
        <w:t>.1.2机械尾气防治措施</w:t>
      </w:r>
    </w:p>
    <w:p w14:paraId="02A53CDC">
      <w:pPr>
        <w:pStyle w:val="25"/>
        <w:bidi w:val="0"/>
        <w:rPr>
          <w:rFonts w:hint="default" w:ascii="Times New Roman" w:hAnsi="Times New Roman" w:cs="Times New Roman"/>
          <w:color w:val="auto"/>
        </w:rPr>
      </w:pPr>
      <w:r>
        <w:rPr>
          <w:rFonts w:hint="default" w:ascii="Times New Roman" w:hAnsi="Times New Roman" w:cs="Times New Roman"/>
          <w:color w:val="auto"/>
        </w:rPr>
        <w:t>优先选用质量好、设计环保的机械设备，使用高品质柴油，降低对空气的污染；定期对机械进行维修和检查，对于使用时间过长、技术落后、技术状况差、耗油量大、污染严重的机械，严格按照相关标准予以报废。</w:t>
      </w:r>
    </w:p>
    <w:p w14:paraId="7BF8FB6A">
      <w:pPr>
        <w:pStyle w:val="5"/>
        <w:bidi w:val="0"/>
        <w:rPr>
          <w:rFonts w:hint="default" w:ascii="Times New Roman" w:hAnsi="Times New Roman" w:cs="Times New Roman"/>
          <w:color w:val="auto"/>
        </w:rPr>
      </w:pPr>
      <w:r>
        <w:rPr>
          <w:rFonts w:hint="default" w:ascii="Times New Roman" w:hAnsi="Times New Roman" w:cs="Times New Roman"/>
          <w:color w:val="auto"/>
        </w:rPr>
        <w:t>6.</w:t>
      </w:r>
      <w:r>
        <w:rPr>
          <w:rFonts w:hint="default" w:ascii="Times New Roman" w:hAnsi="Times New Roman" w:cs="Times New Roman"/>
          <w:color w:val="auto"/>
          <w:lang w:val="en-US" w:eastAsia="zh-CN"/>
        </w:rPr>
        <w:t>1</w:t>
      </w:r>
      <w:r>
        <w:rPr>
          <w:rFonts w:hint="default" w:ascii="Times New Roman" w:hAnsi="Times New Roman" w:cs="Times New Roman"/>
          <w:color w:val="auto"/>
        </w:rPr>
        <w:t>.1.3小结</w:t>
      </w:r>
    </w:p>
    <w:p w14:paraId="3AEC6786">
      <w:pPr>
        <w:pStyle w:val="25"/>
        <w:bidi w:val="0"/>
        <w:rPr>
          <w:rFonts w:hint="default" w:ascii="Times New Roman" w:hAnsi="Times New Roman" w:cs="Times New Roman"/>
          <w:color w:val="auto"/>
        </w:rPr>
      </w:pPr>
      <w:r>
        <w:rPr>
          <w:rFonts w:hint="default" w:ascii="Times New Roman" w:hAnsi="Times New Roman" w:cs="Times New Roman"/>
          <w:color w:val="auto"/>
        </w:rPr>
        <w:t>综上所述，</w:t>
      </w:r>
      <w:r>
        <w:rPr>
          <w:rFonts w:hint="default" w:ascii="Times New Roman" w:hAnsi="Times New Roman" w:cs="Times New Roman"/>
          <w:color w:val="auto"/>
          <w:lang w:val="en-US" w:eastAsia="zh-CN"/>
        </w:rPr>
        <w:t>施工</w:t>
      </w:r>
      <w:r>
        <w:rPr>
          <w:rFonts w:hint="default" w:ascii="Times New Roman" w:hAnsi="Times New Roman" w:cs="Times New Roman"/>
          <w:color w:val="auto"/>
        </w:rPr>
        <w:t>过程中产生的扬尘均为无组织排放，现场的扬尘将对周边环境空气造成一定程度的污染，但这种污染是短期的，工程结束后，将不再存在。</w:t>
      </w:r>
      <w:r>
        <w:rPr>
          <w:rFonts w:hint="default" w:ascii="Times New Roman" w:hAnsi="Times New Roman" w:cs="Times New Roman"/>
          <w:color w:val="auto"/>
          <w:lang w:eastAsia="zh-CN"/>
        </w:rPr>
        <w:t>施工期</w:t>
      </w:r>
      <w:r>
        <w:rPr>
          <w:rFonts w:hint="default" w:ascii="Times New Roman" w:hAnsi="Times New Roman" w:cs="Times New Roman"/>
          <w:color w:val="auto"/>
        </w:rPr>
        <w:t>废气拟采取的污染防治措施主要为：作业时周边设置围挡，高度不小于1.8m，回填面及时覆盖，运输车辆采取篷布遮盖、封闭车厢、罐车运输等密闭措施，并控制车速；回填区配备洒水车辆，对运输道路及作业区进行洒水降尘，使用高品质柴油，定期对机械进行检修。采取上述措施后，经估算场界污染物浓度可达到《大气污染物综合排放标准》（GB16297-1996）中的表2无组织排放监控浓度限值，敏感点及区域环境空气满足《环境空气质量标准》（GB3095-2012）及修改单二级标准的要求，对区域环境空气产生的影响可以接受。</w:t>
      </w:r>
    </w:p>
    <w:p w14:paraId="50B13504">
      <w:pPr>
        <w:pStyle w:val="39"/>
        <w:bidi w:val="0"/>
        <w:rPr>
          <w:rFonts w:hint="default" w:ascii="Times New Roman" w:hAnsi="Times New Roman" w:cs="Times New Roman"/>
          <w:color w:val="auto"/>
        </w:rPr>
      </w:pPr>
      <w:r>
        <w:rPr>
          <w:rFonts w:hint="default" w:ascii="Times New Roman" w:hAnsi="Times New Roman" w:cs="Times New Roman"/>
          <w:color w:val="auto"/>
        </w:rPr>
        <w:t>6.1.2施工期水环境保护措施</w:t>
      </w:r>
      <w:bookmarkEnd w:id="325"/>
    </w:p>
    <w:p w14:paraId="3D8EDF9B">
      <w:pPr>
        <w:pStyle w:val="25"/>
        <w:bidi w:val="0"/>
        <w:rPr>
          <w:rFonts w:hint="default" w:ascii="Times New Roman" w:hAnsi="Times New Roman" w:cs="Times New Roman"/>
          <w:color w:val="auto"/>
        </w:rPr>
      </w:pPr>
      <w:r>
        <w:rPr>
          <w:rFonts w:hint="default" w:ascii="Times New Roman" w:hAnsi="Times New Roman" w:cs="Times New Roman"/>
          <w:color w:val="auto"/>
        </w:rPr>
        <w:t>施工期废水主要为生活污水、施工废水</w:t>
      </w:r>
      <w:r>
        <w:rPr>
          <w:rFonts w:hint="default" w:ascii="Times New Roman" w:hAnsi="Times New Roman" w:cs="Times New Roman"/>
          <w:color w:val="auto"/>
          <w:lang w:val="en-US" w:eastAsia="zh-CN"/>
        </w:rPr>
        <w:t>等</w:t>
      </w:r>
      <w:r>
        <w:rPr>
          <w:rFonts w:hint="default" w:ascii="Times New Roman" w:hAnsi="Times New Roman" w:cs="Times New Roman"/>
          <w:color w:val="auto"/>
        </w:rPr>
        <w:t>。</w:t>
      </w:r>
    </w:p>
    <w:p w14:paraId="38C6B941">
      <w:pPr>
        <w:pStyle w:val="25"/>
        <w:bidi w:val="0"/>
        <w:rPr>
          <w:rFonts w:hint="default" w:ascii="Times New Roman" w:hAnsi="Times New Roman" w:cs="Times New Roman"/>
          <w:color w:val="auto"/>
        </w:rPr>
      </w:pPr>
      <w:r>
        <w:rPr>
          <w:rFonts w:hint="default" w:ascii="Times New Roman" w:hAnsi="Times New Roman" w:cs="Times New Roman"/>
          <w:color w:val="auto"/>
        </w:rPr>
        <w:t>1、施工人员生活污水排入依托租赁的民房配套的防渗旱厕，定期清掏，可不外排，对环境影响很小。</w:t>
      </w:r>
    </w:p>
    <w:p w14:paraId="37B836D4">
      <w:pPr>
        <w:pStyle w:val="25"/>
        <w:bidi w:val="0"/>
        <w:rPr>
          <w:rFonts w:hint="default" w:ascii="Times New Roman" w:hAnsi="Times New Roman" w:cs="Times New Roman"/>
          <w:color w:val="auto"/>
        </w:rPr>
      </w:pPr>
      <w:r>
        <w:rPr>
          <w:rFonts w:hint="default" w:ascii="Times New Roman" w:hAnsi="Times New Roman" w:cs="Times New Roman"/>
          <w:color w:val="auto"/>
        </w:rPr>
        <w:t>2、</w:t>
      </w:r>
      <w:r>
        <w:rPr>
          <w:rFonts w:hint="eastAsia" w:cs="Times New Roman"/>
          <w:color w:val="auto"/>
          <w:highlight w:val="none"/>
          <w:lang w:val="en-US" w:eastAsia="zh-CN"/>
        </w:rPr>
        <w:t>本项目设置沉淀池一座，用于矿坑废水沉淀及施工期雨水收集沉淀，容积为500m</w:t>
      </w:r>
      <w:r>
        <w:rPr>
          <w:rFonts w:hint="eastAsia" w:cs="Times New Roman"/>
          <w:color w:val="auto"/>
          <w:highlight w:val="none"/>
          <w:vertAlign w:val="superscript"/>
          <w:lang w:val="en-US" w:eastAsia="zh-CN"/>
        </w:rPr>
        <w:t>3</w:t>
      </w:r>
      <w:r>
        <w:rPr>
          <w:rFonts w:hint="eastAsia" w:cs="Times New Roman"/>
          <w:color w:val="auto"/>
          <w:highlight w:val="none"/>
          <w:vertAlign w:val="baseline"/>
          <w:lang w:val="en-US" w:eastAsia="zh-CN"/>
        </w:rPr>
        <w:t>，</w:t>
      </w:r>
      <w:r>
        <w:rPr>
          <w:rFonts w:hint="default" w:ascii="Times New Roman" w:hAnsi="Times New Roman" w:cs="Times New Roman"/>
          <w:color w:val="auto"/>
        </w:rPr>
        <w:t>施工过程中产生的施工废水</w:t>
      </w:r>
      <w:r>
        <w:rPr>
          <w:rFonts w:hint="default" w:ascii="Times New Roman" w:hAnsi="Times New Roman" w:cs="Times New Roman"/>
          <w:color w:val="auto"/>
          <w:lang w:val="en-US" w:eastAsia="zh-CN"/>
        </w:rPr>
        <w:t>排入沉淀池沉淀后，</w:t>
      </w:r>
      <w:r>
        <w:rPr>
          <w:rFonts w:hint="default" w:ascii="Times New Roman" w:hAnsi="Times New Roman" w:cs="Times New Roman"/>
          <w:color w:val="auto"/>
        </w:rPr>
        <w:t>用于洒水抑尘，不外排。</w:t>
      </w:r>
    </w:p>
    <w:p w14:paraId="31514585">
      <w:pPr>
        <w:pStyle w:val="25"/>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3、项目</w:t>
      </w:r>
      <w:r>
        <w:rPr>
          <w:rFonts w:hint="default" w:ascii="Times New Roman" w:hAnsi="Times New Roman" w:cs="Times New Roman"/>
          <w:color w:val="auto"/>
        </w:rPr>
        <w:t>区四周设置</w:t>
      </w:r>
      <w:r>
        <w:rPr>
          <w:rFonts w:hint="default" w:ascii="Times New Roman" w:hAnsi="Times New Roman" w:cs="Times New Roman"/>
          <w:color w:val="auto"/>
          <w:lang w:val="en-US" w:eastAsia="zh-CN"/>
        </w:rPr>
        <w:t>截排水沟</w:t>
      </w:r>
      <w:r>
        <w:rPr>
          <w:rFonts w:hint="default" w:ascii="Times New Roman" w:hAnsi="Times New Roman" w:cs="Times New Roman"/>
          <w:color w:val="auto"/>
        </w:rPr>
        <w:t>，鸡西市城子河区兴顺采石场(2#)回填区库底东南至西北方向设置1条</w:t>
      </w:r>
      <w:r>
        <w:rPr>
          <w:rFonts w:hint="default" w:ascii="Times New Roman" w:hAnsi="Times New Roman" w:cs="Times New Roman"/>
          <w:color w:val="auto"/>
          <w:lang w:val="en-US" w:eastAsia="zh-CN"/>
        </w:rPr>
        <w:t>截排水沟</w:t>
      </w:r>
      <w:r>
        <w:rPr>
          <w:rFonts w:hint="default" w:ascii="Times New Roman" w:hAnsi="Times New Roman" w:cs="Times New Roman"/>
          <w:color w:val="auto"/>
          <w:lang w:eastAsia="zh-CN"/>
        </w:rPr>
        <w:t>；</w:t>
      </w:r>
      <w:r>
        <w:rPr>
          <w:rFonts w:hint="default" w:ascii="Times New Roman" w:hAnsi="Times New Roman" w:cs="Times New Roman"/>
          <w:color w:val="auto"/>
        </w:rPr>
        <w:t>鸡西市城子河区城东一队废弃采石场（14#）截排水沟长度为492m</w:t>
      </w:r>
      <w:r>
        <w:rPr>
          <w:rFonts w:hint="default" w:ascii="Times New Roman" w:hAnsi="Times New Roman" w:cs="Times New Roman"/>
          <w:color w:val="auto"/>
          <w:lang w:eastAsia="zh-CN"/>
        </w:rPr>
        <w:t>；</w:t>
      </w:r>
      <w:r>
        <w:rPr>
          <w:rFonts w:hint="default" w:ascii="Times New Roman" w:hAnsi="Times New Roman" w:cs="Times New Roman"/>
          <w:color w:val="auto"/>
        </w:rPr>
        <w:t>鸡西市城子河区水泥厂后山废弃采石场(21#)截排水沟长度为</w:t>
      </w:r>
      <w:r>
        <w:rPr>
          <w:rFonts w:hint="default" w:ascii="Times New Roman" w:hAnsi="Times New Roman" w:cs="Times New Roman"/>
          <w:color w:val="auto"/>
          <w:lang w:val="en-US" w:eastAsia="zh-CN"/>
        </w:rPr>
        <w:t>570.4</w:t>
      </w:r>
      <w:r>
        <w:rPr>
          <w:rFonts w:hint="default" w:ascii="Times New Roman" w:hAnsi="Times New Roman" w:cs="Times New Roman"/>
          <w:color w:val="auto"/>
        </w:rPr>
        <w:t>m。</w:t>
      </w:r>
      <w:r>
        <w:rPr>
          <w:rFonts w:hint="default" w:ascii="Times New Roman" w:hAnsi="Times New Roman" w:cs="Times New Roman"/>
          <w:color w:val="auto"/>
          <w:lang w:val="en-US" w:eastAsia="zh-CN"/>
        </w:rPr>
        <w:t>将项目区</w:t>
      </w:r>
      <w:r>
        <w:rPr>
          <w:rFonts w:hint="default" w:ascii="Times New Roman" w:hAnsi="Times New Roman" w:cs="Times New Roman"/>
          <w:color w:val="auto"/>
        </w:rPr>
        <w:t>外汇集的雨水和堆体径流的雨水排出场外</w:t>
      </w:r>
      <w:r>
        <w:rPr>
          <w:rFonts w:hint="default" w:ascii="Times New Roman" w:hAnsi="Times New Roman" w:cs="Times New Roman"/>
          <w:color w:val="auto"/>
          <w:lang w:eastAsia="zh-CN"/>
        </w:rPr>
        <w:t>。</w:t>
      </w:r>
    </w:p>
    <w:p w14:paraId="57408D41">
      <w:pPr>
        <w:pStyle w:val="25"/>
        <w:bidi w:val="0"/>
        <w:rPr>
          <w:rFonts w:hint="default" w:ascii="Times New Roman" w:hAnsi="Times New Roman" w:cs="Times New Roman"/>
          <w:color w:val="auto"/>
        </w:rPr>
      </w:pPr>
      <w:r>
        <w:rPr>
          <w:rFonts w:hint="default" w:ascii="Times New Roman" w:hAnsi="Times New Roman" w:cs="Times New Roman"/>
          <w:color w:val="auto"/>
        </w:rPr>
        <w:t>综上所述，本项目</w:t>
      </w:r>
      <w:r>
        <w:rPr>
          <w:rFonts w:hint="default" w:ascii="Times New Roman" w:hAnsi="Times New Roman" w:cs="Times New Roman"/>
          <w:color w:val="auto"/>
          <w:lang w:val="en-US" w:eastAsia="zh-CN"/>
        </w:rPr>
        <w:t>无废水外排，对</w:t>
      </w:r>
      <w:r>
        <w:rPr>
          <w:rFonts w:hint="default" w:ascii="Times New Roman" w:hAnsi="Times New Roman" w:cs="Times New Roman"/>
          <w:color w:val="auto"/>
        </w:rPr>
        <w:t>水环境</w:t>
      </w:r>
      <w:r>
        <w:rPr>
          <w:rFonts w:hint="default" w:ascii="Times New Roman" w:hAnsi="Times New Roman" w:cs="Times New Roman"/>
          <w:color w:val="auto"/>
          <w:lang w:val="en-US" w:eastAsia="zh-CN"/>
        </w:rPr>
        <w:t>影响较小，</w:t>
      </w:r>
      <w:r>
        <w:rPr>
          <w:rFonts w:hint="default" w:ascii="Times New Roman" w:hAnsi="Times New Roman" w:cs="Times New Roman"/>
          <w:color w:val="auto"/>
        </w:rPr>
        <w:t>保护措施可行。</w:t>
      </w:r>
    </w:p>
    <w:p w14:paraId="469B5862">
      <w:pPr>
        <w:pStyle w:val="39"/>
        <w:bidi w:val="0"/>
        <w:rPr>
          <w:rFonts w:hint="default" w:ascii="Times New Roman" w:hAnsi="Times New Roman" w:cs="Times New Roman"/>
          <w:color w:val="auto"/>
        </w:rPr>
      </w:pPr>
      <w:bookmarkStart w:id="326" w:name="_Toc24312"/>
      <w:r>
        <w:rPr>
          <w:rFonts w:hint="default" w:ascii="Times New Roman" w:hAnsi="Times New Roman" w:cs="Times New Roman"/>
          <w:color w:val="auto"/>
        </w:rPr>
        <w:t>6.1.3施工期声环境保护措施</w:t>
      </w:r>
      <w:bookmarkEnd w:id="326"/>
    </w:p>
    <w:p w14:paraId="1DFCF49F">
      <w:pPr>
        <w:pStyle w:val="25"/>
        <w:bidi w:val="0"/>
        <w:rPr>
          <w:rFonts w:hint="default" w:ascii="Times New Roman" w:hAnsi="Times New Roman" w:cs="Times New Roman"/>
          <w:color w:val="auto"/>
        </w:rPr>
      </w:pPr>
      <w:bookmarkStart w:id="327" w:name="_Toc9146"/>
      <w:r>
        <w:rPr>
          <w:rFonts w:hint="default" w:ascii="Times New Roman" w:hAnsi="Times New Roman" w:cs="Times New Roman"/>
          <w:color w:val="auto"/>
        </w:rPr>
        <w:t>本项目</w:t>
      </w:r>
      <w:r>
        <w:rPr>
          <w:rFonts w:hint="default" w:ascii="Times New Roman" w:hAnsi="Times New Roman" w:cs="Times New Roman"/>
          <w:color w:val="auto"/>
          <w:lang w:eastAsia="zh-CN"/>
        </w:rPr>
        <w:t>施工期</w:t>
      </w:r>
      <w:r>
        <w:rPr>
          <w:rFonts w:hint="default" w:ascii="Times New Roman" w:hAnsi="Times New Roman" w:cs="Times New Roman"/>
          <w:color w:val="auto"/>
        </w:rPr>
        <w:t>噪声源主要来自运输车噪声和设备噪声，拟采取的污染防治措施如下：</w:t>
      </w:r>
    </w:p>
    <w:p w14:paraId="5D5CC7B1">
      <w:pPr>
        <w:pStyle w:val="25"/>
        <w:bidi w:val="0"/>
        <w:rPr>
          <w:rFonts w:hint="default" w:ascii="Times New Roman" w:hAnsi="Times New Roman" w:cs="Times New Roman"/>
          <w:color w:val="auto"/>
        </w:rPr>
      </w:pPr>
      <w:r>
        <w:rPr>
          <w:rFonts w:hint="default" w:ascii="Times New Roman" w:hAnsi="Times New Roman" w:cs="Times New Roman"/>
          <w:color w:val="auto"/>
        </w:rPr>
        <w:t>（1）噪声控制措施</w:t>
      </w:r>
    </w:p>
    <w:p w14:paraId="6A869CD6">
      <w:pPr>
        <w:pStyle w:val="25"/>
        <w:bidi w:val="0"/>
        <w:rPr>
          <w:rFonts w:hint="default" w:ascii="Times New Roman" w:hAnsi="Times New Roman" w:cs="Times New Roman"/>
          <w:color w:val="auto"/>
        </w:rPr>
      </w:pPr>
      <w:r>
        <w:rPr>
          <w:rFonts w:hint="default" w:ascii="Times New Roman" w:hAnsi="Times New Roman" w:cs="Times New Roman"/>
          <w:color w:val="auto"/>
        </w:rPr>
        <w:t>①优先选用低噪声设备。尽可能选取运行精度高、噪声低，配备有减振、降噪装置的生产设备。</w:t>
      </w:r>
    </w:p>
    <w:p w14:paraId="53CA8E2B">
      <w:pPr>
        <w:pStyle w:val="25"/>
        <w:bidi w:val="0"/>
        <w:rPr>
          <w:rFonts w:hint="default" w:ascii="Times New Roman" w:hAnsi="Times New Roman" w:cs="Times New Roman"/>
          <w:color w:val="auto"/>
        </w:rPr>
      </w:pPr>
      <w:r>
        <w:rPr>
          <w:rFonts w:hint="default" w:ascii="Times New Roman" w:hAnsi="Times New Roman" w:cs="Times New Roman"/>
          <w:color w:val="auto"/>
        </w:rPr>
        <w:t>②回填区设置围挡，减少噪声对周围环境的影响。</w:t>
      </w:r>
    </w:p>
    <w:p w14:paraId="58E3DC31">
      <w:pPr>
        <w:pStyle w:val="25"/>
        <w:bidi w:val="0"/>
        <w:rPr>
          <w:rFonts w:hint="default" w:ascii="Times New Roman" w:hAnsi="Times New Roman" w:cs="Times New Roman"/>
          <w:color w:val="auto"/>
        </w:rPr>
      </w:pPr>
      <w:r>
        <w:rPr>
          <w:rFonts w:hint="default" w:ascii="Times New Roman" w:hAnsi="Times New Roman" w:cs="Times New Roman"/>
          <w:color w:val="auto"/>
        </w:rPr>
        <w:t>（2）交通噪声控制措施</w:t>
      </w:r>
    </w:p>
    <w:p w14:paraId="6D7A82FB">
      <w:pPr>
        <w:pStyle w:val="25"/>
        <w:bidi w:val="0"/>
        <w:rPr>
          <w:rFonts w:hint="default" w:ascii="Times New Roman" w:hAnsi="Times New Roman" w:cs="Times New Roman"/>
          <w:color w:val="auto"/>
        </w:rPr>
      </w:pPr>
      <w:r>
        <w:rPr>
          <w:rFonts w:hint="default" w:ascii="Times New Roman" w:hAnsi="Times New Roman" w:cs="Times New Roman"/>
          <w:color w:val="auto"/>
        </w:rPr>
        <w:t>①机动车辆必须加强维修和保养，保持技术性能良好；要强化车辆行驶规章制度；加强人员环保意识。</w:t>
      </w:r>
    </w:p>
    <w:p w14:paraId="50C7AA7D">
      <w:pPr>
        <w:pStyle w:val="25"/>
        <w:bidi w:val="0"/>
        <w:rPr>
          <w:rFonts w:hint="default" w:ascii="Times New Roman" w:hAnsi="Times New Roman" w:cs="Times New Roman"/>
          <w:color w:val="auto"/>
        </w:rPr>
      </w:pPr>
      <w:r>
        <w:rPr>
          <w:rFonts w:hint="default" w:ascii="Times New Roman" w:hAnsi="Times New Roman" w:cs="Times New Roman"/>
          <w:color w:val="auto"/>
        </w:rPr>
        <w:t>②运输车辆经过沿线村庄时将车速控制在20km/h以下、禁止鸣笛；</w:t>
      </w:r>
    </w:p>
    <w:p w14:paraId="10FC42BB">
      <w:pPr>
        <w:pStyle w:val="25"/>
        <w:bidi w:val="0"/>
        <w:rPr>
          <w:rFonts w:hint="default" w:ascii="Times New Roman" w:hAnsi="Times New Roman" w:cs="Times New Roman"/>
          <w:color w:val="auto"/>
        </w:rPr>
      </w:pPr>
      <w:r>
        <w:rPr>
          <w:rFonts w:hint="default" w:ascii="Times New Roman" w:hAnsi="Times New Roman" w:cs="Times New Roman"/>
          <w:color w:val="auto"/>
        </w:rPr>
        <w:t>③同时加强道路、车辆养护，减少噪声产生。</w:t>
      </w:r>
    </w:p>
    <w:p w14:paraId="121E3796">
      <w:pPr>
        <w:pStyle w:val="25"/>
        <w:bidi w:val="0"/>
        <w:rPr>
          <w:rFonts w:hint="default" w:ascii="Times New Roman" w:hAnsi="Times New Roman" w:cs="Times New Roman"/>
          <w:color w:val="auto"/>
        </w:rPr>
      </w:pPr>
      <w:r>
        <w:rPr>
          <w:rFonts w:hint="default" w:ascii="Times New Roman" w:hAnsi="Times New Roman" w:cs="Times New Roman"/>
          <w:color w:val="auto"/>
        </w:rPr>
        <w:t>（3）加强生产管理</w:t>
      </w:r>
    </w:p>
    <w:p w14:paraId="751D41FB">
      <w:pPr>
        <w:pStyle w:val="25"/>
        <w:bidi w:val="0"/>
        <w:rPr>
          <w:rFonts w:hint="default" w:ascii="Times New Roman" w:hAnsi="Times New Roman" w:cs="Times New Roman"/>
          <w:color w:val="auto"/>
        </w:rPr>
      </w:pPr>
      <w:r>
        <w:rPr>
          <w:rFonts w:hint="default" w:ascii="Times New Roman" w:hAnsi="Times New Roman" w:cs="Times New Roman"/>
          <w:color w:val="auto"/>
        </w:rPr>
        <w:t>提高自动控制水平，为操作人员配备噪声防护装备；设备、车辆定期维护保养，减少非正常运营噪声产生；加强员工岗位培训，按规程操作，文明生产。</w:t>
      </w:r>
    </w:p>
    <w:p w14:paraId="55180F6E">
      <w:pPr>
        <w:pStyle w:val="25"/>
        <w:bidi w:val="0"/>
        <w:rPr>
          <w:rFonts w:hint="default" w:ascii="Times New Roman" w:hAnsi="Times New Roman" w:cs="Times New Roman"/>
          <w:color w:val="auto"/>
        </w:rPr>
      </w:pPr>
      <w:r>
        <w:rPr>
          <w:rFonts w:hint="default" w:ascii="Times New Roman" w:hAnsi="Times New Roman" w:cs="Times New Roman"/>
          <w:color w:val="auto"/>
        </w:rPr>
        <w:t>经降噪措施降噪和距离衰减后，项目对厂界外环境噪声影响很小，厂界噪声满足《工业企业厂界环境噪声排放标准》(GB12348-2008）表1中1类标准要求。运输道路敏感点处噪声满足《声环境质量标准》（GB3096-2008）中1类、2类标准要求。</w:t>
      </w:r>
    </w:p>
    <w:p w14:paraId="47A72B11">
      <w:pPr>
        <w:pStyle w:val="39"/>
        <w:bidi w:val="0"/>
        <w:rPr>
          <w:rFonts w:hint="default" w:ascii="Times New Roman" w:hAnsi="Times New Roman" w:cs="Times New Roman"/>
          <w:color w:val="auto"/>
        </w:rPr>
      </w:pPr>
      <w:r>
        <w:rPr>
          <w:rFonts w:hint="default" w:ascii="Times New Roman" w:hAnsi="Times New Roman" w:cs="Times New Roman"/>
          <w:color w:val="auto"/>
        </w:rPr>
        <w:t>6.1.4施工期固体废物处置措施</w:t>
      </w:r>
      <w:bookmarkEnd w:id="327"/>
    </w:p>
    <w:p w14:paraId="1C333952">
      <w:pPr>
        <w:pStyle w:val="25"/>
        <w:bidi w:val="0"/>
        <w:rPr>
          <w:rFonts w:hint="default" w:ascii="Times New Roman" w:hAnsi="Times New Roman" w:cs="Times New Roman"/>
          <w:color w:val="auto"/>
        </w:rPr>
      </w:pPr>
      <w:r>
        <w:rPr>
          <w:rFonts w:hint="default" w:ascii="Times New Roman" w:hAnsi="Times New Roman" w:cs="Times New Roman"/>
          <w:color w:val="auto"/>
        </w:rPr>
        <w:t>固体废物主要为</w:t>
      </w:r>
      <w:r>
        <w:rPr>
          <w:rFonts w:hint="default" w:ascii="Times New Roman" w:hAnsi="Times New Roman" w:cs="Times New Roman"/>
          <w:color w:val="auto"/>
          <w:lang w:val="en-US" w:eastAsia="zh-CN"/>
        </w:rPr>
        <w:t>施工</w:t>
      </w:r>
      <w:r>
        <w:rPr>
          <w:rFonts w:hint="default" w:ascii="Times New Roman" w:hAnsi="Times New Roman" w:cs="Times New Roman"/>
          <w:color w:val="auto"/>
        </w:rPr>
        <w:t>开挖产生的土方、建筑废弃物、</w:t>
      </w:r>
      <w:r>
        <w:rPr>
          <w:rFonts w:hint="eastAsia" w:cs="Times New Roman"/>
          <w:color w:val="auto"/>
          <w:lang w:val="en-US" w:eastAsia="zh-CN"/>
        </w:rPr>
        <w:t>清理基岩、</w:t>
      </w:r>
      <w:r>
        <w:rPr>
          <w:rFonts w:hint="default" w:ascii="Times New Roman" w:hAnsi="Times New Roman" w:cs="Times New Roman"/>
          <w:color w:val="auto"/>
        </w:rPr>
        <w:t>清基杂物和生活垃圾</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沉渣</w:t>
      </w:r>
      <w:r>
        <w:rPr>
          <w:rFonts w:hint="default" w:ascii="Times New Roman" w:hAnsi="Times New Roman" w:cs="Times New Roman"/>
          <w:color w:val="auto"/>
        </w:rPr>
        <w:t>。</w:t>
      </w:r>
    </w:p>
    <w:p w14:paraId="78560B05">
      <w:pPr>
        <w:pStyle w:val="25"/>
        <w:bidi w:val="0"/>
        <w:rPr>
          <w:rFonts w:hint="default" w:ascii="Times New Roman" w:hAnsi="Times New Roman" w:cs="Times New Roman"/>
          <w:color w:val="auto"/>
          <w:lang w:val="en-US" w:eastAsia="zh-CN"/>
        </w:rPr>
      </w:pPr>
      <w:r>
        <w:rPr>
          <w:rFonts w:hint="default" w:ascii="Times New Roman" w:hAnsi="Times New Roman" w:cs="Times New Roman"/>
          <w:color w:val="auto"/>
        </w:rPr>
        <w:t>施工单位应遵照当地建筑垃圾管理办法进行处置，把产生的建筑垃圾充分、合理地利用起来，贯彻变“废”为“宝”和清洁生产的理念。建筑材料下脚料、包装袋等建筑废弃物，外售废品回收部门；开挖土方作为基础工程用土回填，无弃方；生活垃圾和清基杂物集中收集后由市政统一处理。</w:t>
      </w:r>
      <w:r>
        <w:rPr>
          <w:rFonts w:hint="eastAsia" w:cs="Times New Roman"/>
          <w:color w:val="auto"/>
          <w:lang w:val="en-US" w:eastAsia="zh-CN"/>
        </w:rPr>
        <w:t>清理基岩及</w:t>
      </w:r>
      <w:r>
        <w:rPr>
          <w:rFonts w:hint="default" w:ascii="Times New Roman" w:hAnsi="Times New Roman" w:cs="Times New Roman"/>
          <w:color w:val="auto"/>
          <w:lang w:val="en-US" w:eastAsia="zh-CN"/>
        </w:rPr>
        <w:t>沉淀池沉渣直接</w:t>
      </w:r>
      <w:r>
        <w:rPr>
          <w:rFonts w:hint="eastAsia" w:cs="Times New Roman"/>
          <w:color w:val="auto"/>
          <w:lang w:val="en-US" w:eastAsia="zh-CN"/>
        </w:rPr>
        <w:t>用于厂区平整</w:t>
      </w:r>
      <w:r>
        <w:rPr>
          <w:rFonts w:hint="default" w:ascii="Times New Roman" w:hAnsi="Times New Roman" w:cs="Times New Roman"/>
          <w:color w:val="auto"/>
          <w:lang w:val="en-US" w:eastAsia="zh-CN"/>
        </w:rPr>
        <w:t>。</w:t>
      </w:r>
    </w:p>
    <w:p w14:paraId="6B8CF3F4">
      <w:pPr>
        <w:pStyle w:val="25"/>
        <w:bidi w:val="0"/>
        <w:rPr>
          <w:rFonts w:hint="default" w:ascii="Times New Roman" w:hAnsi="Times New Roman" w:cs="Times New Roman"/>
          <w:color w:val="auto"/>
        </w:rPr>
      </w:pPr>
      <w:r>
        <w:rPr>
          <w:rFonts w:hint="default" w:ascii="Times New Roman" w:hAnsi="Times New Roman" w:cs="Times New Roman"/>
          <w:color w:val="auto"/>
        </w:rPr>
        <w:t>采取上述措施，本项目施工期产生的固废处置率100%，不会对环境产生明显影响，施工期固体废物处置措施可行。</w:t>
      </w:r>
    </w:p>
    <w:p w14:paraId="783788E2">
      <w:pPr>
        <w:pStyle w:val="39"/>
        <w:bidi w:val="0"/>
        <w:rPr>
          <w:rFonts w:hint="default" w:ascii="Times New Roman" w:hAnsi="Times New Roman" w:cs="Times New Roman"/>
          <w:color w:val="auto"/>
        </w:rPr>
      </w:pPr>
      <w:bookmarkStart w:id="328" w:name="_Toc27095"/>
      <w:r>
        <w:rPr>
          <w:rFonts w:hint="default" w:ascii="Times New Roman" w:hAnsi="Times New Roman" w:cs="Times New Roman"/>
          <w:color w:val="auto"/>
        </w:rPr>
        <w:t>6.1.5施工期生态保护措施</w:t>
      </w:r>
      <w:bookmarkEnd w:id="328"/>
    </w:p>
    <w:p w14:paraId="70D764DC">
      <w:pPr>
        <w:pStyle w:val="25"/>
        <w:bidi w:val="0"/>
        <w:rPr>
          <w:rFonts w:hint="default" w:ascii="Times New Roman" w:hAnsi="Times New Roman" w:cs="Times New Roman"/>
          <w:color w:val="auto"/>
        </w:rPr>
      </w:pPr>
      <w:bookmarkStart w:id="329" w:name="_Toc119316811"/>
      <w:r>
        <w:rPr>
          <w:rFonts w:hint="default" w:ascii="Times New Roman" w:hAnsi="Times New Roman" w:cs="Times New Roman"/>
          <w:color w:val="auto"/>
        </w:rPr>
        <w:t>为有效控制施工活动的不良影响，维护区域生态环境，施工期间采取以下生态保护措施：</w:t>
      </w:r>
    </w:p>
    <w:p w14:paraId="32C46A29">
      <w:pPr>
        <w:pStyle w:val="25"/>
        <w:bidi w:val="0"/>
        <w:rPr>
          <w:rFonts w:hint="default" w:ascii="Times New Roman" w:hAnsi="Times New Roman" w:cs="Times New Roman"/>
          <w:color w:val="auto"/>
        </w:rPr>
      </w:pPr>
      <w:r>
        <w:rPr>
          <w:rFonts w:hint="default" w:ascii="Times New Roman" w:hAnsi="Times New Roman" w:cs="Times New Roman"/>
          <w:color w:val="auto"/>
        </w:rPr>
        <w:t>（1）水土流失防止措施</w:t>
      </w:r>
    </w:p>
    <w:p w14:paraId="08E36A63">
      <w:pPr>
        <w:pStyle w:val="25"/>
        <w:bidi w:val="0"/>
        <w:rPr>
          <w:rFonts w:hint="eastAsia" w:cs="Times New Roman"/>
          <w:color w:val="auto"/>
          <w:lang w:val="en-US" w:eastAsia="zh-CN"/>
        </w:rPr>
      </w:pPr>
      <w:r>
        <w:rPr>
          <w:rFonts w:hint="default" w:ascii="Times New Roman" w:hAnsi="Times New Roman" w:cs="Times New Roman"/>
          <w:color w:val="auto"/>
        </w:rPr>
        <w:t>根据《黑龙江省水土保持规划》(2015-2030年）、《鸡西市水土保持规划》（2019-2030年），</w:t>
      </w:r>
      <w:r>
        <w:rPr>
          <w:rFonts w:hint="eastAsia" w:cs="Times New Roman"/>
          <w:color w:val="auto"/>
          <w:lang w:val="en-US" w:eastAsia="zh-CN"/>
        </w:rPr>
        <w:t>项目所在的</w:t>
      </w:r>
      <w:r>
        <w:rPr>
          <w:rFonts w:hint="default" w:ascii="Times New Roman" w:hAnsi="Times New Roman" w:cs="Times New Roman"/>
          <w:color w:val="auto"/>
        </w:rPr>
        <w:t>鸡西市城子河区位于东北漫川漫岗水土流失重点治理区</w:t>
      </w:r>
      <w:r>
        <w:rPr>
          <w:rFonts w:hint="eastAsia" w:cs="Times New Roman"/>
          <w:color w:val="auto"/>
          <w:lang w:eastAsia="zh-CN"/>
        </w:rPr>
        <w:t>，</w:t>
      </w:r>
      <w:r>
        <w:rPr>
          <w:rFonts w:hint="eastAsia" w:cs="Times New Roman"/>
          <w:color w:val="auto"/>
          <w:lang w:val="en-US" w:eastAsia="zh-CN"/>
        </w:rPr>
        <w:t>为更好的减少项目区水土流失情况。</w:t>
      </w:r>
    </w:p>
    <w:p w14:paraId="5169DA54">
      <w:pPr>
        <w:pStyle w:val="25"/>
        <w:bidi w:val="0"/>
        <w:rPr>
          <w:rFonts w:hint="eastAsia" w:cs="Times New Roman"/>
          <w:color w:val="auto"/>
          <w:lang w:val="en-US" w:eastAsia="zh-CN"/>
        </w:rPr>
      </w:pPr>
      <w:r>
        <w:rPr>
          <w:rFonts w:ascii="Times New Roman"/>
          <w:color w:val="auto"/>
          <w:sz w:val="24"/>
          <w:szCs w:val="24"/>
          <w:highlight w:val="none"/>
        </w:rPr>
        <w:t>在总体布局上本着工程措施与植物措施相结合，永久措施与临时措施相结合，点、线、面相结合的原则</w:t>
      </w:r>
      <w:r>
        <w:rPr>
          <w:rFonts w:hint="eastAsia" w:ascii="Times New Roman"/>
          <w:color w:val="auto"/>
          <w:sz w:val="24"/>
          <w:szCs w:val="24"/>
          <w:highlight w:val="none"/>
          <w:lang w:eastAsia="zh-CN"/>
        </w:rPr>
        <w:t>。</w:t>
      </w:r>
      <w:r>
        <w:rPr>
          <w:rFonts w:hint="eastAsia" w:ascii="Times New Roman"/>
          <w:color w:val="auto"/>
          <w:sz w:val="24"/>
          <w:szCs w:val="24"/>
          <w:highlight w:val="none"/>
          <w:lang w:val="en-US" w:eastAsia="zh-CN"/>
        </w:rPr>
        <w:t>通过设置挡土墙、截排水沟，减少工程造成的水土流失；</w:t>
      </w:r>
      <w:r>
        <w:rPr>
          <w:rFonts w:hint="eastAsia" w:cs="Times New Roman"/>
          <w:color w:val="auto"/>
          <w:lang w:val="en-US" w:eastAsia="zh-CN"/>
        </w:rPr>
        <w:t>同时</w:t>
      </w:r>
      <w:r>
        <w:rPr>
          <w:rFonts w:hint="default" w:ascii="Times New Roman" w:hAnsi="Times New Roman" w:cs="Times New Roman"/>
          <w:color w:val="auto"/>
        </w:rPr>
        <w:t>设置临时堆放场地，</w:t>
      </w:r>
      <w:r>
        <w:rPr>
          <w:rFonts w:hint="eastAsia" w:cs="Times New Roman"/>
          <w:color w:val="auto"/>
          <w:lang w:val="en-US" w:eastAsia="zh-CN"/>
        </w:rPr>
        <w:t>开</w:t>
      </w:r>
      <w:r>
        <w:rPr>
          <w:rFonts w:hint="default" w:ascii="Times New Roman" w:hAnsi="Times New Roman" w:cs="Times New Roman"/>
          <w:color w:val="auto"/>
        </w:rPr>
        <w:t>挖、填施工产生的开挖土石就近用于填方段</w:t>
      </w:r>
      <w:r>
        <w:rPr>
          <w:rFonts w:hint="eastAsia" w:cs="Times New Roman"/>
          <w:color w:val="auto"/>
          <w:lang w:eastAsia="zh-CN"/>
        </w:rPr>
        <w:t>。</w:t>
      </w:r>
    </w:p>
    <w:p w14:paraId="1FABC96A">
      <w:pPr>
        <w:pStyle w:val="25"/>
        <w:bidi w:val="0"/>
        <w:rPr>
          <w:rFonts w:hint="default" w:cs="Times New Roman"/>
          <w:color w:val="auto"/>
          <w:lang w:val="en-US" w:eastAsia="zh-CN"/>
        </w:rPr>
      </w:pPr>
      <w:r>
        <w:rPr>
          <w:rFonts w:hint="eastAsia" w:cs="Times New Roman"/>
          <w:color w:val="auto"/>
          <w:lang w:val="en-US" w:eastAsia="zh-CN"/>
        </w:rPr>
        <w:t>（2）表土保护措施</w:t>
      </w:r>
    </w:p>
    <w:p w14:paraId="5F2BF9EE">
      <w:pPr>
        <w:pStyle w:val="25"/>
        <w:bidi w:val="0"/>
        <w:rPr>
          <w:rFonts w:hint="default" w:ascii="Times New Roman" w:hAnsi="Times New Roman" w:cs="Times New Roman"/>
          <w:color w:val="auto"/>
        </w:rPr>
      </w:pPr>
      <w:r>
        <w:rPr>
          <w:rFonts w:hint="eastAsia" w:cs="Times New Roman"/>
          <w:color w:val="auto"/>
          <w:lang w:val="en-US" w:eastAsia="zh-CN"/>
        </w:rPr>
        <w:t>工程区域内</w:t>
      </w:r>
      <w:r>
        <w:rPr>
          <w:rFonts w:hint="default" w:ascii="Times New Roman" w:hAnsi="Times New Roman" w:cs="Times New Roman"/>
          <w:color w:val="auto"/>
        </w:rPr>
        <w:t>的</w:t>
      </w:r>
      <w:r>
        <w:rPr>
          <w:rFonts w:hint="eastAsia" w:cs="Times New Roman"/>
          <w:color w:val="auto"/>
          <w:lang w:val="en-US" w:eastAsia="zh-CN"/>
        </w:rPr>
        <w:t>开挖的</w:t>
      </w:r>
      <w:r>
        <w:rPr>
          <w:rFonts w:hint="default" w:ascii="Times New Roman" w:hAnsi="Times New Roman" w:cs="Times New Roman"/>
          <w:color w:val="auto"/>
        </w:rPr>
        <w:t>表层</w:t>
      </w:r>
      <w:r>
        <w:rPr>
          <w:rFonts w:hint="eastAsia" w:cs="Times New Roman"/>
          <w:color w:val="auto"/>
          <w:lang w:val="en-US" w:eastAsia="zh-CN"/>
        </w:rPr>
        <w:t>黑土</w:t>
      </w:r>
      <w:r>
        <w:rPr>
          <w:rFonts w:hint="default" w:ascii="Times New Roman" w:hAnsi="Times New Roman" w:cs="Times New Roman"/>
          <w:color w:val="auto"/>
        </w:rPr>
        <w:t>，</w:t>
      </w:r>
      <w:r>
        <w:rPr>
          <w:rFonts w:hint="eastAsia" w:cs="Times New Roman"/>
          <w:color w:val="auto"/>
          <w:lang w:val="en-US" w:eastAsia="zh-CN"/>
        </w:rPr>
        <w:t>单独保存</w:t>
      </w:r>
      <w:r>
        <w:rPr>
          <w:rFonts w:hint="eastAsia" w:cs="Times New Roman"/>
          <w:color w:val="auto"/>
          <w:lang w:eastAsia="zh-CN"/>
        </w:rPr>
        <w:t>，</w:t>
      </w:r>
      <w:r>
        <w:rPr>
          <w:rFonts w:hint="default" w:ascii="Times New Roman" w:hAnsi="Times New Roman" w:eastAsia="宋体" w:cs="Times New Roman"/>
          <w:color w:val="auto"/>
          <w:sz w:val="24"/>
          <w:szCs w:val="24"/>
          <w:highlight w:val="none"/>
        </w:rPr>
        <w:t>在表土堆置前在外侧坡脚填筑一道编织袋拦挡土埂，土埂断面为梯形，“品”字形二层堆砌，单个编织袋长约0.3m，宽0.2m，高约0.5m，在堆土外表面进行密目网苫盖</w:t>
      </w:r>
      <w:r>
        <w:rPr>
          <w:rFonts w:hint="default" w:ascii="Times New Roman" w:hAnsi="Times New Roman" w:cs="Times New Roman"/>
          <w:color w:val="auto"/>
        </w:rPr>
        <w:t>。</w:t>
      </w:r>
    </w:p>
    <w:p w14:paraId="76F86BBD">
      <w:pPr>
        <w:pStyle w:val="25"/>
        <w:bidi w:val="0"/>
        <w:rPr>
          <w:rFonts w:hint="default" w:ascii="Times New Roman" w:hAnsi="Times New Roman" w:cs="Times New Roman"/>
          <w:color w:val="auto"/>
        </w:rPr>
      </w:pPr>
      <w:r>
        <w:rPr>
          <w:rFonts w:hint="default" w:ascii="Times New Roman" w:hAnsi="Times New Roman" w:cs="Times New Roman"/>
          <w:color w:val="auto"/>
        </w:rPr>
        <w:t>临时占地在施工前也应保存好</w:t>
      </w:r>
      <w:r>
        <w:rPr>
          <w:rFonts w:hint="eastAsia" w:cs="Times New Roman"/>
          <w:color w:val="auto"/>
          <w:lang w:val="en-US" w:eastAsia="zh-CN"/>
        </w:rPr>
        <w:t>表层黑土</w:t>
      </w:r>
      <w:r>
        <w:rPr>
          <w:rFonts w:hint="default" w:ascii="Times New Roman" w:hAnsi="Times New Roman" w:cs="Times New Roman"/>
          <w:color w:val="auto"/>
        </w:rPr>
        <w:t>，施工结束后及时平整场地、覆盖熟化土以恢复周边植被。</w:t>
      </w:r>
    </w:p>
    <w:p w14:paraId="10CD1636">
      <w:pPr>
        <w:pStyle w:val="25"/>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w:t>
      </w:r>
      <w:r>
        <w:rPr>
          <w:rFonts w:hint="eastAsia" w:cs="Times New Roman"/>
          <w:color w:val="auto"/>
          <w:lang w:val="en-US" w:eastAsia="zh-CN"/>
        </w:rPr>
        <w:t>3</w:t>
      </w:r>
      <w:r>
        <w:rPr>
          <w:rFonts w:hint="default" w:ascii="Times New Roman" w:hAnsi="Times New Roman" w:cs="Times New Roman"/>
          <w:color w:val="auto"/>
        </w:rPr>
        <w:t>）</w:t>
      </w:r>
      <w:r>
        <w:rPr>
          <w:rFonts w:hint="eastAsia" w:cs="Times New Roman"/>
          <w:color w:val="auto"/>
          <w:lang w:val="en-US" w:eastAsia="zh-CN"/>
        </w:rPr>
        <w:t>土地复垦</w:t>
      </w:r>
    </w:p>
    <w:p w14:paraId="65F29EA9">
      <w:pPr>
        <w:pStyle w:val="25"/>
        <w:bidi w:val="0"/>
        <w:rPr>
          <w:rFonts w:hint="default" w:eastAsia="宋体" w:cs="Times New Roman"/>
          <w:color w:val="auto"/>
          <w:lang w:val="en-US" w:eastAsia="zh-CN"/>
        </w:rPr>
      </w:pPr>
      <w:r>
        <w:rPr>
          <w:rFonts w:hint="eastAsia" w:cs="Times New Roman"/>
          <w:color w:val="auto"/>
          <w:lang w:val="en-US" w:eastAsia="zh-CN"/>
        </w:rPr>
        <w:t>历史矿山回填作业结束后应立即对已平整后的进行土地复垦，覆土厚度视坑底岩体土风化程度而定,岩体风化程度较高时,自然沉实土壤覆土厚度为30cm以上;岩体较完整,风化程度较低时,自然沉实土壤覆土厚度为50cm以上。覆土层的土壤质地以壤土最佳,确保土壤涵养水分的供给能力。工程覆土回填后进行植被种植植被樟子松、</w:t>
      </w:r>
      <w:r>
        <w:rPr>
          <w:rFonts w:hint="default" w:ascii="Times New Roman" w:hAnsi="Times New Roman" w:cs="Times New Roman"/>
          <w:color w:val="auto"/>
        </w:rPr>
        <w:t>紫穗槐</w:t>
      </w:r>
      <w:r>
        <w:rPr>
          <w:rFonts w:hint="eastAsia" w:ascii="Times New Roman" w:hAnsi="Times New Roman" w:cs="Times New Roman"/>
          <w:color w:val="auto"/>
          <w:lang w:val="en-US" w:eastAsia="zh-CN"/>
        </w:rPr>
        <w:t>及本地草本植被，防治外来物种入侵，构建与周边生态环境相协调的植物群落。</w:t>
      </w:r>
    </w:p>
    <w:p w14:paraId="7507A35A">
      <w:pPr>
        <w:pStyle w:val="25"/>
        <w:bidi w:val="0"/>
        <w:rPr>
          <w:rFonts w:hint="default" w:ascii="Times New Roman" w:hAnsi="Times New Roman" w:cs="Times New Roman"/>
          <w:color w:val="auto"/>
        </w:rPr>
      </w:pPr>
      <w:r>
        <w:rPr>
          <w:rFonts w:hint="eastAsia" w:cs="Times New Roman"/>
          <w:color w:val="auto"/>
          <w:lang w:eastAsia="zh-CN"/>
        </w:rPr>
        <w:t>（</w:t>
      </w:r>
      <w:r>
        <w:rPr>
          <w:rFonts w:hint="eastAsia" w:cs="Times New Roman"/>
          <w:color w:val="auto"/>
          <w:lang w:val="en-US" w:eastAsia="zh-CN"/>
        </w:rPr>
        <w:t>4</w:t>
      </w:r>
      <w:r>
        <w:rPr>
          <w:rFonts w:hint="eastAsia" w:cs="Times New Roman"/>
          <w:color w:val="auto"/>
          <w:lang w:eastAsia="zh-CN"/>
        </w:rPr>
        <w:t>）</w:t>
      </w:r>
      <w:r>
        <w:rPr>
          <w:rFonts w:hint="default" w:ascii="Times New Roman" w:hAnsi="Times New Roman" w:cs="Times New Roman"/>
          <w:color w:val="auto"/>
        </w:rPr>
        <w:t>植被保护措施</w:t>
      </w:r>
    </w:p>
    <w:p w14:paraId="67382A1D">
      <w:pPr>
        <w:pStyle w:val="25"/>
        <w:bidi w:val="0"/>
        <w:rPr>
          <w:rFonts w:hint="default" w:ascii="Times New Roman" w:hAnsi="Times New Roman" w:cs="Times New Roman"/>
          <w:color w:val="auto"/>
        </w:rPr>
      </w:pPr>
      <w:r>
        <w:rPr>
          <w:rFonts w:hint="default" w:ascii="Times New Roman" w:hAnsi="Times New Roman" w:cs="Times New Roman"/>
          <w:color w:val="auto"/>
        </w:rPr>
        <w:t>施工过程中严格控制施工占地，尤其是临时占地，不能超出界限，避免对施工范围之外区域的植被造成碾压和破坏。</w:t>
      </w:r>
    </w:p>
    <w:p w14:paraId="59AD3395">
      <w:pPr>
        <w:pStyle w:val="25"/>
        <w:bidi w:val="0"/>
        <w:rPr>
          <w:rFonts w:hint="default" w:ascii="Times New Roman" w:hAnsi="Times New Roman" w:cs="Times New Roman"/>
          <w:color w:val="auto"/>
        </w:rPr>
      </w:pPr>
      <w:r>
        <w:rPr>
          <w:rFonts w:hint="default" w:ascii="Times New Roman" w:hAnsi="Times New Roman" w:cs="Times New Roman"/>
          <w:color w:val="auto"/>
        </w:rPr>
        <w:t>（</w:t>
      </w:r>
      <w:r>
        <w:rPr>
          <w:rFonts w:hint="eastAsia" w:cs="Times New Roman"/>
          <w:color w:val="auto"/>
          <w:lang w:val="en-US" w:eastAsia="zh-CN"/>
        </w:rPr>
        <w:t>5</w:t>
      </w:r>
      <w:r>
        <w:rPr>
          <w:rFonts w:hint="default" w:ascii="Times New Roman" w:hAnsi="Times New Roman" w:cs="Times New Roman"/>
          <w:color w:val="auto"/>
        </w:rPr>
        <w:t>）野生动物保护措施</w:t>
      </w:r>
    </w:p>
    <w:p w14:paraId="7A691257">
      <w:pPr>
        <w:pStyle w:val="25"/>
        <w:bidi w:val="0"/>
        <w:rPr>
          <w:rFonts w:hint="default" w:ascii="Times New Roman" w:hAnsi="Times New Roman" w:cs="Times New Roman"/>
          <w:color w:val="auto"/>
        </w:rPr>
      </w:pPr>
      <w:r>
        <w:rPr>
          <w:rFonts w:hint="default" w:ascii="Times New Roman" w:hAnsi="Times New Roman" w:cs="Times New Roman"/>
          <w:color w:val="auto"/>
        </w:rPr>
        <w:t>合理安排，科学组织施工。为了减少工程施工噪声对野生动物的惊扰，应做好施工方式和时间的计划，并力求避免在晨昏和正午进行噪声较大的施工活动，禁止夜间施工。</w:t>
      </w:r>
    </w:p>
    <w:p w14:paraId="1826C1EC">
      <w:pPr>
        <w:pStyle w:val="25"/>
        <w:numPr>
          <w:ilvl w:val="0"/>
          <w:numId w:val="0"/>
        </w:numPr>
        <w:bidi w:val="0"/>
        <w:ind w:firstLine="480" w:firstLineChars="200"/>
        <w:rPr>
          <w:rFonts w:hint="default" w:ascii="Times New Roman" w:hAnsi="Times New Roman" w:cs="Times New Roman"/>
          <w:color w:val="auto"/>
          <w:lang w:val="en-US" w:eastAsia="zh-CN"/>
        </w:rPr>
      </w:pPr>
      <w:r>
        <w:rPr>
          <w:rFonts w:hint="eastAsia" w:cs="Times New Roman"/>
          <w:color w:val="auto"/>
          <w:lang w:val="en-US" w:eastAsia="zh-CN"/>
        </w:rPr>
        <w:t>（6）</w:t>
      </w:r>
      <w:r>
        <w:rPr>
          <w:rFonts w:hint="default" w:ascii="Times New Roman" w:hAnsi="Times New Roman" w:cs="Times New Roman"/>
          <w:color w:val="auto"/>
          <w:lang w:val="en-US" w:eastAsia="zh-CN"/>
        </w:rPr>
        <w:t>回填区生态保护措施</w:t>
      </w:r>
    </w:p>
    <w:p w14:paraId="7DC64A98">
      <w:pPr>
        <w:pStyle w:val="25"/>
        <w:bidi w:val="0"/>
        <w:rPr>
          <w:rFonts w:hint="default" w:ascii="Times New Roman" w:hAnsi="Times New Roman" w:cs="Times New Roman"/>
          <w:color w:val="auto"/>
        </w:rPr>
      </w:pPr>
      <w:r>
        <w:rPr>
          <w:rFonts w:hint="default" w:ascii="Times New Roman" w:hAnsi="Times New Roman" w:cs="Times New Roman"/>
          <w:color w:val="auto"/>
        </w:rPr>
        <w:t>1）设置</w:t>
      </w:r>
      <w:r>
        <w:rPr>
          <w:rFonts w:hint="default" w:ascii="Times New Roman" w:hAnsi="Times New Roman" w:cs="Times New Roman"/>
          <w:color w:val="auto"/>
          <w:lang w:val="en-US" w:eastAsia="zh-CN"/>
        </w:rPr>
        <w:t>截</w:t>
      </w:r>
      <w:r>
        <w:rPr>
          <w:rFonts w:hint="default" w:ascii="Times New Roman" w:hAnsi="Times New Roman" w:cs="Times New Roman"/>
          <w:color w:val="auto"/>
        </w:rPr>
        <w:t>排水沟，减少水土流失；</w:t>
      </w:r>
    </w:p>
    <w:p w14:paraId="2180B78F">
      <w:pPr>
        <w:pStyle w:val="25"/>
        <w:bidi w:val="0"/>
        <w:rPr>
          <w:rFonts w:hint="default" w:ascii="Times New Roman" w:hAnsi="Times New Roman" w:cs="Times New Roman"/>
          <w:color w:val="auto"/>
        </w:rPr>
      </w:pPr>
      <w:r>
        <w:rPr>
          <w:rFonts w:hint="default" w:ascii="Times New Roman" w:hAnsi="Times New Roman" w:cs="Times New Roman"/>
          <w:color w:val="auto"/>
        </w:rPr>
        <w:t>2）采取相应扬尘、噪声污染防治设施，降低颗粒物对周围植物的影响，减少噪声对野生动物的干扰；</w:t>
      </w:r>
    </w:p>
    <w:p w14:paraId="48476058">
      <w:pPr>
        <w:pStyle w:val="25"/>
        <w:bidi w:val="0"/>
        <w:rPr>
          <w:rFonts w:hint="default" w:ascii="Times New Roman" w:hAnsi="Times New Roman" w:cs="Times New Roman"/>
          <w:color w:val="auto"/>
        </w:rPr>
      </w:pPr>
      <w:r>
        <w:rPr>
          <w:rFonts w:hint="default" w:ascii="Times New Roman" w:hAnsi="Times New Roman" w:cs="Times New Roman"/>
          <w:color w:val="auto"/>
        </w:rPr>
        <w:t>3）分区回填，分区覆盖，采取阶段性生态恢复措施，分区回填完成，</w:t>
      </w:r>
      <w:r>
        <w:rPr>
          <w:rFonts w:hint="eastAsia" w:cs="Times New Roman"/>
          <w:color w:val="auto"/>
          <w:lang w:val="en-US" w:eastAsia="zh-CN"/>
        </w:rPr>
        <w:t xml:space="preserve"> </w:t>
      </w:r>
      <w:r>
        <w:rPr>
          <w:rFonts w:hint="default" w:ascii="Times New Roman" w:hAnsi="Times New Roman" w:cs="Times New Roman"/>
          <w:color w:val="auto"/>
        </w:rPr>
        <w:t>。</w:t>
      </w:r>
    </w:p>
    <w:p w14:paraId="6F446CBB">
      <w:pPr>
        <w:pStyle w:val="25"/>
        <w:bidi w:val="0"/>
        <w:rPr>
          <w:rFonts w:hint="default" w:ascii="Times New Roman" w:hAnsi="Times New Roman" w:cs="Times New Roman"/>
          <w:color w:val="auto"/>
        </w:rPr>
      </w:pPr>
      <w:r>
        <w:rPr>
          <w:rFonts w:hint="default" w:ascii="Times New Roman" w:hAnsi="Times New Roman" w:cs="Times New Roman"/>
          <w:color w:val="auto"/>
        </w:rPr>
        <w:t>4）本项目回填后应立即</w:t>
      </w:r>
      <w:r>
        <w:rPr>
          <w:rFonts w:hint="default" w:ascii="Times New Roman" w:hAnsi="Times New Roman" w:cs="Times New Roman"/>
          <w:color w:val="auto"/>
          <w:lang w:val="en-US" w:eastAsia="zh-CN"/>
        </w:rPr>
        <w:t>对场地进行植被恢复，工程内容如下表所示</w:t>
      </w:r>
      <w:r>
        <w:rPr>
          <w:rFonts w:hint="default" w:ascii="Times New Roman" w:hAnsi="Times New Roman" w:cs="Times New Roman"/>
          <w:color w:val="auto"/>
        </w:rPr>
        <w:t>。</w:t>
      </w:r>
    </w:p>
    <w:p w14:paraId="2CE06B17">
      <w:pPr>
        <w:pStyle w:val="27"/>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表6-1-1  </w:t>
      </w:r>
      <w:r>
        <w:rPr>
          <w:rFonts w:hint="eastAsia" w:cs="Times New Roman"/>
          <w:color w:val="auto"/>
          <w:lang w:val="en-US" w:eastAsia="zh-CN"/>
        </w:rPr>
        <w:t>生态</w:t>
      </w:r>
      <w:r>
        <w:rPr>
          <w:rFonts w:hint="default" w:ascii="Times New Roman" w:hAnsi="Times New Roman" w:cs="Times New Roman"/>
          <w:color w:val="auto"/>
          <w:lang w:val="en-US" w:eastAsia="zh-CN"/>
        </w:rPr>
        <w:t>恢复措施一览表</w:t>
      </w:r>
    </w:p>
    <w:tbl>
      <w:tblPr>
        <w:tblStyle w:val="20"/>
        <w:tblW w:w="500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216"/>
        <w:gridCol w:w="5320"/>
      </w:tblGrid>
      <w:tr w14:paraId="5DD56F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3" w:hRule="atLeast"/>
        </w:trPr>
        <w:tc>
          <w:tcPr>
            <w:tcW w:w="1883" w:type="pct"/>
            <w:tcBorders>
              <w:tl2br w:val="nil"/>
              <w:tr2bl w:val="nil"/>
            </w:tcBorders>
            <w:vAlign w:val="center"/>
          </w:tcPr>
          <w:p w14:paraId="774F376B">
            <w:pPr>
              <w:pStyle w:val="44"/>
              <w:bidi w:val="0"/>
              <w:jc w:val="center"/>
              <w:rPr>
                <w:rFonts w:hint="default" w:ascii="Times New Roman" w:hAnsi="Times New Roman" w:cs="Times New Roman"/>
                <w:color w:val="auto"/>
              </w:rPr>
            </w:pPr>
            <w:r>
              <w:rPr>
                <w:rFonts w:hint="default" w:ascii="Times New Roman" w:hAnsi="Times New Roman" w:cs="Times New Roman"/>
                <w:color w:val="auto"/>
                <w:lang w:eastAsia="zh-CN"/>
              </w:rPr>
              <w:t>矿山</w:t>
            </w:r>
            <w:r>
              <w:rPr>
                <w:rFonts w:hint="default" w:ascii="Times New Roman" w:hAnsi="Times New Roman" w:cs="Times New Roman"/>
                <w:color w:val="auto"/>
              </w:rPr>
              <w:t>名称</w:t>
            </w:r>
          </w:p>
        </w:tc>
        <w:tc>
          <w:tcPr>
            <w:tcW w:w="3116" w:type="pct"/>
            <w:tcBorders>
              <w:tl2br w:val="nil"/>
              <w:tr2bl w:val="nil"/>
            </w:tcBorders>
            <w:vAlign w:val="center"/>
          </w:tcPr>
          <w:p w14:paraId="39C71A6B">
            <w:pPr>
              <w:pStyle w:val="44"/>
              <w:bidi w:val="0"/>
              <w:jc w:val="center"/>
              <w:rPr>
                <w:rFonts w:hint="default" w:ascii="Times New Roman" w:hAnsi="Times New Roman" w:cs="Times New Roman"/>
                <w:color w:val="auto"/>
              </w:rPr>
            </w:pPr>
            <w:r>
              <w:rPr>
                <w:rFonts w:hint="default" w:ascii="Times New Roman" w:hAnsi="Times New Roman" w:cs="Times New Roman"/>
                <w:color w:val="auto"/>
              </w:rPr>
              <w:t>主要建设内容</w:t>
            </w:r>
          </w:p>
        </w:tc>
      </w:tr>
      <w:tr w14:paraId="5A46E0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9" w:hRule="atLeast"/>
        </w:trPr>
        <w:tc>
          <w:tcPr>
            <w:tcW w:w="1883" w:type="pct"/>
            <w:tcBorders>
              <w:tl2br w:val="nil"/>
              <w:tr2bl w:val="nil"/>
            </w:tcBorders>
            <w:vAlign w:val="center"/>
          </w:tcPr>
          <w:p w14:paraId="7E537698">
            <w:pPr>
              <w:pStyle w:val="44"/>
              <w:bidi w:val="0"/>
              <w:jc w:val="center"/>
              <w:rPr>
                <w:rFonts w:hint="default" w:ascii="Times New Roman" w:hAnsi="Times New Roman" w:cs="Times New Roman"/>
                <w:color w:val="auto"/>
              </w:rPr>
            </w:pPr>
            <w:r>
              <w:rPr>
                <w:rFonts w:hint="default" w:ascii="Times New Roman" w:hAnsi="Times New Roman" w:cs="Times New Roman"/>
                <w:color w:val="auto"/>
              </w:rPr>
              <w:t>鸡西市城子河区兴顺采石场(2#)</w:t>
            </w:r>
          </w:p>
        </w:tc>
        <w:tc>
          <w:tcPr>
            <w:tcW w:w="3116" w:type="pct"/>
            <w:tcBorders>
              <w:tl2br w:val="nil"/>
              <w:tr2bl w:val="nil"/>
            </w:tcBorders>
            <w:vAlign w:val="center"/>
          </w:tcPr>
          <w:p w14:paraId="79B0E94E">
            <w:pPr>
              <w:pStyle w:val="44"/>
              <w:bidi w:val="0"/>
              <w:jc w:val="center"/>
              <w:rPr>
                <w:rFonts w:hint="default" w:ascii="Times New Roman" w:hAnsi="Times New Roman" w:cs="Times New Roman"/>
                <w:color w:val="auto"/>
                <w:lang w:val="en-US"/>
              </w:rPr>
            </w:pPr>
            <w:r>
              <w:rPr>
                <w:rFonts w:hint="default" w:ascii="Times New Roman" w:hAnsi="Times New Roman" w:cs="Times New Roman"/>
                <w:color w:val="auto"/>
                <w:highlight w:val="none"/>
              </w:rPr>
              <w:t>在东南侧坡下砌筑挡土墙</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总长</w:t>
            </w:r>
            <w:r>
              <w:rPr>
                <w:rFonts w:hint="default" w:ascii="Times New Roman" w:hAnsi="Times New Roman" w:cs="Times New Roman"/>
                <w:color w:val="auto"/>
                <w:highlight w:val="none"/>
                <w:lang w:val="en-US" w:eastAsia="zh-CN"/>
              </w:rPr>
              <w:t>189.7m</w:t>
            </w:r>
            <w:r>
              <w:rPr>
                <w:rFonts w:hint="eastAsia" w:ascii="Times New Roman" w:hAnsi="Times New Roman" w:cs="Times New Roman"/>
                <w:color w:val="auto"/>
                <w:highlight w:val="none"/>
                <w:lang w:val="en-US" w:eastAsia="zh-CN"/>
              </w:rPr>
              <w:t>；在</w:t>
            </w:r>
            <w:r>
              <w:rPr>
                <w:rFonts w:hint="default" w:ascii="Times New Roman" w:hAnsi="Times New Roman" w:cs="Times New Roman"/>
                <w:color w:val="auto"/>
                <w:highlight w:val="none"/>
              </w:rPr>
              <w:t>东侧、南侧及挡土墙下布设布设截排水沟，设计截排水沟长度为</w:t>
            </w:r>
            <w:r>
              <w:rPr>
                <w:rFonts w:hint="default" w:ascii="Times New Roman" w:hAnsi="Times New Roman" w:cs="Times New Roman"/>
                <w:color w:val="auto"/>
                <w:highlight w:val="none"/>
                <w:lang w:val="en-US" w:eastAsia="zh-CN"/>
              </w:rPr>
              <w:t>523.5m</w:t>
            </w:r>
            <w:r>
              <w:rPr>
                <w:rFonts w:hint="eastAsia" w:cs="Times New Roman"/>
                <w:color w:val="auto"/>
                <w:lang w:eastAsia="zh-CN"/>
              </w:rPr>
              <w:t>；</w:t>
            </w:r>
            <w:r>
              <w:rPr>
                <w:rFonts w:hint="default" w:ascii="Times New Roman" w:hAnsi="Times New Roman" w:cs="Times New Roman"/>
                <w:color w:val="auto"/>
              </w:rPr>
              <w:t>在项目区东南侧的边坡上进行植被恢复，种植樟子松1972株</w:t>
            </w:r>
            <w:r>
              <w:rPr>
                <w:rFonts w:hint="eastAsia" w:cs="Times New Roman"/>
                <w:color w:val="auto"/>
                <w:lang w:eastAsia="zh-CN"/>
              </w:rPr>
              <w:t>，</w:t>
            </w:r>
            <w:r>
              <w:rPr>
                <w:rFonts w:hint="default" w:ascii="Times New Roman" w:hAnsi="Times New Roman" w:cs="Times New Roman"/>
                <w:color w:val="auto"/>
              </w:rPr>
              <w:t xml:space="preserve">面积为 </w:t>
            </w:r>
            <w:r>
              <w:rPr>
                <w:rFonts w:hint="default" w:ascii="Times New Roman" w:hAnsi="Times New Roman" w:cs="Times New Roman"/>
                <w:color w:val="auto"/>
                <w:lang w:val="en-US" w:eastAsia="zh-CN"/>
              </w:rPr>
              <w:t>46027m</w:t>
            </w:r>
            <w:r>
              <w:rPr>
                <w:rFonts w:hint="default" w:ascii="Times New Roman" w:hAnsi="Times New Roman" w:cs="Times New Roman"/>
                <w:color w:val="auto"/>
                <w:vertAlign w:val="superscript"/>
                <w:lang w:val="en-US" w:eastAsia="zh-CN"/>
              </w:rPr>
              <w:t>2</w:t>
            </w:r>
          </w:p>
        </w:tc>
      </w:tr>
      <w:tr w14:paraId="2D880D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8" w:hRule="atLeast"/>
        </w:trPr>
        <w:tc>
          <w:tcPr>
            <w:tcW w:w="1883" w:type="pct"/>
            <w:tcBorders>
              <w:tl2br w:val="nil"/>
              <w:tr2bl w:val="nil"/>
            </w:tcBorders>
            <w:vAlign w:val="center"/>
          </w:tcPr>
          <w:p w14:paraId="49485424">
            <w:pPr>
              <w:pStyle w:val="44"/>
              <w:bidi w:val="0"/>
              <w:jc w:val="center"/>
              <w:rPr>
                <w:rFonts w:hint="default" w:ascii="Times New Roman" w:hAnsi="Times New Roman" w:cs="Times New Roman"/>
                <w:color w:val="auto"/>
              </w:rPr>
            </w:pPr>
            <w:r>
              <w:rPr>
                <w:rFonts w:hint="default" w:ascii="Times New Roman" w:hAnsi="Times New Roman" w:cs="Times New Roman"/>
                <w:color w:val="auto"/>
              </w:rPr>
              <w:t>鸡西市城子河区城东一队废弃采石场（14#）</w:t>
            </w:r>
          </w:p>
        </w:tc>
        <w:tc>
          <w:tcPr>
            <w:tcW w:w="3116" w:type="pct"/>
            <w:tcBorders>
              <w:tl2br w:val="nil"/>
              <w:tr2bl w:val="nil"/>
            </w:tcBorders>
            <w:vAlign w:val="center"/>
          </w:tcPr>
          <w:p w14:paraId="49B2F34D">
            <w:pPr>
              <w:pStyle w:val="44"/>
              <w:bidi w:val="0"/>
              <w:jc w:val="center"/>
              <w:rPr>
                <w:rFonts w:hint="default" w:ascii="Times New Roman" w:hAnsi="Times New Roman" w:cs="Times New Roman"/>
                <w:color w:val="auto"/>
              </w:rPr>
            </w:pPr>
            <w:r>
              <w:rPr>
                <w:rFonts w:hint="default" w:ascii="Times New Roman" w:hAnsi="Times New Roman" w:cs="Times New Roman"/>
                <w:color w:val="auto"/>
              </w:rPr>
              <w:t>砌筑挡土墙</w:t>
            </w:r>
            <w:r>
              <w:rPr>
                <w:rFonts w:hint="default" w:ascii="Times New Roman" w:hAnsi="Times New Roman" w:cs="Times New Roman"/>
                <w:color w:val="auto"/>
                <w:highlight w:val="none"/>
              </w:rPr>
              <w:t>124</w:t>
            </w:r>
            <w:r>
              <w:rPr>
                <w:rFonts w:hint="eastAsia" w:ascii="Times New Roman" w:hAnsi="Times New Roman" w:cs="Times New Roman"/>
                <w:color w:val="auto"/>
                <w:lang w:val="en-US" w:eastAsia="zh-CN"/>
              </w:rPr>
              <w:t>m，</w:t>
            </w:r>
            <w:r>
              <w:rPr>
                <w:rFonts w:hint="default" w:ascii="Times New Roman" w:hAnsi="Times New Roman" w:cs="Times New Roman"/>
                <w:color w:val="auto"/>
              </w:rPr>
              <w:t>挡土墙墙高3.0m，墙顶宽度0.50m，墙底宽1.50m截排水沟长度为492m</w:t>
            </w:r>
            <w:r>
              <w:rPr>
                <w:rFonts w:hint="eastAsia" w:cs="Times New Roman"/>
                <w:color w:val="auto"/>
                <w:lang w:eastAsia="zh-CN"/>
              </w:rPr>
              <w:t>；</w:t>
            </w:r>
            <w:r>
              <w:rPr>
                <w:rFonts w:hint="default" w:ascii="Times New Roman" w:hAnsi="Times New Roman" w:cs="Times New Roman"/>
                <w:color w:val="auto"/>
              </w:rPr>
              <w:t>种植樟子松1482株，紫穗槐2290株，种草0.99hm</w:t>
            </w:r>
            <w:r>
              <w:rPr>
                <w:rFonts w:hint="default" w:ascii="Times New Roman" w:hAnsi="Times New Roman" w:cs="Times New Roman"/>
                <w:color w:val="auto"/>
                <w:vertAlign w:val="superscript"/>
              </w:rPr>
              <w:t>2</w:t>
            </w:r>
            <w:r>
              <w:rPr>
                <w:rFonts w:hint="default" w:ascii="Times New Roman" w:hAnsi="Times New Roman" w:cs="Times New Roman"/>
                <w:color w:val="auto"/>
              </w:rPr>
              <w:t>；</w:t>
            </w:r>
          </w:p>
        </w:tc>
      </w:tr>
      <w:tr w14:paraId="7C0DA9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7" w:hRule="atLeast"/>
        </w:trPr>
        <w:tc>
          <w:tcPr>
            <w:tcW w:w="1883" w:type="pct"/>
            <w:tcBorders>
              <w:tl2br w:val="nil"/>
              <w:tr2bl w:val="nil"/>
            </w:tcBorders>
            <w:vAlign w:val="center"/>
          </w:tcPr>
          <w:p w14:paraId="508B771D">
            <w:pPr>
              <w:pStyle w:val="44"/>
              <w:bidi w:val="0"/>
              <w:jc w:val="center"/>
              <w:rPr>
                <w:rFonts w:hint="default" w:ascii="Times New Roman" w:hAnsi="Times New Roman" w:cs="Times New Roman"/>
                <w:color w:val="auto"/>
              </w:rPr>
            </w:pPr>
            <w:r>
              <w:rPr>
                <w:rFonts w:hint="default" w:ascii="Times New Roman" w:hAnsi="Times New Roman" w:cs="Times New Roman"/>
                <w:color w:val="auto"/>
              </w:rPr>
              <w:t>鸡西市城子河区城东一队东0.2km废弃采石场（15#）</w:t>
            </w:r>
          </w:p>
        </w:tc>
        <w:tc>
          <w:tcPr>
            <w:tcW w:w="3116" w:type="pct"/>
            <w:tcBorders>
              <w:tl2br w:val="nil"/>
              <w:tr2bl w:val="nil"/>
            </w:tcBorders>
            <w:vAlign w:val="center"/>
          </w:tcPr>
          <w:p w14:paraId="2C0C92A0">
            <w:pPr>
              <w:pStyle w:val="44"/>
              <w:bidi w:val="0"/>
              <w:jc w:val="center"/>
              <w:rPr>
                <w:rFonts w:hint="default" w:ascii="Times New Roman" w:hAnsi="Times New Roman" w:cs="Times New Roman"/>
                <w:color w:val="auto"/>
              </w:rPr>
            </w:pPr>
            <w:r>
              <w:rPr>
                <w:rFonts w:hint="default" w:ascii="Times New Roman" w:hAnsi="Times New Roman" w:cs="Times New Roman"/>
                <w:color w:val="auto"/>
                <w:highlight w:val="none"/>
              </w:rPr>
              <w:t>砌筑挡土墙120m</w:t>
            </w:r>
            <w:r>
              <w:rPr>
                <w:rFonts w:hint="eastAsia" w:ascii="Times New Roman" w:hAnsi="Times New Roman" w:cs="Times New Roman"/>
                <w:color w:val="auto"/>
                <w:highlight w:val="none"/>
                <w:lang w:eastAsia="zh-CN"/>
              </w:rPr>
              <w:t>，</w:t>
            </w:r>
            <w:r>
              <w:rPr>
                <w:rFonts w:hint="default" w:ascii="Times New Roman" w:hAnsi="Times New Roman" w:cs="Times New Roman"/>
                <w:color w:val="auto"/>
              </w:rPr>
              <w:t>种植樟子松2097株，紫穗槐989株，种草0.97hm</w:t>
            </w:r>
            <w:r>
              <w:rPr>
                <w:rFonts w:hint="default" w:ascii="Times New Roman" w:hAnsi="Times New Roman" w:cs="Times New Roman"/>
                <w:color w:val="auto"/>
                <w:vertAlign w:val="superscript"/>
              </w:rPr>
              <w:t>2</w:t>
            </w:r>
            <w:r>
              <w:rPr>
                <w:rFonts w:hint="default" w:ascii="Times New Roman" w:hAnsi="Times New Roman" w:cs="Times New Roman"/>
                <w:color w:val="auto"/>
              </w:rPr>
              <w:t>；</w:t>
            </w:r>
          </w:p>
        </w:tc>
      </w:tr>
      <w:tr w14:paraId="7BC95E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2" w:hRule="atLeast"/>
        </w:trPr>
        <w:tc>
          <w:tcPr>
            <w:tcW w:w="1883" w:type="pct"/>
            <w:tcBorders>
              <w:tl2br w:val="nil"/>
              <w:tr2bl w:val="nil"/>
            </w:tcBorders>
            <w:vAlign w:val="center"/>
          </w:tcPr>
          <w:p w14:paraId="6DFB99BD">
            <w:pPr>
              <w:pStyle w:val="44"/>
              <w:bidi w:val="0"/>
              <w:jc w:val="center"/>
              <w:rPr>
                <w:rFonts w:hint="default" w:ascii="Times New Roman" w:hAnsi="Times New Roman" w:cs="Times New Roman"/>
                <w:color w:val="auto"/>
              </w:rPr>
            </w:pPr>
            <w:r>
              <w:rPr>
                <w:rFonts w:hint="default" w:ascii="Times New Roman" w:hAnsi="Times New Roman" w:cs="Times New Roman"/>
                <w:color w:val="auto"/>
              </w:rPr>
              <w:t>鸡西市城子河区城东一队东南0.4km废弃采石场（16#）</w:t>
            </w:r>
          </w:p>
        </w:tc>
        <w:tc>
          <w:tcPr>
            <w:tcW w:w="3116" w:type="pct"/>
            <w:tcBorders>
              <w:tl2br w:val="nil"/>
              <w:tr2bl w:val="nil"/>
            </w:tcBorders>
            <w:vAlign w:val="center"/>
          </w:tcPr>
          <w:p w14:paraId="73D45371">
            <w:pPr>
              <w:pStyle w:val="44"/>
              <w:bidi w:val="0"/>
              <w:jc w:val="center"/>
              <w:rPr>
                <w:rFonts w:hint="default" w:ascii="Times New Roman" w:hAnsi="Times New Roman" w:cs="Times New Roman"/>
                <w:color w:val="auto"/>
              </w:rPr>
            </w:pPr>
            <w:r>
              <w:rPr>
                <w:rFonts w:hint="default" w:ascii="Times New Roman" w:hAnsi="Times New Roman" w:cs="Times New Roman"/>
                <w:color w:val="auto"/>
                <w:highlight w:val="none"/>
              </w:rPr>
              <w:t>种植樟子松3597株，种草1.44hm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rPr>
              <w:t>。</w:t>
            </w:r>
          </w:p>
        </w:tc>
      </w:tr>
      <w:tr w14:paraId="2D2F8F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1883" w:type="pct"/>
            <w:tcBorders>
              <w:tl2br w:val="nil"/>
              <w:tr2bl w:val="nil"/>
            </w:tcBorders>
            <w:vAlign w:val="center"/>
          </w:tcPr>
          <w:p w14:paraId="3DDF731A">
            <w:pPr>
              <w:pStyle w:val="44"/>
              <w:bidi w:val="0"/>
              <w:jc w:val="center"/>
              <w:rPr>
                <w:rFonts w:hint="default" w:ascii="Times New Roman" w:hAnsi="Times New Roman" w:cs="Times New Roman"/>
                <w:color w:val="auto"/>
              </w:rPr>
            </w:pPr>
            <w:r>
              <w:rPr>
                <w:rFonts w:hint="default" w:ascii="Times New Roman" w:hAnsi="Times New Roman" w:cs="Times New Roman"/>
                <w:color w:val="auto"/>
              </w:rPr>
              <w:t>鸡西市城子河区水泥厂后山废弃采石场(21#)</w:t>
            </w:r>
          </w:p>
        </w:tc>
        <w:tc>
          <w:tcPr>
            <w:tcW w:w="3116" w:type="pct"/>
            <w:tcBorders>
              <w:tl2br w:val="nil"/>
              <w:tr2bl w:val="nil"/>
            </w:tcBorders>
            <w:vAlign w:val="center"/>
          </w:tcPr>
          <w:p w14:paraId="7AFE2A4E">
            <w:pPr>
              <w:pStyle w:val="44"/>
              <w:bidi w:val="0"/>
              <w:jc w:val="center"/>
              <w:rPr>
                <w:rFonts w:hint="default" w:ascii="Times New Roman" w:hAnsi="Times New Roman" w:cs="Times New Roman"/>
                <w:color w:val="auto"/>
                <w:vertAlign w:val="baseline"/>
                <w:lang w:val="en-US"/>
              </w:rPr>
            </w:pPr>
            <w:r>
              <w:rPr>
                <w:rFonts w:hint="default" w:ascii="Times New Roman" w:hAnsi="Times New Roman" w:cs="Times New Roman"/>
                <w:color w:val="auto"/>
              </w:rPr>
              <w:t>在南侧坡下及中部陡坎下砌筑挡土墙，挡土墙墙高3.0m，墙顶宽度0.50m，墙底宽1.50m，挡土墙总长245.7m</w:t>
            </w:r>
            <w:r>
              <w:rPr>
                <w:rFonts w:hint="eastAsia" w:ascii="Times New Roman" w:hAnsi="Times New Roman" w:cs="Times New Roman"/>
                <w:color w:val="auto"/>
                <w:lang w:eastAsia="zh-CN"/>
              </w:rPr>
              <w:t>；</w:t>
            </w:r>
            <w:r>
              <w:rPr>
                <w:rFonts w:hint="default" w:ascii="Times New Roman" w:hAnsi="Times New Roman" w:cs="Times New Roman"/>
                <w:color w:val="auto"/>
              </w:rPr>
              <w:t>截排水沟长度为</w:t>
            </w:r>
            <w:r>
              <w:rPr>
                <w:rFonts w:hint="default" w:ascii="Times New Roman" w:hAnsi="Times New Roman" w:cs="Times New Roman"/>
                <w:color w:val="auto"/>
                <w:lang w:val="en-US" w:eastAsia="zh-CN"/>
              </w:rPr>
              <w:t>570.4</w:t>
            </w:r>
            <w:r>
              <w:rPr>
                <w:rFonts w:hint="default" w:ascii="Times New Roman" w:hAnsi="Times New Roman" w:cs="Times New Roman"/>
                <w:color w:val="auto"/>
              </w:rPr>
              <w:t>m</w:t>
            </w:r>
            <w:r>
              <w:rPr>
                <w:rFonts w:hint="eastAsia" w:ascii="Times New Roman" w:hAnsi="Times New Roman" w:cs="Times New Roman"/>
                <w:color w:val="auto"/>
                <w:lang w:eastAsia="zh-CN"/>
              </w:rPr>
              <w:t>；</w:t>
            </w:r>
            <w:r>
              <w:rPr>
                <w:rFonts w:hint="default" w:ascii="Times New Roman" w:hAnsi="Times New Roman" w:cs="Times New Roman"/>
                <w:color w:val="auto"/>
              </w:rPr>
              <w:t>在项目区南侧的边坡上进行植被恢复，</w:t>
            </w:r>
            <w:r>
              <w:rPr>
                <w:rFonts w:hint="eastAsia" w:cs="Times New Roman"/>
                <w:color w:val="auto"/>
                <w:lang w:val="en-US" w:eastAsia="zh-CN"/>
              </w:rPr>
              <w:t>种植樟子松3836株，种草1.53h</w:t>
            </w:r>
            <w:r>
              <w:rPr>
                <w:rFonts w:hint="default" w:ascii="Times New Roman" w:hAnsi="Times New Roman" w:cs="Times New Roman"/>
                <w:color w:val="auto"/>
              </w:rPr>
              <w:t>m</w:t>
            </w:r>
            <w:r>
              <w:rPr>
                <w:rFonts w:hint="default" w:ascii="Times New Roman" w:hAnsi="Times New Roman" w:cs="Times New Roman"/>
                <w:color w:val="auto"/>
                <w:vertAlign w:val="superscript"/>
                <w:lang w:val="en-US" w:eastAsia="zh-CN"/>
              </w:rPr>
              <w:t>2</w:t>
            </w:r>
            <w:r>
              <w:rPr>
                <w:rFonts w:hint="default" w:ascii="Times New Roman" w:hAnsi="Times New Roman" w:cs="Times New Roman"/>
                <w:color w:val="auto"/>
                <w:vertAlign w:val="baseline"/>
                <w:lang w:val="en-US" w:eastAsia="zh-CN"/>
              </w:rPr>
              <w:t>。</w:t>
            </w:r>
          </w:p>
        </w:tc>
      </w:tr>
      <w:tr w14:paraId="3B7B9A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883" w:type="pct"/>
            <w:tcBorders>
              <w:tl2br w:val="nil"/>
              <w:tr2bl w:val="nil"/>
            </w:tcBorders>
            <w:vAlign w:val="center"/>
          </w:tcPr>
          <w:p w14:paraId="7A655052">
            <w:pPr>
              <w:pStyle w:val="44"/>
              <w:bidi w:val="0"/>
              <w:jc w:val="center"/>
              <w:rPr>
                <w:rFonts w:hint="default" w:ascii="Times New Roman" w:hAnsi="Times New Roman" w:cs="Times New Roman"/>
                <w:color w:val="auto"/>
              </w:rPr>
            </w:pPr>
            <w:r>
              <w:rPr>
                <w:rFonts w:hint="default" w:ascii="Times New Roman" w:hAnsi="Times New Roman" w:cs="Times New Roman"/>
                <w:color w:val="auto"/>
              </w:rPr>
              <w:t>鸡西市兴锦煤矿工业广场（25#）</w:t>
            </w:r>
          </w:p>
        </w:tc>
        <w:tc>
          <w:tcPr>
            <w:tcW w:w="3116" w:type="pct"/>
            <w:tcBorders>
              <w:tl2br w:val="nil"/>
              <w:tr2bl w:val="nil"/>
            </w:tcBorders>
            <w:vAlign w:val="center"/>
          </w:tcPr>
          <w:p w14:paraId="1B2A5A43">
            <w:pPr>
              <w:pStyle w:val="44"/>
              <w:bidi w:val="0"/>
              <w:jc w:val="center"/>
              <w:rPr>
                <w:rFonts w:hint="default" w:ascii="Times New Roman" w:hAnsi="Times New Roman" w:cs="Times New Roman"/>
                <w:color w:val="auto"/>
              </w:rPr>
            </w:pPr>
            <w:r>
              <w:rPr>
                <w:rFonts w:hint="default" w:ascii="Times New Roman" w:hAnsi="Times New Roman" w:cs="Times New Roman"/>
                <w:color w:val="auto"/>
              </w:rPr>
              <w:t>种植樟子松2592株，种草1.04hm</w:t>
            </w:r>
            <w:r>
              <w:rPr>
                <w:rFonts w:hint="default" w:ascii="Times New Roman" w:hAnsi="Times New Roman" w:cs="Times New Roman"/>
                <w:color w:val="auto"/>
                <w:vertAlign w:val="superscript"/>
              </w:rPr>
              <w:t>2</w:t>
            </w:r>
            <w:r>
              <w:rPr>
                <w:rFonts w:hint="default" w:ascii="Times New Roman" w:hAnsi="Times New Roman" w:cs="Times New Roman"/>
                <w:color w:val="auto"/>
              </w:rPr>
              <w:t>。</w:t>
            </w:r>
          </w:p>
        </w:tc>
      </w:tr>
      <w:tr w14:paraId="21D690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1" w:hRule="atLeast"/>
        </w:trPr>
        <w:tc>
          <w:tcPr>
            <w:tcW w:w="1883" w:type="pct"/>
            <w:tcBorders>
              <w:tl2br w:val="nil"/>
              <w:tr2bl w:val="nil"/>
            </w:tcBorders>
            <w:vAlign w:val="center"/>
          </w:tcPr>
          <w:p w14:paraId="54BBBDB8">
            <w:pPr>
              <w:pStyle w:val="44"/>
              <w:bidi w:val="0"/>
              <w:jc w:val="center"/>
              <w:rPr>
                <w:rFonts w:hint="default" w:ascii="Times New Roman" w:hAnsi="Times New Roman" w:cs="Times New Roman"/>
                <w:color w:val="auto"/>
              </w:rPr>
            </w:pPr>
            <w:r>
              <w:rPr>
                <w:rFonts w:hint="default" w:ascii="Times New Roman" w:hAnsi="Times New Roman" w:cs="Times New Roman"/>
                <w:color w:val="auto"/>
              </w:rPr>
              <w:t>鸡西市城子河区新立煤矿工业广场(31#)</w:t>
            </w:r>
          </w:p>
        </w:tc>
        <w:tc>
          <w:tcPr>
            <w:tcW w:w="3116" w:type="pct"/>
            <w:tcBorders>
              <w:tl2br w:val="nil"/>
              <w:tr2bl w:val="nil"/>
            </w:tcBorders>
            <w:vAlign w:val="center"/>
          </w:tcPr>
          <w:p w14:paraId="16A80B25">
            <w:pPr>
              <w:pStyle w:val="44"/>
              <w:bidi w:val="0"/>
              <w:jc w:val="center"/>
              <w:rPr>
                <w:rFonts w:hint="default" w:ascii="Times New Roman" w:hAnsi="Times New Roman" w:eastAsia="宋体" w:cs="Times New Roman"/>
                <w:color w:val="auto"/>
                <w:lang w:eastAsia="zh-CN"/>
              </w:rPr>
            </w:pPr>
            <w:r>
              <w:rPr>
                <w:rFonts w:hint="eastAsia" w:cs="Times New Roman"/>
                <w:color w:val="auto"/>
                <w:lang w:val="en-US" w:eastAsia="zh-CN"/>
              </w:rPr>
              <w:t>厂区平整后土方压实</w:t>
            </w:r>
          </w:p>
        </w:tc>
      </w:tr>
      <w:tr w14:paraId="553C79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40" w:hRule="atLeast"/>
        </w:trPr>
        <w:tc>
          <w:tcPr>
            <w:tcW w:w="1883" w:type="pct"/>
            <w:tcBorders>
              <w:tl2br w:val="nil"/>
              <w:tr2bl w:val="nil"/>
            </w:tcBorders>
            <w:vAlign w:val="center"/>
          </w:tcPr>
          <w:p w14:paraId="0305716F">
            <w:pPr>
              <w:pStyle w:val="44"/>
              <w:bidi w:val="0"/>
              <w:jc w:val="center"/>
              <w:rPr>
                <w:rFonts w:hint="default" w:ascii="Times New Roman" w:hAnsi="Times New Roman" w:cs="Times New Roman"/>
                <w:color w:val="auto"/>
              </w:rPr>
            </w:pPr>
            <w:r>
              <w:rPr>
                <w:rFonts w:hint="default" w:ascii="Times New Roman" w:hAnsi="Times New Roman" w:cs="Times New Roman"/>
                <w:color w:val="auto"/>
              </w:rPr>
              <w:t>鸡西市城子河区城西村北 1.5km 煤矿工业广场(41#)</w:t>
            </w:r>
          </w:p>
        </w:tc>
        <w:tc>
          <w:tcPr>
            <w:tcW w:w="3116" w:type="pct"/>
            <w:tcBorders>
              <w:tl2br w:val="nil"/>
              <w:tr2bl w:val="nil"/>
            </w:tcBorders>
            <w:vAlign w:val="center"/>
          </w:tcPr>
          <w:p w14:paraId="0FD5DAA0">
            <w:pPr>
              <w:pStyle w:val="44"/>
              <w:bidi w:val="0"/>
              <w:jc w:val="center"/>
              <w:rPr>
                <w:rFonts w:hint="default" w:ascii="Times New Roman" w:hAnsi="Times New Roman" w:eastAsia="宋体" w:cs="Times New Roman"/>
                <w:color w:val="auto"/>
                <w:lang w:eastAsia="zh-CN"/>
              </w:rPr>
            </w:pPr>
            <w:r>
              <w:rPr>
                <w:rFonts w:hint="eastAsia" w:cs="Times New Roman"/>
                <w:color w:val="auto"/>
                <w:lang w:val="en-US" w:eastAsia="zh-CN"/>
              </w:rPr>
              <w:t>厂区平整后土方压实</w:t>
            </w:r>
          </w:p>
        </w:tc>
      </w:tr>
      <w:tr w14:paraId="442B49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18" w:hRule="atLeast"/>
        </w:trPr>
        <w:tc>
          <w:tcPr>
            <w:tcW w:w="1883" w:type="pct"/>
            <w:tcBorders>
              <w:tl2br w:val="nil"/>
              <w:tr2bl w:val="nil"/>
            </w:tcBorders>
            <w:vAlign w:val="center"/>
          </w:tcPr>
          <w:p w14:paraId="7A214F11">
            <w:pPr>
              <w:pStyle w:val="44"/>
              <w:bidi w:val="0"/>
              <w:jc w:val="center"/>
              <w:rPr>
                <w:rFonts w:hint="default" w:ascii="Times New Roman" w:hAnsi="Times New Roman" w:cs="Times New Roman"/>
                <w:color w:val="auto"/>
              </w:rPr>
            </w:pPr>
            <w:r>
              <w:rPr>
                <w:rFonts w:hint="default" w:ascii="Times New Roman" w:hAnsi="Times New Roman" w:cs="Times New Roman"/>
                <w:color w:val="auto"/>
              </w:rPr>
              <w:t>鸡西市城子河区龙山屯废弃采石场（4</w:t>
            </w:r>
            <w:r>
              <w:rPr>
                <w:rFonts w:hint="default" w:ascii="Times New Roman" w:hAnsi="Times New Roman" w:cs="Times New Roman"/>
                <w:color w:val="auto"/>
                <w:lang w:val="en-US" w:eastAsia="zh-CN"/>
              </w:rPr>
              <w:t>5</w:t>
            </w:r>
            <w:r>
              <w:rPr>
                <w:rFonts w:hint="default" w:ascii="Times New Roman" w:hAnsi="Times New Roman" w:cs="Times New Roman"/>
                <w:color w:val="auto"/>
              </w:rPr>
              <w:t>#）</w:t>
            </w:r>
          </w:p>
        </w:tc>
        <w:tc>
          <w:tcPr>
            <w:tcW w:w="3116" w:type="pct"/>
            <w:tcBorders>
              <w:tl2br w:val="nil"/>
              <w:tr2bl w:val="nil"/>
            </w:tcBorders>
            <w:vAlign w:val="center"/>
          </w:tcPr>
          <w:p w14:paraId="5F8760B0">
            <w:pPr>
              <w:pStyle w:val="44"/>
              <w:bidi w:val="0"/>
              <w:jc w:val="center"/>
              <w:rPr>
                <w:rFonts w:hint="default" w:ascii="Times New Roman" w:hAnsi="Times New Roman" w:cs="Times New Roman"/>
                <w:color w:val="auto"/>
              </w:rPr>
            </w:pPr>
            <w:r>
              <w:rPr>
                <w:rFonts w:hint="default" w:ascii="Times New Roman" w:hAnsi="Times New Roman" w:cs="Times New Roman"/>
                <w:color w:val="auto"/>
              </w:rPr>
              <w:t>在平缓区域种植樟子松和撒播草籽，种植樟子松 6230 株</w:t>
            </w:r>
            <w:r>
              <w:rPr>
                <w:rFonts w:hint="eastAsia" w:cs="Times New Roman"/>
                <w:color w:val="auto"/>
                <w:lang w:eastAsia="zh-CN"/>
              </w:rPr>
              <w:t>，</w:t>
            </w:r>
            <w:r>
              <w:rPr>
                <w:rFonts w:hint="default" w:ascii="Times New Roman" w:hAnsi="Times New Roman" w:cs="Times New Roman"/>
                <w:color w:val="auto"/>
              </w:rPr>
              <w:t>撒播草籽选用紫羊茅、早熟禾混合草籽（混合比例1:3）10-12g/m</w:t>
            </w:r>
            <w:r>
              <w:rPr>
                <w:rFonts w:hint="default" w:ascii="Times New Roman" w:hAnsi="Times New Roman" w:cs="Times New Roman"/>
                <w:color w:val="auto"/>
                <w:vertAlign w:val="superscript"/>
              </w:rPr>
              <w:t>2</w:t>
            </w:r>
            <w:r>
              <w:rPr>
                <w:rFonts w:hint="default" w:ascii="Times New Roman" w:hAnsi="Times New Roman" w:cs="Times New Roman"/>
                <w:color w:val="auto"/>
              </w:rPr>
              <w:t>。</w:t>
            </w:r>
          </w:p>
        </w:tc>
      </w:tr>
      <w:tr w14:paraId="23FF35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883" w:type="pct"/>
            <w:tcBorders>
              <w:tl2br w:val="nil"/>
              <w:tr2bl w:val="nil"/>
            </w:tcBorders>
            <w:vAlign w:val="center"/>
          </w:tcPr>
          <w:p w14:paraId="2013A10A">
            <w:pPr>
              <w:pStyle w:val="44"/>
              <w:bidi w:val="0"/>
              <w:jc w:val="center"/>
              <w:rPr>
                <w:rFonts w:hint="default" w:ascii="Times New Roman" w:hAnsi="Times New Roman" w:cs="Times New Roman"/>
                <w:color w:val="auto"/>
              </w:rPr>
            </w:pPr>
            <w:r>
              <w:rPr>
                <w:rFonts w:hint="default" w:ascii="Times New Roman" w:hAnsi="Times New Roman" w:cs="Times New Roman"/>
                <w:color w:val="auto"/>
              </w:rPr>
              <w:t>鸡西市城子河区龙山屯废弃采石场（47#）</w:t>
            </w:r>
          </w:p>
        </w:tc>
        <w:tc>
          <w:tcPr>
            <w:tcW w:w="3116" w:type="pct"/>
            <w:tcBorders>
              <w:tl2br w:val="nil"/>
              <w:tr2bl w:val="nil"/>
            </w:tcBorders>
            <w:vAlign w:val="center"/>
          </w:tcPr>
          <w:p w14:paraId="3594CFB8">
            <w:pPr>
              <w:pStyle w:val="44"/>
              <w:bidi w:val="0"/>
              <w:jc w:val="center"/>
              <w:rPr>
                <w:rFonts w:hint="default" w:ascii="Times New Roman" w:hAnsi="Times New Roman" w:cs="Times New Roman"/>
                <w:color w:val="auto"/>
              </w:rPr>
            </w:pPr>
            <w:r>
              <w:rPr>
                <w:rFonts w:hint="default" w:ascii="Times New Roman" w:hAnsi="Times New Roman" w:cs="Times New Roman"/>
                <w:color w:val="auto"/>
              </w:rPr>
              <w:t>砌筑挡土墙3</w:t>
            </w:r>
            <w:r>
              <w:rPr>
                <w:rFonts w:hint="eastAsia" w:cs="Times New Roman"/>
                <w:color w:val="auto"/>
                <w:lang w:val="en-US" w:eastAsia="zh-CN"/>
              </w:rPr>
              <w:t>35.3</w:t>
            </w:r>
            <w:r>
              <w:rPr>
                <w:rFonts w:hint="default" w:ascii="Times New Roman" w:hAnsi="Times New Roman" w:cs="Times New Roman"/>
                <w:color w:val="auto"/>
              </w:rPr>
              <w:t>m</w:t>
            </w:r>
            <w:r>
              <w:rPr>
                <w:rFonts w:hint="eastAsia" w:cs="Times New Roman"/>
                <w:color w:val="auto"/>
                <w:lang w:eastAsia="zh-CN"/>
              </w:rPr>
              <w:t>，</w:t>
            </w:r>
            <w:r>
              <w:rPr>
                <w:rFonts w:hint="default" w:ascii="Times New Roman" w:hAnsi="Times New Roman" w:cs="Times New Roman"/>
                <w:color w:val="auto"/>
              </w:rPr>
              <w:t>种植樟子松1285株，紫穗槐10735株，种草1.95hm</w:t>
            </w:r>
            <w:r>
              <w:rPr>
                <w:rFonts w:hint="default" w:ascii="Times New Roman" w:hAnsi="Times New Roman" w:cs="Times New Roman"/>
                <w:color w:val="auto"/>
                <w:vertAlign w:val="superscript"/>
              </w:rPr>
              <w:t>2</w:t>
            </w:r>
            <w:r>
              <w:rPr>
                <w:rFonts w:hint="default" w:ascii="Times New Roman" w:hAnsi="Times New Roman" w:cs="Times New Roman"/>
                <w:color w:val="auto"/>
              </w:rPr>
              <w:t>。</w:t>
            </w:r>
          </w:p>
        </w:tc>
      </w:tr>
      <w:tr w14:paraId="7F9452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0" w:hRule="atLeast"/>
        </w:trPr>
        <w:tc>
          <w:tcPr>
            <w:tcW w:w="1883" w:type="pct"/>
            <w:tcBorders>
              <w:tl2br w:val="nil"/>
              <w:tr2bl w:val="nil"/>
            </w:tcBorders>
            <w:vAlign w:val="center"/>
          </w:tcPr>
          <w:p w14:paraId="5EFBDEA9">
            <w:pPr>
              <w:pStyle w:val="44"/>
              <w:bidi w:val="0"/>
              <w:jc w:val="center"/>
              <w:rPr>
                <w:rFonts w:hint="default" w:ascii="Times New Roman" w:hAnsi="Times New Roman" w:cs="Times New Roman"/>
                <w:color w:val="auto"/>
              </w:rPr>
            </w:pPr>
            <w:r>
              <w:rPr>
                <w:rFonts w:hint="default" w:ascii="Times New Roman" w:hAnsi="Times New Roman" w:cs="Times New Roman"/>
                <w:color w:val="auto"/>
              </w:rPr>
              <w:t>鸡西市城子河区城海村东南 1.7km废弃采石场(59#)</w:t>
            </w:r>
          </w:p>
        </w:tc>
        <w:tc>
          <w:tcPr>
            <w:tcW w:w="3116" w:type="pct"/>
            <w:tcBorders>
              <w:tl2br w:val="nil"/>
              <w:tr2bl w:val="nil"/>
            </w:tcBorders>
            <w:vAlign w:val="center"/>
          </w:tcPr>
          <w:p w14:paraId="65C4B12E">
            <w:pPr>
              <w:pStyle w:val="44"/>
              <w:bidi w:val="0"/>
              <w:jc w:val="center"/>
              <w:rPr>
                <w:rFonts w:hint="default" w:ascii="Times New Roman" w:hAnsi="Times New Roman" w:cs="Times New Roman"/>
                <w:color w:val="auto"/>
              </w:rPr>
            </w:pPr>
            <w:r>
              <w:rPr>
                <w:rFonts w:hint="default" w:ascii="Times New Roman" w:hAnsi="Times New Roman" w:cs="Times New Roman"/>
                <w:color w:val="auto"/>
              </w:rPr>
              <w:t>在场地平整工程区域进行植被恢复，栽种樟子松1</w:t>
            </w:r>
            <w:r>
              <w:rPr>
                <w:rFonts w:hint="eastAsia" w:cs="Times New Roman"/>
                <w:color w:val="auto"/>
                <w:lang w:val="en-US" w:eastAsia="zh-CN"/>
              </w:rPr>
              <w:t>114</w:t>
            </w:r>
            <w:r>
              <w:rPr>
                <w:rFonts w:hint="default" w:ascii="Times New Roman" w:hAnsi="Times New Roman" w:cs="Times New Roman"/>
                <w:color w:val="auto"/>
              </w:rPr>
              <w:t>株面积为 4454.9m</w:t>
            </w:r>
            <w:r>
              <w:rPr>
                <w:rFonts w:hint="default" w:ascii="Times New Roman" w:hAnsi="Times New Roman" w:cs="Times New Roman"/>
                <w:color w:val="auto"/>
                <w:vertAlign w:val="superscript"/>
              </w:rPr>
              <w:t>2</w:t>
            </w:r>
            <w:r>
              <w:rPr>
                <w:rFonts w:hint="default" w:ascii="Times New Roman" w:hAnsi="Times New Roman" w:cs="Times New Roman"/>
                <w:color w:val="auto"/>
                <w:vertAlign w:val="baseline"/>
                <w:lang w:eastAsia="zh-CN"/>
              </w:rPr>
              <w:t>。</w:t>
            </w:r>
          </w:p>
        </w:tc>
      </w:tr>
      <w:tr w14:paraId="16C3E8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6" w:hRule="atLeast"/>
        </w:trPr>
        <w:tc>
          <w:tcPr>
            <w:tcW w:w="1883" w:type="pct"/>
            <w:tcBorders>
              <w:tl2br w:val="nil"/>
              <w:tr2bl w:val="nil"/>
            </w:tcBorders>
            <w:vAlign w:val="center"/>
          </w:tcPr>
          <w:p w14:paraId="64F0EDBE">
            <w:pPr>
              <w:pStyle w:val="44"/>
              <w:bidi w:val="0"/>
              <w:jc w:val="center"/>
              <w:rPr>
                <w:rFonts w:hint="default" w:ascii="Times New Roman" w:hAnsi="Times New Roman" w:cs="Times New Roman"/>
                <w:color w:val="auto"/>
              </w:rPr>
            </w:pPr>
            <w:r>
              <w:rPr>
                <w:rFonts w:hint="default" w:ascii="Times New Roman" w:hAnsi="Times New Roman" w:cs="Times New Roman"/>
                <w:color w:val="auto"/>
              </w:rPr>
              <w:t>鸡西市城子河区城海村东南2.7km废弃采石场（60#）</w:t>
            </w:r>
          </w:p>
        </w:tc>
        <w:tc>
          <w:tcPr>
            <w:tcW w:w="3116" w:type="pct"/>
            <w:tcBorders>
              <w:tl2br w:val="nil"/>
              <w:tr2bl w:val="nil"/>
            </w:tcBorders>
            <w:vAlign w:val="center"/>
          </w:tcPr>
          <w:p w14:paraId="3136B6EA">
            <w:pPr>
              <w:pStyle w:val="44"/>
              <w:bidi w:val="0"/>
              <w:jc w:val="center"/>
              <w:rPr>
                <w:rFonts w:hint="default" w:ascii="Times New Roman" w:hAnsi="Times New Roman" w:cs="Times New Roman"/>
                <w:color w:val="auto"/>
              </w:rPr>
            </w:pPr>
            <w:r>
              <w:rPr>
                <w:rFonts w:hint="default" w:ascii="Times New Roman" w:hAnsi="Times New Roman" w:cs="Times New Roman"/>
                <w:color w:val="auto"/>
              </w:rPr>
              <w:t>在项目区平整区域进行植被恢复，栽种樟子松1449株</w:t>
            </w:r>
            <w:r>
              <w:rPr>
                <w:rFonts w:hint="eastAsia" w:cs="Times New Roman"/>
                <w:color w:val="auto"/>
                <w:lang w:eastAsia="zh-CN"/>
              </w:rPr>
              <w:t>，</w:t>
            </w:r>
            <w:r>
              <w:rPr>
                <w:rFonts w:hint="default" w:ascii="Times New Roman" w:hAnsi="Times New Roman" w:cs="Times New Roman"/>
                <w:color w:val="auto"/>
              </w:rPr>
              <w:t>面积为</w:t>
            </w:r>
            <w:r>
              <w:rPr>
                <w:rFonts w:hint="default" w:ascii="Times New Roman" w:hAnsi="Times New Roman" w:cs="Times New Roman"/>
                <w:color w:val="auto"/>
                <w:lang w:val="en-US" w:eastAsia="zh-CN"/>
              </w:rPr>
              <w:t>5797.3m</w:t>
            </w:r>
            <w:r>
              <w:rPr>
                <w:rFonts w:hint="default" w:ascii="Times New Roman" w:hAnsi="Times New Roman" w:cs="Times New Roman"/>
                <w:color w:val="auto"/>
                <w:vertAlign w:val="superscript"/>
                <w:lang w:val="en-US" w:eastAsia="zh-CN"/>
              </w:rPr>
              <w:t>2</w:t>
            </w:r>
          </w:p>
        </w:tc>
      </w:tr>
    </w:tbl>
    <w:p w14:paraId="6257F561">
      <w:pPr>
        <w:pStyle w:val="39"/>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6.1.6土壤环境保护</w:t>
      </w:r>
    </w:p>
    <w:p w14:paraId="52A780FC">
      <w:pPr>
        <w:pStyle w:val="5"/>
        <w:bidi w:val="0"/>
        <w:rPr>
          <w:rFonts w:hint="default" w:ascii="Times New Roman" w:hAnsi="Times New Roman" w:cs="Times New Roman"/>
          <w:color w:val="auto"/>
        </w:rPr>
      </w:pPr>
      <w:r>
        <w:rPr>
          <w:rFonts w:hint="default" w:ascii="Times New Roman" w:hAnsi="Times New Roman" w:cs="Times New Roman"/>
          <w:color w:val="auto"/>
        </w:rPr>
        <w:t>6.</w:t>
      </w:r>
      <w:r>
        <w:rPr>
          <w:rFonts w:hint="default" w:ascii="Times New Roman" w:hAnsi="Times New Roman" w:cs="Times New Roman"/>
          <w:color w:val="auto"/>
          <w:lang w:val="en-US" w:eastAsia="zh-CN"/>
        </w:rPr>
        <w:t>1</w:t>
      </w:r>
      <w:r>
        <w:rPr>
          <w:rFonts w:hint="default" w:ascii="Times New Roman" w:hAnsi="Times New Roman" w:cs="Times New Roman"/>
          <w:color w:val="auto"/>
        </w:rPr>
        <w:t>.6.1源头控制措施</w:t>
      </w:r>
    </w:p>
    <w:p w14:paraId="0524399A">
      <w:pPr>
        <w:pStyle w:val="25"/>
        <w:bidi w:val="0"/>
        <w:rPr>
          <w:rFonts w:hint="default" w:ascii="Times New Roman" w:hAnsi="Times New Roman" w:cs="Times New Roman"/>
          <w:color w:val="auto"/>
        </w:rPr>
      </w:pPr>
      <w:r>
        <w:rPr>
          <w:rFonts w:hint="default" w:ascii="Times New Roman" w:hAnsi="Times New Roman" w:cs="Times New Roman"/>
          <w:color w:val="auto"/>
        </w:rPr>
        <w:t>本项目土壤污染源头控制措施主要是减少项目废气、废水、固废等污染物的产生及排放量。本环评报告主要提出如下措施：</w:t>
      </w:r>
    </w:p>
    <w:p w14:paraId="3942C25C">
      <w:pPr>
        <w:pStyle w:val="25"/>
        <w:bidi w:val="0"/>
        <w:rPr>
          <w:rFonts w:hint="default" w:ascii="Times New Roman" w:hAnsi="Times New Roman" w:cs="Times New Roman"/>
          <w:color w:val="auto"/>
        </w:rPr>
      </w:pPr>
      <w:r>
        <w:rPr>
          <w:rFonts w:hint="default" w:ascii="Times New Roman" w:hAnsi="Times New Roman" w:cs="Times New Roman"/>
          <w:color w:val="auto"/>
        </w:rPr>
        <w:t>①企业应加强对废气治理措施的管理和维护，确保各污染物达标排放，有效减少废气污染物通过沉降或降水进入土壤的量。</w:t>
      </w:r>
    </w:p>
    <w:p w14:paraId="3B088C74">
      <w:pPr>
        <w:pStyle w:val="25"/>
        <w:bidi w:val="0"/>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 2 \* GB3 </w:instrText>
      </w:r>
      <w:r>
        <w:rPr>
          <w:rFonts w:hint="default" w:ascii="Times New Roman" w:hAnsi="Times New Roman" w:cs="Times New Roman"/>
          <w:color w:val="auto"/>
        </w:rPr>
        <w:fldChar w:fldCharType="separate"/>
      </w:r>
      <w:r>
        <w:rPr>
          <w:rFonts w:hint="default" w:ascii="Times New Roman" w:hAnsi="Times New Roman" w:cs="Times New Roman"/>
          <w:color w:val="auto"/>
        </w:rPr>
        <w:t>②</w:t>
      </w:r>
      <w:r>
        <w:rPr>
          <w:rFonts w:hint="default" w:ascii="Times New Roman" w:hAnsi="Times New Roman" w:cs="Times New Roman"/>
          <w:color w:val="auto"/>
        </w:rPr>
        <w:fldChar w:fldCharType="end"/>
      </w:r>
      <w:r>
        <w:rPr>
          <w:rFonts w:hint="default" w:ascii="Times New Roman" w:hAnsi="Times New Roman" w:cs="Times New Roman"/>
          <w:color w:val="auto"/>
        </w:rPr>
        <w:t>严格按照国家相关规范要求，对工艺、设备、废水处理构筑物采取相应的措施并对运输车辆实行密闭措施，以防止和降低可能污染物的“跑、冒、滴、漏”，将污染物泄漏的环境风险事故降低到最低程度。</w:t>
      </w:r>
    </w:p>
    <w:p w14:paraId="56449744">
      <w:pPr>
        <w:pStyle w:val="5"/>
        <w:bidi w:val="0"/>
        <w:rPr>
          <w:rFonts w:hint="default" w:ascii="Times New Roman" w:hAnsi="Times New Roman" w:cs="Times New Roman"/>
          <w:color w:val="auto"/>
        </w:rPr>
      </w:pPr>
      <w:r>
        <w:rPr>
          <w:rFonts w:hint="default" w:ascii="Times New Roman" w:hAnsi="Times New Roman" w:cs="Times New Roman"/>
          <w:color w:val="auto"/>
        </w:rPr>
        <w:t>6.</w:t>
      </w:r>
      <w:r>
        <w:rPr>
          <w:rFonts w:hint="default" w:ascii="Times New Roman" w:hAnsi="Times New Roman" w:cs="Times New Roman"/>
          <w:color w:val="auto"/>
          <w:lang w:val="en-US" w:eastAsia="zh-CN"/>
        </w:rPr>
        <w:t>1</w:t>
      </w:r>
      <w:r>
        <w:rPr>
          <w:rFonts w:hint="default" w:ascii="Times New Roman" w:hAnsi="Times New Roman" w:cs="Times New Roman"/>
          <w:color w:val="auto"/>
        </w:rPr>
        <w:t>.6.2过程控制措施</w:t>
      </w:r>
    </w:p>
    <w:p w14:paraId="6507503C">
      <w:pPr>
        <w:pStyle w:val="25"/>
        <w:bidi w:val="0"/>
        <w:rPr>
          <w:rFonts w:hint="default" w:ascii="Times New Roman" w:hAnsi="Times New Roman" w:cs="Times New Roman"/>
          <w:color w:val="auto"/>
        </w:rPr>
      </w:pPr>
      <w:r>
        <w:rPr>
          <w:rFonts w:hint="default" w:ascii="Times New Roman" w:hAnsi="Times New Roman" w:cs="Times New Roman"/>
          <w:color w:val="auto"/>
          <w:lang w:val="en-US" w:eastAsia="zh-CN"/>
        </w:rPr>
        <w:t>正常状况下填埋过程</w:t>
      </w:r>
      <w:r>
        <w:rPr>
          <w:rFonts w:hint="default" w:ascii="Times New Roman" w:hAnsi="Times New Roman" w:cs="Times New Roman"/>
          <w:color w:val="auto"/>
        </w:rPr>
        <w:t>淋溶水不会对土壤环境造成明显影响</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只有遇到强降雨时产生的淋溶水才会对土壤产生影响，根据预测，强降雨对土壤影响较小</w:t>
      </w:r>
      <w:r>
        <w:rPr>
          <w:rFonts w:hint="default" w:ascii="Times New Roman" w:hAnsi="Times New Roman" w:cs="Times New Roman"/>
          <w:color w:val="auto"/>
        </w:rPr>
        <w:t>。因此，通过及时导排</w:t>
      </w:r>
      <w:r>
        <w:rPr>
          <w:rFonts w:hint="default" w:ascii="Times New Roman" w:hAnsi="Times New Roman" w:cs="Times New Roman"/>
          <w:color w:val="auto"/>
          <w:lang w:val="en-US" w:eastAsia="zh-CN"/>
        </w:rPr>
        <w:t>雨水</w:t>
      </w:r>
      <w:r>
        <w:rPr>
          <w:rFonts w:hint="default" w:ascii="Times New Roman" w:hAnsi="Times New Roman" w:cs="Times New Roman"/>
          <w:color w:val="auto"/>
        </w:rPr>
        <w:t>，经常疏通截水沟，防止场外降水进入场内，减少淋溶水产生量等措施，本项目实施不会对土壤环境造成明显影响，不存在土壤污染环境风险。</w:t>
      </w:r>
    </w:p>
    <w:p w14:paraId="02980A9C">
      <w:pPr>
        <w:pStyle w:val="5"/>
        <w:bidi w:val="0"/>
        <w:rPr>
          <w:rFonts w:hint="default" w:ascii="Times New Roman" w:hAnsi="Times New Roman" w:cs="Times New Roman"/>
          <w:color w:val="auto"/>
        </w:rPr>
      </w:pPr>
      <w:r>
        <w:rPr>
          <w:rFonts w:hint="default" w:ascii="Times New Roman" w:hAnsi="Times New Roman" w:cs="Times New Roman"/>
          <w:color w:val="auto"/>
        </w:rPr>
        <w:t>6.</w:t>
      </w:r>
      <w:r>
        <w:rPr>
          <w:rFonts w:hint="default" w:ascii="Times New Roman" w:hAnsi="Times New Roman" w:cs="Times New Roman"/>
          <w:color w:val="auto"/>
          <w:lang w:val="en-US" w:eastAsia="zh-CN"/>
        </w:rPr>
        <w:t>1</w:t>
      </w:r>
      <w:r>
        <w:rPr>
          <w:rFonts w:hint="default" w:ascii="Times New Roman" w:hAnsi="Times New Roman" w:cs="Times New Roman"/>
          <w:color w:val="auto"/>
        </w:rPr>
        <w:t>.6.3跟踪监测</w:t>
      </w:r>
    </w:p>
    <w:p w14:paraId="73C04B2A">
      <w:pPr>
        <w:pStyle w:val="25"/>
        <w:bidi w:val="0"/>
        <w:rPr>
          <w:rFonts w:hint="default" w:ascii="Times New Roman" w:hAnsi="Times New Roman" w:cs="Times New Roman"/>
          <w:color w:val="auto"/>
        </w:rPr>
      </w:pPr>
      <w:r>
        <w:rPr>
          <w:rFonts w:hint="default" w:ascii="Times New Roman" w:hAnsi="Times New Roman" w:cs="Times New Roman"/>
          <w:color w:val="auto"/>
        </w:rPr>
        <w:t>（1）监测点位、位置、层位及监测因子</w:t>
      </w:r>
    </w:p>
    <w:p w14:paraId="5D813572">
      <w:pPr>
        <w:pStyle w:val="25"/>
        <w:bidi w:val="0"/>
        <w:rPr>
          <w:rFonts w:hint="default" w:ascii="Times New Roman" w:hAnsi="Times New Roman" w:cs="Times New Roman"/>
          <w:color w:val="auto"/>
        </w:rPr>
      </w:pPr>
      <w:r>
        <w:rPr>
          <w:rFonts w:hint="default" w:ascii="Times New Roman" w:hAnsi="Times New Roman" w:cs="Times New Roman"/>
          <w:color w:val="auto"/>
        </w:rPr>
        <w:t>本项目共布设1个土壤污染跟踪监测点，监测点位置见下表。根据《环境影响评价技术导则 土壤环境（试行）》（HJ964-2018）的要求，二级评价的项目跟踪监测每5年开展1次，监测点位布设在重点影响区和土壤环境敏感目标附近。根据GB 18599-2020的要求，充填及回填活动结束后，应对土壤开展长期监测，监测频次至少每年1次。因此，监测频率设置为每年一次。</w:t>
      </w:r>
    </w:p>
    <w:p w14:paraId="0F6094FA">
      <w:pPr>
        <w:pStyle w:val="27"/>
        <w:bidi w:val="0"/>
        <w:rPr>
          <w:rFonts w:hint="default" w:ascii="Times New Roman" w:hAnsi="Times New Roman" w:cs="Times New Roman"/>
          <w:color w:val="auto"/>
        </w:rPr>
      </w:pPr>
      <w:r>
        <w:rPr>
          <w:rFonts w:hint="default" w:ascii="Times New Roman" w:hAnsi="Times New Roman" w:cs="Times New Roman"/>
          <w:color w:val="auto"/>
        </w:rPr>
        <w:t>表6-</w:t>
      </w:r>
      <w:r>
        <w:rPr>
          <w:rFonts w:hint="default" w:ascii="Times New Roman" w:hAnsi="Times New Roman" w:cs="Times New Roman"/>
          <w:color w:val="auto"/>
          <w:lang w:val="en-US" w:eastAsia="zh-CN"/>
        </w:rPr>
        <w:t>1</w:t>
      </w:r>
      <w:r>
        <w:rPr>
          <w:rFonts w:hint="default" w:ascii="Times New Roman" w:hAnsi="Times New Roman" w:cs="Times New Roman"/>
          <w:color w:val="auto"/>
        </w:rPr>
        <w:t>-2土壤污染跟踪监测点信息一览表</w:t>
      </w:r>
    </w:p>
    <w:tbl>
      <w:tblPr>
        <w:tblStyle w:val="2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32"/>
        <w:gridCol w:w="1503"/>
        <w:gridCol w:w="1311"/>
        <w:gridCol w:w="1309"/>
        <w:gridCol w:w="3867"/>
      </w:tblGrid>
      <w:tr w14:paraId="1A95E6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5241BEB1">
            <w:pPr>
              <w:pStyle w:val="44"/>
              <w:bidi w:val="0"/>
              <w:rPr>
                <w:rFonts w:hint="default" w:ascii="Times New Roman" w:hAnsi="Times New Roman" w:cs="Times New Roman"/>
                <w:color w:val="auto"/>
              </w:rPr>
            </w:pPr>
            <w:r>
              <w:rPr>
                <w:rFonts w:hint="default" w:ascii="Times New Roman" w:hAnsi="Times New Roman" w:cs="Times New Roman"/>
                <w:color w:val="auto"/>
              </w:rPr>
              <w:t>点号</w:t>
            </w:r>
          </w:p>
        </w:tc>
        <w:tc>
          <w:tcPr>
            <w:tcW w:w="882" w:type="pct"/>
            <w:vAlign w:val="center"/>
          </w:tcPr>
          <w:p w14:paraId="51A01349">
            <w:pPr>
              <w:pStyle w:val="44"/>
              <w:bidi w:val="0"/>
              <w:rPr>
                <w:rFonts w:hint="default" w:ascii="Times New Roman" w:hAnsi="Times New Roman" w:cs="Times New Roman"/>
                <w:color w:val="auto"/>
              </w:rPr>
            </w:pPr>
            <w:r>
              <w:rPr>
                <w:rFonts w:hint="default" w:ascii="Times New Roman" w:hAnsi="Times New Roman" w:cs="Times New Roman"/>
                <w:color w:val="auto"/>
              </w:rPr>
              <w:t>位置</w:t>
            </w:r>
          </w:p>
        </w:tc>
        <w:tc>
          <w:tcPr>
            <w:tcW w:w="769" w:type="pct"/>
            <w:vAlign w:val="center"/>
          </w:tcPr>
          <w:p w14:paraId="1476C030">
            <w:pPr>
              <w:pStyle w:val="44"/>
              <w:bidi w:val="0"/>
              <w:rPr>
                <w:rFonts w:hint="default" w:ascii="Times New Roman" w:hAnsi="Times New Roman" w:cs="Times New Roman"/>
                <w:color w:val="auto"/>
              </w:rPr>
            </w:pPr>
            <w:r>
              <w:rPr>
                <w:rFonts w:hint="default" w:ascii="Times New Roman" w:hAnsi="Times New Roman" w:cs="Times New Roman"/>
                <w:color w:val="auto"/>
              </w:rPr>
              <w:t>取样层位</w:t>
            </w:r>
          </w:p>
        </w:tc>
        <w:tc>
          <w:tcPr>
            <w:tcW w:w="768" w:type="pct"/>
            <w:vAlign w:val="center"/>
          </w:tcPr>
          <w:p w14:paraId="13D8F16C">
            <w:pPr>
              <w:pStyle w:val="44"/>
              <w:bidi w:val="0"/>
              <w:rPr>
                <w:rFonts w:hint="default" w:ascii="Times New Roman" w:hAnsi="Times New Roman" w:cs="Times New Roman"/>
                <w:color w:val="auto"/>
              </w:rPr>
            </w:pPr>
            <w:r>
              <w:rPr>
                <w:rFonts w:hint="default" w:ascii="Times New Roman" w:hAnsi="Times New Roman" w:cs="Times New Roman"/>
                <w:color w:val="auto"/>
              </w:rPr>
              <w:t>监测频次</w:t>
            </w:r>
          </w:p>
        </w:tc>
        <w:tc>
          <w:tcPr>
            <w:tcW w:w="2269" w:type="pct"/>
            <w:vAlign w:val="center"/>
          </w:tcPr>
          <w:p w14:paraId="09FD6B43">
            <w:pPr>
              <w:pStyle w:val="44"/>
              <w:bidi w:val="0"/>
              <w:rPr>
                <w:rFonts w:hint="default" w:ascii="Times New Roman" w:hAnsi="Times New Roman" w:cs="Times New Roman"/>
                <w:color w:val="auto"/>
              </w:rPr>
            </w:pPr>
            <w:r>
              <w:rPr>
                <w:rFonts w:hint="default" w:ascii="Times New Roman" w:hAnsi="Times New Roman" w:cs="Times New Roman"/>
                <w:color w:val="auto"/>
              </w:rPr>
              <w:t>监测因子</w:t>
            </w:r>
          </w:p>
        </w:tc>
      </w:tr>
      <w:tr w14:paraId="56B46F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77632801">
            <w:pPr>
              <w:pStyle w:val="44"/>
              <w:bidi w:val="0"/>
              <w:rPr>
                <w:rFonts w:hint="default" w:ascii="Times New Roman" w:hAnsi="Times New Roman" w:cs="Times New Roman"/>
                <w:color w:val="auto"/>
              </w:rPr>
            </w:pPr>
            <w:r>
              <w:rPr>
                <w:rFonts w:hint="default" w:ascii="Times New Roman" w:hAnsi="Times New Roman" w:cs="Times New Roman"/>
                <w:color w:val="auto"/>
              </w:rPr>
              <w:t>1</w:t>
            </w:r>
          </w:p>
        </w:tc>
        <w:tc>
          <w:tcPr>
            <w:tcW w:w="882" w:type="pct"/>
            <w:vAlign w:val="center"/>
          </w:tcPr>
          <w:p w14:paraId="67F644AB">
            <w:pPr>
              <w:pStyle w:val="44"/>
              <w:bidi w:val="0"/>
              <w:rPr>
                <w:rFonts w:hint="default" w:ascii="Times New Roman" w:hAnsi="Times New Roman" w:cs="Times New Roman"/>
                <w:color w:val="auto"/>
              </w:rPr>
            </w:pPr>
            <w:r>
              <w:rPr>
                <w:rFonts w:hint="default" w:ascii="Times New Roman" w:hAnsi="Times New Roman" w:cs="Times New Roman"/>
                <w:color w:val="auto"/>
              </w:rPr>
              <w:t>场区东侧</w:t>
            </w:r>
          </w:p>
        </w:tc>
        <w:tc>
          <w:tcPr>
            <w:tcW w:w="769" w:type="pct"/>
            <w:vAlign w:val="center"/>
          </w:tcPr>
          <w:p w14:paraId="0CB8EB64">
            <w:pPr>
              <w:pStyle w:val="44"/>
              <w:bidi w:val="0"/>
              <w:rPr>
                <w:rFonts w:hint="default" w:ascii="Times New Roman" w:hAnsi="Times New Roman" w:cs="Times New Roman"/>
                <w:color w:val="auto"/>
              </w:rPr>
            </w:pPr>
            <w:r>
              <w:rPr>
                <w:rFonts w:hint="default" w:ascii="Times New Roman" w:hAnsi="Times New Roman" w:cs="Times New Roman"/>
                <w:color w:val="auto"/>
              </w:rPr>
              <w:t>表层土壤</w:t>
            </w:r>
          </w:p>
        </w:tc>
        <w:tc>
          <w:tcPr>
            <w:tcW w:w="768" w:type="pct"/>
            <w:vAlign w:val="center"/>
          </w:tcPr>
          <w:p w14:paraId="2950E90A">
            <w:pPr>
              <w:pStyle w:val="44"/>
              <w:bidi w:val="0"/>
              <w:rPr>
                <w:rFonts w:hint="default" w:ascii="Times New Roman" w:hAnsi="Times New Roman" w:cs="Times New Roman"/>
                <w:color w:val="auto"/>
              </w:rPr>
            </w:pPr>
            <w:r>
              <w:rPr>
                <w:rFonts w:hint="default" w:ascii="Times New Roman" w:hAnsi="Times New Roman" w:cs="Times New Roman"/>
                <w:color w:val="auto"/>
              </w:rPr>
              <w:t>每年一次</w:t>
            </w:r>
          </w:p>
        </w:tc>
        <w:tc>
          <w:tcPr>
            <w:tcW w:w="2269" w:type="pct"/>
            <w:vAlign w:val="center"/>
          </w:tcPr>
          <w:p w14:paraId="3F5CBB48">
            <w:pPr>
              <w:pStyle w:val="44"/>
              <w:bidi w:val="0"/>
              <w:rPr>
                <w:rFonts w:hint="default" w:ascii="Times New Roman" w:hAnsi="Times New Roman" w:cs="Times New Roman"/>
                <w:color w:val="auto"/>
              </w:rPr>
            </w:pPr>
            <w:r>
              <w:rPr>
                <w:rFonts w:hint="default" w:ascii="Times New Roman" w:hAnsi="Times New Roman" w:cs="Times New Roman"/>
                <w:color w:val="auto"/>
              </w:rPr>
              <w:t>pH、镉、汞、砷、铜、铅、铬、镍、锌</w:t>
            </w:r>
          </w:p>
        </w:tc>
      </w:tr>
    </w:tbl>
    <w:p w14:paraId="7B626D9A">
      <w:pPr>
        <w:pStyle w:val="25"/>
        <w:bidi w:val="0"/>
        <w:rPr>
          <w:rFonts w:hint="default" w:ascii="Times New Roman" w:hAnsi="Times New Roman" w:cs="Times New Roman"/>
          <w:color w:val="auto"/>
        </w:rPr>
      </w:pPr>
      <w:r>
        <w:rPr>
          <w:rFonts w:hint="default" w:ascii="Times New Roman" w:hAnsi="Times New Roman" w:cs="Times New Roman"/>
          <w:color w:val="auto"/>
        </w:rPr>
        <w:t>（2）执行标准</w:t>
      </w:r>
    </w:p>
    <w:p w14:paraId="1BC813AB">
      <w:pPr>
        <w:pStyle w:val="25"/>
        <w:bidi w:val="0"/>
        <w:rPr>
          <w:rFonts w:hint="default" w:ascii="Times New Roman" w:hAnsi="Times New Roman" w:cs="Times New Roman"/>
          <w:color w:val="auto"/>
        </w:rPr>
      </w:pPr>
      <w:r>
        <w:rPr>
          <w:rFonts w:hint="default" w:ascii="Times New Roman" w:hAnsi="Times New Roman" w:cs="Times New Roman"/>
          <w:color w:val="auto"/>
        </w:rPr>
        <w:t>土壤环境质量执行《土壤环境质量 农用地土壤污染风险管控标准（试行）》（GB15618-2018）的要求。如发现监测结果异常，超出本底值的20%，应立即采取措施，排查原因，并开展土壤修复工作。</w:t>
      </w:r>
    </w:p>
    <w:p w14:paraId="0D70181A">
      <w:pPr>
        <w:pStyle w:val="25"/>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根据环境风险评估报告</w:t>
      </w:r>
      <w:r>
        <w:rPr>
          <w:rFonts w:hint="eastAsia" w:cs="Times New Roman"/>
          <w:color w:val="auto"/>
          <w:lang w:val="en-US" w:eastAsia="zh-CN"/>
        </w:rPr>
        <w:t>及</w:t>
      </w:r>
      <w:r>
        <w:rPr>
          <w:rFonts w:hint="default" w:ascii="Times New Roman" w:hAnsi="Times New Roman" w:cs="Times New Roman"/>
          <w:color w:val="auto"/>
        </w:rPr>
        <w:t>本项目煤矸石淋溶水的检测结果，项目煤矸石中可溶性重金属含量较低，对地下水水质的影响轻微，淋溶水不会对</w:t>
      </w:r>
      <w:r>
        <w:rPr>
          <w:rFonts w:hint="default" w:ascii="Times New Roman" w:hAnsi="Times New Roman" w:cs="Times New Roman"/>
          <w:color w:val="auto"/>
          <w:lang w:val="en-US" w:eastAsia="zh-CN"/>
        </w:rPr>
        <w:t>土壤</w:t>
      </w:r>
      <w:r>
        <w:rPr>
          <w:rFonts w:hint="default" w:ascii="Times New Roman" w:hAnsi="Times New Roman" w:cs="Times New Roman"/>
          <w:color w:val="auto"/>
        </w:rPr>
        <w:t>环境造成明显影响，</w:t>
      </w:r>
      <w:r>
        <w:rPr>
          <w:rFonts w:hint="default" w:ascii="Times New Roman" w:hAnsi="Times New Roman" w:cs="Times New Roman"/>
          <w:color w:val="auto"/>
          <w:lang w:val="en-US" w:eastAsia="zh-CN"/>
        </w:rPr>
        <w:t>采取措施后</w:t>
      </w:r>
      <w:r>
        <w:rPr>
          <w:rFonts w:hint="default" w:ascii="Times New Roman" w:hAnsi="Times New Roman" w:cs="Times New Roman"/>
          <w:color w:val="auto"/>
        </w:rPr>
        <w:t>对周边环境风险可接受</w:t>
      </w:r>
      <w:r>
        <w:rPr>
          <w:rFonts w:hint="default" w:ascii="Times New Roman" w:hAnsi="Times New Roman" w:cs="Times New Roman"/>
          <w:color w:val="auto"/>
          <w:lang w:eastAsia="zh-CN"/>
        </w:rPr>
        <w:t>。</w:t>
      </w:r>
    </w:p>
    <w:p w14:paraId="2DCF94BB">
      <w:pPr>
        <w:pStyle w:val="39"/>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6.1.7地下水污染防治措施</w:t>
      </w:r>
    </w:p>
    <w:p w14:paraId="18CBEF8B">
      <w:pPr>
        <w:pStyle w:val="25"/>
        <w:bidi w:val="0"/>
        <w:rPr>
          <w:rFonts w:hint="default" w:ascii="Times New Roman" w:hAnsi="Times New Roman" w:cs="Times New Roman"/>
          <w:color w:val="auto"/>
        </w:rPr>
      </w:pPr>
      <w:r>
        <w:rPr>
          <w:rFonts w:hint="default" w:ascii="Times New Roman" w:hAnsi="Times New Roman" w:cs="Times New Roman"/>
          <w:color w:val="auto"/>
        </w:rPr>
        <w:t>根据可能产生地下水污染的工程单元的分布情况，按照“源头控制、分区防治、污染监控、应急响应”相结合的原则，从污染物的产生、入渗、扩散、应急响应等方面制定地下水环境保护措施。</w:t>
      </w:r>
    </w:p>
    <w:p w14:paraId="5062AF20">
      <w:pPr>
        <w:pStyle w:val="5"/>
        <w:bidi w:val="0"/>
        <w:rPr>
          <w:rFonts w:hint="default" w:ascii="Times New Roman" w:hAnsi="Times New Roman" w:cs="Times New Roman"/>
          <w:color w:val="auto"/>
        </w:rPr>
      </w:pPr>
      <w:r>
        <w:rPr>
          <w:rFonts w:hint="default" w:ascii="Times New Roman" w:hAnsi="Times New Roman" w:cs="Times New Roman"/>
          <w:color w:val="auto"/>
        </w:rPr>
        <w:t>6</w:t>
      </w:r>
      <w:r>
        <w:rPr>
          <w:rFonts w:hint="default" w:ascii="Times New Roman" w:hAnsi="Times New Roman" w:cs="Times New Roman"/>
          <w:color w:val="auto"/>
          <w:lang w:val="en-US" w:eastAsia="zh-CN"/>
        </w:rPr>
        <w:t>.1</w:t>
      </w:r>
      <w:r>
        <w:rPr>
          <w:rFonts w:hint="default" w:ascii="Times New Roman" w:hAnsi="Times New Roman" w:cs="Times New Roman"/>
          <w:color w:val="auto"/>
        </w:rPr>
        <w:t>.</w:t>
      </w:r>
      <w:r>
        <w:rPr>
          <w:rFonts w:hint="default" w:ascii="Times New Roman" w:hAnsi="Times New Roman" w:cs="Times New Roman"/>
          <w:color w:val="auto"/>
          <w:lang w:val="en-US" w:eastAsia="zh-CN"/>
        </w:rPr>
        <w:t>7</w:t>
      </w:r>
      <w:r>
        <w:rPr>
          <w:rFonts w:hint="default" w:ascii="Times New Roman" w:hAnsi="Times New Roman" w:cs="Times New Roman"/>
          <w:color w:val="auto"/>
        </w:rPr>
        <w:t>.1源头控制措施</w:t>
      </w:r>
    </w:p>
    <w:p w14:paraId="60390089">
      <w:pPr>
        <w:pStyle w:val="25"/>
        <w:bidi w:val="0"/>
        <w:rPr>
          <w:rFonts w:hint="default" w:ascii="Times New Roman" w:hAnsi="Times New Roman" w:cs="Times New Roman"/>
          <w:color w:val="auto"/>
        </w:rPr>
      </w:pPr>
      <w:r>
        <w:rPr>
          <w:rFonts w:hint="default" w:ascii="Times New Roman" w:hAnsi="Times New Roman" w:cs="Times New Roman"/>
          <w:color w:val="auto"/>
        </w:rPr>
        <w:t>1、工程对产生的废污水进行综合利用，从源头上减少废污水的排放量；</w:t>
      </w:r>
    </w:p>
    <w:p w14:paraId="71FCF5BE">
      <w:pPr>
        <w:pStyle w:val="25"/>
        <w:bidi w:val="0"/>
        <w:rPr>
          <w:rFonts w:hint="default" w:ascii="Times New Roman" w:hAnsi="Times New Roman" w:cs="Times New Roman"/>
          <w:color w:val="auto"/>
        </w:rPr>
      </w:pPr>
      <w:r>
        <w:rPr>
          <w:rFonts w:hint="default" w:ascii="Times New Roman" w:hAnsi="Times New Roman" w:cs="Times New Roman"/>
          <w:color w:val="auto"/>
        </w:rPr>
        <w:t>2、污水收储及处理设施、建构筑物采取防渗漏措施，避免或减少污水的跑、冒、滴、漏，将废水泄漏的环境风险降低到最低程度；</w:t>
      </w:r>
    </w:p>
    <w:p w14:paraId="0F16DB30">
      <w:pPr>
        <w:pStyle w:val="25"/>
        <w:bidi w:val="0"/>
        <w:rPr>
          <w:rFonts w:hint="default" w:ascii="Times New Roman" w:hAnsi="Times New Roman" w:cs="Times New Roman"/>
          <w:color w:val="auto"/>
        </w:rPr>
      </w:pPr>
      <w:r>
        <w:rPr>
          <w:rFonts w:hint="default" w:ascii="Times New Roman" w:hAnsi="Times New Roman" w:cs="Times New Roman"/>
          <w:color w:val="auto"/>
        </w:rPr>
        <w:t>3、定期巡检维护，做到废水泄漏早发现、早处理，确保废污水处理设施和输送管线正常运行；</w:t>
      </w:r>
    </w:p>
    <w:p w14:paraId="44030C3B">
      <w:pPr>
        <w:pStyle w:val="25"/>
        <w:bidi w:val="0"/>
        <w:rPr>
          <w:rFonts w:hint="default" w:ascii="Times New Roman" w:hAnsi="Times New Roman" w:cs="Times New Roman"/>
          <w:color w:val="auto"/>
        </w:rPr>
      </w:pPr>
      <w:r>
        <w:rPr>
          <w:rFonts w:hint="default" w:ascii="Times New Roman" w:hAnsi="Times New Roman" w:cs="Times New Roman"/>
          <w:color w:val="auto"/>
        </w:rPr>
        <w:t>4、建立有关规章制度和岗位责任制，制定风险预警方案，设立应急设施减轻环境污染影响。</w:t>
      </w:r>
    </w:p>
    <w:p w14:paraId="3D1E3227">
      <w:pPr>
        <w:pStyle w:val="5"/>
        <w:bidi w:val="0"/>
        <w:rPr>
          <w:rFonts w:hint="default" w:ascii="Times New Roman" w:hAnsi="Times New Roman" w:cs="Times New Roman"/>
          <w:color w:val="auto"/>
        </w:rPr>
      </w:pPr>
      <w:r>
        <w:rPr>
          <w:rFonts w:hint="default" w:ascii="Times New Roman" w:hAnsi="Times New Roman" w:cs="Times New Roman"/>
          <w:color w:val="auto"/>
        </w:rPr>
        <w:t>6.</w:t>
      </w:r>
      <w:r>
        <w:rPr>
          <w:rFonts w:hint="default" w:ascii="Times New Roman" w:hAnsi="Times New Roman" w:cs="Times New Roman"/>
          <w:color w:val="auto"/>
          <w:lang w:val="en-US" w:eastAsia="zh-CN"/>
        </w:rPr>
        <w:t>1</w:t>
      </w:r>
      <w:r>
        <w:rPr>
          <w:rFonts w:hint="default" w:ascii="Times New Roman" w:hAnsi="Times New Roman" w:cs="Times New Roman"/>
          <w:color w:val="auto"/>
        </w:rPr>
        <w:t>.</w:t>
      </w:r>
      <w:r>
        <w:rPr>
          <w:rFonts w:hint="default" w:ascii="Times New Roman" w:hAnsi="Times New Roman" w:cs="Times New Roman"/>
          <w:color w:val="auto"/>
          <w:lang w:val="en-US" w:eastAsia="zh-CN"/>
        </w:rPr>
        <w:t>7</w:t>
      </w:r>
      <w:r>
        <w:rPr>
          <w:rFonts w:hint="default" w:ascii="Times New Roman" w:hAnsi="Times New Roman" w:cs="Times New Roman"/>
          <w:color w:val="auto"/>
        </w:rPr>
        <w:t>.2分区控制措施</w:t>
      </w:r>
    </w:p>
    <w:p w14:paraId="7EFB272C">
      <w:pPr>
        <w:pStyle w:val="25"/>
        <w:bidi w:val="0"/>
        <w:rPr>
          <w:rFonts w:hint="default" w:ascii="Times New Roman" w:hAnsi="Times New Roman" w:cs="Times New Roman"/>
          <w:color w:val="auto"/>
          <w:highlight w:val="none"/>
        </w:rPr>
      </w:pPr>
      <w:r>
        <w:rPr>
          <w:rFonts w:hint="default" w:ascii="Times New Roman" w:hAnsi="Times New Roman" w:cs="Times New Roman"/>
          <w:color w:val="auto"/>
        </w:rPr>
        <w:t>根据环境风险评估报告及对本项目煤矸石淋溶水的检测结果，项目煤矸石中可溶性重金属含量较低，对地下水水质的影响轻微，淋溶水不会对地下水和周边土壤环境造成明显影响，对周边环境风险可接受，为减少淋溶水的产生量及下渗量，避免对地下水造</w:t>
      </w:r>
      <w:r>
        <w:rPr>
          <w:rFonts w:hint="default" w:ascii="Times New Roman" w:hAnsi="Times New Roman" w:cs="Times New Roman"/>
          <w:color w:val="auto"/>
          <w:highlight w:val="none"/>
        </w:rPr>
        <w:t>成影响，</w:t>
      </w:r>
      <w:r>
        <w:rPr>
          <w:rFonts w:hint="eastAsia" w:cs="Times New Roman"/>
          <w:color w:val="auto"/>
          <w:highlight w:val="none"/>
          <w:lang w:val="en-US" w:eastAsia="zh-CN"/>
        </w:rPr>
        <w:t>本项目</w:t>
      </w:r>
      <w:r>
        <w:rPr>
          <w:rFonts w:hint="default" w:ascii="Times New Roman" w:hAnsi="Times New Roman" w:cs="Times New Roman"/>
          <w:color w:val="auto"/>
          <w:highlight w:val="none"/>
        </w:rPr>
        <w:t>2#地块采坑围岩仅岩壁底部与坑底的完整混合花岗岩岩层饱和渗透系数及分布情况满足I类一般工业固体废物场地的防渗要求(渗透系数不大于10</w:t>
      </w:r>
      <w:r>
        <w:rPr>
          <w:rFonts w:hint="eastAsia" w:cs="Times New Roman"/>
          <w:color w:val="auto"/>
          <w:highlight w:val="none"/>
          <w:vertAlign w:val="superscript"/>
          <w:lang w:val="en-US" w:eastAsia="zh-CN"/>
        </w:rPr>
        <w:t>-5</w:t>
      </w:r>
      <w:r>
        <w:rPr>
          <w:rFonts w:hint="default" w:ascii="Times New Roman" w:hAnsi="Times New Roman" w:cs="Times New Roman"/>
          <w:color w:val="auto"/>
          <w:highlight w:val="none"/>
        </w:rPr>
        <w:t>cm/s，且厚度不小于 0.75m)，</w:t>
      </w:r>
      <w:r>
        <w:rPr>
          <w:rFonts w:hint="eastAsia" w:cs="Times New Roman"/>
          <w:color w:val="auto"/>
          <w:highlight w:val="none"/>
          <w:lang w:val="en-US" w:eastAsia="zh-CN"/>
        </w:rPr>
        <w:t>结合环境风险评估报告，项目煤矸石中可溶性重金属含量较低，对地下水水质的影响轻微，淋溶水不会对地下水环境造成明显影响，</w:t>
      </w:r>
      <w:r>
        <w:rPr>
          <w:rFonts w:hint="default" w:ascii="Times New Roman" w:hAnsi="Times New Roman" w:cs="Times New Roman"/>
          <w:color w:val="auto"/>
          <w:highlight w:val="none"/>
        </w:rPr>
        <w:t>该岩层作为基础层时回填I类一般工业固体废物时可不进行防渗处理</w:t>
      </w:r>
      <w:r>
        <w:rPr>
          <w:rFonts w:hint="eastAsia" w:cs="Times New Roman"/>
          <w:color w:val="auto"/>
          <w:highlight w:val="none"/>
          <w:lang w:eastAsia="zh-CN"/>
        </w:rPr>
        <w:t>，</w:t>
      </w:r>
      <w:r>
        <w:rPr>
          <w:rFonts w:hint="default" w:ascii="Times New Roman" w:hAnsi="Times New Roman" w:cs="Times New Roman"/>
          <w:color w:val="auto"/>
          <w:highlight w:val="none"/>
        </w:rPr>
        <w:t>2#地块</w:t>
      </w:r>
      <w:r>
        <w:rPr>
          <w:rFonts w:hint="eastAsia" w:cs="Times New Roman"/>
          <w:color w:val="auto"/>
          <w:highlight w:val="none"/>
          <w:lang w:eastAsia="zh-CN"/>
        </w:rPr>
        <w:t>侧边</w:t>
      </w:r>
      <w:r>
        <w:rPr>
          <w:rFonts w:hint="eastAsia" w:cs="Times New Roman"/>
          <w:color w:val="auto"/>
          <w:highlight w:val="none"/>
          <w:lang w:val="en-US" w:eastAsia="zh-CN"/>
        </w:rPr>
        <w:t>采用</w:t>
      </w:r>
      <w:r>
        <w:rPr>
          <w:rFonts w:hint="eastAsia" w:cs="Times New Roman"/>
          <w:color w:val="auto"/>
          <w:highlight w:val="none"/>
          <w:lang w:eastAsia="zh-CN"/>
        </w:rPr>
        <w:t>黏土夯实防渗，</w:t>
      </w:r>
      <w:r>
        <w:rPr>
          <w:rFonts w:hint="eastAsia"/>
          <w:color w:val="auto"/>
          <w:highlight w:val="none"/>
        </w:rPr>
        <w:t>防渗材料采用600g/m</w:t>
      </w:r>
      <w:r>
        <w:rPr>
          <w:rFonts w:hint="eastAsia"/>
          <w:color w:val="auto"/>
          <w:highlight w:val="none"/>
          <w:vertAlign w:val="superscript"/>
        </w:rPr>
        <w:t>2</w:t>
      </w:r>
      <w:r>
        <w:rPr>
          <w:rFonts w:hint="eastAsia"/>
          <w:color w:val="auto"/>
          <w:highlight w:val="none"/>
        </w:rPr>
        <w:t>长纤无纺土工布+</w:t>
      </w:r>
      <w:r>
        <w:rPr>
          <w:color w:val="auto"/>
          <w:highlight w:val="none"/>
        </w:rPr>
        <w:t>1.5</w:t>
      </w:r>
      <w:r>
        <w:rPr>
          <w:rFonts w:hint="eastAsia"/>
          <w:color w:val="auto"/>
          <w:highlight w:val="none"/>
        </w:rPr>
        <w:t>mm厚HDPE防渗膜作为人工合成衬层</w:t>
      </w:r>
      <w:r>
        <w:rPr>
          <w:rFonts w:hint="eastAsia"/>
          <w:color w:val="auto"/>
          <w:highlight w:val="none"/>
          <w:lang w:eastAsia="zh-CN"/>
        </w:rPr>
        <w:t>，</w:t>
      </w:r>
      <w:r>
        <w:rPr>
          <w:rFonts w:hint="eastAsia"/>
          <w:color w:val="auto"/>
          <w:highlight w:val="none"/>
        </w:rPr>
        <w:t>保证防渗膜渗透系数满足《火力发电厂干式贮灰场设计规程》（DL/T5488-2014）中的要求</w:t>
      </w:r>
      <w:r>
        <w:rPr>
          <w:rFonts w:hint="default" w:ascii="Times New Roman" w:hAnsi="Times New Roman" w:cs="Times New Roman"/>
          <w:color w:val="auto"/>
          <w:highlight w:val="none"/>
        </w:rPr>
        <w:t>。</w:t>
      </w:r>
    </w:p>
    <w:p w14:paraId="07CF06F0">
      <w:pPr>
        <w:pStyle w:val="5"/>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6.</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val="zh-CN"/>
        </w:rPr>
        <w:t>.</w:t>
      </w:r>
      <w:r>
        <w:rPr>
          <w:rFonts w:hint="default" w:ascii="Times New Roman" w:hAnsi="Times New Roman" w:cs="Times New Roman"/>
          <w:color w:val="auto"/>
          <w:highlight w:val="none"/>
          <w:lang w:val="en-US" w:eastAsia="zh-CN"/>
        </w:rPr>
        <w:t>7</w:t>
      </w:r>
      <w:r>
        <w:rPr>
          <w:rFonts w:hint="default" w:ascii="Times New Roman" w:hAnsi="Times New Roman" w:cs="Times New Roman"/>
          <w:color w:val="auto"/>
          <w:highlight w:val="none"/>
          <w:lang w:val="zh-CN"/>
        </w:rPr>
        <w:t>.</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lang w:val="zh-CN"/>
        </w:rPr>
        <w:t>末端控制措施</w:t>
      </w:r>
    </w:p>
    <w:p w14:paraId="563EAE18">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在回填区设置地下水监测井，</w:t>
      </w:r>
      <w:r>
        <w:rPr>
          <w:rFonts w:hint="default" w:ascii="Times New Roman" w:hAnsi="Times New Roman" w:cs="Times New Roman"/>
          <w:color w:val="auto"/>
          <w:highlight w:val="none"/>
        </w:rPr>
        <w:t>建立场区地下水环境监控体系，包括建立地下水污染监控和环境管理制度，制定监测计划，及时发现问题采取预防措施。地下水监测内容包括监测井位置、井深、监测井结构、监测层位、监测项目、监测频率等。</w:t>
      </w:r>
    </w:p>
    <w:p w14:paraId="1E0AD894">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跟踪监测点位布设参照《一般工业固体废物贮存和填埋污染控制标准》（GB 18599-2020）10.3.2中相关要求：在回填区设置</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口地下水水质长期观测监控井，满足《一般工业固体废物贮存和填埋污染控制标准》（GB18599-2020）对监测井设置的要求。</w:t>
      </w:r>
    </w:p>
    <w:p w14:paraId="67811F78">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结合《地下水环境监测技术规范》（HJ164-2020）的要求，地下水监测点位布设、层位、监测频率、监测计划、监测项目见下表。</w:t>
      </w:r>
    </w:p>
    <w:p w14:paraId="673A4F0E">
      <w:pPr>
        <w:pStyle w:val="27"/>
        <w:bidi w:val="0"/>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表6</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地下水环境监测井相关参数</w:t>
      </w:r>
    </w:p>
    <w:tbl>
      <w:tblPr>
        <w:tblStyle w:val="20"/>
        <w:tblW w:w="507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2"/>
        <w:gridCol w:w="781"/>
        <w:gridCol w:w="1065"/>
        <w:gridCol w:w="705"/>
        <w:gridCol w:w="675"/>
        <w:gridCol w:w="2655"/>
        <w:gridCol w:w="2114"/>
      </w:tblGrid>
      <w:tr w14:paraId="51FA25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382" w:type="pct"/>
            <w:tcBorders>
              <w:tl2br w:val="nil"/>
              <w:tr2bl w:val="nil"/>
            </w:tcBorders>
            <w:vAlign w:val="center"/>
          </w:tcPr>
          <w:p w14:paraId="60C02882">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名称</w:t>
            </w:r>
          </w:p>
        </w:tc>
        <w:tc>
          <w:tcPr>
            <w:tcW w:w="451" w:type="pct"/>
            <w:tcBorders>
              <w:tl2br w:val="nil"/>
              <w:tr2bl w:val="nil"/>
            </w:tcBorders>
            <w:vAlign w:val="center"/>
          </w:tcPr>
          <w:p w14:paraId="72CC2E3D">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位置</w:t>
            </w:r>
          </w:p>
        </w:tc>
        <w:tc>
          <w:tcPr>
            <w:tcW w:w="615" w:type="pct"/>
            <w:tcBorders>
              <w:tl2br w:val="nil"/>
              <w:tr2bl w:val="nil"/>
            </w:tcBorders>
            <w:vAlign w:val="center"/>
          </w:tcPr>
          <w:p w14:paraId="151E3BDD">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坐标</w:t>
            </w:r>
          </w:p>
        </w:tc>
        <w:tc>
          <w:tcPr>
            <w:tcW w:w="407" w:type="pct"/>
            <w:tcBorders>
              <w:tl2br w:val="nil"/>
              <w:tr2bl w:val="nil"/>
            </w:tcBorders>
            <w:vAlign w:val="center"/>
          </w:tcPr>
          <w:p w14:paraId="4A24C973">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层位</w:t>
            </w:r>
          </w:p>
        </w:tc>
        <w:tc>
          <w:tcPr>
            <w:tcW w:w="389" w:type="pct"/>
            <w:tcBorders>
              <w:tl2br w:val="nil"/>
              <w:tr2bl w:val="nil"/>
            </w:tcBorders>
            <w:vAlign w:val="center"/>
          </w:tcPr>
          <w:p w14:paraId="086F78D3">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井深</w:t>
            </w:r>
          </w:p>
        </w:tc>
        <w:tc>
          <w:tcPr>
            <w:tcW w:w="1533" w:type="pct"/>
            <w:tcBorders>
              <w:tl2br w:val="nil"/>
              <w:tr2bl w:val="nil"/>
            </w:tcBorders>
            <w:vAlign w:val="center"/>
          </w:tcPr>
          <w:p w14:paraId="3293A771">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监测频率</w:t>
            </w:r>
          </w:p>
        </w:tc>
        <w:tc>
          <w:tcPr>
            <w:tcW w:w="1220" w:type="pct"/>
            <w:tcBorders>
              <w:tl2br w:val="nil"/>
              <w:tr2bl w:val="nil"/>
            </w:tcBorders>
            <w:vAlign w:val="center"/>
          </w:tcPr>
          <w:p w14:paraId="096DD962">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监测项目</w:t>
            </w:r>
          </w:p>
        </w:tc>
      </w:tr>
      <w:tr w14:paraId="314110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6" w:hRule="atLeast"/>
        </w:trPr>
        <w:tc>
          <w:tcPr>
            <w:tcW w:w="382" w:type="pct"/>
            <w:tcBorders>
              <w:tl2br w:val="nil"/>
              <w:tr2bl w:val="nil"/>
            </w:tcBorders>
            <w:vAlign w:val="center"/>
          </w:tcPr>
          <w:p w14:paraId="3414C9DD">
            <w:pPr>
              <w:pStyle w:val="44"/>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1</w:t>
            </w:r>
            <w:r>
              <w:rPr>
                <w:rFonts w:hint="default" w:ascii="Times New Roman" w:hAnsi="Times New Roman" w:cs="Times New Roman"/>
                <w:color w:val="auto"/>
                <w:highlight w:val="none"/>
                <w:lang w:val="en-US" w:eastAsia="zh-CN"/>
              </w:rPr>
              <w:t>#</w:t>
            </w:r>
          </w:p>
        </w:tc>
        <w:tc>
          <w:tcPr>
            <w:tcW w:w="451" w:type="pct"/>
            <w:tcBorders>
              <w:tl2br w:val="nil"/>
              <w:tr2bl w:val="nil"/>
            </w:tcBorders>
            <w:vAlign w:val="center"/>
          </w:tcPr>
          <w:p w14:paraId="2354B491">
            <w:pPr>
              <w:pStyle w:val="44"/>
              <w:bidi w:val="0"/>
              <w:ind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回填区</w:t>
            </w:r>
            <w:r>
              <w:rPr>
                <w:rFonts w:hint="default" w:ascii="Times New Roman" w:hAnsi="Times New Roman" w:cs="Times New Roman"/>
                <w:color w:val="auto"/>
                <w:highlight w:val="none"/>
                <w:lang w:val="en-US" w:eastAsia="zh-CN"/>
              </w:rPr>
              <w:t>侧向</w:t>
            </w:r>
          </w:p>
        </w:tc>
        <w:tc>
          <w:tcPr>
            <w:tcW w:w="615" w:type="pct"/>
            <w:tcBorders>
              <w:tl2br w:val="nil"/>
              <w:tr2bl w:val="nil"/>
            </w:tcBorders>
            <w:vAlign w:val="center"/>
          </w:tcPr>
          <w:p w14:paraId="7F022004">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E 131°01'22.4912"</w:t>
            </w:r>
          </w:p>
          <w:p w14:paraId="3540A668">
            <w:pPr>
              <w:pStyle w:val="44"/>
              <w:bidi w:val="0"/>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N45°24'23.5589"</w:t>
            </w:r>
          </w:p>
        </w:tc>
        <w:tc>
          <w:tcPr>
            <w:tcW w:w="407" w:type="pct"/>
            <w:tcBorders>
              <w:tl2br w:val="nil"/>
              <w:tr2bl w:val="nil"/>
            </w:tcBorders>
            <w:vAlign w:val="center"/>
          </w:tcPr>
          <w:p w14:paraId="2CD70B52">
            <w:pPr>
              <w:pStyle w:val="44"/>
              <w:bidi w:val="0"/>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浅层地下水</w:t>
            </w:r>
          </w:p>
        </w:tc>
        <w:tc>
          <w:tcPr>
            <w:tcW w:w="389" w:type="pct"/>
            <w:tcBorders>
              <w:tl2br w:val="nil"/>
              <w:tr2bl w:val="nil"/>
            </w:tcBorders>
            <w:vAlign w:val="center"/>
          </w:tcPr>
          <w:p w14:paraId="7B2A4D02">
            <w:pPr>
              <w:pStyle w:val="44"/>
              <w:bidi w:val="0"/>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32</w:t>
            </w:r>
            <w:r>
              <w:rPr>
                <w:rFonts w:hint="default" w:ascii="Times New Roman" w:hAnsi="Times New Roman" w:cs="Times New Roman"/>
                <w:color w:val="auto"/>
                <w:highlight w:val="none"/>
              </w:rPr>
              <w:t>m</w:t>
            </w:r>
          </w:p>
        </w:tc>
        <w:tc>
          <w:tcPr>
            <w:tcW w:w="1533" w:type="pct"/>
            <w:tcBorders>
              <w:tl2br w:val="nil"/>
              <w:tr2bl w:val="nil"/>
            </w:tcBorders>
            <w:vAlign w:val="center"/>
          </w:tcPr>
          <w:p w14:paraId="704F9717">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1次/季度，每两次监测之间间隔不少于1个月；复垦后地下水监测系统应继续正常运行，至少每年1次，直到地下水水质连续2年不超出地下水本底水平。</w:t>
            </w:r>
          </w:p>
        </w:tc>
        <w:tc>
          <w:tcPr>
            <w:tcW w:w="1220" w:type="pct"/>
            <w:tcBorders>
              <w:tl2br w:val="nil"/>
              <w:tr2bl w:val="nil"/>
            </w:tcBorders>
            <w:shd w:val="clear" w:color="auto" w:fill="auto"/>
            <w:vAlign w:val="center"/>
          </w:tcPr>
          <w:p w14:paraId="119E2273">
            <w:pPr>
              <w:pStyle w:val="44"/>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浑浊度、pH、溶解性总固体、氯化物、硝酸盐（以N计）、亚硝酸盐（以N计）、COD、氨氮、镉、汞、砷、铅、铬、铜、镍、锌</w:t>
            </w:r>
          </w:p>
        </w:tc>
      </w:tr>
    </w:tbl>
    <w:p w14:paraId="68F6AD79">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监测点位布设见下图。</w:t>
      </w:r>
    </w:p>
    <w:p w14:paraId="447D1CCE">
      <w:pPr>
        <w:spacing w:line="360" w:lineRule="auto"/>
        <w:ind w:left="0" w:leftChars="0" w:firstLine="0" w:firstLineChars="0"/>
        <w:jc w:val="both"/>
        <w:rPr>
          <w:rFonts w:hint="default" w:ascii="Times New Roman" w:hAnsi="Times New Roman" w:eastAsia="宋体" w:cs="Times New Roman"/>
          <w:color w:val="auto"/>
          <w:lang w:eastAsia="zh-CN"/>
        </w:rPr>
      </w:pPr>
      <w:r>
        <w:rPr>
          <w:rFonts w:hint="default" w:ascii="Times New Roman" w:hAnsi="Times New Roman" w:cs="Times New Roman"/>
          <w:color w:val="auto"/>
        </w:rPr>
        <w:drawing>
          <wp:inline distT="0" distB="0" distL="114300" distR="114300">
            <wp:extent cx="5271135" cy="3588385"/>
            <wp:effectExtent l="0" t="0" r="5715" b="12065"/>
            <wp:docPr id="1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5"/>
                    <pic:cNvPicPr>
                      <a:picLocks noChangeAspect="1"/>
                    </pic:cNvPicPr>
                  </pic:nvPicPr>
                  <pic:blipFill>
                    <a:blip r:embed="rId112"/>
                    <a:stretch>
                      <a:fillRect/>
                    </a:stretch>
                  </pic:blipFill>
                  <pic:spPr>
                    <a:xfrm>
                      <a:off x="0" y="0"/>
                      <a:ext cx="5271135" cy="3588385"/>
                    </a:xfrm>
                    <a:prstGeom prst="rect">
                      <a:avLst/>
                    </a:prstGeom>
                    <a:noFill/>
                    <a:ln>
                      <a:noFill/>
                    </a:ln>
                  </pic:spPr>
                </pic:pic>
              </a:graphicData>
            </a:graphic>
          </wp:inline>
        </w:drawing>
      </w:r>
    </w:p>
    <w:p w14:paraId="3FAFE588">
      <w:pPr>
        <w:pStyle w:val="2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图6-2-1地下水监测布点图</w:t>
      </w:r>
    </w:p>
    <w:p w14:paraId="717F7FEE">
      <w:pPr>
        <w:pStyle w:val="5"/>
        <w:bidi w:val="0"/>
        <w:rPr>
          <w:rFonts w:hint="default" w:ascii="Times New Roman" w:hAnsi="Times New Roman" w:cs="Times New Roman"/>
          <w:color w:val="auto"/>
        </w:rPr>
      </w:pPr>
      <w:r>
        <w:rPr>
          <w:rFonts w:hint="default" w:ascii="Times New Roman" w:hAnsi="Times New Roman" w:cs="Times New Roman"/>
          <w:color w:val="auto"/>
        </w:rPr>
        <w:t>6.</w:t>
      </w:r>
      <w:r>
        <w:rPr>
          <w:rFonts w:hint="default" w:ascii="Times New Roman" w:hAnsi="Times New Roman" w:cs="Times New Roman"/>
          <w:color w:val="auto"/>
          <w:lang w:val="en-US" w:eastAsia="zh-CN"/>
        </w:rPr>
        <w:t>1</w:t>
      </w:r>
      <w:r>
        <w:rPr>
          <w:rFonts w:hint="default" w:ascii="Times New Roman" w:hAnsi="Times New Roman" w:cs="Times New Roman"/>
          <w:color w:val="auto"/>
        </w:rPr>
        <w:t>.</w:t>
      </w:r>
      <w:r>
        <w:rPr>
          <w:rFonts w:hint="default" w:ascii="Times New Roman" w:hAnsi="Times New Roman" w:cs="Times New Roman"/>
          <w:color w:val="auto"/>
          <w:lang w:val="en-US" w:eastAsia="zh-CN"/>
        </w:rPr>
        <w:t>7</w:t>
      </w:r>
      <w:r>
        <w:rPr>
          <w:rFonts w:hint="default" w:ascii="Times New Roman" w:hAnsi="Times New Roman" w:cs="Times New Roman"/>
          <w:color w:val="auto"/>
        </w:rPr>
        <w:t>.</w:t>
      </w:r>
      <w:r>
        <w:rPr>
          <w:rFonts w:hint="default" w:ascii="Times New Roman" w:hAnsi="Times New Roman" w:cs="Times New Roman"/>
          <w:color w:val="auto"/>
          <w:lang w:val="en-US" w:eastAsia="zh-CN"/>
        </w:rPr>
        <w:t>3</w:t>
      </w:r>
      <w:r>
        <w:rPr>
          <w:rFonts w:hint="default" w:ascii="Times New Roman" w:hAnsi="Times New Roman" w:cs="Times New Roman"/>
          <w:color w:val="auto"/>
        </w:rPr>
        <w:t>其他措施</w:t>
      </w:r>
    </w:p>
    <w:p w14:paraId="689DD28A">
      <w:pPr>
        <w:pStyle w:val="25"/>
        <w:bidi w:val="0"/>
        <w:rPr>
          <w:rFonts w:hint="default" w:ascii="Times New Roman" w:hAnsi="Times New Roman" w:cs="Times New Roman"/>
          <w:color w:val="auto"/>
        </w:rPr>
      </w:pPr>
      <w:r>
        <w:rPr>
          <w:rFonts w:hint="default" w:ascii="Times New Roman" w:hAnsi="Times New Roman" w:cs="Times New Roman"/>
          <w:color w:val="auto"/>
        </w:rPr>
        <w:t>1、数据管理</w:t>
      </w:r>
    </w:p>
    <w:p w14:paraId="784692F0">
      <w:pPr>
        <w:pStyle w:val="25"/>
        <w:bidi w:val="0"/>
        <w:rPr>
          <w:rFonts w:hint="default" w:ascii="Times New Roman" w:hAnsi="Times New Roman" w:cs="Times New Roman"/>
          <w:color w:val="auto"/>
        </w:rPr>
      </w:pPr>
      <w:r>
        <w:rPr>
          <w:rFonts w:hint="default" w:ascii="Times New Roman" w:hAnsi="Times New Roman" w:cs="Times New Roman"/>
          <w:color w:val="auto"/>
        </w:rPr>
        <w:t>建设单位应按照相关规定对监测结果及时建立档案，并按照国家环保部门相关规定定期向相关部门汇报并报备。如发现污染物浓度异常升高，加密监测频次，并分析污染原因，确定泄漏污染源，及时采取应急措施。建设单位应建立完善的质量管理体系，实现“质量、安全、环境”三位一体的全面质量管理目标。设立地下水动态监测小组，负责对地下水环境监测和管理，或者委托专业的资质机构完成。建立有关规章制度和岗位责任制。制定风险预警方案，设立应急设施减少环境污染影响。</w:t>
      </w:r>
    </w:p>
    <w:p w14:paraId="19620D4A">
      <w:pPr>
        <w:pStyle w:val="25"/>
        <w:bidi w:val="0"/>
        <w:rPr>
          <w:rFonts w:hint="default" w:ascii="Times New Roman" w:hAnsi="Times New Roman" w:cs="Times New Roman"/>
          <w:color w:val="auto"/>
        </w:rPr>
      </w:pPr>
      <w:r>
        <w:rPr>
          <w:rFonts w:hint="default" w:ascii="Times New Roman" w:hAnsi="Times New Roman" w:cs="Times New Roman"/>
          <w:color w:val="auto"/>
        </w:rPr>
        <w:t>（1）管理措施</w:t>
      </w:r>
    </w:p>
    <w:p w14:paraId="2CD65227">
      <w:pPr>
        <w:pStyle w:val="25"/>
        <w:bidi w:val="0"/>
        <w:rPr>
          <w:rFonts w:hint="default" w:ascii="Times New Roman" w:hAnsi="Times New Roman" w:cs="Times New Roman"/>
          <w:color w:val="auto"/>
        </w:rPr>
      </w:pPr>
      <w:r>
        <w:rPr>
          <w:rFonts w:hint="default" w:ascii="Times New Roman" w:hAnsi="Times New Roman" w:cs="Times New Roman"/>
          <w:color w:val="auto"/>
        </w:rPr>
        <w:t>建设单位应委托具有监测资质的单位负责地下水监测工作，按要求及时分析整理原始资料、监测报告的编写工作。</w:t>
      </w:r>
    </w:p>
    <w:p w14:paraId="0D5E55D9">
      <w:pPr>
        <w:pStyle w:val="25"/>
        <w:bidi w:val="0"/>
        <w:rPr>
          <w:rFonts w:hint="default" w:ascii="Times New Roman" w:hAnsi="Times New Roman" w:cs="Times New Roman"/>
          <w:color w:val="auto"/>
        </w:rPr>
      </w:pPr>
      <w:r>
        <w:rPr>
          <w:rFonts w:hint="default" w:ascii="Times New Roman" w:hAnsi="Times New Roman" w:cs="Times New Roman"/>
          <w:color w:val="auto"/>
        </w:rPr>
        <w:t>建立地下水监测数据信息管理系统，根据实际情况，按事故的性质、类型、影响范围、严重后果分等级制定相应预案。在制定预案时要根据本场环境污染事故潜在威胁的情况，认真细致地考虑各项影响因素，适当的时候组织有关部门、人员进行演练，不断补充完善。</w:t>
      </w:r>
    </w:p>
    <w:p w14:paraId="16473322">
      <w:pPr>
        <w:pStyle w:val="25"/>
        <w:bidi w:val="0"/>
        <w:rPr>
          <w:rFonts w:hint="default" w:ascii="Times New Roman" w:hAnsi="Times New Roman" w:cs="Times New Roman"/>
          <w:color w:val="auto"/>
        </w:rPr>
      </w:pPr>
      <w:r>
        <w:rPr>
          <w:rFonts w:hint="default" w:ascii="Times New Roman" w:hAnsi="Times New Roman" w:cs="Times New Roman"/>
          <w:color w:val="auto"/>
        </w:rPr>
        <w:t>（2）技术措施</w:t>
      </w:r>
    </w:p>
    <w:p w14:paraId="1820BB9C">
      <w:pPr>
        <w:pStyle w:val="25"/>
        <w:bidi w:val="0"/>
        <w:rPr>
          <w:rFonts w:hint="default" w:ascii="Times New Roman" w:hAnsi="Times New Roman" w:cs="Times New Roman"/>
          <w:color w:val="auto"/>
        </w:rPr>
      </w:pPr>
      <w:r>
        <w:rPr>
          <w:rFonts w:hint="default" w:ascii="Times New Roman" w:hAnsi="Times New Roman" w:cs="Times New Roman"/>
          <w:color w:val="auto"/>
        </w:rPr>
        <w:t>按照《地下水环境监测技术规范》（HJ/T164-2020）要求，及时上报监测数据和有关表格。</w:t>
      </w:r>
    </w:p>
    <w:p w14:paraId="5B8A84DB">
      <w:pPr>
        <w:pStyle w:val="25"/>
        <w:bidi w:val="0"/>
        <w:rPr>
          <w:rFonts w:hint="default" w:ascii="Times New Roman" w:hAnsi="Times New Roman" w:cs="Times New Roman"/>
          <w:color w:val="auto"/>
        </w:rPr>
      </w:pPr>
      <w:r>
        <w:rPr>
          <w:rFonts w:hint="default" w:ascii="Times New Roman" w:hAnsi="Times New Roman" w:cs="Times New Roman"/>
          <w:color w:val="auto"/>
        </w:rPr>
        <w:t>在日常例行监测中，一旦发现地下水水质监测数据异常（超出本底值的20%），应尽快核查数据，确保数据的正确性。并将核查过的监测数据报告公司安全环保部门，由专人负责对数据进行分析、核实，并密切关注生产设施的运行情况，为防止地下水污染采取措施提供正确的依据。应采取措施如下：</w:t>
      </w:r>
    </w:p>
    <w:p w14:paraId="723AE451">
      <w:pPr>
        <w:pStyle w:val="25"/>
        <w:bidi w:val="0"/>
        <w:rPr>
          <w:rFonts w:hint="default" w:ascii="Times New Roman" w:hAnsi="Times New Roman" w:cs="Times New Roman"/>
          <w:color w:val="auto"/>
        </w:rPr>
      </w:pPr>
      <w:r>
        <w:rPr>
          <w:rFonts w:hint="default" w:ascii="Times New Roman" w:hAnsi="Times New Roman" w:cs="Times New Roman"/>
          <w:color w:val="auto"/>
        </w:rPr>
        <w:t>了解全场生产是否出现异常情况，出现异常情况的装置、原因。加大监测密度，分析变化动向；周期性地编写地下水动态监测报告；定期对污染区的生产装置进行检查。如发现地下水遭到污染，应立即停止回填，并开展地下水污染修复工作。</w:t>
      </w:r>
    </w:p>
    <w:p w14:paraId="72CD45C2">
      <w:pPr>
        <w:pStyle w:val="25"/>
        <w:bidi w:val="0"/>
        <w:rPr>
          <w:rFonts w:hint="default" w:ascii="Times New Roman" w:hAnsi="Times New Roman" w:cs="Times New Roman"/>
          <w:color w:val="auto"/>
        </w:rPr>
      </w:pPr>
      <w:r>
        <w:rPr>
          <w:rFonts w:hint="default" w:ascii="Times New Roman" w:hAnsi="Times New Roman" w:cs="Times New Roman"/>
          <w:color w:val="auto"/>
        </w:rPr>
        <w:t>2、信息公开</w:t>
      </w:r>
    </w:p>
    <w:p w14:paraId="4AD91785">
      <w:pPr>
        <w:pStyle w:val="25"/>
        <w:bidi w:val="0"/>
        <w:rPr>
          <w:rFonts w:hint="default" w:ascii="Times New Roman" w:hAnsi="Times New Roman" w:cs="Times New Roman"/>
          <w:color w:val="auto"/>
        </w:rPr>
      </w:pPr>
      <w:r>
        <w:rPr>
          <w:rFonts w:hint="default" w:ascii="Times New Roman" w:hAnsi="Times New Roman" w:cs="Times New Roman"/>
          <w:color w:val="auto"/>
        </w:rPr>
        <w:t>跟踪监测报告内容包括：</w:t>
      </w:r>
    </w:p>
    <w:p w14:paraId="04BB1D5B">
      <w:pPr>
        <w:pStyle w:val="25"/>
        <w:bidi w:val="0"/>
        <w:rPr>
          <w:rFonts w:hint="default" w:ascii="Times New Roman" w:hAnsi="Times New Roman" w:cs="Times New Roman"/>
          <w:color w:val="auto"/>
        </w:rPr>
      </w:pPr>
      <w:r>
        <w:rPr>
          <w:rFonts w:hint="default" w:ascii="Times New Roman" w:hAnsi="Times New Roman" w:cs="Times New Roman"/>
          <w:color w:val="auto"/>
        </w:rPr>
        <w:t>本项目设置的环境监测点的地下水环境跟踪监测数据，同时包括项目排放的污染物的种类、数量和浓度。</w:t>
      </w:r>
    </w:p>
    <w:p w14:paraId="72047B5E">
      <w:pPr>
        <w:pStyle w:val="25"/>
        <w:bidi w:val="0"/>
        <w:rPr>
          <w:rFonts w:hint="default" w:ascii="Times New Roman" w:hAnsi="Times New Roman" w:cs="Times New Roman"/>
          <w:color w:val="auto"/>
        </w:rPr>
      </w:pPr>
      <w:r>
        <w:rPr>
          <w:rFonts w:hint="default" w:ascii="Times New Roman" w:hAnsi="Times New Roman" w:cs="Times New Roman"/>
          <w:color w:val="auto"/>
        </w:rPr>
        <w:t>场区管线、污水收集装置等设施的运行状况、跑冒滴漏记录、维护记录等。</w:t>
      </w:r>
    </w:p>
    <w:p w14:paraId="7CAC1FE5">
      <w:pPr>
        <w:pStyle w:val="25"/>
        <w:bidi w:val="0"/>
        <w:rPr>
          <w:rFonts w:hint="default" w:ascii="Times New Roman" w:hAnsi="Times New Roman" w:cs="Times New Roman"/>
          <w:color w:val="auto"/>
        </w:rPr>
      </w:pPr>
      <w:r>
        <w:rPr>
          <w:rFonts w:hint="default" w:ascii="Times New Roman" w:hAnsi="Times New Roman" w:cs="Times New Roman"/>
          <w:color w:val="auto"/>
        </w:rPr>
        <w:t>跟踪监测的信息应在当地环境保护主管部门网站上公开，公开内容主要包含建设项目特征因子的地下水环境监测值。</w:t>
      </w:r>
    </w:p>
    <w:p w14:paraId="2200B96D">
      <w:pPr>
        <w:pStyle w:val="25"/>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根据环境风险评估报告及对本项目煤矸石淋溶水的检测结果，项目煤矸石中可溶性重金属含量较低，对地下水水质的影响轻微，淋溶水不会对</w:t>
      </w:r>
      <w:r>
        <w:rPr>
          <w:rFonts w:hint="default" w:ascii="Times New Roman" w:hAnsi="Times New Roman" w:cs="Times New Roman"/>
          <w:color w:val="auto"/>
          <w:lang w:val="en-US" w:eastAsia="zh-CN"/>
        </w:rPr>
        <w:t>地下水</w:t>
      </w:r>
      <w:r>
        <w:rPr>
          <w:rFonts w:hint="default" w:ascii="Times New Roman" w:hAnsi="Times New Roman" w:cs="Times New Roman"/>
          <w:color w:val="auto"/>
        </w:rPr>
        <w:t>环境造成明显影响，</w:t>
      </w:r>
      <w:r>
        <w:rPr>
          <w:rFonts w:hint="default" w:ascii="Times New Roman" w:hAnsi="Times New Roman" w:cs="Times New Roman"/>
          <w:color w:val="auto"/>
          <w:lang w:val="en-US" w:eastAsia="zh-CN"/>
        </w:rPr>
        <w:t>采取措施后</w:t>
      </w:r>
      <w:r>
        <w:rPr>
          <w:rFonts w:hint="default" w:ascii="Times New Roman" w:hAnsi="Times New Roman" w:cs="Times New Roman"/>
          <w:color w:val="auto"/>
        </w:rPr>
        <w:t>对周边环境风险可接受</w:t>
      </w:r>
      <w:r>
        <w:rPr>
          <w:rFonts w:hint="default" w:ascii="Times New Roman" w:hAnsi="Times New Roman" w:cs="Times New Roman"/>
          <w:color w:val="auto"/>
          <w:lang w:eastAsia="zh-CN"/>
        </w:rPr>
        <w:t>。</w:t>
      </w:r>
    </w:p>
    <w:p w14:paraId="214D34CE">
      <w:pPr>
        <w:pStyle w:val="39"/>
        <w:bidi w:val="0"/>
        <w:rPr>
          <w:rFonts w:hint="default" w:ascii="Times New Roman" w:hAnsi="Times New Roman" w:cs="Times New Roman"/>
          <w:color w:val="auto"/>
        </w:rPr>
      </w:pPr>
      <w:r>
        <w:rPr>
          <w:rFonts w:hint="default" w:ascii="Times New Roman" w:hAnsi="Times New Roman" w:cs="Times New Roman"/>
          <w:color w:val="auto"/>
        </w:rPr>
        <w:t>6.</w:t>
      </w:r>
      <w:r>
        <w:rPr>
          <w:rFonts w:hint="eastAsia" w:cs="Times New Roman"/>
          <w:color w:val="auto"/>
          <w:lang w:val="en-US" w:eastAsia="zh-CN"/>
        </w:rPr>
        <w:t>1</w:t>
      </w:r>
      <w:r>
        <w:rPr>
          <w:rFonts w:hint="default" w:ascii="Times New Roman" w:hAnsi="Times New Roman" w:cs="Times New Roman"/>
          <w:color w:val="auto"/>
        </w:rPr>
        <w:t>.8环境风险防范措施及应急预案</w:t>
      </w:r>
    </w:p>
    <w:p w14:paraId="29FF3D37">
      <w:pPr>
        <w:pStyle w:val="5"/>
        <w:bidi w:val="0"/>
        <w:rPr>
          <w:rFonts w:hint="default" w:ascii="Times New Roman" w:hAnsi="Times New Roman" w:cs="Times New Roman"/>
          <w:color w:val="auto"/>
        </w:rPr>
      </w:pPr>
      <w:r>
        <w:rPr>
          <w:rFonts w:hint="default" w:ascii="Times New Roman" w:hAnsi="Times New Roman" w:cs="Times New Roman"/>
          <w:color w:val="auto"/>
        </w:rPr>
        <w:t>6.</w:t>
      </w:r>
      <w:r>
        <w:rPr>
          <w:rFonts w:hint="eastAsia" w:ascii="Times New Roman" w:hAnsi="Times New Roman" w:cs="Times New Roman"/>
          <w:color w:val="auto"/>
          <w:lang w:val="en-US" w:eastAsia="zh-CN"/>
        </w:rPr>
        <w:t>1</w:t>
      </w:r>
      <w:r>
        <w:rPr>
          <w:rFonts w:hint="default" w:ascii="Times New Roman" w:hAnsi="Times New Roman" w:cs="Times New Roman"/>
          <w:color w:val="auto"/>
        </w:rPr>
        <w:t>.8.1环境风险管理措施</w:t>
      </w:r>
    </w:p>
    <w:p w14:paraId="3CFC7ACE">
      <w:pPr>
        <w:pStyle w:val="25"/>
        <w:bidi w:val="0"/>
        <w:rPr>
          <w:rFonts w:hint="default" w:ascii="Times New Roman" w:hAnsi="Times New Roman" w:cs="Times New Roman"/>
          <w:color w:val="auto"/>
        </w:rPr>
      </w:pPr>
      <w:r>
        <w:rPr>
          <w:rFonts w:hint="default" w:ascii="Times New Roman" w:hAnsi="Times New Roman" w:cs="Times New Roman"/>
          <w:color w:val="auto"/>
        </w:rPr>
        <w:t>根据本项目所在区域环境特征和生产运营特性，本项目回填复垦期主要环境风险为淋溶水的产生、泄漏风险等。环境风险事故的发生，不仅对现场人员、财产造成损失，而且对周围环境可能存在着难以弥补的危害。本着避免风险事故发生和降低风险事故发生后对环境造成污染的态度，建设单位首先应努力开展和完善本项目的风险管理体系和各项防范措施。</w:t>
      </w:r>
    </w:p>
    <w:p w14:paraId="4338D8E9">
      <w:pPr>
        <w:pStyle w:val="25"/>
        <w:bidi w:val="0"/>
        <w:rPr>
          <w:rFonts w:hint="default" w:ascii="Times New Roman" w:hAnsi="Times New Roman" w:cs="Times New Roman"/>
          <w:color w:val="auto"/>
        </w:rPr>
      </w:pPr>
      <w:r>
        <w:rPr>
          <w:rFonts w:hint="default" w:ascii="Times New Roman" w:hAnsi="Times New Roman" w:cs="Times New Roman"/>
          <w:color w:val="auto"/>
        </w:rPr>
        <w:t>（1）树立并强化环境风险意识</w:t>
      </w:r>
    </w:p>
    <w:p w14:paraId="29CF3CFC">
      <w:pPr>
        <w:pStyle w:val="25"/>
        <w:bidi w:val="0"/>
        <w:rPr>
          <w:rFonts w:hint="default" w:ascii="Times New Roman" w:hAnsi="Times New Roman" w:cs="Times New Roman"/>
          <w:color w:val="auto"/>
        </w:rPr>
      </w:pPr>
      <w:r>
        <w:rPr>
          <w:rFonts w:hint="default" w:ascii="Times New Roman" w:hAnsi="Times New Roman" w:cs="Times New Roman"/>
          <w:color w:val="auto"/>
        </w:rPr>
        <w:t>建设单位应全面贯彻“安全第一，预防为主，综合治理”方针，树立环境风险意识，明确环境风险责任，落实环境保护的内容。</w:t>
      </w:r>
    </w:p>
    <w:p w14:paraId="1CC14C6B">
      <w:pPr>
        <w:pStyle w:val="25"/>
        <w:bidi w:val="0"/>
        <w:rPr>
          <w:rFonts w:hint="default" w:ascii="Times New Roman" w:hAnsi="Times New Roman" w:cs="Times New Roman"/>
          <w:color w:val="auto"/>
        </w:rPr>
      </w:pPr>
      <w:r>
        <w:rPr>
          <w:rFonts w:hint="default" w:ascii="Times New Roman" w:hAnsi="Times New Roman" w:cs="Times New Roman"/>
          <w:color w:val="auto"/>
        </w:rPr>
        <w:t>（2）实行安全环保管理制度</w:t>
      </w:r>
    </w:p>
    <w:p w14:paraId="748D01EA">
      <w:pPr>
        <w:pStyle w:val="25"/>
        <w:bidi w:val="0"/>
        <w:rPr>
          <w:rFonts w:hint="default" w:ascii="Times New Roman" w:hAnsi="Times New Roman" w:cs="Times New Roman"/>
          <w:color w:val="auto"/>
        </w:rPr>
      </w:pPr>
      <w:r>
        <w:rPr>
          <w:rFonts w:hint="default" w:ascii="Times New Roman" w:hAnsi="Times New Roman" w:cs="Times New Roman"/>
          <w:color w:val="auto"/>
        </w:rPr>
        <w:t>本项目在</w:t>
      </w:r>
      <w:r>
        <w:rPr>
          <w:rFonts w:hint="default" w:ascii="Times New Roman" w:hAnsi="Times New Roman" w:cs="Times New Roman"/>
          <w:color w:val="auto"/>
          <w:lang w:eastAsia="zh-CN"/>
        </w:rPr>
        <w:t>施工期</w:t>
      </w:r>
      <w:r>
        <w:rPr>
          <w:rFonts w:hint="default" w:ascii="Times New Roman" w:hAnsi="Times New Roman" w:cs="Times New Roman"/>
          <w:color w:val="auto"/>
        </w:rPr>
        <w:t>间应针对事故可能发生的环节及可能造成的影响开展全面、全员、全过程的系统管理，把安全工作重点放在系统的安全隐患的预防上，并从整体和全局上促进建设项目各个环节的安全操作，同时建立监察、监测、管理系统，实行安全检查目标管理。</w:t>
      </w:r>
    </w:p>
    <w:p w14:paraId="250A7D68">
      <w:pPr>
        <w:pStyle w:val="25"/>
        <w:bidi w:val="0"/>
        <w:rPr>
          <w:rFonts w:hint="default" w:ascii="Times New Roman" w:hAnsi="Times New Roman" w:cs="Times New Roman"/>
          <w:color w:val="auto"/>
        </w:rPr>
      </w:pPr>
      <w:r>
        <w:rPr>
          <w:rFonts w:hint="default" w:ascii="Times New Roman" w:hAnsi="Times New Roman" w:cs="Times New Roman"/>
          <w:color w:val="auto"/>
        </w:rPr>
        <w:t>（3）规范并强化风险预防措施</w:t>
      </w:r>
    </w:p>
    <w:p w14:paraId="31A7C45E">
      <w:pPr>
        <w:pStyle w:val="25"/>
        <w:bidi w:val="0"/>
        <w:rPr>
          <w:rFonts w:hint="default" w:ascii="Times New Roman" w:hAnsi="Times New Roman" w:cs="Times New Roman"/>
          <w:color w:val="auto"/>
        </w:rPr>
      </w:pPr>
      <w:r>
        <w:rPr>
          <w:rFonts w:hint="default" w:ascii="Times New Roman" w:hAnsi="Times New Roman" w:cs="Times New Roman"/>
          <w:color w:val="auto"/>
        </w:rPr>
        <w:t>建设单位应制定安全管理规章制度，并采取相应的预防和处理措施，对防止安全事故的发生起到制度上、技术上的保证作用，对淋溶水产生、渗漏和交通运输事故等一些较大的事故进行重点防范，把事故发生的概率降到最低。</w:t>
      </w:r>
    </w:p>
    <w:p w14:paraId="3D13478C">
      <w:pPr>
        <w:pStyle w:val="25"/>
        <w:bidi w:val="0"/>
        <w:rPr>
          <w:rFonts w:hint="default" w:ascii="Times New Roman" w:hAnsi="Times New Roman" w:cs="Times New Roman"/>
          <w:color w:val="auto"/>
        </w:rPr>
      </w:pPr>
      <w:r>
        <w:rPr>
          <w:rFonts w:hint="default" w:ascii="Times New Roman" w:hAnsi="Times New Roman" w:cs="Times New Roman"/>
          <w:color w:val="auto"/>
        </w:rPr>
        <w:t>（</w:t>
      </w:r>
      <w:r>
        <w:rPr>
          <w:rFonts w:hint="default" w:ascii="Times New Roman" w:hAnsi="Times New Roman" w:cs="Times New Roman"/>
          <w:color w:val="auto"/>
          <w:lang w:val="en-US" w:eastAsia="zh-CN"/>
        </w:rPr>
        <w:t>4</w:t>
      </w:r>
      <w:r>
        <w:rPr>
          <w:rFonts w:hint="default" w:ascii="Times New Roman" w:hAnsi="Times New Roman" w:cs="Times New Roman"/>
          <w:color w:val="auto"/>
        </w:rPr>
        <w:t>）建立事故的监测报警系统</w:t>
      </w:r>
    </w:p>
    <w:p w14:paraId="6A27FEDE">
      <w:pPr>
        <w:pStyle w:val="25"/>
        <w:bidi w:val="0"/>
        <w:rPr>
          <w:rFonts w:hint="default" w:ascii="Times New Roman" w:hAnsi="Times New Roman" w:cs="Times New Roman"/>
          <w:color w:val="auto"/>
        </w:rPr>
      </w:pPr>
      <w:r>
        <w:rPr>
          <w:rFonts w:hint="default" w:ascii="Times New Roman" w:hAnsi="Times New Roman" w:cs="Times New Roman"/>
          <w:color w:val="auto"/>
        </w:rPr>
        <w:t>建议建设单位在场区附近建立地下水环境监测系统，随时掌握周边环境质量情况，及早发现事故排放风险，及早治理，减少事故影响。</w:t>
      </w:r>
    </w:p>
    <w:p w14:paraId="150B9DC0">
      <w:pPr>
        <w:pStyle w:val="25"/>
        <w:bidi w:val="0"/>
        <w:rPr>
          <w:rFonts w:hint="default" w:ascii="Times New Roman" w:hAnsi="Times New Roman" w:cs="Times New Roman"/>
          <w:color w:val="auto"/>
        </w:rPr>
      </w:pPr>
      <w:r>
        <w:rPr>
          <w:rFonts w:hint="default" w:ascii="Times New Roman" w:hAnsi="Times New Roman" w:cs="Times New Roman"/>
          <w:color w:val="auto"/>
        </w:rPr>
        <w:t>（</w:t>
      </w:r>
      <w:r>
        <w:rPr>
          <w:rFonts w:hint="default" w:ascii="Times New Roman" w:hAnsi="Times New Roman" w:cs="Times New Roman"/>
          <w:color w:val="auto"/>
          <w:lang w:val="en-US" w:eastAsia="zh-CN"/>
        </w:rPr>
        <w:t>5</w:t>
      </w:r>
      <w:r>
        <w:rPr>
          <w:rFonts w:hint="default" w:ascii="Times New Roman" w:hAnsi="Times New Roman" w:cs="Times New Roman"/>
          <w:color w:val="auto"/>
        </w:rPr>
        <w:t>）从法律法规上加强管理</w:t>
      </w:r>
    </w:p>
    <w:p w14:paraId="718CF546">
      <w:pPr>
        <w:pStyle w:val="25"/>
        <w:bidi w:val="0"/>
        <w:rPr>
          <w:rFonts w:hint="default" w:ascii="Times New Roman" w:hAnsi="Times New Roman" w:cs="Times New Roman"/>
          <w:color w:val="auto"/>
        </w:rPr>
      </w:pPr>
      <w:r>
        <w:rPr>
          <w:rFonts w:hint="default" w:ascii="Times New Roman" w:hAnsi="Times New Roman" w:cs="Times New Roman"/>
          <w:color w:val="auto"/>
        </w:rPr>
        <w:t>为确保煤矸石运输和处理的安全，应严格遵守国家及有关部门制定的相关法规并严格执行，杜绝事故发生的源头。</w:t>
      </w:r>
    </w:p>
    <w:p w14:paraId="294EE985">
      <w:pPr>
        <w:pStyle w:val="5"/>
        <w:bidi w:val="0"/>
        <w:rPr>
          <w:rFonts w:hint="default" w:ascii="Times New Roman" w:hAnsi="Times New Roman" w:cs="Times New Roman"/>
          <w:color w:val="auto"/>
        </w:rPr>
      </w:pPr>
      <w:r>
        <w:rPr>
          <w:rFonts w:hint="default" w:ascii="Times New Roman" w:hAnsi="Times New Roman" w:cs="Times New Roman"/>
          <w:color w:val="auto"/>
        </w:rPr>
        <w:t>6.</w:t>
      </w:r>
      <w:r>
        <w:rPr>
          <w:rFonts w:hint="eastAsia" w:ascii="Times New Roman" w:hAnsi="Times New Roman" w:cs="Times New Roman"/>
          <w:color w:val="auto"/>
          <w:lang w:val="en-US" w:eastAsia="zh-CN"/>
        </w:rPr>
        <w:t>1</w:t>
      </w:r>
      <w:r>
        <w:rPr>
          <w:rFonts w:hint="default" w:ascii="Times New Roman" w:hAnsi="Times New Roman" w:cs="Times New Roman"/>
          <w:color w:val="auto"/>
        </w:rPr>
        <w:t>.8.2环境风险防范措施</w:t>
      </w:r>
    </w:p>
    <w:p w14:paraId="26D0D020">
      <w:pPr>
        <w:pStyle w:val="25"/>
        <w:bidi w:val="0"/>
        <w:rPr>
          <w:rFonts w:hint="default" w:ascii="Times New Roman" w:hAnsi="Times New Roman" w:cs="Times New Roman"/>
          <w:color w:val="auto"/>
        </w:rPr>
      </w:pPr>
      <w:r>
        <w:rPr>
          <w:rFonts w:hint="default" w:ascii="Times New Roman" w:hAnsi="Times New Roman" w:cs="Times New Roman"/>
          <w:color w:val="auto"/>
        </w:rPr>
        <w:t>项目在回填区周边设置了</w:t>
      </w:r>
      <w:r>
        <w:rPr>
          <w:rFonts w:hint="eastAsia" w:cs="Times New Roman"/>
          <w:color w:val="auto"/>
          <w:lang w:val="en-US" w:eastAsia="zh-CN"/>
        </w:rPr>
        <w:t>1</w:t>
      </w:r>
      <w:r>
        <w:rPr>
          <w:rFonts w:hint="default" w:ascii="Times New Roman" w:hAnsi="Times New Roman" w:cs="Times New Roman"/>
          <w:color w:val="auto"/>
        </w:rPr>
        <w:t>口地下水监测井，应加强监控措施、增加监测频次，一旦数据异常，有污染迹象时，应及时查找原因，发现渗漏位置并采取补救措施，防止污染进一步扩散。</w:t>
      </w:r>
    </w:p>
    <w:p w14:paraId="68A65E55">
      <w:pPr>
        <w:pStyle w:val="5"/>
        <w:bidi w:val="0"/>
        <w:rPr>
          <w:rFonts w:hint="default" w:ascii="Times New Roman" w:hAnsi="Times New Roman" w:cs="Times New Roman"/>
          <w:color w:val="auto"/>
        </w:rPr>
      </w:pPr>
      <w:r>
        <w:rPr>
          <w:rFonts w:hint="default" w:ascii="Times New Roman" w:hAnsi="Times New Roman" w:cs="Times New Roman"/>
          <w:color w:val="auto"/>
        </w:rPr>
        <w:t>6.</w:t>
      </w:r>
      <w:r>
        <w:rPr>
          <w:rFonts w:hint="eastAsia" w:ascii="Times New Roman" w:hAnsi="Times New Roman" w:cs="Times New Roman"/>
          <w:color w:val="auto"/>
          <w:lang w:val="en-US" w:eastAsia="zh-CN"/>
        </w:rPr>
        <w:t>1</w:t>
      </w:r>
      <w:r>
        <w:rPr>
          <w:rFonts w:hint="default" w:ascii="Times New Roman" w:hAnsi="Times New Roman" w:cs="Times New Roman"/>
          <w:color w:val="auto"/>
        </w:rPr>
        <w:t>.8.3风险应急预案</w:t>
      </w:r>
    </w:p>
    <w:p w14:paraId="737A0776">
      <w:pPr>
        <w:pStyle w:val="25"/>
        <w:bidi w:val="0"/>
        <w:rPr>
          <w:rFonts w:hint="default" w:ascii="Times New Roman" w:hAnsi="Times New Roman" w:cs="Times New Roman"/>
          <w:color w:val="auto"/>
        </w:rPr>
      </w:pPr>
      <w:r>
        <w:rPr>
          <w:rFonts w:hint="default" w:ascii="Times New Roman" w:hAnsi="Times New Roman" w:cs="Times New Roman"/>
          <w:color w:val="auto"/>
        </w:rPr>
        <w:t>环境风险应急预案是在安全预案的基础上，突出减少环境风险的预案。本项目应按照《企业事业单位突发环境事件应急预案备案管理办法（试行）》（环发〔2015〕4号）和《黑龙江省人民政府关于印发黑龙江省突发事件应急预案管理办法的通知》（黑政规﹝2018﹞2号），制订本项目的突发环境事件应急预案并上报当地政府有关部门备案。项目制定的突发环境事件应急预案应包括以下内容：</w:t>
      </w:r>
    </w:p>
    <w:p w14:paraId="79774627">
      <w:pPr>
        <w:pStyle w:val="25"/>
        <w:bidi w:val="0"/>
        <w:rPr>
          <w:rFonts w:hint="default" w:ascii="Times New Roman" w:hAnsi="Times New Roman" w:cs="Times New Roman"/>
          <w:color w:val="auto"/>
        </w:rPr>
      </w:pPr>
      <w:r>
        <w:rPr>
          <w:rFonts w:hint="default" w:ascii="Times New Roman" w:hAnsi="Times New Roman" w:cs="Times New Roman"/>
          <w:color w:val="auto"/>
        </w:rPr>
        <w:t>（1）总则。包括编制目的、编制依据、适用范围和工作原则等，做到目的明确、依据合法、范围明确、符合国家有关规定要求和本单位应急工作实际。</w:t>
      </w:r>
    </w:p>
    <w:p w14:paraId="628C54ED">
      <w:pPr>
        <w:pStyle w:val="25"/>
        <w:bidi w:val="0"/>
        <w:rPr>
          <w:rFonts w:hint="default" w:ascii="Times New Roman" w:hAnsi="Times New Roman" w:cs="Times New Roman"/>
          <w:color w:val="auto"/>
        </w:rPr>
      </w:pPr>
      <w:r>
        <w:rPr>
          <w:rFonts w:hint="default" w:ascii="Times New Roman" w:hAnsi="Times New Roman" w:cs="Times New Roman"/>
          <w:color w:val="auto"/>
        </w:rPr>
        <w:t>（2）企业基本情况。本单位的概况、周边环境状况、环境敏感点等，明确有关设施、装置、设备、生产线以及重要目标场所的布局等情况。</w:t>
      </w:r>
    </w:p>
    <w:p w14:paraId="4A0DD804">
      <w:pPr>
        <w:pStyle w:val="25"/>
        <w:bidi w:val="0"/>
        <w:rPr>
          <w:rFonts w:hint="default" w:ascii="Times New Roman" w:hAnsi="Times New Roman" w:cs="Times New Roman"/>
          <w:color w:val="auto"/>
        </w:rPr>
      </w:pPr>
      <w:r>
        <w:rPr>
          <w:rFonts w:hint="default" w:ascii="Times New Roman" w:hAnsi="Times New Roman" w:cs="Times New Roman"/>
          <w:color w:val="auto"/>
        </w:rPr>
        <w:t>（3）本单位环境危险源情况。本单位的环境危险源情况分析，主要包括环境危险源的基本情况以及可能产生的危害后果及严重程度，能够客观分析本单位存在的危险源及危险程度，能够客观分析可能发生的事件特征、主要污染物种类，客观分析可能引发事故的诱因、影响范围及后果。</w:t>
      </w:r>
    </w:p>
    <w:p w14:paraId="5AC3C7E6">
      <w:pPr>
        <w:pStyle w:val="25"/>
        <w:bidi w:val="0"/>
        <w:rPr>
          <w:rFonts w:hint="default" w:ascii="Times New Roman" w:hAnsi="Times New Roman" w:cs="Times New Roman"/>
          <w:color w:val="auto"/>
        </w:rPr>
      </w:pPr>
      <w:r>
        <w:rPr>
          <w:rFonts w:hint="default" w:ascii="Times New Roman" w:hAnsi="Times New Roman" w:cs="Times New Roman"/>
          <w:color w:val="auto"/>
        </w:rPr>
        <w:t>（4）应急物资储备情况。针对单位危险源质应储备的应急物资品名和基本储量等，明确对应急救援所需的物资和装备的要求，应急物资与装备保障符合单位实际，满足应急要求。</w:t>
      </w:r>
    </w:p>
    <w:p w14:paraId="1C77144F">
      <w:pPr>
        <w:pStyle w:val="25"/>
        <w:bidi w:val="0"/>
        <w:rPr>
          <w:rFonts w:hint="default" w:ascii="Times New Roman" w:hAnsi="Times New Roman" w:cs="Times New Roman"/>
          <w:color w:val="auto"/>
        </w:rPr>
      </w:pPr>
      <w:r>
        <w:rPr>
          <w:rFonts w:hint="default" w:ascii="Times New Roman" w:hAnsi="Times New Roman" w:cs="Times New Roman"/>
          <w:color w:val="auto"/>
        </w:rPr>
        <w:t>（5）应急组织指挥体系与职责。包括领导机构、工作机构、地方机构或者现场指挥机构、环境应急专家组等，能够清晰描述本单位的应急组织体系，明确应急组织成员日常及应急状态下的工作职责，各应急救援小组设置合理，应急工作明确。</w:t>
      </w:r>
    </w:p>
    <w:p w14:paraId="28A022EB">
      <w:pPr>
        <w:pStyle w:val="25"/>
        <w:bidi w:val="0"/>
        <w:rPr>
          <w:rFonts w:hint="default" w:ascii="Times New Roman" w:hAnsi="Times New Roman" w:cs="Times New Roman"/>
          <w:color w:val="auto"/>
        </w:rPr>
      </w:pPr>
      <w:r>
        <w:rPr>
          <w:rFonts w:hint="default" w:ascii="Times New Roman" w:hAnsi="Times New Roman" w:cs="Times New Roman"/>
          <w:color w:val="auto"/>
        </w:rPr>
        <w:t>（6）预防与预警机制。包括应急准备措施、环境风险隐患排查和整治措施、预警分级指标、预警发布或者解除程序、预警相应措施等，明确预防和管理措施，明确隐患排查和整治措施，明确预警信息发布的方式、内容和流程，预警级别与采取的预警措施科学合理。</w:t>
      </w:r>
    </w:p>
    <w:p w14:paraId="15CECB21">
      <w:pPr>
        <w:pStyle w:val="25"/>
        <w:bidi w:val="0"/>
        <w:rPr>
          <w:rFonts w:hint="default" w:ascii="Times New Roman" w:hAnsi="Times New Roman" w:cs="Times New Roman"/>
          <w:color w:val="auto"/>
        </w:rPr>
      </w:pPr>
      <w:r>
        <w:rPr>
          <w:rFonts w:hint="default" w:ascii="Times New Roman" w:hAnsi="Times New Roman" w:cs="Times New Roman"/>
          <w:color w:val="auto"/>
        </w:rPr>
        <w:t>（7）应急处置。包括应急预案启动条件、信息报告、先期处置、分级响应、指挥与协调、信息发布、应急终止等程序和措施等。</w:t>
      </w:r>
    </w:p>
    <w:p w14:paraId="011617A5">
      <w:pPr>
        <w:pStyle w:val="25"/>
        <w:bidi w:val="0"/>
        <w:rPr>
          <w:rFonts w:hint="default" w:ascii="Times New Roman" w:hAnsi="Times New Roman" w:cs="Times New Roman"/>
          <w:color w:val="auto"/>
        </w:rPr>
      </w:pPr>
      <w:r>
        <w:rPr>
          <w:rFonts w:hint="default" w:ascii="Times New Roman" w:hAnsi="Times New Roman" w:cs="Times New Roman"/>
          <w:color w:val="auto"/>
        </w:rPr>
        <w:t>（8）后期处置。包括善后处置、调查与评估、恢复重建等，明确事故发生后，污染物处理、善后处置、应急处置能力评估及应急预案的修订等要求。</w:t>
      </w:r>
    </w:p>
    <w:p w14:paraId="3C889FBF">
      <w:pPr>
        <w:pStyle w:val="25"/>
        <w:bidi w:val="0"/>
        <w:rPr>
          <w:rFonts w:hint="default" w:ascii="Times New Roman" w:hAnsi="Times New Roman" w:cs="Times New Roman"/>
          <w:color w:val="auto"/>
        </w:rPr>
      </w:pPr>
      <w:r>
        <w:rPr>
          <w:rFonts w:hint="default" w:ascii="Times New Roman" w:hAnsi="Times New Roman" w:cs="Times New Roman"/>
          <w:color w:val="auto"/>
        </w:rPr>
        <w:t>（9）应急保障。包括人力资源保障、财力保障、物资保障、医疗卫生保障、交通运输保障、通信保障、科技支撑等，明确上述各类保障措施。</w:t>
      </w:r>
    </w:p>
    <w:p w14:paraId="08916330">
      <w:pPr>
        <w:pStyle w:val="25"/>
        <w:bidi w:val="0"/>
        <w:rPr>
          <w:rFonts w:hint="default" w:ascii="Times New Roman" w:hAnsi="Times New Roman" w:cs="Times New Roman"/>
          <w:color w:val="auto"/>
        </w:rPr>
      </w:pPr>
      <w:r>
        <w:rPr>
          <w:rFonts w:hint="default" w:ascii="Times New Roman" w:hAnsi="Times New Roman" w:cs="Times New Roman"/>
          <w:color w:val="auto"/>
        </w:rPr>
        <w:t>（10）监督管理。包括应急预案演练、宣教培训、责任与奖惩等，明确本单位开展应急管理培训的计划和方式方法；如果应急预案涉及周边社区和居民，应明确相应的应急宣传教育工作；明确应急演练的方式、频次、范围、内容、组织、评估、总结等内容；明确各类奖惩制度。</w:t>
      </w:r>
    </w:p>
    <w:p w14:paraId="365ACCD0">
      <w:pPr>
        <w:pStyle w:val="25"/>
        <w:bidi w:val="0"/>
        <w:rPr>
          <w:rFonts w:hint="default" w:ascii="Times New Roman" w:hAnsi="Times New Roman" w:cs="Times New Roman"/>
          <w:color w:val="auto"/>
        </w:rPr>
      </w:pPr>
      <w:r>
        <w:rPr>
          <w:rFonts w:hint="default" w:ascii="Times New Roman" w:hAnsi="Times New Roman" w:cs="Times New Roman"/>
          <w:color w:val="auto"/>
        </w:rPr>
        <w:t>（11）附则。包括名词术语、预案解释、修订情况和实施日期等，对预案中用到的术语进行解释，明确预案的解释单位，说明预案修订情况，明确实施日期。</w:t>
      </w:r>
    </w:p>
    <w:p w14:paraId="4B066958">
      <w:pPr>
        <w:pStyle w:val="25"/>
        <w:bidi w:val="0"/>
        <w:rPr>
          <w:rFonts w:hint="default" w:ascii="Times New Roman" w:hAnsi="Times New Roman" w:cs="Times New Roman"/>
          <w:color w:val="auto"/>
        </w:rPr>
      </w:pPr>
      <w:r>
        <w:rPr>
          <w:rFonts w:hint="default" w:ascii="Times New Roman" w:hAnsi="Times New Roman" w:cs="Times New Roman"/>
          <w:color w:val="auto"/>
        </w:rPr>
        <w:t>（12）附件。包括相关单位和人员通讯录、标准化格式文本、工作流程图、应急物资储备清单等，通讯录应列出所有参与应急指挥、协调人员姓名、所在部门、职务和联系电话，并保证准确有效；给出信息接报、处理、上报等规范化格式文本，要求规范、清晰、简洁；明确工作流程，关键的路线、标识和图纸等；以表格形式列出应急装备、设施和器材清单，清单应当包括种类、名称、数量以及存放位置、规格、性能、用途和用法等信息。</w:t>
      </w:r>
    </w:p>
    <w:p w14:paraId="4BC403CA">
      <w:pPr>
        <w:pStyle w:val="5"/>
        <w:bidi w:val="0"/>
        <w:rPr>
          <w:rFonts w:hint="default" w:ascii="Times New Roman" w:hAnsi="Times New Roman" w:cs="Times New Roman"/>
          <w:color w:val="auto"/>
        </w:rPr>
      </w:pPr>
      <w:r>
        <w:rPr>
          <w:rFonts w:hint="default" w:ascii="Times New Roman" w:hAnsi="Times New Roman" w:cs="Times New Roman"/>
          <w:color w:val="auto"/>
        </w:rPr>
        <w:t>6.</w:t>
      </w:r>
      <w:r>
        <w:rPr>
          <w:rFonts w:hint="eastAsia" w:ascii="Times New Roman" w:hAnsi="Times New Roman" w:cs="Times New Roman"/>
          <w:color w:val="auto"/>
          <w:lang w:val="en-US" w:eastAsia="zh-CN"/>
        </w:rPr>
        <w:t>1</w:t>
      </w:r>
      <w:r>
        <w:rPr>
          <w:rFonts w:hint="default" w:ascii="Times New Roman" w:hAnsi="Times New Roman" w:cs="Times New Roman"/>
          <w:color w:val="auto"/>
        </w:rPr>
        <w:t>.8.4环境风险分析结论</w:t>
      </w:r>
    </w:p>
    <w:p w14:paraId="3BA64F81">
      <w:pPr>
        <w:pStyle w:val="25"/>
        <w:bidi w:val="0"/>
        <w:rPr>
          <w:rFonts w:hint="default" w:ascii="Times New Roman" w:hAnsi="Times New Roman" w:cs="Times New Roman"/>
          <w:color w:val="auto"/>
        </w:rPr>
      </w:pPr>
      <w:r>
        <w:rPr>
          <w:rFonts w:hint="default" w:ascii="Times New Roman" w:hAnsi="Times New Roman" w:cs="Times New Roman"/>
          <w:color w:val="auto"/>
        </w:rPr>
        <w:t>通过以上分析内容可知，本工程在认真采取防控措施，最大限度消除隐患的前提下，事故概率极低，一旦发生事故，按应急预案计划处理，也会使事故损失降到最低程度。项目设计、施工、生产运行中，在切实落实各项环保、安全措施基础上，在可控的范围内，项目产生的环境风险环境可接受。</w:t>
      </w:r>
    </w:p>
    <w:bookmarkEnd w:id="329"/>
    <w:p w14:paraId="36C32E9D">
      <w:pPr>
        <w:pStyle w:val="41"/>
        <w:bidi w:val="0"/>
        <w:rPr>
          <w:rFonts w:hint="default" w:ascii="Times New Roman" w:hAnsi="Times New Roman" w:cs="Times New Roman"/>
          <w:color w:val="auto"/>
        </w:rPr>
      </w:pPr>
      <w:bookmarkStart w:id="330" w:name="_Toc152926831"/>
      <w:bookmarkStart w:id="331" w:name="_Toc12536"/>
      <w:bookmarkStart w:id="332" w:name="_Toc20761"/>
      <w:r>
        <w:rPr>
          <w:rFonts w:hint="default" w:ascii="Times New Roman" w:hAnsi="Times New Roman" w:cs="Times New Roman"/>
          <w:color w:val="auto"/>
        </w:rPr>
        <w:t>6.</w:t>
      </w:r>
      <w:r>
        <w:rPr>
          <w:rFonts w:hint="default" w:ascii="Times New Roman" w:hAnsi="Times New Roman" w:cs="Times New Roman"/>
          <w:color w:val="auto"/>
          <w:lang w:val="en-US" w:eastAsia="zh-CN"/>
        </w:rPr>
        <w:t>2</w:t>
      </w:r>
      <w:r>
        <w:rPr>
          <w:rFonts w:hint="default" w:ascii="Times New Roman" w:hAnsi="Times New Roman" w:cs="Times New Roman"/>
          <w:color w:val="auto"/>
        </w:rPr>
        <w:t>生态恢复期保护措施</w:t>
      </w:r>
      <w:bookmarkEnd w:id="330"/>
      <w:bookmarkEnd w:id="331"/>
      <w:bookmarkEnd w:id="332"/>
    </w:p>
    <w:p w14:paraId="0F5B5E8E">
      <w:pPr>
        <w:pStyle w:val="25"/>
        <w:bidi w:val="0"/>
        <w:rPr>
          <w:rFonts w:hint="default" w:cs="Times New Roman"/>
          <w:color w:val="558ED5" w:themeColor="text2" w:themeTint="99"/>
          <w:highlight w:val="none"/>
          <w:lang w:val="en-US" w:eastAsia="zh-CN"/>
          <w14:textFill>
            <w14:solidFill>
              <w14:schemeClr w14:val="tx2">
                <w14:lumMod w14:val="60000"/>
                <w14:lumOff w14:val="40000"/>
              </w14:schemeClr>
            </w14:solidFill>
          </w14:textFill>
        </w:rPr>
      </w:pPr>
      <w:r>
        <w:rPr>
          <w:rFonts w:hint="eastAsia" w:ascii="Times New Roman" w:hAnsi="Times New Roman" w:cs="Times New Roman"/>
          <w:color w:val="558ED5" w:themeColor="text2" w:themeTint="99"/>
          <w:highlight w:val="none"/>
          <w:lang w:val="en-US" w:eastAsia="zh-CN"/>
          <w14:textFill>
            <w14:solidFill>
              <w14:schemeClr w14:val="tx2">
                <w14:lumMod w14:val="60000"/>
                <w14:lumOff w14:val="40000"/>
              </w14:schemeClr>
            </w14:solidFill>
          </w14:textFill>
        </w:rPr>
        <w:t>种植</w:t>
      </w: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作业环节，</w:t>
      </w:r>
      <w:r>
        <w:rPr>
          <w:rFonts w:hint="eastAsia" w:ascii="Times New Roman" w:hAnsi="Times New Roman" w:cs="Times New Roman"/>
          <w:color w:val="558ED5" w:themeColor="text2" w:themeTint="99"/>
          <w:highlight w:val="none"/>
          <w:lang w:val="en-US" w:eastAsia="zh-CN"/>
          <w14:textFill>
            <w14:solidFill>
              <w14:schemeClr w14:val="tx2">
                <w14:lumMod w14:val="60000"/>
                <w14:lumOff w14:val="40000"/>
              </w14:schemeClr>
            </w14:solidFill>
          </w14:textFill>
        </w:rPr>
        <w:t>为人工种植，主要污染源为运输机械产生的尾气及噪声，</w:t>
      </w: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主要因子是NO</w:t>
      </w:r>
      <w:r>
        <w:rPr>
          <w:rFonts w:hint="default" w:ascii="Times New Roman" w:hAnsi="Times New Roman" w:cs="Times New Roman"/>
          <w:color w:val="558ED5" w:themeColor="text2" w:themeTint="99"/>
          <w:highlight w:val="none"/>
          <w:vertAlign w:val="subscript"/>
          <w14:textFill>
            <w14:solidFill>
              <w14:schemeClr w14:val="tx2">
                <w14:lumMod w14:val="60000"/>
                <w14:lumOff w14:val="40000"/>
              </w14:schemeClr>
            </w14:solidFill>
          </w14:textFill>
        </w:rPr>
        <w:t>2</w:t>
      </w: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、CO、SO</w:t>
      </w:r>
      <w:r>
        <w:rPr>
          <w:rFonts w:hint="default" w:ascii="Times New Roman" w:hAnsi="Times New Roman" w:cs="Times New Roman"/>
          <w:color w:val="558ED5" w:themeColor="text2" w:themeTint="99"/>
          <w:highlight w:val="none"/>
          <w:vertAlign w:val="subscript"/>
          <w14:textFill>
            <w14:solidFill>
              <w14:schemeClr w14:val="tx2">
                <w14:lumMod w14:val="60000"/>
                <w14:lumOff w14:val="40000"/>
              </w14:schemeClr>
            </w14:solidFill>
          </w14:textFill>
        </w:rPr>
        <w:t>2</w:t>
      </w:r>
      <w:r>
        <w:rPr>
          <w:rFonts w:hint="eastAsia" w:ascii="Times New Roman" w:hAnsi="Times New Roman" w:cs="Times New Roman"/>
          <w:color w:val="558ED5" w:themeColor="text2" w:themeTint="99"/>
          <w:highlight w:val="none"/>
          <w:vertAlign w:val="baseline"/>
          <w:lang w:val="en-US" w:eastAsia="zh-CN"/>
          <w14:textFill>
            <w14:solidFill>
              <w14:schemeClr w14:val="tx2">
                <w14:lumMod w14:val="60000"/>
                <w14:lumOff w14:val="40000"/>
              </w14:schemeClr>
            </w14:solidFill>
          </w14:textFill>
        </w:rPr>
        <w:t>及噪声</w:t>
      </w: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r>
        <w:rPr>
          <w:rFonts w:hint="eastAsia" w:cs="Times New Roman"/>
          <w:color w:val="558ED5" w:themeColor="text2" w:themeTint="99"/>
          <w:highlight w:val="none"/>
          <w:lang w:val="en-US" w:eastAsia="zh-CN"/>
          <w14:textFill>
            <w14:solidFill>
              <w14:schemeClr w14:val="tx2">
                <w14:lumMod w14:val="60000"/>
                <w14:lumOff w14:val="40000"/>
              </w14:schemeClr>
            </w14:solidFill>
          </w14:textFill>
        </w:rPr>
        <w:t>种植期时间较短，且运输设备较少，对环境空气、噪声影响较小。</w:t>
      </w:r>
    </w:p>
    <w:p w14:paraId="38555BE0">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生态恢复期为回填复垦结束后的自然恢复期，</w:t>
      </w:r>
      <w:r>
        <w:rPr>
          <w:rFonts w:hint="eastAsia" w:cs="Times New Roman"/>
          <w:color w:val="auto"/>
          <w:highlight w:val="none"/>
          <w:lang w:val="en-US" w:eastAsia="zh-CN"/>
        </w:rPr>
        <w:t>其主要生态保护措施为</w:t>
      </w:r>
      <w:r>
        <w:rPr>
          <w:rFonts w:hint="default" w:ascii="Times New Roman" w:hAnsi="Times New Roman" w:cs="Times New Roman"/>
          <w:color w:val="auto"/>
          <w:highlight w:val="none"/>
          <w:lang w:val="en-US" w:eastAsia="zh-CN"/>
        </w:rPr>
        <w:t>定期</w:t>
      </w:r>
      <w:r>
        <w:rPr>
          <w:rFonts w:hint="eastAsia" w:cs="Times New Roman"/>
          <w:color w:val="auto"/>
          <w:highlight w:val="none"/>
          <w:lang w:val="en-US" w:eastAsia="zh-CN"/>
        </w:rPr>
        <w:t>跟踪监测，加强对地下水和周边土壤的监测，应当采取相应的对策。安排专人</w:t>
      </w:r>
      <w:r>
        <w:rPr>
          <w:rFonts w:hint="default" w:ascii="Times New Roman" w:hAnsi="Times New Roman" w:cs="Times New Roman"/>
          <w:color w:val="auto"/>
          <w:highlight w:val="none"/>
          <w:lang w:val="en-US" w:eastAsia="zh-CN"/>
        </w:rPr>
        <w:t>巡护，保证</w:t>
      </w:r>
      <w:r>
        <w:rPr>
          <w:rFonts w:hint="eastAsia" w:cs="Times New Roman"/>
          <w:color w:val="auto"/>
          <w:highlight w:val="none"/>
          <w:lang w:val="en-US" w:eastAsia="zh-CN"/>
        </w:rPr>
        <w:t>复垦植被</w:t>
      </w:r>
      <w:r>
        <w:rPr>
          <w:rFonts w:hint="default" w:ascii="Times New Roman" w:hAnsi="Times New Roman" w:cs="Times New Roman"/>
          <w:color w:val="auto"/>
          <w:highlight w:val="none"/>
          <w:lang w:val="en-US" w:eastAsia="zh-CN"/>
        </w:rPr>
        <w:t>生长状况</w:t>
      </w:r>
      <w:r>
        <w:rPr>
          <w:rFonts w:hint="eastAsia" w:cs="Times New Roman"/>
          <w:color w:val="auto"/>
          <w:highlight w:val="none"/>
          <w:lang w:val="en-US" w:eastAsia="zh-CN"/>
        </w:rPr>
        <w:t>，如植被生产情况不佳，及时进行补种。生态恢复及后期管理责任主体为鸡西市城子河区住房和城乡建设局</w:t>
      </w:r>
      <w:r>
        <w:rPr>
          <w:rFonts w:hint="default" w:ascii="Times New Roman" w:hAnsi="Times New Roman" w:cs="Times New Roman"/>
          <w:color w:val="auto"/>
          <w:highlight w:val="none"/>
        </w:rPr>
        <w:t>。</w:t>
      </w:r>
    </w:p>
    <w:p w14:paraId="5E1E8452">
      <w:pPr>
        <w:pStyle w:val="41"/>
        <w:rPr>
          <w:rFonts w:hint="default" w:ascii="Times New Roman" w:hAnsi="Times New Roman" w:cs="Times New Roman"/>
          <w:color w:val="auto"/>
        </w:rPr>
      </w:pPr>
      <w:bookmarkStart w:id="333" w:name="_Toc119316814"/>
      <w:bookmarkStart w:id="334" w:name="_Toc2253"/>
      <w:bookmarkStart w:id="335" w:name="_Toc16126"/>
      <w:bookmarkStart w:id="336" w:name="_Toc152926832"/>
      <w:r>
        <w:rPr>
          <w:rFonts w:hint="default" w:ascii="Times New Roman" w:hAnsi="Times New Roman" w:cs="Times New Roman"/>
          <w:color w:val="auto"/>
        </w:rPr>
        <w:t>6.</w:t>
      </w:r>
      <w:r>
        <w:rPr>
          <w:rFonts w:hint="default" w:ascii="Times New Roman" w:hAnsi="Times New Roman" w:cs="Times New Roman"/>
          <w:color w:val="auto"/>
          <w:lang w:val="en-US" w:eastAsia="zh-CN"/>
        </w:rPr>
        <w:t>3</w:t>
      </w:r>
      <w:r>
        <w:rPr>
          <w:rFonts w:hint="default" w:ascii="Times New Roman" w:hAnsi="Times New Roman" w:cs="Times New Roman"/>
          <w:color w:val="auto"/>
        </w:rPr>
        <w:t>环境保护投资</w:t>
      </w:r>
      <w:bookmarkEnd w:id="333"/>
      <w:bookmarkEnd w:id="334"/>
      <w:bookmarkEnd w:id="335"/>
      <w:bookmarkEnd w:id="336"/>
    </w:p>
    <w:p w14:paraId="3F43BA6F">
      <w:pPr>
        <w:pStyle w:val="25"/>
        <w:ind w:firstLine="480"/>
        <w:rPr>
          <w:rFonts w:hint="default" w:ascii="Times New Roman" w:hAnsi="Times New Roman" w:cs="Times New Roman"/>
          <w:snapToGrid w:val="0"/>
          <w:color w:val="auto"/>
        </w:rPr>
      </w:pPr>
      <w:r>
        <w:rPr>
          <w:rFonts w:hint="default" w:ascii="Times New Roman" w:hAnsi="Times New Roman" w:cs="Times New Roman"/>
          <w:snapToGrid w:val="0"/>
          <w:color w:val="auto"/>
        </w:rPr>
        <w:t>环保投资比按下式计算：</w:t>
      </w:r>
    </w:p>
    <w:p w14:paraId="02E5C9DD">
      <w:pPr>
        <w:jc w:val="center"/>
        <w:rPr>
          <w:rFonts w:hint="default" w:ascii="Times New Roman" w:hAnsi="Times New Roman" w:cs="Times New Roman"/>
          <w:snapToGrid w:val="0"/>
          <w:color w:val="auto"/>
          <w:kern w:val="0"/>
          <w:sz w:val="24"/>
        </w:rPr>
      </w:pPr>
      <w:r>
        <w:rPr>
          <w:rFonts w:hint="default" w:ascii="Times New Roman" w:hAnsi="Times New Roman" w:cs="Times New Roman"/>
          <w:color w:val="auto"/>
          <w:kern w:val="0"/>
          <w:sz w:val="24"/>
        </w:rPr>
        <w:drawing>
          <wp:inline distT="0" distB="0" distL="0" distR="0">
            <wp:extent cx="1132840" cy="409575"/>
            <wp:effectExtent l="0" t="0" r="10160" b="8890"/>
            <wp:docPr id="675"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图片 151"/>
                    <pic:cNvPicPr>
                      <a:picLocks noChangeAspect="1" noChangeArrowheads="1"/>
                    </pic:cNvPicPr>
                  </pic:nvPicPr>
                  <pic:blipFill>
                    <a:blip r:embed="rId113" cstate="print"/>
                    <a:srcRect/>
                    <a:stretch>
                      <a:fillRect/>
                    </a:stretch>
                  </pic:blipFill>
                  <pic:spPr>
                    <a:xfrm>
                      <a:off x="0" y="0"/>
                      <a:ext cx="1132840" cy="409575"/>
                    </a:xfrm>
                    <a:prstGeom prst="rect">
                      <a:avLst/>
                    </a:prstGeom>
                    <a:noFill/>
                    <a:ln w="9525">
                      <a:noFill/>
                      <a:miter lim="800000"/>
                      <a:headEnd/>
                      <a:tailEnd/>
                    </a:ln>
                  </pic:spPr>
                </pic:pic>
              </a:graphicData>
            </a:graphic>
          </wp:inline>
        </w:drawing>
      </w:r>
    </w:p>
    <w:p w14:paraId="3F2A2AC3">
      <w:pPr>
        <w:spacing w:line="360" w:lineRule="auto"/>
        <w:rPr>
          <w:rFonts w:hint="default" w:ascii="Times New Roman" w:hAnsi="Times New Roman" w:cs="Times New Roman"/>
          <w:snapToGrid w:val="0"/>
          <w:color w:val="auto"/>
          <w:kern w:val="0"/>
          <w:sz w:val="24"/>
        </w:rPr>
      </w:pPr>
      <w:r>
        <w:rPr>
          <w:rFonts w:hint="default" w:ascii="Times New Roman" w:hAnsi="Times New Roman" w:cs="Times New Roman"/>
          <w:snapToGrid w:val="0"/>
          <w:color w:val="auto"/>
          <w:kern w:val="0"/>
          <w:sz w:val="24"/>
        </w:rPr>
        <w:t>式中：</w:t>
      </w:r>
      <w:r>
        <w:rPr>
          <w:rFonts w:hint="default" w:ascii="Times New Roman" w:hAnsi="Times New Roman" w:cs="Times New Roman"/>
          <w:i/>
          <w:snapToGrid w:val="0"/>
          <w:color w:val="auto"/>
          <w:kern w:val="0"/>
          <w:sz w:val="24"/>
        </w:rPr>
        <w:t>HJ</w:t>
      </w:r>
      <w:r>
        <w:rPr>
          <w:rFonts w:hint="default" w:ascii="Times New Roman" w:hAnsi="Times New Roman" w:cs="Times New Roman"/>
          <w:snapToGrid w:val="0"/>
          <w:color w:val="auto"/>
          <w:kern w:val="0"/>
          <w:sz w:val="24"/>
        </w:rPr>
        <w:t>—环保费用投资比，100％；</w:t>
      </w:r>
    </w:p>
    <w:p w14:paraId="756327E5">
      <w:pPr>
        <w:spacing w:line="360" w:lineRule="auto"/>
        <w:rPr>
          <w:rFonts w:hint="default" w:ascii="Times New Roman" w:hAnsi="Times New Roman" w:cs="Times New Roman"/>
          <w:snapToGrid w:val="0"/>
          <w:color w:val="auto"/>
          <w:kern w:val="0"/>
          <w:sz w:val="24"/>
        </w:rPr>
      </w:pPr>
      <w:r>
        <w:rPr>
          <w:rFonts w:hint="default" w:ascii="Times New Roman" w:hAnsi="Times New Roman" w:cs="Times New Roman"/>
          <w:snapToGrid w:val="0"/>
          <w:color w:val="auto"/>
          <w:kern w:val="0"/>
          <w:sz w:val="24"/>
        </w:rPr>
        <w:t xml:space="preserve">      </w:t>
      </w:r>
      <w:r>
        <w:rPr>
          <w:rFonts w:hint="default" w:ascii="Times New Roman" w:hAnsi="Times New Roman" w:cs="Times New Roman"/>
          <w:i/>
          <w:snapToGrid w:val="0"/>
          <w:color w:val="auto"/>
          <w:kern w:val="0"/>
          <w:sz w:val="24"/>
        </w:rPr>
        <w:t>HT</w:t>
      </w:r>
      <w:r>
        <w:rPr>
          <w:rFonts w:hint="default" w:ascii="Times New Roman" w:hAnsi="Times New Roman" w:cs="Times New Roman"/>
          <w:snapToGrid w:val="0"/>
          <w:color w:val="auto"/>
          <w:kern w:val="0"/>
          <w:sz w:val="24"/>
        </w:rPr>
        <w:t>—环保投资，万元；</w:t>
      </w:r>
    </w:p>
    <w:p w14:paraId="42CC3203">
      <w:pPr>
        <w:spacing w:line="360" w:lineRule="auto"/>
        <w:rPr>
          <w:rFonts w:hint="default" w:ascii="Times New Roman" w:hAnsi="Times New Roman" w:cs="Times New Roman"/>
          <w:snapToGrid w:val="0"/>
          <w:color w:val="auto"/>
          <w:kern w:val="0"/>
          <w:sz w:val="24"/>
        </w:rPr>
      </w:pPr>
      <w:r>
        <w:rPr>
          <w:rFonts w:hint="default" w:ascii="Times New Roman" w:hAnsi="Times New Roman" w:cs="Times New Roman"/>
          <w:snapToGrid w:val="0"/>
          <w:color w:val="auto"/>
          <w:kern w:val="0"/>
          <w:sz w:val="24"/>
        </w:rPr>
        <w:t xml:space="preserve">      </w:t>
      </w:r>
      <w:r>
        <w:rPr>
          <w:rFonts w:hint="default" w:ascii="Times New Roman" w:hAnsi="Times New Roman" w:cs="Times New Roman"/>
          <w:i/>
          <w:snapToGrid w:val="0"/>
          <w:color w:val="auto"/>
          <w:kern w:val="0"/>
          <w:sz w:val="24"/>
        </w:rPr>
        <w:t>JI</w:t>
      </w:r>
      <w:r>
        <w:rPr>
          <w:rFonts w:hint="default" w:ascii="Times New Roman" w:hAnsi="Times New Roman" w:cs="Times New Roman"/>
          <w:snapToGrid w:val="0"/>
          <w:color w:val="auto"/>
          <w:kern w:val="0"/>
          <w:sz w:val="24"/>
        </w:rPr>
        <w:t>—项目总投资，万元。</w:t>
      </w:r>
    </w:p>
    <w:p w14:paraId="1743BA20">
      <w:pPr>
        <w:pStyle w:val="25"/>
        <w:ind w:firstLine="480"/>
        <w:rPr>
          <w:rFonts w:hint="default" w:ascii="Times New Roman" w:hAnsi="Times New Roman" w:cs="Times New Roman"/>
          <w:snapToGrid w:val="0"/>
          <w:color w:val="auto"/>
        </w:rPr>
      </w:pPr>
      <w:r>
        <w:rPr>
          <w:rFonts w:hint="default" w:ascii="Times New Roman" w:hAnsi="Times New Roman" w:cs="Times New Roman"/>
          <w:snapToGrid w:val="0"/>
          <w:color w:val="auto"/>
        </w:rPr>
        <w:t>根据工程分析和环境影响预测及评价结果，本项目产生的污水、废气、噪声固废等对周围环境将会产生一定的影响，因此，必须采取相应的环境保护措施加以控制，并保证相应环保投资的投入，以使项目建成后生产过程中产生的各类污染物对周围环境的影响降低到最低程度。根据初步估算，本项目的环保投资见表6-</w:t>
      </w:r>
      <w:r>
        <w:rPr>
          <w:rFonts w:hint="default" w:ascii="Times New Roman" w:hAnsi="Times New Roman" w:cs="Times New Roman"/>
          <w:snapToGrid w:val="0"/>
          <w:color w:val="auto"/>
          <w:lang w:val="en-US" w:eastAsia="zh-CN"/>
        </w:rPr>
        <w:t>3</w:t>
      </w:r>
      <w:r>
        <w:rPr>
          <w:rFonts w:hint="default" w:ascii="Times New Roman" w:hAnsi="Times New Roman" w:cs="Times New Roman"/>
          <w:snapToGrid w:val="0"/>
          <w:color w:val="auto"/>
        </w:rPr>
        <w:t>-1。</w:t>
      </w:r>
    </w:p>
    <w:p w14:paraId="20459E58">
      <w:pPr>
        <w:pStyle w:val="25"/>
        <w:ind w:firstLine="480"/>
        <w:rPr>
          <w:rFonts w:hint="default" w:ascii="Times New Roman" w:hAnsi="Times New Roman" w:cs="Times New Roman"/>
          <w:snapToGrid w:val="0"/>
          <w:color w:val="auto"/>
          <w:highlight w:val="none"/>
        </w:rPr>
      </w:pPr>
      <w:bookmarkStart w:id="337" w:name="_Hlk480428871"/>
      <w:r>
        <w:rPr>
          <w:rFonts w:hint="default" w:ascii="Times New Roman" w:hAnsi="Times New Roman" w:cs="Times New Roman"/>
          <w:snapToGrid w:val="0"/>
          <w:color w:val="auto"/>
          <w:highlight w:val="none"/>
        </w:rPr>
        <w:t>本工程总投资为</w:t>
      </w:r>
      <w:r>
        <w:rPr>
          <w:rFonts w:hint="eastAsia" w:cs="Times New Roman"/>
          <w:snapToGrid w:val="0"/>
          <w:color w:val="auto"/>
          <w:highlight w:val="none"/>
          <w:lang w:eastAsia="zh-CN"/>
        </w:rPr>
        <w:t>4552.91</w:t>
      </w:r>
      <w:r>
        <w:rPr>
          <w:rFonts w:hint="default" w:ascii="Times New Roman" w:hAnsi="Times New Roman" w:cs="Times New Roman"/>
          <w:snapToGrid w:val="0"/>
          <w:color w:val="auto"/>
          <w:highlight w:val="none"/>
        </w:rPr>
        <w:t>万元，环保投资估算为</w:t>
      </w:r>
      <w:r>
        <w:rPr>
          <w:rFonts w:hint="eastAsia" w:cs="Times New Roman"/>
          <w:snapToGrid w:val="0"/>
          <w:color w:val="auto"/>
          <w:highlight w:val="none"/>
          <w:lang w:val="en-US" w:eastAsia="zh-CN"/>
        </w:rPr>
        <w:t>927.09</w:t>
      </w:r>
      <w:r>
        <w:rPr>
          <w:rFonts w:hint="default" w:ascii="Times New Roman" w:hAnsi="Times New Roman" w:cs="Times New Roman"/>
          <w:snapToGrid w:val="0"/>
          <w:color w:val="auto"/>
          <w:highlight w:val="none"/>
        </w:rPr>
        <w:t>万元，占总投资的</w:t>
      </w:r>
      <w:r>
        <w:rPr>
          <w:rFonts w:hint="eastAsia" w:cs="Times New Roman"/>
          <w:snapToGrid w:val="0"/>
          <w:color w:val="auto"/>
          <w:highlight w:val="none"/>
          <w:lang w:val="en-US" w:eastAsia="zh-CN"/>
        </w:rPr>
        <w:t>20.36</w:t>
      </w:r>
      <w:r>
        <w:rPr>
          <w:rFonts w:hint="default" w:ascii="Times New Roman" w:hAnsi="Times New Roman" w:cs="Times New Roman"/>
          <w:snapToGrid w:val="0"/>
          <w:color w:val="auto"/>
          <w:highlight w:val="none"/>
        </w:rPr>
        <w:t>%。</w:t>
      </w:r>
    </w:p>
    <w:p w14:paraId="455FE8DD">
      <w:pPr>
        <w:pStyle w:val="25"/>
        <w:ind w:firstLine="480"/>
        <w:rPr>
          <w:rFonts w:hint="default" w:ascii="Times New Roman" w:hAnsi="Times New Roman" w:cs="Times New Roman"/>
          <w:snapToGrid w:val="0"/>
          <w:color w:val="auto"/>
          <w:highlight w:val="none"/>
          <w:lang w:val="zh-CN"/>
        </w:rPr>
      </w:pPr>
    </w:p>
    <w:p w14:paraId="566C2308">
      <w:pPr>
        <w:pStyle w:val="27"/>
        <w:bidi w:val="0"/>
        <w:ind w:left="0" w:leftChars="0" w:firstLine="0" w:firstLineChars="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表6-</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lang w:val="zh-CN"/>
        </w:rPr>
        <w:t>-1环保投资明细表</w:t>
      </w:r>
    </w:p>
    <w:tbl>
      <w:tblPr>
        <w:tblStyle w:val="20"/>
        <w:tblW w:w="861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07"/>
        <w:gridCol w:w="1190"/>
        <w:gridCol w:w="5374"/>
        <w:gridCol w:w="1242"/>
      </w:tblGrid>
      <w:tr w14:paraId="2C82C2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97" w:type="dxa"/>
            <w:gridSpan w:val="2"/>
            <w:shd w:val="clear" w:color="auto" w:fill="auto"/>
            <w:vAlign w:val="center"/>
          </w:tcPr>
          <w:p w14:paraId="2EE09B6B">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项目</w:t>
            </w:r>
          </w:p>
        </w:tc>
        <w:tc>
          <w:tcPr>
            <w:tcW w:w="5374" w:type="dxa"/>
            <w:shd w:val="clear" w:color="auto" w:fill="auto"/>
            <w:vAlign w:val="center"/>
          </w:tcPr>
          <w:p w14:paraId="52AAAA7B">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治理设施内容</w:t>
            </w:r>
          </w:p>
        </w:tc>
        <w:tc>
          <w:tcPr>
            <w:tcW w:w="1242" w:type="dxa"/>
            <w:shd w:val="clear" w:color="auto" w:fill="auto"/>
            <w:vAlign w:val="center"/>
          </w:tcPr>
          <w:p w14:paraId="1704364F">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金额（万元）</w:t>
            </w:r>
          </w:p>
        </w:tc>
      </w:tr>
      <w:tr w14:paraId="37E403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vMerge w:val="restart"/>
            <w:shd w:val="clear" w:color="auto" w:fill="auto"/>
            <w:vAlign w:val="center"/>
          </w:tcPr>
          <w:p w14:paraId="240D26BB">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施工期</w:t>
            </w:r>
          </w:p>
        </w:tc>
        <w:tc>
          <w:tcPr>
            <w:tcW w:w="1190" w:type="dxa"/>
            <w:vMerge w:val="restart"/>
            <w:shd w:val="clear" w:color="auto" w:fill="auto"/>
            <w:vAlign w:val="center"/>
          </w:tcPr>
          <w:p w14:paraId="19D06581">
            <w:pPr>
              <w:pStyle w:val="44"/>
              <w:bidi w:val="0"/>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大气</w:t>
            </w:r>
          </w:p>
        </w:tc>
        <w:tc>
          <w:tcPr>
            <w:tcW w:w="5374" w:type="dxa"/>
            <w:shd w:val="clear" w:color="auto" w:fill="auto"/>
            <w:vAlign w:val="center"/>
          </w:tcPr>
          <w:p w14:paraId="0131E50B">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rPr>
              <w:t>施工场地洒水降尘、物料堆存采用苫布苫盖</w:t>
            </w:r>
          </w:p>
        </w:tc>
        <w:tc>
          <w:tcPr>
            <w:tcW w:w="1242" w:type="dxa"/>
            <w:shd w:val="clear" w:color="auto" w:fill="auto"/>
            <w:vAlign w:val="center"/>
          </w:tcPr>
          <w:p w14:paraId="22DA5F0A">
            <w:pPr>
              <w:pStyle w:val="44"/>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18</w:t>
            </w:r>
          </w:p>
        </w:tc>
      </w:tr>
      <w:tr w14:paraId="259934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vMerge w:val="continue"/>
            <w:shd w:val="clear" w:color="auto" w:fill="auto"/>
            <w:vAlign w:val="center"/>
          </w:tcPr>
          <w:p w14:paraId="722BFAD9">
            <w:pPr>
              <w:pStyle w:val="44"/>
              <w:bidi w:val="0"/>
              <w:rPr>
                <w:rFonts w:hint="default" w:ascii="Times New Roman" w:hAnsi="Times New Roman" w:cs="Times New Roman"/>
                <w:color w:val="auto"/>
                <w:highlight w:val="none"/>
                <w:lang w:val="zh-CN"/>
              </w:rPr>
            </w:pPr>
          </w:p>
        </w:tc>
        <w:tc>
          <w:tcPr>
            <w:tcW w:w="1190" w:type="dxa"/>
            <w:vMerge w:val="continue"/>
            <w:shd w:val="clear" w:color="auto" w:fill="auto"/>
            <w:vAlign w:val="center"/>
          </w:tcPr>
          <w:p w14:paraId="2AE501E9">
            <w:pPr>
              <w:pStyle w:val="44"/>
              <w:bidi w:val="0"/>
              <w:rPr>
                <w:rFonts w:hint="default" w:ascii="Times New Roman" w:hAnsi="Times New Roman" w:cs="Times New Roman"/>
                <w:color w:val="auto"/>
                <w:highlight w:val="none"/>
                <w:lang w:val="zh-CN"/>
              </w:rPr>
            </w:pPr>
          </w:p>
        </w:tc>
        <w:tc>
          <w:tcPr>
            <w:tcW w:w="5374" w:type="dxa"/>
            <w:shd w:val="clear" w:color="auto" w:fill="auto"/>
            <w:vAlign w:val="center"/>
          </w:tcPr>
          <w:p w14:paraId="52A3A118">
            <w:pPr>
              <w:pStyle w:val="44"/>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洒水车</w:t>
            </w:r>
          </w:p>
        </w:tc>
        <w:tc>
          <w:tcPr>
            <w:tcW w:w="1242" w:type="dxa"/>
            <w:shd w:val="clear" w:color="auto" w:fill="auto"/>
            <w:vAlign w:val="center"/>
          </w:tcPr>
          <w:p w14:paraId="6E16C598">
            <w:pPr>
              <w:pStyle w:val="44"/>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3</w:t>
            </w:r>
          </w:p>
        </w:tc>
      </w:tr>
      <w:tr w14:paraId="0D2C41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vMerge w:val="continue"/>
            <w:shd w:val="clear" w:color="auto" w:fill="auto"/>
            <w:vAlign w:val="center"/>
          </w:tcPr>
          <w:p w14:paraId="7F003797">
            <w:pPr>
              <w:pStyle w:val="44"/>
              <w:bidi w:val="0"/>
              <w:rPr>
                <w:rFonts w:hint="default" w:ascii="Times New Roman" w:hAnsi="Times New Roman" w:cs="Times New Roman"/>
                <w:color w:val="auto"/>
                <w:highlight w:val="none"/>
                <w:lang w:val="zh-CN"/>
              </w:rPr>
            </w:pPr>
          </w:p>
        </w:tc>
        <w:tc>
          <w:tcPr>
            <w:tcW w:w="1190" w:type="dxa"/>
            <w:vMerge w:val="restart"/>
            <w:shd w:val="clear" w:color="auto" w:fill="auto"/>
            <w:vAlign w:val="center"/>
          </w:tcPr>
          <w:p w14:paraId="076B0DEB">
            <w:pPr>
              <w:pStyle w:val="44"/>
              <w:bidi w:val="0"/>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噪声</w:t>
            </w:r>
          </w:p>
        </w:tc>
        <w:tc>
          <w:tcPr>
            <w:tcW w:w="5374" w:type="dxa"/>
            <w:shd w:val="clear" w:color="auto" w:fill="auto"/>
            <w:vAlign w:val="center"/>
          </w:tcPr>
          <w:p w14:paraId="52DC2E0C">
            <w:pPr>
              <w:pStyle w:val="4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施工期设备减振措施、选用低噪声设备</w:t>
            </w:r>
          </w:p>
        </w:tc>
        <w:tc>
          <w:tcPr>
            <w:tcW w:w="1242" w:type="dxa"/>
            <w:shd w:val="clear" w:color="auto" w:fill="auto"/>
            <w:vAlign w:val="center"/>
          </w:tcPr>
          <w:p w14:paraId="4A6523ED">
            <w:pPr>
              <w:pStyle w:val="44"/>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10</w:t>
            </w:r>
          </w:p>
        </w:tc>
      </w:tr>
      <w:tr w14:paraId="74B66D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vMerge w:val="continue"/>
            <w:shd w:val="clear" w:color="auto" w:fill="auto"/>
            <w:vAlign w:val="center"/>
          </w:tcPr>
          <w:p w14:paraId="0A8C9D84">
            <w:pPr>
              <w:pStyle w:val="44"/>
              <w:bidi w:val="0"/>
              <w:rPr>
                <w:rFonts w:hint="default" w:ascii="Times New Roman" w:hAnsi="Times New Roman" w:cs="Times New Roman"/>
                <w:color w:val="auto"/>
                <w:highlight w:val="none"/>
                <w:lang w:val="zh-CN"/>
              </w:rPr>
            </w:pPr>
          </w:p>
        </w:tc>
        <w:tc>
          <w:tcPr>
            <w:tcW w:w="1190" w:type="dxa"/>
            <w:vMerge w:val="continue"/>
            <w:shd w:val="clear" w:color="auto" w:fill="auto"/>
            <w:vAlign w:val="center"/>
          </w:tcPr>
          <w:p w14:paraId="485C43C5">
            <w:pPr>
              <w:pStyle w:val="44"/>
              <w:bidi w:val="0"/>
              <w:rPr>
                <w:rFonts w:hint="eastAsia" w:cs="Times New Roman"/>
                <w:color w:val="auto"/>
                <w:highlight w:val="none"/>
                <w:lang w:val="en-US" w:eastAsia="zh-CN"/>
              </w:rPr>
            </w:pPr>
          </w:p>
        </w:tc>
        <w:tc>
          <w:tcPr>
            <w:tcW w:w="5374" w:type="dxa"/>
            <w:shd w:val="clear" w:color="auto" w:fill="auto"/>
            <w:vAlign w:val="center"/>
          </w:tcPr>
          <w:p w14:paraId="71651760">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作业区设置围挡</w:t>
            </w:r>
          </w:p>
        </w:tc>
        <w:tc>
          <w:tcPr>
            <w:tcW w:w="1242" w:type="dxa"/>
            <w:shd w:val="clear" w:color="auto" w:fill="auto"/>
            <w:vAlign w:val="center"/>
          </w:tcPr>
          <w:p w14:paraId="53866919">
            <w:pPr>
              <w:pStyle w:val="44"/>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5</w:t>
            </w:r>
          </w:p>
        </w:tc>
      </w:tr>
      <w:tr w14:paraId="456B36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vMerge w:val="continue"/>
            <w:shd w:val="clear" w:color="auto" w:fill="auto"/>
            <w:vAlign w:val="center"/>
          </w:tcPr>
          <w:p w14:paraId="2338F620">
            <w:pPr>
              <w:pStyle w:val="44"/>
              <w:bidi w:val="0"/>
              <w:rPr>
                <w:rFonts w:hint="default" w:ascii="Times New Roman" w:hAnsi="Times New Roman" w:cs="Times New Roman"/>
                <w:color w:val="auto"/>
                <w:highlight w:val="none"/>
                <w:lang w:val="zh-CN"/>
              </w:rPr>
            </w:pPr>
          </w:p>
        </w:tc>
        <w:tc>
          <w:tcPr>
            <w:tcW w:w="1190" w:type="dxa"/>
            <w:vMerge w:val="restart"/>
            <w:shd w:val="clear" w:color="auto" w:fill="auto"/>
            <w:vAlign w:val="center"/>
          </w:tcPr>
          <w:p w14:paraId="174631D2">
            <w:pPr>
              <w:pStyle w:val="44"/>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固废</w:t>
            </w:r>
          </w:p>
        </w:tc>
        <w:tc>
          <w:tcPr>
            <w:tcW w:w="5374" w:type="dxa"/>
            <w:shd w:val="clear" w:color="auto" w:fill="auto"/>
            <w:vAlign w:val="center"/>
          </w:tcPr>
          <w:p w14:paraId="2B252B83">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rPr>
              <w:t>固废运输</w:t>
            </w:r>
            <w:r>
              <w:rPr>
                <w:rFonts w:hint="default" w:ascii="Times New Roman" w:hAnsi="Times New Roman" w:cs="Times New Roman"/>
                <w:color w:val="auto"/>
                <w:highlight w:val="none"/>
                <w:lang w:val="en-US" w:eastAsia="zh-CN"/>
              </w:rPr>
              <w:t>车辆遮盖</w:t>
            </w:r>
          </w:p>
        </w:tc>
        <w:tc>
          <w:tcPr>
            <w:tcW w:w="1242" w:type="dxa"/>
            <w:shd w:val="clear" w:color="auto" w:fill="auto"/>
            <w:vAlign w:val="center"/>
          </w:tcPr>
          <w:p w14:paraId="6B31219A">
            <w:pPr>
              <w:pStyle w:val="44"/>
              <w:bidi w:val="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2</w:t>
            </w:r>
          </w:p>
        </w:tc>
      </w:tr>
      <w:tr w14:paraId="26626C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vMerge w:val="continue"/>
            <w:shd w:val="clear" w:color="auto" w:fill="auto"/>
            <w:vAlign w:val="center"/>
          </w:tcPr>
          <w:p w14:paraId="3D426C20">
            <w:pPr>
              <w:pStyle w:val="44"/>
              <w:bidi w:val="0"/>
              <w:rPr>
                <w:rFonts w:hint="default" w:ascii="Times New Roman" w:hAnsi="Times New Roman" w:cs="Times New Roman"/>
                <w:color w:val="auto"/>
                <w:highlight w:val="none"/>
                <w:lang w:val="zh-CN"/>
              </w:rPr>
            </w:pPr>
          </w:p>
        </w:tc>
        <w:tc>
          <w:tcPr>
            <w:tcW w:w="1190" w:type="dxa"/>
            <w:vMerge w:val="continue"/>
            <w:shd w:val="clear" w:color="auto" w:fill="auto"/>
            <w:vAlign w:val="center"/>
          </w:tcPr>
          <w:p w14:paraId="28705DCB">
            <w:pPr>
              <w:pStyle w:val="44"/>
              <w:bidi w:val="0"/>
              <w:rPr>
                <w:rFonts w:hint="eastAsia" w:cs="Times New Roman"/>
                <w:color w:val="auto"/>
                <w:highlight w:val="none"/>
                <w:lang w:val="en-US" w:eastAsia="zh-CN"/>
              </w:rPr>
            </w:pPr>
          </w:p>
        </w:tc>
        <w:tc>
          <w:tcPr>
            <w:tcW w:w="5374" w:type="dxa"/>
            <w:shd w:val="clear" w:color="auto" w:fill="auto"/>
            <w:vAlign w:val="center"/>
          </w:tcPr>
          <w:p w14:paraId="477A9CF9">
            <w:pPr>
              <w:pStyle w:val="44"/>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垃圾桶</w:t>
            </w:r>
          </w:p>
        </w:tc>
        <w:tc>
          <w:tcPr>
            <w:tcW w:w="1242" w:type="dxa"/>
            <w:shd w:val="clear" w:color="auto" w:fill="auto"/>
            <w:vAlign w:val="center"/>
          </w:tcPr>
          <w:p w14:paraId="48343450">
            <w:pPr>
              <w:pStyle w:val="44"/>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1</w:t>
            </w:r>
          </w:p>
        </w:tc>
      </w:tr>
      <w:tr w14:paraId="21C662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vMerge w:val="continue"/>
            <w:shd w:val="clear" w:color="auto" w:fill="auto"/>
            <w:vAlign w:val="center"/>
          </w:tcPr>
          <w:p w14:paraId="2B8D9848">
            <w:pPr>
              <w:pStyle w:val="44"/>
              <w:bidi w:val="0"/>
              <w:rPr>
                <w:rFonts w:hint="default" w:ascii="Times New Roman" w:hAnsi="Times New Roman" w:cs="Times New Roman"/>
                <w:color w:val="auto"/>
                <w:highlight w:val="none"/>
                <w:lang w:val="zh-CN"/>
              </w:rPr>
            </w:pPr>
          </w:p>
        </w:tc>
        <w:tc>
          <w:tcPr>
            <w:tcW w:w="1190" w:type="dxa"/>
            <w:vMerge w:val="restart"/>
            <w:shd w:val="clear" w:color="auto" w:fill="auto"/>
            <w:vAlign w:val="center"/>
          </w:tcPr>
          <w:p w14:paraId="4D62A552">
            <w:pPr>
              <w:pStyle w:val="44"/>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废水</w:t>
            </w:r>
          </w:p>
        </w:tc>
        <w:tc>
          <w:tcPr>
            <w:tcW w:w="5374" w:type="dxa"/>
            <w:shd w:val="clear" w:color="auto" w:fill="auto"/>
            <w:vAlign w:val="center"/>
          </w:tcPr>
          <w:p w14:paraId="3BF719B9">
            <w:pPr>
              <w:pStyle w:val="44"/>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截排水沟</w:t>
            </w:r>
          </w:p>
        </w:tc>
        <w:tc>
          <w:tcPr>
            <w:tcW w:w="1242" w:type="dxa"/>
            <w:shd w:val="clear" w:color="auto" w:fill="auto"/>
            <w:vAlign w:val="center"/>
          </w:tcPr>
          <w:p w14:paraId="7C6F28EA">
            <w:pPr>
              <w:pStyle w:val="44"/>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已列入主体工程</w:t>
            </w:r>
          </w:p>
        </w:tc>
      </w:tr>
      <w:tr w14:paraId="1511EA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vMerge w:val="continue"/>
            <w:shd w:val="clear" w:color="auto" w:fill="auto"/>
            <w:vAlign w:val="center"/>
          </w:tcPr>
          <w:p w14:paraId="0A323DE7">
            <w:pPr>
              <w:pStyle w:val="44"/>
              <w:bidi w:val="0"/>
              <w:rPr>
                <w:rFonts w:hint="default" w:ascii="Times New Roman" w:hAnsi="Times New Roman" w:cs="Times New Roman"/>
                <w:color w:val="auto"/>
                <w:highlight w:val="none"/>
                <w:lang w:val="zh-CN"/>
              </w:rPr>
            </w:pPr>
          </w:p>
        </w:tc>
        <w:tc>
          <w:tcPr>
            <w:tcW w:w="1190" w:type="dxa"/>
            <w:vMerge w:val="continue"/>
            <w:shd w:val="clear" w:color="auto" w:fill="auto"/>
            <w:vAlign w:val="center"/>
          </w:tcPr>
          <w:p w14:paraId="6FDFAEB9">
            <w:pPr>
              <w:pStyle w:val="44"/>
              <w:bidi w:val="0"/>
              <w:rPr>
                <w:rFonts w:hint="eastAsia" w:cs="Times New Roman"/>
                <w:color w:val="auto"/>
                <w:highlight w:val="none"/>
                <w:lang w:val="en-US" w:eastAsia="zh-CN"/>
              </w:rPr>
            </w:pPr>
          </w:p>
        </w:tc>
        <w:tc>
          <w:tcPr>
            <w:tcW w:w="5374" w:type="dxa"/>
            <w:shd w:val="clear" w:color="auto" w:fill="auto"/>
            <w:vAlign w:val="center"/>
          </w:tcPr>
          <w:p w14:paraId="63C4B067">
            <w:pPr>
              <w:pStyle w:val="44"/>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沉淀池</w:t>
            </w:r>
          </w:p>
        </w:tc>
        <w:tc>
          <w:tcPr>
            <w:tcW w:w="1242" w:type="dxa"/>
            <w:shd w:val="clear" w:color="auto" w:fill="auto"/>
            <w:vAlign w:val="center"/>
          </w:tcPr>
          <w:p w14:paraId="70F81FCE">
            <w:pPr>
              <w:pStyle w:val="44"/>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3</w:t>
            </w:r>
          </w:p>
        </w:tc>
      </w:tr>
      <w:tr w14:paraId="2C89C3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vMerge w:val="continue"/>
            <w:shd w:val="clear" w:color="auto" w:fill="auto"/>
            <w:vAlign w:val="center"/>
          </w:tcPr>
          <w:p w14:paraId="31E1100F">
            <w:pPr>
              <w:pStyle w:val="44"/>
              <w:bidi w:val="0"/>
              <w:rPr>
                <w:rFonts w:hint="default" w:ascii="Times New Roman" w:hAnsi="Times New Roman" w:cs="Times New Roman"/>
                <w:color w:val="auto"/>
                <w:highlight w:val="none"/>
                <w:lang w:val="zh-CN"/>
              </w:rPr>
            </w:pPr>
          </w:p>
        </w:tc>
        <w:tc>
          <w:tcPr>
            <w:tcW w:w="1190" w:type="dxa"/>
            <w:shd w:val="clear" w:color="auto" w:fill="auto"/>
            <w:vAlign w:val="center"/>
          </w:tcPr>
          <w:p w14:paraId="436DF0A2">
            <w:pPr>
              <w:pStyle w:val="44"/>
              <w:bidi w:val="0"/>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生态</w:t>
            </w:r>
          </w:p>
        </w:tc>
        <w:tc>
          <w:tcPr>
            <w:tcW w:w="5374" w:type="dxa"/>
            <w:shd w:val="clear" w:color="auto" w:fill="auto"/>
            <w:vAlign w:val="center"/>
          </w:tcPr>
          <w:p w14:paraId="29771EED">
            <w:pPr>
              <w:pStyle w:val="44"/>
              <w:bidi w:val="0"/>
              <w:ind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highlight w:val="none"/>
              </w:rPr>
              <w:t>回填结束后</w:t>
            </w:r>
            <w:r>
              <w:rPr>
                <w:rFonts w:hint="default" w:ascii="Times New Roman" w:hAnsi="Times New Roman" w:cs="Times New Roman"/>
                <w:color w:val="auto"/>
                <w:highlight w:val="none"/>
                <w:lang w:val="en-US" w:eastAsia="zh-CN"/>
              </w:rPr>
              <w:t>对</w:t>
            </w:r>
            <w:r>
              <w:rPr>
                <w:rFonts w:hint="default" w:ascii="Times New Roman" w:hAnsi="Times New Roman" w:cs="Times New Roman"/>
                <w:color w:val="auto"/>
                <w:highlight w:val="none"/>
              </w:rPr>
              <w:t>土地</w:t>
            </w:r>
            <w:r>
              <w:rPr>
                <w:rFonts w:hint="default" w:ascii="Times New Roman" w:hAnsi="Times New Roman" w:cs="Times New Roman"/>
                <w:color w:val="auto"/>
                <w:highlight w:val="none"/>
                <w:lang w:val="en-US" w:eastAsia="zh-CN"/>
              </w:rPr>
              <w:t>进行植被</w:t>
            </w:r>
            <w:r>
              <w:rPr>
                <w:rFonts w:hint="default" w:ascii="Times New Roman" w:hAnsi="Times New Roman" w:cs="Times New Roman"/>
                <w:color w:val="auto"/>
                <w:highlight w:val="none"/>
              </w:rPr>
              <w:t>复垦，</w:t>
            </w:r>
            <w:r>
              <w:rPr>
                <w:rFonts w:hint="default" w:ascii="Times New Roman" w:hAnsi="Times New Roman" w:cs="Times New Roman"/>
                <w:color w:val="auto"/>
                <w:highlight w:val="none"/>
                <w:lang w:val="en-US" w:eastAsia="zh-CN"/>
              </w:rPr>
              <w:t>复垦植被</w:t>
            </w:r>
          </w:p>
        </w:tc>
        <w:tc>
          <w:tcPr>
            <w:tcW w:w="1242" w:type="dxa"/>
            <w:shd w:val="clear" w:color="auto" w:fill="auto"/>
            <w:vAlign w:val="center"/>
          </w:tcPr>
          <w:p w14:paraId="322582D2">
            <w:pPr>
              <w:pStyle w:val="44"/>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30</w:t>
            </w:r>
          </w:p>
        </w:tc>
      </w:tr>
      <w:tr w14:paraId="7EFA8D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97" w:type="dxa"/>
            <w:gridSpan w:val="2"/>
            <w:vMerge w:val="restart"/>
            <w:shd w:val="clear" w:color="auto" w:fill="auto"/>
            <w:vAlign w:val="center"/>
          </w:tcPr>
          <w:p w14:paraId="54BEDB44">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生态恢复期</w:t>
            </w:r>
          </w:p>
        </w:tc>
        <w:tc>
          <w:tcPr>
            <w:tcW w:w="5374" w:type="dxa"/>
            <w:shd w:val="clear" w:color="auto" w:fill="auto"/>
            <w:vAlign w:val="center"/>
          </w:tcPr>
          <w:p w14:paraId="3BA2E692">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rPr>
              <w:t>生态管护</w:t>
            </w:r>
          </w:p>
        </w:tc>
        <w:tc>
          <w:tcPr>
            <w:tcW w:w="1242" w:type="dxa"/>
            <w:shd w:val="clear" w:color="auto" w:fill="auto"/>
            <w:vAlign w:val="center"/>
          </w:tcPr>
          <w:p w14:paraId="5826357D">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10.0</w:t>
            </w:r>
          </w:p>
        </w:tc>
      </w:tr>
      <w:tr w14:paraId="7B7C9F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97" w:type="dxa"/>
            <w:gridSpan w:val="2"/>
            <w:vMerge w:val="continue"/>
            <w:shd w:val="clear" w:color="auto" w:fill="auto"/>
            <w:vAlign w:val="center"/>
          </w:tcPr>
          <w:p w14:paraId="1F4C0CF2">
            <w:pPr>
              <w:pStyle w:val="44"/>
              <w:bidi w:val="0"/>
              <w:rPr>
                <w:rFonts w:hint="default" w:ascii="Times New Roman" w:hAnsi="Times New Roman" w:cs="Times New Roman"/>
                <w:color w:val="auto"/>
                <w:highlight w:val="none"/>
                <w:lang w:val="zh-CN"/>
              </w:rPr>
            </w:pPr>
          </w:p>
        </w:tc>
        <w:tc>
          <w:tcPr>
            <w:tcW w:w="5374" w:type="dxa"/>
            <w:shd w:val="clear" w:color="auto" w:fill="auto"/>
            <w:vAlign w:val="center"/>
          </w:tcPr>
          <w:p w14:paraId="7DDF3569">
            <w:pPr>
              <w:pStyle w:val="44"/>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生态监测费用</w:t>
            </w:r>
          </w:p>
        </w:tc>
        <w:tc>
          <w:tcPr>
            <w:tcW w:w="1242" w:type="dxa"/>
            <w:shd w:val="clear" w:color="auto" w:fill="auto"/>
            <w:vAlign w:val="center"/>
          </w:tcPr>
          <w:p w14:paraId="672524CF">
            <w:pPr>
              <w:pStyle w:val="44"/>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746.93</w:t>
            </w:r>
          </w:p>
        </w:tc>
      </w:tr>
      <w:tr w14:paraId="777C05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97" w:type="dxa"/>
            <w:gridSpan w:val="2"/>
            <w:vMerge w:val="restart"/>
            <w:shd w:val="clear" w:color="auto" w:fill="auto"/>
            <w:vAlign w:val="center"/>
          </w:tcPr>
          <w:p w14:paraId="1D4BE7A3">
            <w:pPr>
              <w:pStyle w:val="44"/>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其他费用</w:t>
            </w:r>
          </w:p>
        </w:tc>
        <w:tc>
          <w:tcPr>
            <w:tcW w:w="5374" w:type="dxa"/>
            <w:shd w:val="clear" w:color="auto" w:fill="auto"/>
            <w:vAlign w:val="center"/>
          </w:tcPr>
          <w:p w14:paraId="69FE0AA5">
            <w:pPr>
              <w:pStyle w:val="44"/>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zh-CN"/>
              </w:rPr>
              <w:t>环境保护设施竣工验收费</w:t>
            </w:r>
          </w:p>
        </w:tc>
        <w:tc>
          <w:tcPr>
            <w:tcW w:w="1242" w:type="dxa"/>
            <w:shd w:val="clear" w:color="auto" w:fill="auto"/>
            <w:vAlign w:val="center"/>
          </w:tcPr>
          <w:p w14:paraId="2E7E74E4">
            <w:pPr>
              <w:pStyle w:val="44"/>
              <w:bidi w:val="0"/>
              <w:ind w:firstLine="0" w:firstLineChars="0"/>
              <w:rPr>
                <w:rFonts w:hint="default" w:ascii="Times New Roman" w:hAnsi="Times New Roman" w:eastAsia="宋体" w:cs="Times New Roman"/>
                <w:color w:val="auto"/>
                <w:highlight w:val="none"/>
                <w:lang w:val="zh-CN"/>
              </w:rPr>
            </w:pPr>
            <w:r>
              <w:rPr>
                <w:rFonts w:hint="eastAsia" w:ascii="Times New Roman" w:hAnsi="Times New Roman" w:eastAsia="宋体" w:cs="Times New Roman"/>
                <w:color w:val="auto"/>
                <w:highlight w:val="none"/>
                <w:lang w:val="en-US" w:eastAsia="zh-CN"/>
              </w:rPr>
              <w:t>39.74</w:t>
            </w:r>
          </w:p>
        </w:tc>
      </w:tr>
      <w:tr w14:paraId="52E284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97" w:type="dxa"/>
            <w:gridSpan w:val="2"/>
            <w:vMerge w:val="continue"/>
            <w:shd w:val="clear" w:color="auto" w:fill="auto"/>
            <w:vAlign w:val="center"/>
          </w:tcPr>
          <w:p w14:paraId="50072CE4">
            <w:pPr>
              <w:pStyle w:val="44"/>
              <w:bidi w:val="0"/>
              <w:rPr>
                <w:rFonts w:hint="eastAsia" w:ascii="Times New Roman" w:hAnsi="Times New Roman" w:eastAsia="宋体" w:cs="Times New Roman"/>
                <w:color w:val="auto"/>
                <w:highlight w:val="none"/>
                <w:lang w:val="en-US" w:eastAsia="zh-CN"/>
              </w:rPr>
            </w:pPr>
          </w:p>
        </w:tc>
        <w:tc>
          <w:tcPr>
            <w:tcW w:w="5374" w:type="dxa"/>
            <w:shd w:val="clear" w:color="auto" w:fill="auto"/>
            <w:vAlign w:val="center"/>
          </w:tcPr>
          <w:p w14:paraId="3F3105AD">
            <w:pPr>
              <w:pStyle w:val="44"/>
              <w:bidi w:val="0"/>
              <w:ind w:firstLine="0" w:firstLineChars="0"/>
              <w:rPr>
                <w:rFonts w:hint="default" w:ascii="Times New Roman" w:hAnsi="Times New Roman" w:eastAsia="宋体" w:cs="Times New Roman"/>
                <w:color w:val="auto"/>
                <w:highlight w:val="none"/>
                <w:lang w:val="zh-CN"/>
              </w:rPr>
            </w:pPr>
            <w:r>
              <w:rPr>
                <w:rFonts w:hint="eastAsia" w:ascii="Times New Roman" w:hAnsi="Times New Roman" w:eastAsia="宋体" w:cs="Times New Roman"/>
                <w:color w:val="auto"/>
                <w:highlight w:val="none"/>
                <w:lang w:val="zh-CN"/>
              </w:rPr>
              <w:t>环境监理费用</w:t>
            </w:r>
          </w:p>
        </w:tc>
        <w:tc>
          <w:tcPr>
            <w:tcW w:w="1242" w:type="dxa"/>
            <w:shd w:val="clear" w:color="auto" w:fill="auto"/>
            <w:vAlign w:val="center"/>
          </w:tcPr>
          <w:p w14:paraId="0D678803">
            <w:pPr>
              <w:pStyle w:val="44"/>
              <w:bidi w:val="0"/>
              <w:ind w:firstLine="0" w:firstLineChars="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23.42</w:t>
            </w:r>
          </w:p>
        </w:tc>
      </w:tr>
      <w:tr w14:paraId="2735A0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97" w:type="dxa"/>
            <w:gridSpan w:val="2"/>
            <w:vMerge w:val="continue"/>
            <w:shd w:val="clear" w:color="auto" w:fill="auto"/>
            <w:vAlign w:val="center"/>
          </w:tcPr>
          <w:p w14:paraId="3B87C392">
            <w:pPr>
              <w:pStyle w:val="44"/>
              <w:bidi w:val="0"/>
              <w:rPr>
                <w:rFonts w:hint="eastAsia" w:ascii="Times New Roman" w:hAnsi="Times New Roman" w:eastAsia="宋体" w:cs="Times New Roman"/>
                <w:color w:val="auto"/>
                <w:highlight w:val="none"/>
                <w:lang w:val="en-US" w:eastAsia="zh-CN"/>
              </w:rPr>
            </w:pPr>
          </w:p>
        </w:tc>
        <w:tc>
          <w:tcPr>
            <w:tcW w:w="5374" w:type="dxa"/>
            <w:shd w:val="clear" w:color="auto" w:fill="auto"/>
            <w:vAlign w:val="center"/>
          </w:tcPr>
          <w:p w14:paraId="276D0409">
            <w:pPr>
              <w:pStyle w:val="44"/>
              <w:bidi w:val="0"/>
              <w:ind w:firstLine="0" w:firstLineChars="0"/>
              <w:rPr>
                <w:rFonts w:hint="default" w:ascii="Times New Roman" w:hAnsi="Times New Roman" w:eastAsia="宋体" w:cs="Times New Roman"/>
                <w:color w:val="auto"/>
                <w:highlight w:val="none"/>
                <w:lang w:val="zh-CN"/>
              </w:rPr>
            </w:pPr>
            <w:r>
              <w:rPr>
                <w:rFonts w:hint="eastAsia" w:ascii="Times New Roman" w:hAnsi="Times New Roman" w:eastAsia="宋体" w:cs="Times New Roman"/>
                <w:color w:val="auto"/>
                <w:highlight w:val="none"/>
                <w:lang w:val="zh-CN"/>
              </w:rPr>
              <w:t>环境影响评价费</w:t>
            </w:r>
          </w:p>
        </w:tc>
        <w:tc>
          <w:tcPr>
            <w:tcW w:w="1242" w:type="dxa"/>
            <w:shd w:val="clear" w:color="auto" w:fill="auto"/>
            <w:vAlign w:val="center"/>
          </w:tcPr>
          <w:p w14:paraId="169F9DB5">
            <w:pPr>
              <w:pStyle w:val="44"/>
              <w:bidi w:val="0"/>
              <w:ind w:firstLine="0" w:firstLineChars="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25</w:t>
            </w:r>
          </w:p>
        </w:tc>
      </w:tr>
      <w:tr w14:paraId="40698D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97" w:type="dxa"/>
            <w:gridSpan w:val="2"/>
            <w:vMerge w:val="continue"/>
            <w:shd w:val="clear" w:color="auto" w:fill="auto"/>
            <w:vAlign w:val="center"/>
          </w:tcPr>
          <w:p w14:paraId="38AF445D">
            <w:pPr>
              <w:pStyle w:val="44"/>
              <w:bidi w:val="0"/>
              <w:rPr>
                <w:rFonts w:hint="eastAsia" w:ascii="Times New Roman" w:hAnsi="Times New Roman" w:eastAsia="宋体" w:cs="Times New Roman"/>
                <w:color w:val="auto"/>
                <w:highlight w:val="none"/>
                <w:lang w:val="en-US" w:eastAsia="zh-CN"/>
              </w:rPr>
            </w:pPr>
          </w:p>
        </w:tc>
        <w:tc>
          <w:tcPr>
            <w:tcW w:w="5374" w:type="dxa"/>
            <w:shd w:val="clear" w:color="auto" w:fill="auto"/>
            <w:vAlign w:val="center"/>
          </w:tcPr>
          <w:p w14:paraId="28C6388C">
            <w:pPr>
              <w:pStyle w:val="44"/>
              <w:bidi w:val="0"/>
              <w:ind w:firstLine="0" w:firstLineChars="0"/>
              <w:rPr>
                <w:rFonts w:hint="eastAsia" w:ascii="Times New Roman" w:hAnsi="Times New Roman" w:eastAsia="宋体" w:cs="Times New Roman"/>
                <w:color w:val="auto"/>
                <w:highlight w:val="none"/>
                <w:lang w:val="zh-CN"/>
              </w:rPr>
            </w:pPr>
            <w:r>
              <w:rPr>
                <w:rFonts w:hint="default" w:ascii="Times New Roman" w:hAnsi="Times New Roman" w:cs="Times New Roman"/>
                <w:color w:val="auto"/>
                <w:highlight w:val="none"/>
                <w:lang w:val="zh-CN"/>
              </w:rPr>
              <w:t>各环保设施的运行维护维修费用</w:t>
            </w:r>
          </w:p>
        </w:tc>
        <w:tc>
          <w:tcPr>
            <w:tcW w:w="1242" w:type="dxa"/>
            <w:shd w:val="clear" w:color="auto" w:fill="auto"/>
            <w:vAlign w:val="center"/>
          </w:tcPr>
          <w:p w14:paraId="02C45826">
            <w:pPr>
              <w:pStyle w:val="44"/>
              <w:bidi w:val="0"/>
              <w:ind w:firstLine="0" w:firstLineChars="0"/>
              <w:rPr>
                <w:rFonts w:hint="eastAsia"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10</w:t>
            </w:r>
          </w:p>
        </w:tc>
      </w:tr>
      <w:tr w14:paraId="5D576E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97" w:type="dxa"/>
            <w:gridSpan w:val="2"/>
            <w:shd w:val="clear" w:color="auto" w:fill="auto"/>
            <w:vAlign w:val="center"/>
          </w:tcPr>
          <w:p w14:paraId="119A7880">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合计</w:t>
            </w:r>
          </w:p>
        </w:tc>
        <w:tc>
          <w:tcPr>
            <w:tcW w:w="5374" w:type="dxa"/>
            <w:shd w:val="clear" w:color="auto" w:fill="auto"/>
            <w:vAlign w:val="center"/>
          </w:tcPr>
          <w:p w14:paraId="12B180E3">
            <w:pPr>
              <w:pStyle w:val="44"/>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w:t>
            </w:r>
          </w:p>
        </w:tc>
        <w:tc>
          <w:tcPr>
            <w:tcW w:w="1242" w:type="dxa"/>
            <w:shd w:val="clear" w:color="auto" w:fill="auto"/>
            <w:vAlign w:val="center"/>
          </w:tcPr>
          <w:p w14:paraId="5BAE4A93">
            <w:pPr>
              <w:pStyle w:val="44"/>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927.09</w:t>
            </w:r>
          </w:p>
        </w:tc>
      </w:tr>
      <w:bookmarkEnd w:id="337"/>
    </w:tbl>
    <w:p w14:paraId="3FB28ED8">
      <w:pPr>
        <w:spacing w:line="360" w:lineRule="auto"/>
        <w:rPr>
          <w:rFonts w:hint="default" w:ascii="Times New Roman" w:hAnsi="Times New Roman" w:cs="Times New Roman"/>
          <w:color w:val="auto"/>
          <w:sz w:val="24"/>
          <w:highlight w:val="none"/>
        </w:rPr>
      </w:pPr>
    </w:p>
    <w:p w14:paraId="1CB556B4">
      <w:pPr>
        <w:spacing w:line="360" w:lineRule="auto"/>
        <w:rPr>
          <w:rFonts w:hint="default" w:ascii="Times New Roman" w:hAnsi="Times New Roman" w:cs="Times New Roman"/>
          <w:color w:val="auto"/>
          <w:sz w:val="24"/>
          <w:highlight w:val="none"/>
        </w:rPr>
      </w:pPr>
    </w:p>
    <w:p w14:paraId="5686D4A9">
      <w:pPr>
        <w:spacing w:line="360" w:lineRule="auto"/>
        <w:rPr>
          <w:rFonts w:hint="default" w:ascii="Times New Roman" w:hAnsi="Times New Roman" w:cs="Times New Roman"/>
          <w:color w:val="auto"/>
          <w:sz w:val="24"/>
          <w:highlight w:val="none"/>
        </w:rPr>
      </w:pPr>
    </w:p>
    <w:p w14:paraId="03873275">
      <w:pPr>
        <w:spacing w:line="360" w:lineRule="auto"/>
        <w:rPr>
          <w:rFonts w:hint="default" w:ascii="Times New Roman" w:hAnsi="Times New Roman" w:cs="Times New Roman"/>
          <w:color w:val="auto"/>
          <w:sz w:val="24"/>
          <w:highlight w:val="none"/>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3D4A24CF">
      <w:pPr>
        <w:pStyle w:val="42"/>
        <w:bidi w:val="0"/>
        <w:rPr>
          <w:rFonts w:hint="default" w:ascii="Times New Roman" w:hAnsi="Times New Roman" w:cs="Times New Roman"/>
          <w:color w:val="auto"/>
        </w:rPr>
      </w:pPr>
      <w:bookmarkStart w:id="338" w:name="_Toc477954582"/>
      <w:bookmarkStart w:id="339" w:name="_Toc9064"/>
      <w:bookmarkStart w:id="340" w:name="_Toc152926833"/>
      <w:bookmarkStart w:id="341" w:name="_Toc119316815"/>
      <w:bookmarkStart w:id="342" w:name="_Toc25335"/>
      <w:r>
        <w:rPr>
          <w:rFonts w:hint="default" w:ascii="Times New Roman" w:hAnsi="Times New Roman" w:cs="Times New Roman"/>
          <w:color w:val="auto"/>
        </w:rPr>
        <w:t>7环境影响经济损益分析</w:t>
      </w:r>
      <w:bookmarkEnd w:id="338"/>
      <w:bookmarkEnd w:id="339"/>
      <w:bookmarkEnd w:id="340"/>
      <w:bookmarkEnd w:id="341"/>
      <w:bookmarkEnd w:id="342"/>
    </w:p>
    <w:p w14:paraId="280D9326">
      <w:pPr>
        <w:pStyle w:val="25"/>
        <w:bidi w:val="0"/>
        <w:rPr>
          <w:rFonts w:hint="default" w:ascii="Times New Roman" w:hAnsi="Times New Roman" w:cs="Times New Roman"/>
          <w:color w:val="auto"/>
        </w:rPr>
      </w:pPr>
      <w:r>
        <w:rPr>
          <w:rFonts w:hint="default" w:ascii="Times New Roman" w:hAnsi="Times New Roman" w:cs="Times New Roman"/>
          <w:color w:val="auto"/>
        </w:rPr>
        <w:t>环境经济损益分析主要是评价建设项目实施后，对环境造成的损失费用和采取各种环保治理措施所能收到的环保效果及其带来的经济和社会效益，衡量建设项目的环保投资在经济上的合理水平。</w:t>
      </w:r>
    </w:p>
    <w:p w14:paraId="02A6C88C">
      <w:pPr>
        <w:pStyle w:val="25"/>
        <w:bidi w:val="0"/>
        <w:rPr>
          <w:rFonts w:hint="default" w:ascii="Times New Roman" w:hAnsi="Times New Roman" w:cs="Times New Roman"/>
          <w:color w:val="auto"/>
        </w:rPr>
      </w:pPr>
      <w:r>
        <w:rPr>
          <w:rFonts w:hint="default" w:ascii="Times New Roman" w:hAnsi="Times New Roman" w:cs="Times New Roman"/>
          <w:color w:val="auto"/>
        </w:rPr>
        <w:t>一个项目的开发建设，除对国民经济的发展起着促进作用外，同时也在一定程度上影响着项目拟建地区环境的变化。社会影响、经济影响、环境影响是一个系统的三要素，最终以提高人类的生活质量为目的。它们之间既互相促进，又互相制约，必须通过全面规划、综合平衡、正确地把全局利益和局部利益、长远利益和近期利益结合起来，对环境保护和经济发展进行协调，实现社会效益、经济效益、环境效益的三统一。通过对拟建项目的经济、社会和环境效益分析，为项目决策者更好地考虑环境、经济和社会效益的统一提供依据。</w:t>
      </w:r>
    </w:p>
    <w:p w14:paraId="0DA7FA74">
      <w:pPr>
        <w:pStyle w:val="41"/>
        <w:bidi w:val="0"/>
        <w:rPr>
          <w:rFonts w:hint="default" w:ascii="Times New Roman" w:hAnsi="Times New Roman" w:cs="Times New Roman"/>
          <w:color w:val="auto"/>
        </w:rPr>
      </w:pPr>
      <w:bookmarkStart w:id="343" w:name="_Toc477954583"/>
      <w:bookmarkStart w:id="344" w:name="_Toc369009159"/>
      <w:bookmarkStart w:id="345" w:name="_Toc28764"/>
      <w:bookmarkStart w:id="346" w:name="_Toc119316816"/>
      <w:bookmarkStart w:id="347" w:name="_Toc6313"/>
      <w:bookmarkStart w:id="348" w:name="_Toc152926834"/>
      <w:r>
        <w:rPr>
          <w:rFonts w:hint="default" w:ascii="Times New Roman" w:hAnsi="Times New Roman" w:cs="Times New Roman"/>
          <w:color w:val="auto"/>
        </w:rPr>
        <w:t>7.1</w:t>
      </w:r>
      <w:bookmarkEnd w:id="343"/>
      <w:bookmarkEnd w:id="344"/>
      <w:r>
        <w:rPr>
          <w:rFonts w:hint="default" w:ascii="Times New Roman" w:hAnsi="Times New Roman" w:cs="Times New Roman"/>
          <w:color w:val="auto"/>
        </w:rPr>
        <w:t>社会经济效益分析</w:t>
      </w:r>
      <w:bookmarkEnd w:id="345"/>
      <w:bookmarkEnd w:id="346"/>
      <w:bookmarkEnd w:id="347"/>
      <w:bookmarkEnd w:id="348"/>
    </w:p>
    <w:p w14:paraId="05442488">
      <w:pPr>
        <w:pStyle w:val="25"/>
        <w:bidi w:val="0"/>
        <w:rPr>
          <w:rFonts w:hint="default" w:ascii="Times New Roman" w:hAnsi="Times New Roman" w:cs="Times New Roman"/>
          <w:color w:val="auto"/>
        </w:rPr>
      </w:pPr>
      <w:r>
        <w:rPr>
          <w:rFonts w:hint="default" w:ascii="Times New Roman" w:hAnsi="Times New Roman" w:cs="Times New Roman"/>
          <w:color w:val="auto"/>
        </w:rPr>
        <w:t>本项目可以有效解决热电厂煤矸石的处置问题，其建设及投入运营将给鸡东县的经济、社会公众就业等的改善带来积极的影响。</w:t>
      </w:r>
    </w:p>
    <w:p w14:paraId="6D10C5BD">
      <w:pPr>
        <w:pStyle w:val="25"/>
        <w:bidi w:val="0"/>
        <w:rPr>
          <w:rFonts w:hint="default" w:ascii="Times New Roman" w:hAnsi="Times New Roman" w:cs="Times New Roman"/>
          <w:color w:val="auto"/>
        </w:rPr>
      </w:pPr>
      <w:r>
        <w:rPr>
          <w:rFonts w:hint="default" w:ascii="Times New Roman" w:hAnsi="Times New Roman" w:cs="Times New Roman"/>
          <w:color w:val="auto"/>
        </w:rPr>
        <w:t>（1）对社区公众就业的影响，随着该项工程的建设，将为当地的劳务市场提供一定的就业机会。（2）对公众生活质量的影响，该项目工程的实施，可以有效预防其对周边环境的污染，有利于居民的身体健康和生活质量的提升。</w:t>
      </w:r>
    </w:p>
    <w:p w14:paraId="4712AA27">
      <w:pPr>
        <w:pStyle w:val="41"/>
        <w:bidi w:val="0"/>
        <w:rPr>
          <w:rFonts w:hint="default" w:ascii="Times New Roman" w:hAnsi="Times New Roman" w:cs="Times New Roman"/>
          <w:color w:val="auto"/>
        </w:rPr>
      </w:pPr>
      <w:bookmarkStart w:id="349" w:name="_Toc10134"/>
      <w:bookmarkStart w:id="350" w:name="_Toc152926835"/>
      <w:bookmarkStart w:id="351" w:name="_Toc21875"/>
      <w:bookmarkStart w:id="352" w:name="_Toc119316817"/>
      <w:r>
        <w:rPr>
          <w:rFonts w:hint="default" w:ascii="Times New Roman" w:hAnsi="Times New Roman" w:cs="Times New Roman"/>
          <w:color w:val="auto"/>
        </w:rPr>
        <w:t>7.2经济损益分析</w:t>
      </w:r>
      <w:bookmarkEnd w:id="349"/>
      <w:bookmarkEnd w:id="350"/>
      <w:bookmarkEnd w:id="351"/>
      <w:bookmarkEnd w:id="352"/>
    </w:p>
    <w:p w14:paraId="13018343">
      <w:pPr>
        <w:pStyle w:val="25"/>
        <w:bidi w:val="0"/>
        <w:rPr>
          <w:rFonts w:hint="default" w:ascii="Times New Roman" w:hAnsi="Times New Roman" w:cs="Times New Roman"/>
          <w:color w:val="auto"/>
        </w:rPr>
      </w:pPr>
      <w:r>
        <w:rPr>
          <w:rFonts w:hint="default" w:ascii="Times New Roman" w:hAnsi="Times New Roman" w:cs="Times New Roman"/>
          <w:color w:val="auto"/>
        </w:rPr>
        <w:t>拟建项目是一个以保护环境为主要目标的治理工程，对当地国民经济的贡献主要体现在环境效益方面。</w:t>
      </w:r>
    </w:p>
    <w:p w14:paraId="5197701A">
      <w:pPr>
        <w:pStyle w:val="41"/>
        <w:bidi w:val="0"/>
        <w:rPr>
          <w:rFonts w:hint="default" w:ascii="Times New Roman" w:hAnsi="Times New Roman" w:cs="Times New Roman"/>
          <w:color w:val="auto"/>
        </w:rPr>
      </w:pPr>
      <w:bookmarkStart w:id="353" w:name="_Toc528847181"/>
      <w:bookmarkStart w:id="354" w:name="_Toc152926836"/>
      <w:bookmarkStart w:id="355" w:name="_Toc15991709"/>
      <w:bookmarkStart w:id="356" w:name="_Toc27695"/>
      <w:bookmarkStart w:id="357" w:name="_Toc7051"/>
      <w:bookmarkStart w:id="358" w:name="_Toc119316818"/>
      <w:r>
        <w:rPr>
          <w:rFonts w:hint="default" w:ascii="Times New Roman" w:hAnsi="Times New Roman" w:cs="Times New Roman"/>
          <w:color w:val="auto"/>
        </w:rPr>
        <w:t>7.3环境效益分析</w:t>
      </w:r>
      <w:bookmarkEnd w:id="353"/>
      <w:bookmarkEnd w:id="354"/>
      <w:bookmarkEnd w:id="355"/>
      <w:bookmarkEnd w:id="356"/>
      <w:bookmarkEnd w:id="357"/>
      <w:bookmarkEnd w:id="358"/>
    </w:p>
    <w:p w14:paraId="24E0D549">
      <w:pPr>
        <w:pStyle w:val="25"/>
        <w:bidi w:val="0"/>
        <w:rPr>
          <w:rFonts w:hint="default" w:ascii="Times New Roman" w:hAnsi="Times New Roman" w:cs="Times New Roman"/>
          <w:color w:val="auto"/>
        </w:rPr>
      </w:pPr>
      <w:bookmarkStart w:id="359" w:name="_Toc15991705"/>
      <w:bookmarkStart w:id="360" w:name="_Toc480447676"/>
      <w:bookmarkStart w:id="361" w:name="_Toc527121414"/>
      <w:r>
        <w:rPr>
          <w:rFonts w:hint="default" w:ascii="Times New Roman" w:hAnsi="Times New Roman" w:cs="Times New Roman"/>
          <w:color w:val="auto"/>
        </w:rPr>
        <w:t>项目环保措施主要是体现国家环保政策，贯彻“总量控制”和“污染物达标排放”的原则，达到保护环境的目的。本项目采用的废气、废水、噪声等污染治理及清洁生产措施，达到了有效控制污染和保护环境的目的。环境保护投资的环境效益表现在以下方面：</w:t>
      </w:r>
    </w:p>
    <w:p w14:paraId="5E8CE066">
      <w:pPr>
        <w:pStyle w:val="25"/>
        <w:bidi w:val="0"/>
        <w:rPr>
          <w:rFonts w:hint="default" w:ascii="Times New Roman" w:hAnsi="Times New Roman" w:cs="Times New Roman"/>
          <w:color w:val="auto"/>
        </w:rPr>
      </w:pPr>
      <w:r>
        <w:rPr>
          <w:rFonts w:hint="default" w:ascii="Times New Roman" w:hAnsi="Times New Roman" w:cs="Times New Roman"/>
          <w:color w:val="auto"/>
        </w:rPr>
        <w:t>（1）项目汽车运输扬尘对大气环境有一定影响，在落实报告书提出处理措施后，可以有效减少对周围环境空气质量的影响。</w:t>
      </w:r>
    </w:p>
    <w:p w14:paraId="56D2531D">
      <w:pPr>
        <w:pStyle w:val="25"/>
        <w:bidi w:val="0"/>
        <w:rPr>
          <w:rFonts w:hint="default" w:ascii="Times New Roman" w:hAnsi="Times New Roman" w:cs="Times New Roman"/>
          <w:color w:val="auto"/>
        </w:rPr>
      </w:pPr>
      <w:r>
        <w:rPr>
          <w:rFonts w:hint="default" w:ascii="Times New Roman" w:hAnsi="Times New Roman" w:cs="Times New Roman"/>
          <w:color w:val="auto"/>
        </w:rPr>
        <w:t>（2）各种设备经隔声、减振处理后对周围声环境影响显著降低。</w:t>
      </w:r>
    </w:p>
    <w:p w14:paraId="5894AC3C">
      <w:pPr>
        <w:pStyle w:val="25"/>
        <w:bidi w:val="0"/>
        <w:rPr>
          <w:rFonts w:hint="default" w:ascii="Times New Roman" w:hAnsi="Times New Roman" w:cs="Times New Roman"/>
          <w:color w:val="auto"/>
        </w:rPr>
      </w:pPr>
      <w:r>
        <w:rPr>
          <w:rFonts w:hint="default" w:ascii="Times New Roman" w:hAnsi="Times New Roman" w:cs="Times New Roman"/>
          <w:color w:val="auto"/>
        </w:rPr>
        <w:t>（</w:t>
      </w:r>
      <w:r>
        <w:rPr>
          <w:rFonts w:hint="default" w:ascii="Times New Roman" w:hAnsi="Times New Roman" w:cs="Times New Roman"/>
          <w:color w:val="auto"/>
          <w:lang w:val="en-US" w:eastAsia="zh-CN"/>
        </w:rPr>
        <w:t>3</w:t>
      </w:r>
      <w:r>
        <w:rPr>
          <w:rFonts w:hint="default" w:ascii="Times New Roman" w:hAnsi="Times New Roman" w:cs="Times New Roman"/>
          <w:color w:val="auto"/>
        </w:rPr>
        <w:t>）项目回填结束后开展生态恢复，可以有效改善生态环境，实现废物综合利用和环境改善的双效益。综上所述，本项目采用相应环境保护措施后环境效益较显著。</w:t>
      </w:r>
    </w:p>
    <w:bookmarkEnd w:id="359"/>
    <w:bookmarkEnd w:id="360"/>
    <w:bookmarkEnd w:id="361"/>
    <w:p w14:paraId="1EA679E4">
      <w:pPr>
        <w:pStyle w:val="41"/>
        <w:bidi w:val="0"/>
        <w:rPr>
          <w:rFonts w:hint="default" w:ascii="Times New Roman" w:hAnsi="Times New Roman" w:cs="Times New Roman"/>
          <w:color w:val="auto"/>
        </w:rPr>
      </w:pPr>
      <w:bookmarkStart w:id="362" w:name="_Toc15991714"/>
      <w:bookmarkStart w:id="363" w:name="_Toc528847186"/>
      <w:bookmarkStart w:id="364" w:name="_Toc119316819"/>
      <w:bookmarkStart w:id="365" w:name="_Toc20986"/>
      <w:bookmarkStart w:id="366" w:name="_Toc20885"/>
      <w:bookmarkStart w:id="367" w:name="_Toc152926837"/>
      <w:r>
        <w:rPr>
          <w:rFonts w:hint="default" w:ascii="Times New Roman" w:hAnsi="Times New Roman" w:cs="Times New Roman"/>
          <w:color w:val="auto"/>
        </w:rPr>
        <w:t>7.</w:t>
      </w:r>
      <w:bookmarkEnd w:id="362"/>
      <w:bookmarkEnd w:id="363"/>
      <w:r>
        <w:rPr>
          <w:rFonts w:hint="default" w:ascii="Times New Roman" w:hAnsi="Times New Roman" w:cs="Times New Roman"/>
          <w:color w:val="auto"/>
        </w:rPr>
        <w:t>4小结</w:t>
      </w:r>
      <w:bookmarkEnd w:id="364"/>
      <w:bookmarkEnd w:id="365"/>
      <w:bookmarkEnd w:id="366"/>
      <w:bookmarkEnd w:id="367"/>
    </w:p>
    <w:p w14:paraId="43AEAA06">
      <w:pPr>
        <w:pStyle w:val="25"/>
        <w:bidi w:val="0"/>
        <w:rPr>
          <w:rFonts w:hint="default" w:ascii="Times New Roman" w:hAnsi="Times New Roman" w:cs="Times New Roman"/>
          <w:color w:val="auto"/>
        </w:rPr>
      </w:pPr>
      <w:bookmarkStart w:id="368" w:name="_Toc477954588"/>
      <w:r>
        <w:rPr>
          <w:rFonts w:hint="default" w:ascii="Times New Roman" w:hAnsi="Times New Roman" w:cs="Times New Roman"/>
          <w:color w:val="auto"/>
        </w:rPr>
        <w:t>煤矸石回填进行采坑修复工程本身就是一项环境保护的建设工程，该项目的实施有利于改善城镇市容和景观，有利于改善城镇投资环境，对促进经济、社会的发展具有重要的意义，具有良好的社会效益、经济效益和环境效益。</w:t>
      </w:r>
    </w:p>
    <w:p w14:paraId="28A685DA">
      <w:pPr>
        <w:pStyle w:val="25"/>
        <w:bidi w:val="0"/>
        <w:rPr>
          <w:rFonts w:hint="default" w:ascii="Times New Roman" w:hAnsi="Times New Roman" w:cs="Times New Roman"/>
          <w:color w:val="auto"/>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type="linesAndChars" w:linePitch="326" w:charSpace="0"/>
        </w:sectPr>
      </w:pPr>
      <w:r>
        <w:rPr>
          <w:rFonts w:hint="default" w:ascii="Times New Roman" w:hAnsi="Times New Roman" w:cs="Times New Roman"/>
          <w:color w:val="auto"/>
        </w:rPr>
        <w:t>综上所述，在落实本报告提出的各项污染防治措施的前提下，本项目的建设能够达到经济效益、社会效益和环境效益的统一，既为地方经济发展做出贡献，又使污染物排放量在环境容量容许的范围内降低到最低。因此本项目的建设从环境影响经济损益的角度分析是可行的。</w:t>
      </w:r>
    </w:p>
    <w:p w14:paraId="1149FBEE">
      <w:pPr>
        <w:pStyle w:val="42"/>
        <w:bidi w:val="0"/>
        <w:rPr>
          <w:rFonts w:hint="default" w:ascii="Times New Roman" w:hAnsi="Times New Roman" w:cs="Times New Roman"/>
          <w:color w:val="auto"/>
        </w:rPr>
      </w:pPr>
      <w:bookmarkStart w:id="369" w:name="_Toc152926838"/>
      <w:bookmarkStart w:id="370" w:name="_Toc7475"/>
      <w:bookmarkStart w:id="371" w:name="_Toc119316820"/>
      <w:bookmarkStart w:id="372" w:name="_Toc11974"/>
      <w:r>
        <w:rPr>
          <w:rFonts w:hint="default" w:ascii="Times New Roman" w:hAnsi="Times New Roman" w:cs="Times New Roman"/>
          <w:color w:val="auto"/>
        </w:rPr>
        <w:t>8环境管理与监测计划</w:t>
      </w:r>
      <w:bookmarkEnd w:id="368"/>
      <w:bookmarkEnd w:id="369"/>
      <w:bookmarkEnd w:id="370"/>
      <w:bookmarkEnd w:id="371"/>
      <w:bookmarkEnd w:id="372"/>
    </w:p>
    <w:p w14:paraId="5FA72989">
      <w:pPr>
        <w:pStyle w:val="41"/>
        <w:bidi w:val="0"/>
        <w:rPr>
          <w:rFonts w:hint="default" w:ascii="Times New Roman" w:hAnsi="Times New Roman" w:cs="Times New Roman"/>
          <w:color w:val="auto"/>
        </w:rPr>
      </w:pPr>
      <w:bookmarkStart w:id="373" w:name="_Toc119316821"/>
      <w:bookmarkStart w:id="374" w:name="_Toc152926839"/>
      <w:bookmarkStart w:id="375" w:name="_Toc7450"/>
      <w:bookmarkStart w:id="376" w:name="_Toc13059"/>
      <w:bookmarkStart w:id="377" w:name="_Toc477954589"/>
      <w:r>
        <w:rPr>
          <w:rFonts w:hint="default" w:ascii="Times New Roman" w:hAnsi="Times New Roman" w:cs="Times New Roman"/>
          <w:color w:val="auto"/>
        </w:rPr>
        <w:t>8.1环境管理</w:t>
      </w:r>
      <w:bookmarkEnd w:id="373"/>
      <w:bookmarkEnd w:id="374"/>
      <w:bookmarkEnd w:id="375"/>
      <w:bookmarkEnd w:id="376"/>
      <w:bookmarkEnd w:id="377"/>
    </w:p>
    <w:p w14:paraId="3E0DAEC4">
      <w:pPr>
        <w:pStyle w:val="25"/>
        <w:bidi w:val="0"/>
        <w:rPr>
          <w:rFonts w:hint="default" w:ascii="Times New Roman" w:hAnsi="Times New Roman" w:cs="Times New Roman"/>
          <w:color w:val="auto"/>
        </w:rPr>
      </w:pPr>
      <w:r>
        <w:rPr>
          <w:rFonts w:hint="default" w:ascii="Times New Roman" w:hAnsi="Times New Roman" w:cs="Times New Roman"/>
          <w:color w:val="auto"/>
        </w:rPr>
        <w:t>环境管理是以环境科学理论为基础，运用经济、法律、技术、行政、教育等手段对经济、社会发展过程中施加给环境的污染和破坏影响进行调节控制，实现经济、社会和环境效益的和谐统一。</w:t>
      </w:r>
    </w:p>
    <w:p w14:paraId="64E34BDD">
      <w:pPr>
        <w:pStyle w:val="25"/>
        <w:bidi w:val="0"/>
        <w:rPr>
          <w:rFonts w:hint="default" w:ascii="Times New Roman" w:hAnsi="Times New Roman" w:cs="Times New Roman"/>
          <w:color w:val="auto"/>
        </w:rPr>
      </w:pPr>
      <w:r>
        <w:rPr>
          <w:rFonts w:hint="default" w:ascii="Times New Roman" w:hAnsi="Times New Roman" w:cs="Times New Roman"/>
          <w:color w:val="auto"/>
        </w:rPr>
        <w:t>为全面贯彻和落实国家及地方环保法律法规，加强企业内部污染物排放监督控制，本项目将环境保护纳入企业管理和生产计划之中，企业内部必须建立相应的环境管理机构及监控计划。</w:t>
      </w:r>
    </w:p>
    <w:p w14:paraId="587A41A6">
      <w:pPr>
        <w:pStyle w:val="25"/>
        <w:bidi w:val="0"/>
        <w:rPr>
          <w:rFonts w:hint="default" w:ascii="Times New Roman" w:hAnsi="Times New Roman" w:cs="Times New Roman"/>
          <w:color w:val="auto"/>
        </w:rPr>
      </w:pPr>
      <w:bookmarkStart w:id="378" w:name="_Toc477954590"/>
      <w:bookmarkStart w:id="379" w:name="_Toc342462534"/>
      <w:r>
        <w:rPr>
          <w:rFonts w:hint="default" w:ascii="Times New Roman" w:hAnsi="Times New Roman" w:cs="Times New Roman"/>
          <w:color w:val="auto"/>
        </w:rPr>
        <w:t>1、管理机构</w:t>
      </w:r>
    </w:p>
    <w:p w14:paraId="308F482E">
      <w:pPr>
        <w:pStyle w:val="25"/>
        <w:bidi w:val="0"/>
        <w:rPr>
          <w:rFonts w:hint="default" w:ascii="Times New Roman" w:hAnsi="Times New Roman" w:cs="Times New Roman"/>
          <w:color w:val="auto"/>
        </w:rPr>
      </w:pPr>
      <w:r>
        <w:rPr>
          <w:rFonts w:hint="default" w:ascii="Times New Roman" w:hAnsi="Times New Roman" w:cs="Times New Roman"/>
          <w:color w:val="auto"/>
        </w:rPr>
        <w:t>工业企业环境管理，就是以管理工程和环境科学的理论为基础，运用技术、经济、法律、行政和教育手段，对损害环境质量的生产经营活动加以限制，协调发展生产与保护环境的关系，使生产目标与环境目标统一起来，经济效益与环境效益统一起来。</w:t>
      </w:r>
    </w:p>
    <w:p w14:paraId="452B08CC">
      <w:pPr>
        <w:pStyle w:val="25"/>
        <w:bidi w:val="0"/>
        <w:rPr>
          <w:rFonts w:hint="default" w:ascii="Times New Roman" w:hAnsi="Times New Roman" w:cs="Times New Roman"/>
          <w:color w:val="auto"/>
        </w:rPr>
      </w:pPr>
      <w:r>
        <w:rPr>
          <w:rFonts w:hint="default" w:ascii="Times New Roman" w:hAnsi="Times New Roman" w:cs="Times New Roman"/>
          <w:color w:val="auto"/>
        </w:rPr>
        <w:t>根据本项目的污染特点，建设单位应有一名副经理负责环保工作，设立环境保护管理机构，配备专职环保管理人员两人。</w:t>
      </w:r>
    </w:p>
    <w:p w14:paraId="5FCB3613">
      <w:pPr>
        <w:pStyle w:val="25"/>
        <w:bidi w:val="0"/>
        <w:rPr>
          <w:rFonts w:hint="default" w:ascii="Times New Roman" w:hAnsi="Times New Roman" w:cs="Times New Roman"/>
          <w:color w:val="auto"/>
        </w:rPr>
      </w:pPr>
      <w:r>
        <w:rPr>
          <w:rFonts w:hint="default" w:ascii="Times New Roman" w:hAnsi="Times New Roman" w:cs="Times New Roman"/>
          <w:color w:val="auto"/>
        </w:rPr>
        <w:t>2、企业环境管理机构的基本职能与职责</w:t>
      </w:r>
    </w:p>
    <w:p w14:paraId="34EE1BFD">
      <w:pPr>
        <w:pStyle w:val="25"/>
        <w:bidi w:val="0"/>
        <w:rPr>
          <w:rFonts w:hint="default" w:ascii="Times New Roman" w:hAnsi="Times New Roman" w:cs="Times New Roman"/>
          <w:color w:val="auto"/>
        </w:rPr>
      </w:pPr>
      <w:r>
        <w:rPr>
          <w:rFonts w:hint="default" w:ascii="Times New Roman" w:hAnsi="Times New Roman" w:cs="Times New Roman"/>
          <w:color w:val="auto"/>
        </w:rPr>
        <w:t>（1）基本职能</w:t>
      </w:r>
    </w:p>
    <w:p w14:paraId="6D30A79B">
      <w:pPr>
        <w:pStyle w:val="25"/>
        <w:bidi w:val="0"/>
        <w:rPr>
          <w:rFonts w:hint="default" w:ascii="Times New Roman" w:hAnsi="Times New Roman" w:cs="Times New Roman"/>
          <w:color w:val="auto"/>
        </w:rPr>
      </w:pPr>
      <w:r>
        <w:rPr>
          <w:rFonts w:hint="default" w:ascii="Times New Roman" w:hAnsi="Times New Roman" w:cs="Times New Roman"/>
          <w:color w:val="auto"/>
        </w:rPr>
        <w:t>企业环境管理机构是企业管理工作的职能部门，其基本职能有以下三方面：</w:t>
      </w:r>
    </w:p>
    <w:p w14:paraId="65544E67">
      <w:pPr>
        <w:pStyle w:val="25"/>
        <w:bidi w:val="0"/>
        <w:rPr>
          <w:rFonts w:hint="default" w:ascii="Times New Roman" w:hAnsi="Times New Roman" w:cs="Times New Roman"/>
          <w:color w:val="auto"/>
        </w:rPr>
      </w:pPr>
      <w:r>
        <w:rPr>
          <w:rFonts w:hint="default" w:ascii="Times New Roman" w:hAnsi="Times New Roman" w:cs="Times New Roman"/>
          <w:color w:val="auto"/>
        </w:rPr>
        <w:t>①组织编制环境计划（包括规划）；</w:t>
      </w:r>
    </w:p>
    <w:p w14:paraId="57B0B2CB">
      <w:pPr>
        <w:pStyle w:val="25"/>
        <w:bidi w:val="0"/>
        <w:rPr>
          <w:rFonts w:hint="default" w:ascii="Times New Roman" w:hAnsi="Times New Roman" w:cs="Times New Roman"/>
          <w:color w:val="auto"/>
        </w:rPr>
      </w:pPr>
      <w:r>
        <w:rPr>
          <w:rFonts w:hint="default" w:ascii="Times New Roman" w:hAnsi="Times New Roman" w:cs="Times New Roman"/>
          <w:color w:val="auto"/>
        </w:rPr>
        <w:t>②组织环境保护工作的协调；</w:t>
      </w:r>
    </w:p>
    <w:p w14:paraId="0E2C5C2C">
      <w:pPr>
        <w:pStyle w:val="25"/>
        <w:bidi w:val="0"/>
        <w:rPr>
          <w:rFonts w:hint="default" w:ascii="Times New Roman" w:hAnsi="Times New Roman" w:cs="Times New Roman"/>
          <w:color w:val="auto"/>
        </w:rPr>
      </w:pPr>
      <w:r>
        <w:rPr>
          <w:rFonts w:hint="default" w:ascii="Times New Roman" w:hAnsi="Times New Roman" w:cs="Times New Roman"/>
          <w:color w:val="auto"/>
        </w:rPr>
        <w:t>③实施企业环境监督。</w:t>
      </w:r>
    </w:p>
    <w:p w14:paraId="31A3553E">
      <w:pPr>
        <w:pStyle w:val="25"/>
        <w:bidi w:val="0"/>
        <w:rPr>
          <w:rFonts w:hint="default" w:ascii="Times New Roman" w:hAnsi="Times New Roman" w:cs="Times New Roman"/>
          <w:color w:val="auto"/>
        </w:rPr>
      </w:pPr>
      <w:r>
        <w:rPr>
          <w:rFonts w:hint="default" w:ascii="Times New Roman" w:hAnsi="Times New Roman" w:cs="Times New Roman"/>
          <w:color w:val="auto"/>
        </w:rPr>
        <w:t>（2）主要工作职责</w:t>
      </w:r>
    </w:p>
    <w:p w14:paraId="73F37916">
      <w:pPr>
        <w:pStyle w:val="25"/>
        <w:bidi w:val="0"/>
        <w:rPr>
          <w:rFonts w:hint="default" w:ascii="Times New Roman" w:hAnsi="Times New Roman" w:cs="Times New Roman"/>
          <w:color w:val="auto"/>
        </w:rPr>
      </w:pPr>
      <w:r>
        <w:rPr>
          <w:rFonts w:hint="default" w:ascii="Times New Roman" w:hAnsi="Times New Roman" w:cs="Times New Roman"/>
          <w:color w:val="auto"/>
        </w:rPr>
        <w:t>a.督促、检查本企业执行国家环境保护方针、政策、法规及本企业环境保护制度；</w:t>
      </w:r>
    </w:p>
    <w:p w14:paraId="44440B88">
      <w:pPr>
        <w:pStyle w:val="25"/>
        <w:bidi w:val="0"/>
        <w:rPr>
          <w:rFonts w:hint="default" w:ascii="Times New Roman" w:hAnsi="Times New Roman" w:cs="Times New Roman"/>
          <w:color w:val="auto"/>
        </w:rPr>
      </w:pPr>
      <w:r>
        <w:rPr>
          <w:rFonts w:hint="default" w:ascii="Times New Roman" w:hAnsi="Times New Roman" w:cs="Times New Roman"/>
          <w:color w:val="auto"/>
        </w:rPr>
        <w:t>b.拟定本企业环境管理办法，按照国家和地区的规定制定本企业污染物排放指标和污染综合防治的经济技术原则，做好企业升级环保考核工作；</w:t>
      </w:r>
    </w:p>
    <w:p w14:paraId="2F8D05EA">
      <w:pPr>
        <w:pStyle w:val="25"/>
        <w:bidi w:val="0"/>
        <w:rPr>
          <w:rFonts w:hint="default" w:ascii="Times New Roman" w:hAnsi="Times New Roman" w:cs="Times New Roman"/>
          <w:color w:val="auto"/>
        </w:rPr>
      </w:pPr>
      <w:r>
        <w:rPr>
          <w:rFonts w:hint="default" w:ascii="Times New Roman" w:hAnsi="Times New Roman" w:cs="Times New Roman"/>
          <w:color w:val="auto"/>
        </w:rPr>
        <w:t>c.负责组织污染源调查，填写环保报表；</w:t>
      </w:r>
    </w:p>
    <w:p w14:paraId="3D3E80CD">
      <w:pPr>
        <w:pStyle w:val="25"/>
        <w:bidi w:val="0"/>
        <w:rPr>
          <w:rFonts w:hint="default" w:ascii="Times New Roman" w:hAnsi="Times New Roman" w:cs="Times New Roman"/>
          <w:color w:val="auto"/>
        </w:rPr>
      </w:pPr>
      <w:r>
        <w:rPr>
          <w:rFonts w:hint="default" w:ascii="Times New Roman" w:hAnsi="Times New Roman" w:cs="Times New Roman"/>
          <w:color w:val="auto"/>
        </w:rPr>
        <w:t>d.组织推动本企业在基本建设、技术改造中，贯彻执行“三同时”的规定，并参加有关方案的审定及竣工验收工作；</w:t>
      </w:r>
    </w:p>
    <w:p w14:paraId="40403691">
      <w:pPr>
        <w:pStyle w:val="25"/>
        <w:bidi w:val="0"/>
        <w:rPr>
          <w:rFonts w:hint="default" w:ascii="Times New Roman" w:hAnsi="Times New Roman" w:cs="Times New Roman"/>
          <w:color w:val="auto"/>
        </w:rPr>
      </w:pPr>
      <w:r>
        <w:rPr>
          <w:rFonts w:hint="default" w:ascii="Times New Roman" w:hAnsi="Times New Roman" w:cs="Times New Roman"/>
          <w:color w:val="auto"/>
        </w:rPr>
        <w:t>e.加强与主管环保部门的联系，会同有关单位做好环境预测，制定企业环境保护长远规划和年度计划，并督促实施；</w:t>
      </w:r>
    </w:p>
    <w:p w14:paraId="13E633EB">
      <w:pPr>
        <w:pStyle w:val="25"/>
        <w:bidi w:val="0"/>
        <w:rPr>
          <w:rFonts w:hint="default" w:ascii="Times New Roman" w:hAnsi="Times New Roman" w:cs="Times New Roman"/>
          <w:color w:val="auto"/>
        </w:rPr>
      </w:pPr>
      <w:r>
        <w:rPr>
          <w:rFonts w:hint="default" w:ascii="Times New Roman" w:hAnsi="Times New Roman" w:cs="Times New Roman"/>
          <w:color w:val="auto"/>
        </w:rPr>
        <w:t>f.组织有关部门和人员，检查企业环境质量状况及发展趋势；</w:t>
      </w:r>
    </w:p>
    <w:p w14:paraId="6F9685B9">
      <w:pPr>
        <w:pStyle w:val="25"/>
        <w:bidi w:val="0"/>
        <w:rPr>
          <w:rFonts w:hint="default" w:ascii="Times New Roman" w:hAnsi="Times New Roman" w:cs="Times New Roman"/>
          <w:color w:val="auto"/>
        </w:rPr>
      </w:pPr>
      <w:r>
        <w:rPr>
          <w:rFonts w:hint="default" w:ascii="Times New Roman" w:hAnsi="Times New Roman" w:cs="Times New Roman"/>
          <w:color w:val="auto"/>
        </w:rPr>
        <w:t>g.监督全厂环境保护设施的运行与污染物的排放；</w:t>
      </w:r>
    </w:p>
    <w:p w14:paraId="205CE75B">
      <w:pPr>
        <w:pStyle w:val="25"/>
        <w:bidi w:val="0"/>
        <w:rPr>
          <w:rFonts w:hint="default" w:ascii="Times New Roman" w:hAnsi="Times New Roman" w:cs="Times New Roman"/>
          <w:color w:val="auto"/>
        </w:rPr>
      </w:pPr>
      <w:r>
        <w:rPr>
          <w:rFonts w:hint="default" w:ascii="Times New Roman" w:hAnsi="Times New Roman" w:cs="Times New Roman"/>
          <w:color w:val="auto"/>
        </w:rPr>
        <w:t>h.会同有关单位组织和开展企业环境科研工作；</w:t>
      </w:r>
    </w:p>
    <w:p w14:paraId="6F7FCC2F">
      <w:pPr>
        <w:pStyle w:val="25"/>
        <w:bidi w:val="0"/>
        <w:rPr>
          <w:rFonts w:hint="default" w:ascii="Times New Roman" w:hAnsi="Times New Roman" w:cs="Times New Roman"/>
          <w:color w:val="auto"/>
        </w:rPr>
      </w:pPr>
      <w:r>
        <w:rPr>
          <w:rFonts w:hint="default" w:ascii="Times New Roman" w:hAnsi="Times New Roman" w:cs="Times New Roman"/>
          <w:color w:val="auto"/>
        </w:rPr>
        <w:t>i.负责组织本企业污染事故的调查与处理；</w:t>
      </w:r>
    </w:p>
    <w:p w14:paraId="7F3B61FE">
      <w:pPr>
        <w:pStyle w:val="25"/>
        <w:bidi w:val="0"/>
        <w:rPr>
          <w:rFonts w:hint="default" w:ascii="Times New Roman" w:hAnsi="Times New Roman" w:cs="Times New Roman"/>
          <w:color w:val="auto"/>
        </w:rPr>
      </w:pPr>
      <w:r>
        <w:rPr>
          <w:rFonts w:hint="default" w:ascii="Times New Roman" w:hAnsi="Times New Roman" w:cs="Times New Roman"/>
          <w:color w:val="auto"/>
        </w:rPr>
        <w:t>j.做好企业环境统计工作，建立环境保护档案；</w:t>
      </w:r>
    </w:p>
    <w:p w14:paraId="415A028F">
      <w:pPr>
        <w:pStyle w:val="25"/>
        <w:bidi w:val="0"/>
        <w:rPr>
          <w:rFonts w:hint="default" w:ascii="Times New Roman" w:hAnsi="Times New Roman" w:cs="Times New Roman"/>
          <w:color w:val="auto"/>
        </w:rPr>
      </w:pPr>
      <w:r>
        <w:rPr>
          <w:rFonts w:hint="default" w:ascii="Times New Roman" w:hAnsi="Times New Roman" w:cs="Times New Roman"/>
          <w:color w:val="auto"/>
        </w:rPr>
        <w:t>k.会同有关单位组织开展清洁生产活动，负责广泛开展环境宣传教育活动，普及环境科学知识，推动清洁生产活动的深入开展。</w:t>
      </w:r>
    </w:p>
    <w:p w14:paraId="32B6AEF9">
      <w:pPr>
        <w:pStyle w:val="25"/>
        <w:bidi w:val="0"/>
        <w:rPr>
          <w:rFonts w:hint="default" w:ascii="Times New Roman" w:hAnsi="Times New Roman" w:cs="Times New Roman"/>
          <w:color w:val="auto"/>
        </w:rPr>
      </w:pPr>
      <w:r>
        <w:rPr>
          <w:rFonts w:hint="default" w:ascii="Times New Roman" w:hAnsi="Times New Roman" w:cs="Times New Roman"/>
          <w:color w:val="auto"/>
        </w:rPr>
        <w:t>3、企业管理</w:t>
      </w:r>
    </w:p>
    <w:p w14:paraId="77D42ABF">
      <w:pPr>
        <w:pStyle w:val="25"/>
        <w:bidi w:val="0"/>
        <w:rPr>
          <w:rFonts w:hint="default" w:ascii="Times New Roman" w:hAnsi="Times New Roman" w:cs="Times New Roman"/>
          <w:color w:val="auto"/>
        </w:rPr>
      </w:pPr>
      <w:r>
        <w:rPr>
          <w:rFonts w:hint="default" w:ascii="Times New Roman" w:hAnsi="Times New Roman" w:cs="Times New Roman"/>
          <w:color w:val="auto"/>
        </w:rPr>
        <w:t>（1）确保各项环保设施的正常运转，负责日常维护，并制定事故的应急处理方法；</w:t>
      </w:r>
    </w:p>
    <w:p w14:paraId="119153B5">
      <w:pPr>
        <w:pStyle w:val="25"/>
        <w:bidi w:val="0"/>
        <w:rPr>
          <w:rFonts w:hint="default" w:ascii="Times New Roman" w:hAnsi="Times New Roman" w:cs="Times New Roman"/>
          <w:color w:val="auto"/>
        </w:rPr>
      </w:pPr>
      <w:r>
        <w:rPr>
          <w:rFonts w:hint="default" w:ascii="Times New Roman" w:hAnsi="Times New Roman" w:cs="Times New Roman"/>
          <w:color w:val="auto"/>
        </w:rPr>
        <w:t>（2）加强管理，提出清洁生产方案，降低了污染物的可能产生量；</w:t>
      </w:r>
    </w:p>
    <w:p w14:paraId="3D9BB0F4">
      <w:pPr>
        <w:pStyle w:val="25"/>
        <w:bidi w:val="0"/>
        <w:rPr>
          <w:rFonts w:hint="default" w:ascii="Times New Roman" w:hAnsi="Times New Roman" w:cs="Times New Roman"/>
          <w:color w:val="auto"/>
        </w:rPr>
      </w:pPr>
      <w:r>
        <w:rPr>
          <w:rFonts w:hint="default" w:ascii="Times New Roman" w:hAnsi="Times New Roman" w:cs="Times New Roman"/>
          <w:color w:val="auto"/>
        </w:rPr>
        <w:t>（3）加强对生产设备的管理和维护，杜绝跑、冒、滴、漏现象的发生；</w:t>
      </w:r>
    </w:p>
    <w:p w14:paraId="113A3E6C">
      <w:pPr>
        <w:pStyle w:val="25"/>
        <w:bidi w:val="0"/>
        <w:rPr>
          <w:rFonts w:hint="default" w:ascii="Times New Roman" w:hAnsi="Times New Roman" w:cs="Times New Roman"/>
          <w:color w:val="auto"/>
        </w:rPr>
      </w:pPr>
      <w:r>
        <w:rPr>
          <w:rFonts w:hint="default" w:ascii="Times New Roman" w:hAnsi="Times New Roman" w:cs="Times New Roman"/>
          <w:color w:val="auto"/>
        </w:rPr>
        <w:t>（4）负责企业的日常环境监测工作。</w:t>
      </w:r>
    </w:p>
    <w:p w14:paraId="373E88C6">
      <w:pPr>
        <w:pStyle w:val="39"/>
        <w:bidi w:val="0"/>
        <w:rPr>
          <w:rFonts w:hint="default" w:ascii="Times New Roman" w:hAnsi="Times New Roman" w:cs="Times New Roman"/>
          <w:color w:val="auto"/>
        </w:rPr>
      </w:pPr>
      <w:bookmarkStart w:id="380" w:name="_Toc15991718"/>
      <w:bookmarkStart w:id="381" w:name="_Toc12626"/>
      <w:r>
        <w:rPr>
          <w:rFonts w:hint="default" w:ascii="Times New Roman" w:hAnsi="Times New Roman" w:cs="Times New Roman"/>
          <w:color w:val="auto"/>
        </w:rPr>
        <w:t>8.1.1施工期环境管理</w:t>
      </w:r>
      <w:bookmarkEnd w:id="380"/>
      <w:r>
        <w:rPr>
          <w:rFonts w:hint="default" w:ascii="Times New Roman" w:hAnsi="Times New Roman" w:cs="Times New Roman"/>
          <w:color w:val="auto"/>
        </w:rPr>
        <w:t>要求</w:t>
      </w:r>
      <w:bookmarkEnd w:id="381"/>
    </w:p>
    <w:p w14:paraId="7C97A86F">
      <w:pPr>
        <w:pStyle w:val="25"/>
        <w:bidi w:val="0"/>
        <w:rPr>
          <w:rFonts w:hint="default" w:ascii="Times New Roman" w:hAnsi="Times New Roman" w:cs="Times New Roman"/>
          <w:color w:val="auto"/>
        </w:rPr>
      </w:pPr>
      <w:bookmarkStart w:id="382" w:name="_Toc15991719"/>
      <w:bookmarkStart w:id="383" w:name="_Toc17492"/>
      <w:r>
        <w:rPr>
          <w:rFonts w:hint="default" w:ascii="Times New Roman" w:hAnsi="Times New Roman" w:cs="Times New Roman"/>
          <w:color w:val="auto"/>
        </w:rPr>
        <w:t>1、建立、执行并监督管理计划，对大气、废水等主要污染物制定详尽的监测、控制制度，以保证及时了解并控制污染物排放情况和对周围环境的影响情况。</w:t>
      </w:r>
    </w:p>
    <w:p w14:paraId="15456987">
      <w:pPr>
        <w:pStyle w:val="25"/>
        <w:bidi w:val="0"/>
        <w:rPr>
          <w:rFonts w:hint="default" w:ascii="Times New Roman" w:hAnsi="Times New Roman" w:cs="Times New Roman"/>
          <w:color w:val="auto"/>
        </w:rPr>
      </w:pPr>
      <w:r>
        <w:rPr>
          <w:rFonts w:hint="default" w:ascii="Times New Roman" w:hAnsi="Times New Roman" w:cs="Times New Roman"/>
          <w:color w:val="auto"/>
        </w:rPr>
        <w:t>2、加强项目运营设备与设施的巡查检查，对于损坏的零部件要及时更换或维修，加强对回填区的围挡、截洪沟系统、淋溶水收集导排系统等的日常检查，对于潜在的环境风险及时采取有效措施加以防治处理。</w:t>
      </w:r>
    </w:p>
    <w:p w14:paraId="2007121A">
      <w:pPr>
        <w:pStyle w:val="25"/>
        <w:bidi w:val="0"/>
        <w:rPr>
          <w:rFonts w:hint="default" w:ascii="Times New Roman" w:hAnsi="Times New Roman" w:cs="Times New Roman"/>
          <w:color w:val="auto"/>
        </w:rPr>
      </w:pPr>
      <w:r>
        <w:rPr>
          <w:rFonts w:hint="default" w:ascii="Times New Roman" w:hAnsi="Times New Roman" w:cs="Times New Roman"/>
          <w:color w:val="auto"/>
        </w:rPr>
        <w:t>3、明确环境监测的职责，建立健全回填区的各项规章制度：根据国家环境标准，对重点污染源及污染物开展日常监测工作，编制表格和报表，定期上报有关主管部门，建立监测档案。</w:t>
      </w:r>
    </w:p>
    <w:p w14:paraId="6F1200D8">
      <w:pPr>
        <w:pStyle w:val="25"/>
        <w:bidi w:val="0"/>
        <w:rPr>
          <w:rFonts w:hint="default" w:ascii="Times New Roman" w:hAnsi="Times New Roman" w:cs="Times New Roman"/>
          <w:color w:val="auto"/>
        </w:rPr>
      </w:pPr>
      <w:r>
        <w:rPr>
          <w:rFonts w:hint="default" w:ascii="Times New Roman" w:hAnsi="Times New Roman" w:cs="Times New Roman"/>
          <w:color w:val="auto"/>
        </w:rPr>
        <w:t>4、做好回填区运行情况记录，包括煤矸石来源、数量、进场时间、废物回填位置等，记录单位应存档至少3年。定期对回填区进行检查，发现问题及时采取措施维修。</w:t>
      </w:r>
    </w:p>
    <w:p w14:paraId="68AD2862">
      <w:pPr>
        <w:pStyle w:val="39"/>
        <w:bidi w:val="0"/>
        <w:rPr>
          <w:rFonts w:hint="default" w:ascii="Times New Roman" w:hAnsi="Times New Roman" w:cs="Times New Roman"/>
          <w:color w:val="auto"/>
        </w:rPr>
      </w:pPr>
      <w:r>
        <w:rPr>
          <w:rFonts w:hint="default" w:ascii="Times New Roman" w:hAnsi="Times New Roman" w:cs="Times New Roman"/>
          <w:color w:val="auto"/>
        </w:rPr>
        <w:t>8.1.2</w:t>
      </w:r>
      <w:bookmarkEnd w:id="382"/>
      <w:bookmarkEnd w:id="383"/>
      <w:bookmarkStart w:id="384" w:name="_Toc14844"/>
      <w:r>
        <w:rPr>
          <w:rFonts w:hint="default" w:ascii="Times New Roman" w:hAnsi="Times New Roman" w:cs="Times New Roman"/>
          <w:color w:val="auto"/>
        </w:rPr>
        <w:t>生态恢复期环境管理要求</w:t>
      </w:r>
      <w:bookmarkEnd w:id="384"/>
    </w:p>
    <w:p w14:paraId="0EA78147">
      <w:pPr>
        <w:pStyle w:val="25"/>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回填结束后应进行土地复垦，实施生态恢复计划。维护最终覆盖层的完整性和有效性，进行必要的维护以消除沉降和凹陷及其他影响；</w:t>
      </w:r>
      <w:r>
        <w:rPr>
          <w:rFonts w:hint="eastAsia" w:cs="Times New Roman"/>
          <w:color w:val="auto"/>
          <w:lang w:val="en-US" w:eastAsia="zh-CN"/>
        </w:rPr>
        <w:t>开展项目后期管护与监测，落实管护资金，管护时间不少于3年。</w:t>
      </w:r>
    </w:p>
    <w:p w14:paraId="791AA314">
      <w:pPr>
        <w:pStyle w:val="39"/>
        <w:bidi w:val="0"/>
        <w:rPr>
          <w:rFonts w:hint="default" w:ascii="Times New Roman" w:hAnsi="Times New Roman" w:cs="Times New Roman"/>
          <w:color w:val="auto"/>
          <w:highlight w:val="none"/>
        </w:rPr>
      </w:pPr>
      <w:bookmarkStart w:id="385" w:name="_Toc15991720"/>
      <w:bookmarkStart w:id="386" w:name="_Toc527121434"/>
      <w:bookmarkStart w:id="387" w:name="_Toc13291"/>
      <w:r>
        <w:rPr>
          <w:rFonts w:hint="default" w:ascii="Times New Roman" w:hAnsi="Times New Roman" w:cs="Times New Roman"/>
          <w:color w:val="auto"/>
          <w:highlight w:val="none"/>
        </w:rPr>
        <w:t>8.1.</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污染物排放清单及管理要求</w:t>
      </w:r>
      <w:bookmarkEnd w:id="385"/>
      <w:bookmarkEnd w:id="386"/>
      <w:bookmarkEnd w:id="387"/>
    </w:p>
    <w:p w14:paraId="47D2F811">
      <w:pPr>
        <w:pStyle w:val="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8.1</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.1排放管理清单</w:t>
      </w:r>
    </w:p>
    <w:p w14:paraId="6D9A5FF6">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建设项目拟采取的环境保护措施及主要运行参数，排放的污染物种类、排放浓度和总量指标，污染物排放的分时段要求，执行的环境标准等详见污染物排放清单，见表8-1-1。</w:t>
      </w:r>
    </w:p>
    <w:p w14:paraId="7496F4BB">
      <w:pPr>
        <w:pStyle w:val="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8.1.</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.2排放管理要求</w:t>
      </w:r>
    </w:p>
    <w:p w14:paraId="19FE63D8">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根据国家环保政策、标准及环境监测要求，制定该项目回填复垦期环境管理规章制度、各种污染物排放指标；对环保设施进行定期维护和检修，确保环保设施的正常运行及管网畅通；对本项目废水进行处理，确保处理系统的正常运行；生活垃圾收集管理应由专人负责，分类收集，外运时，应采用封闭自卸专用车，运到指定地点处置。</w:t>
      </w:r>
    </w:p>
    <w:p w14:paraId="5A9665F7">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（2）工程组成：回填区等。</w:t>
      </w:r>
    </w:p>
    <w:p w14:paraId="7FBBB6E0">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原辅材料组分：本项目回填材料为</w:t>
      </w:r>
      <w:r>
        <w:rPr>
          <w:rFonts w:hint="default" w:ascii="Times New Roman" w:hAnsi="Times New Roman" w:cs="Times New Roman"/>
          <w:color w:val="auto"/>
          <w:highlight w:val="none"/>
          <w:lang w:val="en-US" w:eastAsia="zh-CN"/>
        </w:rPr>
        <w:t>41#项目区</w:t>
      </w:r>
      <w:r>
        <w:rPr>
          <w:rFonts w:hint="default" w:ascii="Times New Roman" w:hAnsi="Times New Roman" w:cs="Times New Roman"/>
          <w:color w:val="auto"/>
          <w:highlight w:val="none"/>
        </w:rPr>
        <w:t>煤矸石，属于</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1 \* ROMAN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I</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类一般工业固体废物。</w:t>
      </w:r>
    </w:p>
    <w:p w14:paraId="693ABA92">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（3）环境风险防范措施</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回填区设置了</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口地下水监测井，加强监控措施、增加监测频次，一旦数据异常，有污染迹象时，应及时查找原因，发现渗漏位置并采取补救措施，防止污染进一步扩散。</w:t>
      </w:r>
    </w:p>
    <w:p w14:paraId="3CC37996">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采取上述措施后，可将淋溶水渗漏等风险降至可接受水平。</w:t>
      </w:r>
    </w:p>
    <w:p w14:paraId="12923929">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（4）环境监测：应按本报告提出的要求定期对地下水、土壤环境质量和废气排放进行监测。</w:t>
      </w:r>
    </w:p>
    <w:p w14:paraId="7E13A151">
      <w:pPr>
        <w:pStyle w:val="2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（5）应向社会公开的信息内容：应对地下水、土壤环境质量、废气排放和污染防治设施的运行情况进行公开。</w:t>
      </w:r>
    </w:p>
    <w:p w14:paraId="4D0E6C47">
      <w:pPr>
        <w:pStyle w:val="25"/>
        <w:bidi w:val="0"/>
        <w:rPr>
          <w:rFonts w:hint="default" w:ascii="Times New Roman" w:hAnsi="Times New Roman" w:cs="Times New Roman"/>
          <w:color w:val="auto"/>
          <w:highlight w:val="yellow"/>
        </w:rPr>
        <w:sectPr>
          <w:pgSz w:w="11906" w:h="16838"/>
          <w:pgMar w:top="1440" w:right="1800" w:bottom="1440" w:left="1800" w:header="850" w:footer="992" w:gutter="0"/>
          <w:pgBorders>
            <w:top w:val="none" w:sz="0" w:space="0"/>
            <w:left w:val="none" w:sz="0" w:space="0"/>
            <w:bottom w:val="none" w:sz="0" w:space="0"/>
            <w:right w:val="none" w:sz="0" w:space="0"/>
          </w:pgBorders>
          <w:cols w:space="425" w:num="1"/>
          <w:docGrid w:type="lines" w:linePitch="312" w:charSpace="0"/>
        </w:sectPr>
      </w:pPr>
    </w:p>
    <w:p w14:paraId="36EC00DD">
      <w:pPr>
        <w:pStyle w:val="27"/>
        <w:bidi w:val="0"/>
        <w:rPr>
          <w:rFonts w:hint="default" w:ascii="Times New Roman" w:hAnsi="Times New Roman" w:cs="Times New Roman"/>
          <w:color w:val="auto"/>
        </w:rPr>
      </w:pPr>
      <w:r>
        <w:rPr>
          <w:rFonts w:hint="default" w:ascii="Times New Roman" w:hAnsi="Times New Roman" w:cs="Times New Roman"/>
          <w:color w:val="auto"/>
          <w:lang w:eastAsia="zh-CN"/>
        </w:rPr>
        <w:tab/>
      </w:r>
      <w:r>
        <w:rPr>
          <w:rFonts w:hint="default" w:ascii="Times New Roman" w:hAnsi="Times New Roman" w:cs="Times New Roman"/>
          <w:color w:val="auto"/>
        </w:rPr>
        <w:t>表8-1-1污染物排放管理清单一览表</w:t>
      </w:r>
    </w:p>
    <w:tbl>
      <w:tblPr>
        <w:tblStyle w:val="20"/>
        <w:tblW w:w="13938" w:type="dxa"/>
        <w:tblInd w:w="93" w:type="dxa"/>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shd w:val="clear" w:color="auto" w:fill="auto"/>
        <w:tblLayout w:type="autofit"/>
        <w:tblCellMar>
          <w:top w:w="0" w:type="dxa"/>
          <w:left w:w="108" w:type="dxa"/>
          <w:bottom w:w="0" w:type="dxa"/>
          <w:right w:w="108" w:type="dxa"/>
        </w:tblCellMar>
      </w:tblPr>
      <w:tblGrid>
        <w:gridCol w:w="1459"/>
        <w:gridCol w:w="1508"/>
        <w:gridCol w:w="2101"/>
        <w:gridCol w:w="1459"/>
        <w:gridCol w:w="1459"/>
        <w:gridCol w:w="2822"/>
        <w:gridCol w:w="3130"/>
      </w:tblGrid>
      <w:tr w14:paraId="7F9A3349">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shd w:val="clear" w:color="auto" w:fill="auto"/>
          <w:tblCellMar>
            <w:top w:w="0" w:type="dxa"/>
            <w:left w:w="108" w:type="dxa"/>
            <w:bottom w:w="0" w:type="dxa"/>
            <w:right w:w="108" w:type="dxa"/>
          </w:tblCellMar>
        </w:tblPrEx>
        <w:trPr>
          <w:trHeight w:val="552" w:hRule="atLeast"/>
        </w:trPr>
        <w:tc>
          <w:tcPr>
            <w:tcW w:w="1459" w:type="dxa"/>
            <w:tcBorders>
              <w:tl2br w:val="nil"/>
              <w:tr2bl w:val="nil"/>
            </w:tcBorders>
            <w:shd w:val="clear" w:color="auto" w:fill="auto"/>
            <w:vAlign w:val="center"/>
          </w:tcPr>
          <w:p w14:paraId="74A42C4A">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环境要素</w:t>
            </w:r>
          </w:p>
        </w:tc>
        <w:tc>
          <w:tcPr>
            <w:tcW w:w="3609" w:type="dxa"/>
            <w:gridSpan w:val="2"/>
            <w:tcBorders>
              <w:tl2br w:val="nil"/>
              <w:tr2bl w:val="nil"/>
            </w:tcBorders>
            <w:shd w:val="clear" w:color="auto" w:fill="auto"/>
            <w:vAlign w:val="center"/>
          </w:tcPr>
          <w:p w14:paraId="7103C46C">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管理项目</w:t>
            </w:r>
          </w:p>
        </w:tc>
        <w:tc>
          <w:tcPr>
            <w:tcW w:w="1459" w:type="dxa"/>
            <w:tcBorders>
              <w:tl2br w:val="nil"/>
              <w:tr2bl w:val="nil"/>
            </w:tcBorders>
            <w:shd w:val="clear" w:color="auto" w:fill="auto"/>
            <w:vAlign w:val="center"/>
          </w:tcPr>
          <w:p w14:paraId="709712FF">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污染防治措施</w:t>
            </w:r>
          </w:p>
        </w:tc>
        <w:tc>
          <w:tcPr>
            <w:tcW w:w="1459" w:type="dxa"/>
            <w:tcBorders>
              <w:tl2br w:val="nil"/>
              <w:tr2bl w:val="nil"/>
            </w:tcBorders>
            <w:shd w:val="clear" w:color="auto" w:fill="auto"/>
            <w:vAlign w:val="center"/>
          </w:tcPr>
          <w:p w14:paraId="52E2387D">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排放浓度</w:t>
            </w:r>
          </w:p>
        </w:tc>
        <w:tc>
          <w:tcPr>
            <w:tcW w:w="2822" w:type="dxa"/>
            <w:tcBorders>
              <w:tl2br w:val="nil"/>
              <w:tr2bl w:val="nil"/>
            </w:tcBorders>
            <w:shd w:val="clear" w:color="auto" w:fill="auto"/>
            <w:vAlign w:val="center"/>
          </w:tcPr>
          <w:p w14:paraId="67A2A768">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排放量</w:t>
            </w:r>
          </w:p>
        </w:tc>
        <w:tc>
          <w:tcPr>
            <w:tcW w:w="3130" w:type="dxa"/>
            <w:tcBorders>
              <w:tl2br w:val="nil"/>
              <w:tr2bl w:val="nil"/>
            </w:tcBorders>
            <w:shd w:val="clear" w:color="auto" w:fill="auto"/>
            <w:vAlign w:val="center"/>
          </w:tcPr>
          <w:p w14:paraId="56C89569">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执行标准</w:t>
            </w:r>
          </w:p>
        </w:tc>
      </w:tr>
      <w:tr w14:paraId="27C2C1AA">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shd w:val="clear" w:color="auto" w:fill="auto"/>
          <w:tblCellMar>
            <w:top w:w="0" w:type="dxa"/>
            <w:left w:w="108" w:type="dxa"/>
            <w:bottom w:w="0" w:type="dxa"/>
            <w:right w:w="108" w:type="dxa"/>
          </w:tblCellMar>
        </w:tblPrEx>
        <w:trPr>
          <w:trHeight w:val="280" w:hRule="atLeast"/>
        </w:trPr>
        <w:tc>
          <w:tcPr>
            <w:tcW w:w="1459" w:type="dxa"/>
            <w:vMerge w:val="restart"/>
            <w:tcBorders>
              <w:tl2br w:val="nil"/>
              <w:tr2bl w:val="nil"/>
            </w:tcBorders>
            <w:shd w:val="clear" w:color="auto" w:fill="auto"/>
            <w:vAlign w:val="center"/>
          </w:tcPr>
          <w:p w14:paraId="0A3A36E0">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地表水环境</w:t>
            </w:r>
          </w:p>
        </w:tc>
        <w:tc>
          <w:tcPr>
            <w:tcW w:w="1508" w:type="dxa"/>
            <w:vMerge w:val="restart"/>
            <w:tcBorders>
              <w:tl2br w:val="nil"/>
              <w:tr2bl w:val="nil"/>
            </w:tcBorders>
            <w:shd w:val="clear" w:color="auto" w:fill="auto"/>
            <w:vAlign w:val="center"/>
          </w:tcPr>
          <w:p w14:paraId="6DA93B6B">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淋溶水</w:t>
            </w:r>
          </w:p>
        </w:tc>
        <w:tc>
          <w:tcPr>
            <w:tcW w:w="2101" w:type="dxa"/>
            <w:tcBorders>
              <w:tl2br w:val="nil"/>
              <w:tr2bl w:val="nil"/>
            </w:tcBorders>
            <w:shd w:val="clear" w:color="auto" w:fill="auto"/>
            <w:vAlign w:val="center"/>
          </w:tcPr>
          <w:p w14:paraId="13851E8C">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pH</w:t>
            </w:r>
          </w:p>
        </w:tc>
        <w:tc>
          <w:tcPr>
            <w:tcW w:w="1459" w:type="dxa"/>
            <w:vMerge w:val="restart"/>
            <w:tcBorders>
              <w:tl2br w:val="nil"/>
              <w:tr2bl w:val="nil"/>
            </w:tcBorders>
            <w:shd w:val="clear" w:color="auto" w:fill="auto"/>
            <w:vAlign w:val="center"/>
          </w:tcPr>
          <w:p w14:paraId="44246654">
            <w:pPr>
              <w:pStyle w:val="44"/>
              <w:bidi w:val="0"/>
              <w:rPr>
                <w:rFonts w:hint="default" w:ascii="Times New Roman" w:hAnsi="Times New Roman" w:cs="Times New Roman"/>
                <w:color w:val="auto"/>
                <w:lang w:val="en-US"/>
              </w:rPr>
            </w:pPr>
            <w:r>
              <w:rPr>
                <w:rFonts w:hint="default" w:ascii="Times New Roman" w:hAnsi="Times New Roman" w:cs="Times New Roman"/>
                <w:color w:val="auto"/>
                <w:lang w:val="en-US" w:eastAsia="zh-CN"/>
              </w:rPr>
              <w:t>用于洒水降尘</w:t>
            </w:r>
          </w:p>
        </w:tc>
        <w:tc>
          <w:tcPr>
            <w:tcW w:w="1459" w:type="dxa"/>
            <w:vMerge w:val="restart"/>
            <w:tcBorders>
              <w:tl2br w:val="nil"/>
              <w:tr2bl w:val="nil"/>
            </w:tcBorders>
            <w:shd w:val="clear" w:color="auto" w:fill="auto"/>
            <w:vAlign w:val="center"/>
          </w:tcPr>
          <w:p w14:paraId="656B0D43">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2822" w:type="dxa"/>
            <w:vMerge w:val="restart"/>
            <w:tcBorders>
              <w:tl2br w:val="nil"/>
              <w:tr2bl w:val="nil"/>
            </w:tcBorders>
            <w:shd w:val="clear" w:color="auto" w:fill="auto"/>
            <w:vAlign w:val="center"/>
          </w:tcPr>
          <w:p w14:paraId="528C2097">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3130" w:type="dxa"/>
            <w:vMerge w:val="restart"/>
            <w:tcBorders>
              <w:tl2br w:val="nil"/>
              <w:tr2bl w:val="nil"/>
            </w:tcBorders>
            <w:shd w:val="clear" w:color="auto" w:fill="auto"/>
            <w:vAlign w:val="center"/>
          </w:tcPr>
          <w:p w14:paraId="16AC772D">
            <w:pPr>
              <w:pStyle w:val="44"/>
              <w:bidi w:val="0"/>
              <w:rPr>
                <w:rFonts w:hint="default" w:ascii="Times New Roman" w:hAnsi="Times New Roman" w:cs="Times New Roman"/>
                <w:color w:val="auto"/>
              </w:rPr>
            </w:pPr>
            <w:r>
              <w:rPr>
                <w:rFonts w:hint="eastAsia" w:cs="Times New Roman"/>
                <w:color w:val="auto"/>
                <w:lang w:val="en-US" w:eastAsia="zh-CN"/>
              </w:rPr>
              <w:t>不外排</w:t>
            </w:r>
          </w:p>
        </w:tc>
      </w:tr>
      <w:tr w14:paraId="66637B00">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shd w:val="clear" w:color="auto" w:fill="auto"/>
          <w:tblCellMar>
            <w:top w:w="0" w:type="dxa"/>
            <w:left w:w="108" w:type="dxa"/>
            <w:bottom w:w="0" w:type="dxa"/>
            <w:right w:w="108" w:type="dxa"/>
          </w:tblCellMar>
        </w:tblPrEx>
        <w:trPr>
          <w:trHeight w:val="280" w:hRule="atLeast"/>
        </w:trPr>
        <w:tc>
          <w:tcPr>
            <w:tcW w:w="1459" w:type="dxa"/>
            <w:vMerge w:val="continue"/>
            <w:tcBorders>
              <w:tl2br w:val="nil"/>
              <w:tr2bl w:val="nil"/>
            </w:tcBorders>
            <w:shd w:val="clear" w:color="auto" w:fill="auto"/>
            <w:vAlign w:val="center"/>
          </w:tcPr>
          <w:p w14:paraId="5612D87F">
            <w:pPr>
              <w:pStyle w:val="44"/>
              <w:bidi w:val="0"/>
              <w:rPr>
                <w:rFonts w:hint="default" w:ascii="Times New Roman" w:hAnsi="Times New Roman" w:cs="Times New Roman"/>
                <w:color w:val="auto"/>
              </w:rPr>
            </w:pPr>
          </w:p>
        </w:tc>
        <w:tc>
          <w:tcPr>
            <w:tcW w:w="1508" w:type="dxa"/>
            <w:vMerge w:val="continue"/>
            <w:tcBorders>
              <w:tl2br w:val="nil"/>
              <w:tr2bl w:val="nil"/>
            </w:tcBorders>
            <w:shd w:val="clear" w:color="auto" w:fill="auto"/>
            <w:vAlign w:val="center"/>
          </w:tcPr>
          <w:p w14:paraId="58EC7F94">
            <w:pPr>
              <w:pStyle w:val="44"/>
              <w:bidi w:val="0"/>
              <w:rPr>
                <w:rFonts w:hint="default" w:ascii="Times New Roman" w:hAnsi="Times New Roman" w:cs="Times New Roman"/>
                <w:color w:val="auto"/>
              </w:rPr>
            </w:pPr>
          </w:p>
        </w:tc>
        <w:tc>
          <w:tcPr>
            <w:tcW w:w="2101" w:type="dxa"/>
            <w:tcBorders>
              <w:tl2br w:val="nil"/>
              <w:tr2bl w:val="nil"/>
            </w:tcBorders>
            <w:shd w:val="clear" w:color="auto" w:fill="auto"/>
            <w:vAlign w:val="center"/>
          </w:tcPr>
          <w:p w14:paraId="0A0EBC60">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CODcr</w:t>
            </w:r>
          </w:p>
        </w:tc>
        <w:tc>
          <w:tcPr>
            <w:tcW w:w="1459" w:type="dxa"/>
            <w:vMerge w:val="continue"/>
            <w:tcBorders>
              <w:tl2br w:val="nil"/>
              <w:tr2bl w:val="nil"/>
            </w:tcBorders>
            <w:shd w:val="clear" w:color="auto" w:fill="auto"/>
            <w:vAlign w:val="center"/>
          </w:tcPr>
          <w:p w14:paraId="768A8D4C">
            <w:pPr>
              <w:pStyle w:val="44"/>
              <w:bidi w:val="0"/>
              <w:rPr>
                <w:rFonts w:hint="default" w:ascii="Times New Roman" w:hAnsi="Times New Roman" w:cs="Times New Roman"/>
                <w:color w:val="auto"/>
              </w:rPr>
            </w:pPr>
          </w:p>
        </w:tc>
        <w:tc>
          <w:tcPr>
            <w:tcW w:w="1459" w:type="dxa"/>
            <w:vMerge w:val="continue"/>
            <w:tcBorders>
              <w:tl2br w:val="nil"/>
              <w:tr2bl w:val="nil"/>
            </w:tcBorders>
            <w:shd w:val="clear" w:color="auto" w:fill="auto"/>
            <w:vAlign w:val="center"/>
          </w:tcPr>
          <w:p w14:paraId="03BE2241">
            <w:pPr>
              <w:pStyle w:val="44"/>
              <w:bidi w:val="0"/>
              <w:rPr>
                <w:rFonts w:hint="default" w:ascii="Times New Roman" w:hAnsi="Times New Roman" w:cs="Times New Roman"/>
                <w:color w:val="auto"/>
              </w:rPr>
            </w:pPr>
          </w:p>
        </w:tc>
        <w:tc>
          <w:tcPr>
            <w:tcW w:w="2822" w:type="dxa"/>
            <w:vMerge w:val="continue"/>
            <w:tcBorders>
              <w:tl2br w:val="nil"/>
              <w:tr2bl w:val="nil"/>
            </w:tcBorders>
            <w:shd w:val="clear" w:color="auto" w:fill="auto"/>
            <w:vAlign w:val="center"/>
          </w:tcPr>
          <w:p w14:paraId="7331CD55">
            <w:pPr>
              <w:pStyle w:val="44"/>
              <w:bidi w:val="0"/>
              <w:rPr>
                <w:rFonts w:hint="default" w:ascii="Times New Roman" w:hAnsi="Times New Roman" w:cs="Times New Roman"/>
                <w:color w:val="auto"/>
              </w:rPr>
            </w:pPr>
          </w:p>
        </w:tc>
        <w:tc>
          <w:tcPr>
            <w:tcW w:w="3130" w:type="dxa"/>
            <w:vMerge w:val="continue"/>
            <w:tcBorders>
              <w:tl2br w:val="nil"/>
              <w:tr2bl w:val="nil"/>
            </w:tcBorders>
            <w:shd w:val="clear" w:color="auto" w:fill="auto"/>
            <w:vAlign w:val="center"/>
          </w:tcPr>
          <w:p w14:paraId="3A239329">
            <w:pPr>
              <w:pStyle w:val="44"/>
              <w:bidi w:val="0"/>
              <w:rPr>
                <w:rFonts w:hint="default" w:ascii="Times New Roman" w:hAnsi="Times New Roman" w:cs="Times New Roman"/>
                <w:color w:val="auto"/>
              </w:rPr>
            </w:pPr>
          </w:p>
        </w:tc>
      </w:tr>
      <w:tr w14:paraId="171A2FEE">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shd w:val="clear" w:color="auto" w:fill="auto"/>
          <w:tblCellMar>
            <w:top w:w="0" w:type="dxa"/>
            <w:left w:w="108" w:type="dxa"/>
            <w:bottom w:w="0" w:type="dxa"/>
            <w:right w:w="108" w:type="dxa"/>
          </w:tblCellMar>
        </w:tblPrEx>
        <w:trPr>
          <w:trHeight w:val="280" w:hRule="atLeast"/>
        </w:trPr>
        <w:tc>
          <w:tcPr>
            <w:tcW w:w="1459" w:type="dxa"/>
            <w:vMerge w:val="continue"/>
            <w:tcBorders>
              <w:tl2br w:val="nil"/>
              <w:tr2bl w:val="nil"/>
            </w:tcBorders>
            <w:shd w:val="clear" w:color="auto" w:fill="auto"/>
            <w:vAlign w:val="center"/>
          </w:tcPr>
          <w:p w14:paraId="2CB21AE3">
            <w:pPr>
              <w:pStyle w:val="44"/>
              <w:bidi w:val="0"/>
              <w:rPr>
                <w:rFonts w:hint="default" w:ascii="Times New Roman" w:hAnsi="Times New Roman" w:cs="Times New Roman"/>
                <w:color w:val="auto"/>
              </w:rPr>
            </w:pPr>
          </w:p>
        </w:tc>
        <w:tc>
          <w:tcPr>
            <w:tcW w:w="1508" w:type="dxa"/>
            <w:vMerge w:val="continue"/>
            <w:tcBorders>
              <w:tl2br w:val="nil"/>
              <w:tr2bl w:val="nil"/>
            </w:tcBorders>
            <w:shd w:val="clear" w:color="auto" w:fill="auto"/>
            <w:vAlign w:val="center"/>
          </w:tcPr>
          <w:p w14:paraId="22A77526">
            <w:pPr>
              <w:pStyle w:val="44"/>
              <w:bidi w:val="0"/>
              <w:rPr>
                <w:rFonts w:hint="default" w:ascii="Times New Roman" w:hAnsi="Times New Roman" w:cs="Times New Roman"/>
                <w:color w:val="auto"/>
              </w:rPr>
            </w:pPr>
          </w:p>
        </w:tc>
        <w:tc>
          <w:tcPr>
            <w:tcW w:w="2101" w:type="dxa"/>
            <w:tcBorders>
              <w:tl2br w:val="nil"/>
              <w:tr2bl w:val="nil"/>
            </w:tcBorders>
            <w:shd w:val="clear" w:color="auto" w:fill="auto"/>
            <w:vAlign w:val="center"/>
          </w:tcPr>
          <w:p w14:paraId="577B1DD2">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BOD</w:t>
            </w:r>
            <w:r>
              <w:rPr>
                <w:rFonts w:hint="default" w:ascii="Times New Roman" w:hAnsi="Times New Roman" w:cs="Times New Roman"/>
                <w:color w:val="auto"/>
                <w:vertAlign w:val="subscript"/>
                <w:lang w:val="en-US" w:eastAsia="zh-CN"/>
              </w:rPr>
              <w:t>5</w:t>
            </w:r>
          </w:p>
        </w:tc>
        <w:tc>
          <w:tcPr>
            <w:tcW w:w="1459" w:type="dxa"/>
            <w:vMerge w:val="continue"/>
            <w:tcBorders>
              <w:tl2br w:val="nil"/>
              <w:tr2bl w:val="nil"/>
            </w:tcBorders>
            <w:shd w:val="clear" w:color="auto" w:fill="auto"/>
            <w:vAlign w:val="center"/>
          </w:tcPr>
          <w:p w14:paraId="50537D56">
            <w:pPr>
              <w:pStyle w:val="44"/>
              <w:bidi w:val="0"/>
              <w:rPr>
                <w:rFonts w:hint="default" w:ascii="Times New Roman" w:hAnsi="Times New Roman" w:cs="Times New Roman"/>
                <w:color w:val="auto"/>
              </w:rPr>
            </w:pPr>
          </w:p>
        </w:tc>
        <w:tc>
          <w:tcPr>
            <w:tcW w:w="1459" w:type="dxa"/>
            <w:vMerge w:val="continue"/>
            <w:tcBorders>
              <w:tl2br w:val="nil"/>
              <w:tr2bl w:val="nil"/>
            </w:tcBorders>
            <w:shd w:val="clear" w:color="auto" w:fill="auto"/>
            <w:vAlign w:val="center"/>
          </w:tcPr>
          <w:p w14:paraId="7FBFDD85">
            <w:pPr>
              <w:pStyle w:val="44"/>
              <w:bidi w:val="0"/>
              <w:rPr>
                <w:rFonts w:hint="default" w:ascii="Times New Roman" w:hAnsi="Times New Roman" w:cs="Times New Roman"/>
                <w:color w:val="auto"/>
              </w:rPr>
            </w:pPr>
          </w:p>
        </w:tc>
        <w:tc>
          <w:tcPr>
            <w:tcW w:w="2822" w:type="dxa"/>
            <w:vMerge w:val="continue"/>
            <w:tcBorders>
              <w:tl2br w:val="nil"/>
              <w:tr2bl w:val="nil"/>
            </w:tcBorders>
            <w:shd w:val="clear" w:color="auto" w:fill="auto"/>
            <w:vAlign w:val="center"/>
          </w:tcPr>
          <w:p w14:paraId="6EE64A52">
            <w:pPr>
              <w:pStyle w:val="44"/>
              <w:bidi w:val="0"/>
              <w:rPr>
                <w:rFonts w:hint="default" w:ascii="Times New Roman" w:hAnsi="Times New Roman" w:cs="Times New Roman"/>
                <w:color w:val="auto"/>
              </w:rPr>
            </w:pPr>
          </w:p>
        </w:tc>
        <w:tc>
          <w:tcPr>
            <w:tcW w:w="3130" w:type="dxa"/>
            <w:vMerge w:val="continue"/>
            <w:tcBorders>
              <w:tl2br w:val="nil"/>
              <w:tr2bl w:val="nil"/>
            </w:tcBorders>
            <w:shd w:val="clear" w:color="auto" w:fill="auto"/>
            <w:vAlign w:val="center"/>
          </w:tcPr>
          <w:p w14:paraId="4EA760DA">
            <w:pPr>
              <w:pStyle w:val="44"/>
              <w:bidi w:val="0"/>
              <w:rPr>
                <w:rFonts w:hint="default" w:ascii="Times New Roman" w:hAnsi="Times New Roman" w:cs="Times New Roman"/>
                <w:color w:val="auto"/>
              </w:rPr>
            </w:pPr>
          </w:p>
        </w:tc>
      </w:tr>
      <w:tr w14:paraId="6C3E4F14">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shd w:val="clear" w:color="auto" w:fill="auto"/>
          <w:tblCellMar>
            <w:top w:w="0" w:type="dxa"/>
            <w:left w:w="108" w:type="dxa"/>
            <w:bottom w:w="0" w:type="dxa"/>
            <w:right w:w="108" w:type="dxa"/>
          </w:tblCellMar>
        </w:tblPrEx>
        <w:trPr>
          <w:trHeight w:val="280" w:hRule="atLeast"/>
        </w:trPr>
        <w:tc>
          <w:tcPr>
            <w:tcW w:w="1459" w:type="dxa"/>
            <w:vMerge w:val="continue"/>
            <w:tcBorders>
              <w:tl2br w:val="nil"/>
              <w:tr2bl w:val="nil"/>
            </w:tcBorders>
            <w:shd w:val="clear" w:color="auto" w:fill="auto"/>
            <w:vAlign w:val="center"/>
          </w:tcPr>
          <w:p w14:paraId="5F4CDD27">
            <w:pPr>
              <w:pStyle w:val="44"/>
              <w:bidi w:val="0"/>
              <w:rPr>
                <w:rFonts w:hint="default" w:ascii="Times New Roman" w:hAnsi="Times New Roman" w:cs="Times New Roman"/>
                <w:color w:val="auto"/>
              </w:rPr>
            </w:pPr>
          </w:p>
        </w:tc>
        <w:tc>
          <w:tcPr>
            <w:tcW w:w="1508" w:type="dxa"/>
            <w:vMerge w:val="continue"/>
            <w:tcBorders>
              <w:tl2br w:val="nil"/>
              <w:tr2bl w:val="nil"/>
            </w:tcBorders>
            <w:shd w:val="clear" w:color="auto" w:fill="auto"/>
            <w:vAlign w:val="center"/>
          </w:tcPr>
          <w:p w14:paraId="1F8DC025">
            <w:pPr>
              <w:pStyle w:val="44"/>
              <w:bidi w:val="0"/>
              <w:rPr>
                <w:rFonts w:hint="default" w:ascii="Times New Roman" w:hAnsi="Times New Roman" w:cs="Times New Roman"/>
                <w:color w:val="auto"/>
              </w:rPr>
            </w:pPr>
          </w:p>
        </w:tc>
        <w:tc>
          <w:tcPr>
            <w:tcW w:w="2101" w:type="dxa"/>
            <w:tcBorders>
              <w:tl2br w:val="nil"/>
              <w:tr2bl w:val="nil"/>
            </w:tcBorders>
            <w:shd w:val="clear" w:color="auto" w:fill="auto"/>
            <w:vAlign w:val="center"/>
          </w:tcPr>
          <w:p w14:paraId="5CC9129E">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SS等</w:t>
            </w:r>
          </w:p>
        </w:tc>
        <w:tc>
          <w:tcPr>
            <w:tcW w:w="1459" w:type="dxa"/>
            <w:vMerge w:val="continue"/>
            <w:tcBorders>
              <w:tl2br w:val="nil"/>
              <w:tr2bl w:val="nil"/>
            </w:tcBorders>
            <w:shd w:val="clear" w:color="auto" w:fill="auto"/>
            <w:vAlign w:val="center"/>
          </w:tcPr>
          <w:p w14:paraId="10868659">
            <w:pPr>
              <w:pStyle w:val="44"/>
              <w:bidi w:val="0"/>
              <w:rPr>
                <w:rFonts w:hint="default" w:ascii="Times New Roman" w:hAnsi="Times New Roman" w:cs="Times New Roman"/>
                <w:color w:val="auto"/>
              </w:rPr>
            </w:pPr>
          </w:p>
        </w:tc>
        <w:tc>
          <w:tcPr>
            <w:tcW w:w="1459" w:type="dxa"/>
            <w:vMerge w:val="continue"/>
            <w:tcBorders>
              <w:tl2br w:val="nil"/>
              <w:tr2bl w:val="nil"/>
            </w:tcBorders>
            <w:shd w:val="clear" w:color="auto" w:fill="auto"/>
            <w:vAlign w:val="center"/>
          </w:tcPr>
          <w:p w14:paraId="1E0DBE44">
            <w:pPr>
              <w:pStyle w:val="44"/>
              <w:bidi w:val="0"/>
              <w:rPr>
                <w:rFonts w:hint="default" w:ascii="Times New Roman" w:hAnsi="Times New Roman" w:cs="Times New Roman"/>
                <w:color w:val="auto"/>
              </w:rPr>
            </w:pPr>
          </w:p>
        </w:tc>
        <w:tc>
          <w:tcPr>
            <w:tcW w:w="2822" w:type="dxa"/>
            <w:vMerge w:val="continue"/>
            <w:tcBorders>
              <w:tl2br w:val="nil"/>
              <w:tr2bl w:val="nil"/>
            </w:tcBorders>
            <w:shd w:val="clear" w:color="auto" w:fill="auto"/>
            <w:vAlign w:val="center"/>
          </w:tcPr>
          <w:p w14:paraId="5B4738F2">
            <w:pPr>
              <w:pStyle w:val="44"/>
              <w:bidi w:val="0"/>
              <w:rPr>
                <w:rFonts w:hint="default" w:ascii="Times New Roman" w:hAnsi="Times New Roman" w:cs="Times New Roman"/>
                <w:color w:val="auto"/>
              </w:rPr>
            </w:pPr>
          </w:p>
        </w:tc>
        <w:tc>
          <w:tcPr>
            <w:tcW w:w="3130" w:type="dxa"/>
            <w:vMerge w:val="continue"/>
            <w:tcBorders>
              <w:tl2br w:val="nil"/>
              <w:tr2bl w:val="nil"/>
            </w:tcBorders>
            <w:shd w:val="clear" w:color="auto" w:fill="auto"/>
            <w:vAlign w:val="center"/>
          </w:tcPr>
          <w:p w14:paraId="542F21EC">
            <w:pPr>
              <w:pStyle w:val="44"/>
              <w:bidi w:val="0"/>
              <w:rPr>
                <w:rFonts w:hint="default" w:ascii="Times New Roman" w:hAnsi="Times New Roman" w:cs="Times New Roman"/>
                <w:color w:val="auto"/>
              </w:rPr>
            </w:pPr>
          </w:p>
        </w:tc>
      </w:tr>
      <w:tr w14:paraId="4623B63A">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shd w:val="clear" w:color="auto" w:fill="auto"/>
          <w:tblCellMar>
            <w:top w:w="0" w:type="dxa"/>
            <w:left w:w="108" w:type="dxa"/>
            <w:bottom w:w="0" w:type="dxa"/>
            <w:right w:w="108" w:type="dxa"/>
          </w:tblCellMar>
        </w:tblPrEx>
        <w:trPr>
          <w:trHeight w:val="280" w:hRule="atLeast"/>
        </w:trPr>
        <w:tc>
          <w:tcPr>
            <w:tcW w:w="1459" w:type="dxa"/>
            <w:vMerge w:val="continue"/>
            <w:tcBorders>
              <w:tl2br w:val="nil"/>
              <w:tr2bl w:val="nil"/>
            </w:tcBorders>
            <w:shd w:val="clear" w:color="auto" w:fill="auto"/>
            <w:vAlign w:val="center"/>
          </w:tcPr>
          <w:p w14:paraId="06FB2F57">
            <w:pPr>
              <w:pStyle w:val="44"/>
              <w:bidi w:val="0"/>
              <w:rPr>
                <w:rFonts w:hint="default" w:ascii="Times New Roman" w:hAnsi="Times New Roman" w:cs="Times New Roman"/>
                <w:color w:val="auto"/>
              </w:rPr>
            </w:pPr>
          </w:p>
        </w:tc>
        <w:tc>
          <w:tcPr>
            <w:tcW w:w="1508" w:type="dxa"/>
            <w:vMerge w:val="restart"/>
            <w:tcBorders>
              <w:tl2br w:val="nil"/>
              <w:tr2bl w:val="nil"/>
            </w:tcBorders>
            <w:shd w:val="clear" w:color="auto" w:fill="auto"/>
            <w:vAlign w:val="center"/>
          </w:tcPr>
          <w:p w14:paraId="373C353D">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工作人员生活污水</w:t>
            </w:r>
          </w:p>
        </w:tc>
        <w:tc>
          <w:tcPr>
            <w:tcW w:w="2101" w:type="dxa"/>
            <w:tcBorders>
              <w:tl2br w:val="nil"/>
              <w:tr2bl w:val="nil"/>
            </w:tcBorders>
            <w:shd w:val="clear" w:color="auto" w:fill="auto"/>
            <w:vAlign w:val="center"/>
          </w:tcPr>
          <w:p w14:paraId="54E8C35B">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CODcr</w:t>
            </w:r>
          </w:p>
        </w:tc>
        <w:tc>
          <w:tcPr>
            <w:tcW w:w="1459" w:type="dxa"/>
            <w:vMerge w:val="restart"/>
            <w:tcBorders>
              <w:tl2br w:val="nil"/>
              <w:tr2bl w:val="nil"/>
            </w:tcBorders>
            <w:shd w:val="clear" w:color="auto" w:fill="auto"/>
            <w:vAlign w:val="center"/>
          </w:tcPr>
          <w:p w14:paraId="55FD8BED">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排入民房的防渗旱厕，定期清掏，外运积肥</w:t>
            </w:r>
          </w:p>
        </w:tc>
        <w:tc>
          <w:tcPr>
            <w:tcW w:w="1459" w:type="dxa"/>
            <w:vMerge w:val="restart"/>
            <w:tcBorders>
              <w:tl2br w:val="nil"/>
              <w:tr2bl w:val="nil"/>
            </w:tcBorders>
            <w:shd w:val="clear" w:color="auto" w:fill="auto"/>
            <w:vAlign w:val="center"/>
          </w:tcPr>
          <w:p w14:paraId="514EADBC">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2822" w:type="dxa"/>
            <w:vMerge w:val="restart"/>
            <w:tcBorders>
              <w:tl2br w:val="nil"/>
              <w:tr2bl w:val="nil"/>
            </w:tcBorders>
            <w:shd w:val="clear" w:color="auto" w:fill="auto"/>
            <w:vAlign w:val="center"/>
          </w:tcPr>
          <w:p w14:paraId="26C1C175">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3130" w:type="dxa"/>
            <w:vMerge w:val="restart"/>
            <w:tcBorders>
              <w:tl2br w:val="nil"/>
              <w:tr2bl w:val="nil"/>
            </w:tcBorders>
            <w:shd w:val="clear" w:color="auto" w:fill="auto"/>
            <w:vAlign w:val="center"/>
          </w:tcPr>
          <w:p w14:paraId="65FFD48A">
            <w:pPr>
              <w:pStyle w:val="44"/>
              <w:bidi w:val="0"/>
              <w:rPr>
                <w:rFonts w:hint="default" w:ascii="Times New Roman" w:hAnsi="Times New Roman" w:cs="Times New Roman"/>
                <w:color w:val="auto"/>
              </w:rPr>
            </w:pPr>
            <w:r>
              <w:rPr>
                <w:rFonts w:hint="eastAsia" w:cs="Times New Roman"/>
                <w:color w:val="auto"/>
                <w:lang w:val="en-US" w:eastAsia="zh-CN"/>
              </w:rPr>
              <w:t>不外排</w:t>
            </w:r>
          </w:p>
        </w:tc>
      </w:tr>
      <w:tr w14:paraId="00A185E2">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shd w:val="clear" w:color="auto" w:fill="auto"/>
          <w:tblCellMar>
            <w:top w:w="0" w:type="dxa"/>
            <w:left w:w="108" w:type="dxa"/>
            <w:bottom w:w="0" w:type="dxa"/>
            <w:right w:w="108" w:type="dxa"/>
          </w:tblCellMar>
        </w:tblPrEx>
        <w:trPr>
          <w:trHeight w:val="280" w:hRule="atLeast"/>
        </w:trPr>
        <w:tc>
          <w:tcPr>
            <w:tcW w:w="1459" w:type="dxa"/>
            <w:vMerge w:val="continue"/>
            <w:tcBorders>
              <w:tl2br w:val="nil"/>
              <w:tr2bl w:val="nil"/>
            </w:tcBorders>
            <w:shd w:val="clear" w:color="auto" w:fill="auto"/>
            <w:vAlign w:val="center"/>
          </w:tcPr>
          <w:p w14:paraId="674BE2D3">
            <w:pPr>
              <w:pStyle w:val="44"/>
              <w:bidi w:val="0"/>
              <w:rPr>
                <w:rFonts w:hint="default" w:ascii="Times New Roman" w:hAnsi="Times New Roman" w:cs="Times New Roman"/>
                <w:color w:val="auto"/>
              </w:rPr>
            </w:pPr>
          </w:p>
        </w:tc>
        <w:tc>
          <w:tcPr>
            <w:tcW w:w="1508" w:type="dxa"/>
            <w:vMerge w:val="continue"/>
            <w:tcBorders>
              <w:tl2br w:val="nil"/>
              <w:tr2bl w:val="nil"/>
            </w:tcBorders>
            <w:shd w:val="clear" w:color="auto" w:fill="auto"/>
            <w:vAlign w:val="center"/>
          </w:tcPr>
          <w:p w14:paraId="663C0609">
            <w:pPr>
              <w:pStyle w:val="44"/>
              <w:bidi w:val="0"/>
              <w:rPr>
                <w:rFonts w:hint="default" w:ascii="Times New Roman" w:hAnsi="Times New Roman" w:cs="Times New Roman"/>
                <w:color w:val="auto"/>
              </w:rPr>
            </w:pPr>
          </w:p>
        </w:tc>
        <w:tc>
          <w:tcPr>
            <w:tcW w:w="2101" w:type="dxa"/>
            <w:tcBorders>
              <w:tl2br w:val="nil"/>
              <w:tr2bl w:val="nil"/>
            </w:tcBorders>
            <w:shd w:val="clear" w:color="auto" w:fill="auto"/>
            <w:vAlign w:val="center"/>
          </w:tcPr>
          <w:p w14:paraId="5C4E96A1">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BOD</w:t>
            </w:r>
            <w:r>
              <w:rPr>
                <w:rFonts w:hint="default" w:ascii="Times New Roman" w:hAnsi="Times New Roman" w:cs="Times New Roman"/>
                <w:color w:val="auto"/>
                <w:vertAlign w:val="subscript"/>
                <w:lang w:val="en-US" w:eastAsia="zh-CN"/>
              </w:rPr>
              <w:t>5</w:t>
            </w:r>
          </w:p>
        </w:tc>
        <w:tc>
          <w:tcPr>
            <w:tcW w:w="1459" w:type="dxa"/>
            <w:vMerge w:val="continue"/>
            <w:tcBorders>
              <w:tl2br w:val="nil"/>
              <w:tr2bl w:val="nil"/>
            </w:tcBorders>
            <w:shd w:val="clear" w:color="auto" w:fill="auto"/>
            <w:vAlign w:val="center"/>
          </w:tcPr>
          <w:p w14:paraId="006D2D06">
            <w:pPr>
              <w:pStyle w:val="44"/>
              <w:bidi w:val="0"/>
              <w:rPr>
                <w:rFonts w:hint="default" w:ascii="Times New Roman" w:hAnsi="Times New Roman" w:cs="Times New Roman"/>
                <w:color w:val="auto"/>
              </w:rPr>
            </w:pPr>
          </w:p>
        </w:tc>
        <w:tc>
          <w:tcPr>
            <w:tcW w:w="1459" w:type="dxa"/>
            <w:vMerge w:val="continue"/>
            <w:tcBorders>
              <w:tl2br w:val="nil"/>
              <w:tr2bl w:val="nil"/>
            </w:tcBorders>
            <w:shd w:val="clear" w:color="auto" w:fill="auto"/>
            <w:vAlign w:val="center"/>
          </w:tcPr>
          <w:p w14:paraId="1B8EE81A">
            <w:pPr>
              <w:pStyle w:val="44"/>
              <w:bidi w:val="0"/>
              <w:rPr>
                <w:rFonts w:hint="default" w:ascii="Times New Roman" w:hAnsi="Times New Roman" w:cs="Times New Roman"/>
                <w:color w:val="auto"/>
              </w:rPr>
            </w:pPr>
          </w:p>
        </w:tc>
        <w:tc>
          <w:tcPr>
            <w:tcW w:w="2822" w:type="dxa"/>
            <w:vMerge w:val="continue"/>
            <w:tcBorders>
              <w:tl2br w:val="nil"/>
              <w:tr2bl w:val="nil"/>
            </w:tcBorders>
            <w:shd w:val="clear" w:color="auto" w:fill="auto"/>
            <w:vAlign w:val="center"/>
          </w:tcPr>
          <w:p w14:paraId="2DB8FA85">
            <w:pPr>
              <w:pStyle w:val="44"/>
              <w:bidi w:val="0"/>
              <w:rPr>
                <w:rFonts w:hint="default" w:ascii="Times New Roman" w:hAnsi="Times New Roman" w:cs="Times New Roman"/>
                <w:color w:val="auto"/>
              </w:rPr>
            </w:pPr>
          </w:p>
        </w:tc>
        <w:tc>
          <w:tcPr>
            <w:tcW w:w="3130" w:type="dxa"/>
            <w:vMerge w:val="continue"/>
            <w:tcBorders>
              <w:tl2br w:val="nil"/>
              <w:tr2bl w:val="nil"/>
            </w:tcBorders>
            <w:shd w:val="clear" w:color="auto" w:fill="auto"/>
            <w:vAlign w:val="center"/>
          </w:tcPr>
          <w:p w14:paraId="1BDA60EC">
            <w:pPr>
              <w:pStyle w:val="44"/>
              <w:bidi w:val="0"/>
              <w:rPr>
                <w:rFonts w:hint="default" w:ascii="Times New Roman" w:hAnsi="Times New Roman" w:cs="Times New Roman"/>
                <w:color w:val="auto"/>
              </w:rPr>
            </w:pPr>
          </w:p>
        </w:tc>
      </w:tr>
      <w:tr w14:paraId="310D28C8">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shd w:val="clear" w:color="auto" w:fill="auto"/>
          <w:tblCellMar>
            <w:top w:w="0" w:type="dxa"/>
            <w:left w:w="108" w:type="dxa"/>
            <w:bottom w:w="0" w:type="dxa"/>
            <w:right w:w="108" w:type="dxa"/>
          </w:tblCellMar>
        </w:tblPrEx>
        <w:trPr>
          <w:trHeight w:val="280" w:hRule="atLeast"/>
        </w:trPr>
        <w:tc>
          <w:tcPr>
            <w:tcW w:w="1459" w:type="dxa"/>
            <w:vMerge w:val="continue"/>
            <w:tcBorders>
              <w:tl2br w:val="nil"/>
              <w:tr2bl w:val="nil"/>
            </w:tcBorders>
            <w:shd w:val="clear" w:color="auto" w:fill="auto"/>
            <w:vAlign w:val="center"/>
          </w:tcPr>
          <w:p w14:paraId="6DD1538D">
            <w:pPr>
              <w:pStyle w:val="44"/>
              <w:bidi w:val="0"/>
              <w:rPr>
                <w:rFonts w:hint="default" w:ascii="Times New Roman" w:hAnsi="Times New Roman" w:cs="Times New Roman"/>
                <w:color w:val="auto"/>
              </w:rPr>
            </w:pPr>
          </w:p>
        </w:tc>
        <w:tc>
          <w:tcPr>
            <w:tcW w:w="1508" w:type="dxa"/>
            <w:vMerge w:val="continue"/>
            <w:tcBorders>
              <w:tl2br w:val="nil"/>
              <w:tr2bl w:val="nil"/>
            </w:tcBorders>
            <w:shd w:val="clear" w:color="auto" w:fill="auto"/>
            <w:vAlign w:val="center"/>
          </w:tcPr>
          <w:p w14:paraId="1794BEB0">
            <w:pPr>
              <w:pStyle w:val="44"/>
              <w:bidi w:val="0"/>
              <w:rPr>
                <w:rFonts w:hint="default" w:ascii="Times New Roman" w:hAnsi="Times New Roman" w:cs="Times New Roman"/>
                <w:color w:val="auto"/>
              </w:rPr>
            </w:pPr>
          </w:p>
        </w:tc>
        <w:tc>
          <w:tcPr>
            <w:tcW w:w="2101" w:type="dxa"/>
            <w:tcBorders>
              <w:tl2br w:val="nil"/>
              <w:tr2bl w:val="nil"/>
            </w:tcBorders>
            <w:shd w:val="clear" w:color="auto" w:fill="auto"/>
            <w:vAlign w:val="center"/>
          </w:tcPr>
          <w:p w14:paraId="3D21AA77">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SS</w:t>
            </w:r>
          </w:p>
        </w:tc>
        <w:tc>
          <w:tcPr>
            <w:tcW w:w="1459" w:type="dxa"/>
            <w:vMerge w:val="continue"/>
            <w:tcBorders>
              <w:tl2br w:val="nil"/>
              <w:tr2bl w:val="nil"/>
            </w:tcBorders>
            <w:shd w:val="clear" w:color="auto" w:fill="auto"/>
            <w:vAlign w:val="center"/>
          </w:tcPr>
          <w:p w14:paraId="11A0FCC6">
            <w:pPr>
              <w:pStyle w:val="44"/>
              <w:bidi w:val="0"/>
              <w:rPr>
                <w:rFonts w:hint="default" w:ascii="Times New Roman" w:hAnsi="Times New Roman" w:cs="Times New Roman"/>
                <w:color w:val="auto"/>
              </w:rPr>
            </w:pPr>
          </w:p>
        </w:tc>
        <w:tc>
          <w:tcPr>
            <w:tcW w:w="1459" w:type="dxa"/>
            <w:vMerge w:val="continue"/>
            <w:tcBorders>
              <w:tl2br w:val="nil"/>
              <w:tr2bl w:val="nil"/>
            </w:tcBorders>
            <w:shd w:val="clear" w:color="auto" w:fill="auto"/>
            <w:vAlign w:val="center"/>
          </w:tcPr>
          <w:p w14:paraId="1F6FD903">
            <w:pPr>
              <w:pStyle w:val="44"/>
              <w:bidi w:val="0"/>
              <w:rPr>
                <w:rFonts w:hint="default" w:ascii="Times New Roman" w:hAnsi="Times New Roman" w:cs="Times New Roman"/>
                <w:color w:val="auto"/>
              </w:rPr>
            </w:pPr>
          </w:p>
        </w:tc>
        <w:tc>
          <w:tcPr>
            <w:tcW w:w="2822" w:type="dxa"/>
            <w:vMerge w:val="continue"/>
            <w:tcBorders>
              <w:tl2br w:val="nil"/>
              <w:tr2bl w:val="nil"/>
            </w:tcBorders>
            <w:shd w:val="clear" w:color="auto" w:fill="auto"/>
            <w:vAlign w:val="center"/>
          </w:tcPr>
          <w:p w14:paraId="25BD30A8">
            <w:pPr>
              <w:pStyle w:val="44"/>
              <w:bidi w:val="0"/>
              <w:rPr>
                <w:rFonts w:hint="default" w:ascii="Times New Roman" w:hAnsi="Times New Roman" w:cs="Times New Roman"/>
                <w:color w:val="auto"/>
              </w:rPr>
            </w:pPr>
          </w:p>
        </w:tc>
        <w:tc>
          <w:tcPr>
            <w:tcW w:w="3130" w:type="dxa"/>
            <w:vMerge w:val="continue"/>
            <w:tcBorders>
              <w:tl2br w:val="nil"/>
              <w:tr2bl w:val="nil"/>
            </w:tcBorders>
            <w:shd w:val="clear" w:color="auto" w:fill="auto"/>
            <w:vAlign w:val="center"/>
          </w:tcPr>
          <w:p w14:paraId="64139011">
            <w:pPr>
              <w:pStyle w:val="44"/>
              <w:bidi w:val="0"/>
              <w:rPr>
                <w:rFonts w:hint="default" w:ascii="Times New Roman" w:hAnsi="Times New Roman" w:cs="Times New Roman"/>
                <w:color w:val="auto"/>
              </w:rPr>
            </w:pPr>
          </w:p>
        </w:tc>
      </w:tr>
      <w:tr w14:paraId="423610E8">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shd w:val="clear" w:color="auto" w:fill="auto"/>
          <w:tblCellMar>
            <w:top w:w="0" w:type="dxa"/>
            <w:left w:w="108" w:type="dxa"/>
            <w:bottom w:w="0" w:type="dxa"/>
            <w:right w:w="108" w:type="dxa"/>
          </w:tblCellMar>
        </w:tblPrEx>
        <w:trPr>
          <w:trHeight w:val="280" w:hRule="atLeast"/>
        </w:trPr>
        <w:tc>
          <w:tcPr>
            <w:tcW w:w="1459" w:type="dxa"/>
            <w:vMerge w:val="continue"/>
            <w:tcBorders>
              <w:tl2br w:val="nil"/>
              <w:tr2bl w:val="nil"/>
            </w:tcBorders>
            <w:shd w:val="clear" w:color="auto" w:fill="auto"/>
            <w:vAlign w:val="center"/>
          </w:tcPr>
          <w:p w14:paraId="5B35BCA9">
            <w:pPr>
              <w:pStyle w:val="44"/>
              <w:bidi w:val="0"/>
              <w:rPr>
                <w:rFonts w:hint="default" w:ascii="Times New Roman" w:hAnsi="Times New Roman" w:cs="Times New Roman"/>
                <w:color w:val="auto"/>
              </w:rPr>
            </w:pPr>
          </w:p>
        </w:tc>
        <w:tc>
          <w:tcPr>
            <w:tcW w:w="1508" w:type="dxa"/>
            <w:vMerge w:val="continue"/>
            <w:tcBorders>
              <w:tl2br w:val="nil"/>
              <w:tr2bl w:val="nil"/>
            </w:tcBorders>
            <w:shd w:val="clear" w:color="auto" w:fill="auto"/>
            <w:vAlign w:val="center"/>
          </w:tcPr>
          <w:p w14:paraId="6F47EA6A">
            <w:pPr>
              <w:pStyle w:val="44"/>
              <w:bidi w:val="0"/>
              <w:rPr>
                <w:rFonts w:hint="default" w:ascii="Times New Roman" w:hAnsi="Times New Roman" w:cs="Times New Roman"/>
                <w:color w:val="auto"/>
              </w:rPr>
            </w:pPr>
          </w:p>
        </w:tc>
        <w:tc>
          <w:tcPr>
            <w:tcW w:w="2101" w:type="dxa"/>
            <w:tcBorders>
              <w:tl2br w:val="nil"/>
              <w:tr2bl w:val="nil"/>
            </w:tcBorders>
            <w:shd w:val="clear" w:color="auto" w:fill="auto"/>
            <w:vAlign w:val="center"/>
          </w:tcPr>
          <w:p w14:paraId="3CDDD972">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氨氮</w:t>
            </w:r>
          </w:p>
        </w:tc>
        <w:tc>
          <w:tcPr>
            <w:tcW w:w="1459" w:type="dxa"/>
            <w:vMerge w:val="continue"/>
            <w:tcBorders>
              <w:tl2br w:val="nil"/>
              <w:tr2bl w:val="nil"/>
            </w:tcBorders>
            <w:shd w:val="clear" w:color="auto" w:fill="auto"/>
            <w:vAlign w:val="center"/>
          </w:tcPr>
          <w:p w14:paraId="12A5328B">
            <w:pPr>
              <w:pStyle w:val="44"/>
              <w:bidi w:val="0"/>
              <w:rPr>
                <w:rFonts w:hint="default" w:ascii="Times New Roman" w:hAnsi="Times New Roman" w:cs="Times New Roman"/>
                <w:color w:val="auto"/>
              </w:rPr>
            </w:pPr>
          </w:p>
        </w:tc>
        <w:tc>
          <w:tcPr>
            <w:tcW w:w="1459" w:type="dxa"/>
            <w:vMerge w:val="continue"/>
            <w:tcBorders>
              <w:tl2br w:val="nil"/>
              <w:tr2bl w:val="nil"/>
            </w:tcBorders>
            <w:shd w:val="clear" w:color="auto" w:fill="auto"/>
            <w:vAlign w:val="center"/>
          </w:tcPr>
          <w:p w14:paraId="1D6D6441">
            <w:pPr>
              <w:pStyle w:val="44"/>
              <w:bidi w:val="0"/>
              <w:rPr>
                <w:rFonts w:hint="default" w:ascii="Times New Roman" w:hAnsi="Times New Roman" w:cs="Times New Roman"/>
                <w:color w:val="auto"/>
              </w:rPr>
            </w:pPr>
          </w:p>
        </w:tc>
        <w:tc>
          <w:tcPr>
            <w:tcW w:w="2822" w:type="dxa"/>
            <w:vMerge w:val="continue"/>
            <w:tcBorders>
              <w:tl2br w:val="nil"/>
              <w:tr2bl w:val="nil"/>
            </w:tcBorders>
            <w:shd w:val="clear" w:color="auto" w:fill="auto"/>
            <w:vAlign w:val="center"/>
          </w:tcPr>
          <w:p w14:paraId="6BF8824B">
            <w:pPr>
              <w:pStyle w:val="44"/>
              <w:bidi w:val="0"/>
              <w:rPr>
                <w:rFonts w:hint="default" w:ascii="Times New Roman" w:hAnsi="Times New Roman" w:cs="Times New Roman"/>
                <w:color w:val="auto"/>
              </w:rPr>
            </w:pPr>
          </w:p>
        </w:tc>
        <w:tc>
          <w:tcPr>
            <w:tcW w:w="3130" w:type="dxa"/>
            <w:vMerge w:val="continue"/>
            <w:tcBorders>
              <w:tl2br w:val="nil"/>
              <w:tr2bl w:val="nil"/>
            </w:tcBorders>
            <w:shd w:val="clear" w:color="auto" w:fill="auto"/>
            <w:vAlign w:val="center"/>
          </w:tcPr>
          <w:p w14:paraId="72BB5679">
            <w:pPr>
              <w:pStyle w:val="44"/>
              <w:bidi w:val="0"/>
              <w:rPr>
                <w:rFonts w:hint="default" w:ascii="Times New Roman" w:hAnsi="Times New Roman" w:cs="Times New Roman"/>
                <w:color w:val="auto"/>
              </w:rPr>
            </w:pPr>
          </w:p>
        </w:tc>
      </w:tr>
      <w:tr w14:paraId="0620A8A8">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shd w:val="clear" w:color="auto" w:fill="auto"/>
          <w:tblCellMar>
            <w:top w:w="0" w:type="dxa"/>
            <w:left w:w="108" w:type="dxa"/>
            <w:bottom w:w="0" w:type="dxa"/>
            <w:right w:w="108" w:type="dxa"/>
          </w:tblCellMar>
        </w:tblPrEx>
        <w:trPr>
          <w:trHeight w:val="280" w:hRule="atLeast"/>
        </w:trPr>
        <w:tc>
          <w:tcPr>
            <w:tcW w:w="1459" w:type="dxa"/>
            <w:vMerge w:val="restart"/>
            <w:tcBorders>
              <w:tl2br w:val="nil"/>
              <w:tr2bl w:val="nil"/>
            </w:tcBorders>
            <w:shd w:val="clear" w:color="auto" w:fill="auto"/>
            <w:vAlign w:val="center"/>
          </w:tcPr>
          <w:p w14:paraId="0EF297AF">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环境空气</w:t>
            </w:r>
          </w:p>
        </w:tc>
        <w:tc>
          <w:tcPr>
            <w:tcW w:w="1508" w:type="dxa"/>
            <w:vMerge w:val="restart"/>
            <w:tcBorders>
              <w:tl2br w:val="nil"/>
              <w:tr2bl w:val="nil"/>
            </w:tcBorders>
            <w:shd w:val="clear" w:color="auto" w:fill="auto"/>
            <w:vAlign w:val="center"/>
          </w:tcPr>
          <w:p w14:paraId="2FEEAD36">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作业机械尾气</w:t>
            </w:r>
          </w:p>
        </w:tc>
        <w:tc>
          <w:tcPr>
            <w:tcW w:w="2101" w:type="dxa"/>
            <w:tcBorders>
              <w:tl2br w:val="nil"/>
              <w:tr2bl w:val="nil"/>
            </w:tcBorders>
            <w:shd w:val="clear" w:color="auto" w:fill="auto"/>
            <w:vAlign w:val="center"/>
          </w:tcPr>
          <w:p w14:paraId="09014271">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CO</w:t>
            </w:r>
          </w:p>
        </w:tc>
        <w:tc>
          <w:tcPr>
            <w:tcW w:w="1459" w:type="dxa"/>
            <w:vMerge w:val="restart"/>
            <w:tcBorders>
              <w:tl2br w:val="nil"/>
              <w:tr2bl w:val="nil"/>
            </w:tcBorders>
            <w:shd w:val="clear" w:color="auto" w:fill="auto"/>
            <w:vAlign w:val="center"/>
          </w:tcPr>
          <w:p w14:paraId="01AA45E8">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自然扩散</w:t>
            </w:r>
          </w:p>
        </w:tc>
        <w:tc>
          <w:tcPr>
            <w:tcW w:w="1459" w:type="dxa"/>
            <w:tcBorders>
              <w:tl2br w:val="nil"/>
              <w:tr2bl w:val="nil"/>
            </w:tcBorders>
            <w:shd w:val="clear" w:color="auto" w:fill="auto"/>
            <w:vAlign w:val="center"/>
          </w:tcPr>
          <w:p w14:paraId="7EBE9C2B">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2822" w:type="dxa"/>
            <w:tcBorders>
              <w:tl2br w:val="nil"/>
              <w:tr2bl w:val="nil"/>
            </w:tcBorders>
            <w:shd w:val="clear" w:color="auto" w:fill="auto"/>
            <w:vAlign w:val="center"/>
          </w:tcPr>
          <w:p w14:paraId="3CA452CA">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0.00008kg/h</w:t>
            </w:r>
          </w:p>
        </w:tc>
        <w:tc>
          <w:tcPr>
            <w:tcW w:w="3130" w:type="dxa"/>
            <w:tcBorders>
              <w:tl2br w:val="nil"/>
              <w:tr2bl w:val="nil"/>
            </w:tcBorders>
            <w:shd w:val="clear" w:color="auto" w:fill="auto"/>
            <w:vAlign w:val="center"/>
          </w:tcPr>
          <w:p w14:paraId="6B9FAE91">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r>
      <w:tr w14:paraId="62F32348">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shd w:val="clear" w:color="auto" w:fill="auto"/>
          <w:tblCellMar>
            <w:top w:w="0" w:type="dxa"/>
            <w:left w:w="108" w:type="dxa"/>
            <w:bottom w:w="0" w:type="dxa"/>
            <w:right w:w="108" w:type="dxa"/>
          </w:tblCellMar>
        </w:tblPrEx>
        <w:trPr>
          <w:trHeight w:val="806" w:hRule="atLeast"/>
        </w:trPr>
        <w:tc>
          <w:tcPr>
            <w:tcW w:w="1459" w:type="dxa"/>
            <w:vMerge w:val="continue"/>
            <w:tcBorders>
              <w:tl2br w:val="nil"/>
              <w:tr2bl w:val="nil"/>
            </w:tcBorders>
            <w:shd w:val="clear" w:color="auto" w:fill="auto"/>
            <w:vAlign w:val="center"/>
          </w:tcPr>
          <w:p w14:paraId="7DAC851C">
            <w:pPr>
              <w:pStyle w:val="44"/>
              <w:bidi w:val="0"/>
              <w:rPr>
                <w:rFonts w:hint="default" w:ascii="Times New Roman" w:hAnsi="Times New Roman" w:cs="Times New Roman"/>
                <w:color w:val="auto"/>
              </w:rPr>
            </w:pPr>
          </w:p>
        </w:tc>
        <w:tc>
          <w:tcPr>
            <w:tcW w:w="1508" w:type="dxa"/>
            <w:vMerge w:val="continue"/>
            <w:tcBorders>
              <w:tl2br w:val="nil"/>
              <w:tr2bl w:val="nil"/>
            </w:tcBorders>
            <w:shd w:val="clear" w:color="auto" w:fill="auto"/>
            <w:vAlign w:val="center"/>
          </w:tcPr>
          <w:p w14:paraId="289E3830">
            <w:pPr>
              <w:pStyle w:val="44"/>
              <w:bidi w:val="0"/>
              <w:rPr>
                <w:rFonts w:hint="default" w:ascii="Times New Roman" w:hAnsi="Times New Roman" w:cs="Times New Roman"/>
                <w:color w:val="auto"/>
              </w:rPr>
            </w:pPr>
          </w:p>
        </w:tc>
        <w:tc>
          <w:tcPr>
            <w:tcW w:w="2101" w:type="dxa"/>
            <w:tcBorders>
              <w:tl2br w:val="nil"/>
              <w:tr2bl w:val="nil"/>
            </w:tcBorders>
            <w:shd w:val="clear" w:color="auto" w:fill="auto"/>
            <w:vAlign w:val="center"/>
          </w:tcPr>
          <w:p w14:paraId="41BC704D">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NOx</w:t>
            </w:r>
          </w:p>
        </w:tc>
        <w:tc>
          <w:tcPr>
            <w:tcW w:w="1459" w:type="dxa"/>
            <w:vMerge w:val="continue"/>
            <w:tcBorders>
              <w:tl2br w:val="nil"/>
              <w:tr2bl w:val="nil"/>
            </w:tcBorders>
            <w:shd w:val="clear" w:color="auto" w:fill="auto"/>
            <w:vAlign w:val="center"/>
          </w:tcPr>
          <w:p w14:paraId="16172C74">
            <w:pPr>
              <w:pStyle w:val="44"/>
              <w:bidi w:val="0"/>
              <w:rPr>
                <w:rFonts w:hint="default" w:ascii="Times New Roman" w:hAnsi="Times New Roman" w:cs="Times New Roman"/>
                <w:color w:val="auto"/>
              </w:rPr>
            </w:pPr>
          </w:p>
        </w:tc>
        <w:tc>
          <w:tcPr>
            <w:tcW w:w="1459" w:type="dxa"/>
            <w:tcBorders>
              <w:tl2br w:val="nil"/>
              <w:tr2bl w:val="nil"/>
            </w:tcBorders>
            <w:shd w:val="clear" w:color="auto" w:fill="auto"/>
            <w:vAlign w:val="center"/>
          </w:tcPr>
          <w:p w14:paraId="52D4F497">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2822" w:type="dxa"/>
            <w:tcBorders>
              <w:tl2br w:val="nil"/>
              <w:tr2bl w:val="nil"/>
            </w:tcBorders>
            <w:shd w:val="clear" w:color="auto" w:fill="auto"/>
            <w:vAlign w:val="center"/>
          </w:tcPr>
          <w:p w14:paraId="20F6C40B">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0.00011kg/h</w:t>
            </w:r>
          </w:p>
        </w:tc>
        <w:tc>
          <w:tcPr>
            <w:tcW w:w="3130" w:type="dxa"/>
            <w:tcBorders>
              <w:tl2br w:val="nil"/>
              <w:tr2bl w:val="nil"/>
            </w:tcBorders>
            <w:shd w:val="clear" w:color="auto" w:fill="auto"/>
            <w:vAlign w:val="center"/>
          </w:tcPr>
          <w:p w14:paraId="71494DA7">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《大气污染物综合排放标准》（GB16297-1996）中的表2无组织排放监控浓度限值</w:t>
            </w:r>
          </w:p>
        </w:tc>
      </w:tr>
      <w:tr w14:paraId="2DEBABC0">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shd w:val="clear" w:color="auto" w:fill="auto"/>
          <w:tblCellMar>
            <w:top w:w="0" w:type="dxa"/>
            <w:left w:w="108" w:type="dxa"/>
            <w:bottom w:w="0" w:type="dxa"/>
            <w:right w:w="108" w:type="dxa"/>
          </w:tblCellMar>
        </w:tblPrEx>
        <w:trPr>
          <w:trHeight w:val="280" w:hRule="atLeast"/>
        </w:trPr>
        <w:tc>
          <w:tcPr>
            <w:tcW w:w="1459" w:type="dxa"/>
            <w:vMerge w:val="continue"/>
            <w:tcBorders>
              <w:tl2br w:val="nil"/>
              <w:tr2bl w:val="nil"/>
            </w:tcBorders>
            <w:shd w:val="clear" w:color="auto" w:fill="auto"/>
            <w:vAlign w:val="center"/>
          </w:tcPr>
          <w:p w14:paraId="570B609E">
            <w:pPr>
              <w:pStyle w:val="44"/>
              <w:bidi w:val="0"/>
              <w:rPr>
                <w:rFonts w:hint="default" w:ascii="Times New Roman" w:hAnsi="Times New Roman" w:cs="Times New Roman"/>
                <w:color w:val="auto"/>
              </w:rPr>
            </w:pPr>
          </w:p>
        </w:tc>
        <w:tc>
          <w:tcPr>
            <w:tcW w:w="1508" w:type="dxa"/>
            <w:vMerge w:val="continue"/>
            <w:tcBorders>
              <w:tl2br w:val="nil"/>
              <w:tr2bl w:val="nil"/>
            </w:tcBorders>
            <w:shd w:val="clear" w:color="auto" w:fill="auto"/>
            <w:vAlign w:val="center"/>
          </w:tcPr>
          <w:p w14:paraId="2470490F">
            <w:pPr>
              <w:pStyle w:val="44"/>
              <w:bidi w:val="0"/>
              <w:rPr>
                <w:rFonts w:hint="default" w:ascii="Times New Roman" w:hAnsi="Times New Roman" w:cs="Times New Roman"/>
                <w:color w:val="auto"/>
              </w:rPr>
            </w:pPr>
          </w:p>
        </w:tc>
        <w:tc>
          <w:tcPr>
            <w:tcW w:w="2101" w:type="dxa"/>
            <w:tcBorders>
              <w:tl2br w:val="nil"/>
              <w:tr2bl w:val="nil"/>
            </w:tcBorders>
            <w:shd w:val="clear" w:color="auto" w:fill="auto"/>
            <w:vAlign w:val="center"/>
          </w:tcPr>
          <w:p w14:paraId="73273297">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HC</w:t>
            </w:r>
          </w:p>
        </w:tc>
        <w:tc>
          <w:tcPr>
            <w:tcW w:w="1459" w:type="dxa"/>
            <w:vMerge w:val="continue"/>
            <w:tcBorders>
              <w:tl2br w:val="nil"/>
              <w:tr2bl w:val="nil"/>
            </w:tcBorders>
            <w:shd w:val="clear" w:color="auto" w:fill="auto"/>
            <w:vAlign w:val="center"/>
          </w:tcPr>
          <w:p w14:paraId="5680D3CE">
            <w:pPr>
              <w:pStyle w:val="44"/>
              <w:bidi w:val="0"/>
              <w:rPr>
                <w:rFonts w:hint="default" w:ascii="Times New Roman" w:hAnsi="Times New Roman" w:cs="Times New Roman"/>
                <w:color w:val="auto"/>
              </w:rPr>
            </w:pPr>
          </w:p>
        </w:tc>
        <w:tc>
          <w:tcPr>
            <w:tcW w:w="1459" w:type="dxa"/>
            <w:tcBorders>
              <w:tl2br w:val="nil"/>
              <w:tr2bl w:val="nil"/>
            </w:tcBorders>
            <w:shd w:val="clear" w:color="auto" w:fill="auto"/>
            <w:vAlign w:val="center"/>
          </w:tcPr>
          <w:p w14:paraId="2499816F">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2822" w:type="dxa"/>
            <w:tcBorders>
              <w:tl2br w:val="nil"/>
              <w:tr2bl w:val="nil"/>
            </w:tcBorders>
            <w:shd w:val="clear" w:color="auto" w:fill="auto"/>
            <w:vAlign w:val="center"/>
          </w:tcPr>
          <w:p w14:paraId="179BB345">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0.00003kg/h</w:t>
            </w:r>
          </w:p>
        </w:tc>
        <w:tc>
          <w:tcPr>
            <w:tcW w:w="3130" w:type="dxa"/>
            <w:tcBorders>
              <w:tl2br w:val="nil"/>
              <w:tr2bl w:val="nil"/>
            </w:tcBorders>
            <w:shd w:val="clear" w:color="auto" w:fill="auto"/>
            <w:vAlign w:val="center"/>
          </w:tcPr>
          <w:p w14:paraId="2D6A4728">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r>
      <w:tr w14:paraId="425C4A83">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806" w:hRule="atLeast"/>
        </w:trPr>
        <w:tc>
          <w:tcPr>
            <w:tcW w:w="1459" w:type="dxa"/>
            <w:vMerge w:val="continue"/>
            <w:tcBorders>
              <w:tl2br w:val="nil"/>
              <w:tr2bl w:val="nil"/>
            </w:tcBorders>
            <w:shd w:val="clear" w:color="auto" w:fill="auto"/>
            <w:vAlign w:val="center"/>
          </w:tcPr>
          <w:p w14:paraId="1E5C19DE">
            <w:pPr>
              <w:pStyle w:val="44"/>
              <w:bidi w:val="0"/>
              <w:rPr>
                <w:rFonts w:hint="default" w:ascii="Times New Roman" w:hAnsi="Times New Roman" w:cs="Times New Roman"/>
                <w:color w:val="auto"/>
              </w:rPr>
            </w:pPr>
          </w:p>
        </w:tc>
        <w:tc>
          <w:tcPr>
            <w:tcW w:w="1508" w:type="dxa"/>
            <w:tcBorders>
              <w:tl2br w:val="nil"/>
              <w:tr2bl w:val="nil"/>
            </w:tcBorders>
            <w:shd w:val="clear" w:color="auto" w:fill="auto"/>
            <w:vAlign w:val="center"/>
          </w:tcPr>
          <w:p w14:paraId="1EAA2978">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装卸、运输、堆积</w:t>
            </w:r>
          </w:p>
        </w:tc>
        <w:tc>
          <w:tcPr>
            <w:tcW w:w="2101" w:type="dxa"/>
            <w:tcBorders>
              <w:tl2br w:val="nil"/>
              <w:tr2bl w:val="nil"/>
            </w:tcBorders>
            <w:shd w:val="clear" w:color="auto" w:fill="auto"/>
            <w:vAlign w:val="center"/>
          </w:tcPr>
          <w:p w14:paraId="29F990CA">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TSP</w:t>
            </w:r>
          </w:p>
        </w:tc>
        <w:tc>
          <w:tcPr>
            <w:tcW w:w="1459" w:type="dxa"/>
            <w:tcBorders>
              <w:tl2br w:val="nil"/>
              <w:tr2bl w:val="nil"/>
            </w:tcBorders>
            <w:shd w:val="clear" w:color="auto" w:fill="auto"/>
            <w:vAlign w:val="center"/>
          </w:tcPr>
          <w:p w14:paraId="186C311A">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洒水抑尘、及时苫盖、分区作业</w:t>
            </w:r>
          </w:p>
        </w:tc>
        <w:tc>
          <w:tcPr>
            <w:tcW w:w="1459" w:type="dxa"/>
            <w:tcBorders>
              <w:tl2br w:val="nil"/>
              <w:tr2bl w:val="nil"/>
            </w:tcBorders>
            <w:shd w:val="clear" w:color="auto" w:fill="auto"/>
            <w:vAlign w:val="center"/>
          </w:tcPr>
          <w:p w14:paraId="28587AB3">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2822" w:type="dxa"/>
            <w:tcBorders>
              <w:tl2br w:val="nil"/>
              <w:tr2bl w:val="nil"/>
            </w:tcBorders>
            <w:shd w:val="clear" w:color="auto" w:fill="auto"/>
            <w:vAlign w:val="center"/>
          </w:tcPr>
          <w:p w14:paraId="43436889">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0.022kg/h</w:t>
            </w:r>
          </w:p>
        </w:tc>
        <w:tc>
          <w:tcPr>
            <w:tcW w:w="3130" w:type="dxa"/>
            <w:tcBorders>
              <w:tl2br w:val="nil"/>
              <w:tr2bl w:val="nil"/>
            </w:tcBorders>
            <w:shd w:val="clear" w:color="auto" w:fill="auto"/>
            <w:vAlign w:val="center"/>
          </w:tcPr>
          <w:p w14:paraId="4FE5EE6F">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《大气污染物综合排放标准》（GB16297-1996）中的表2无组织排放监控浓度限值</w:t>
            </w:r>
          </w:p>
        </w:tc>
      </w:tr>
      <w:tr w14:paraId="77C6CA45">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shd w:val="clear" w:color="auto" w:fill="auto"/>
          <w:tblCellMar>
            <w:top w:w="0" w:type="dxa"/>
            <w:left w:w="108" w:type="dxa"/>
            <w:bottom w:w="0" w:type="dxa"/>
            <w:right w:w="108" w:type="dxa"/>
          </w:tblCellMar>
        </w:tblPrEx>
        <w:trPr>
          <w:trHeight w:val="806" w:hRule="atLeast"/>
        </w:trPr>
        <w:tc>
          <w:tcPr>
            <w:tcW w:w="1459" w:type="dxa"/>
            <w:vMerge w:val="continue"/>
            <w:tcBorders>
              <w:tl2br w:val="nil"/>
              <w:tr2bl w:val="nil"/>
            </w:tcBorders>
            <w:shd w:val="clear" w:color="auto" w:fill="auto"/>
            <w:vAlign w:val="center"/>
          </w:tcPr>
          <w:p w14:paraId="50FE4E6A">
            <w:pPr>
              <w:pStyle w:val="44"/>
              <w:bidi w:val="0"/>
              <w:rPr>
                <w:rFonts w:hint="default" w:ascii="Times New Roman" w:hAnsi="Times New Roman" w:cs="Times New Roman"/>
                <w:color w:val="auto"/>
              </w:rPr>
            </w:pPr>
          </w:p>
        </w:tc>
        <w:tc>
          <w:tcPr>
            <w:tcW w:w="1508" w:type="dxa"/>
            <w:tcBorders>
              <w:tl2br w:val="nil"/>
              <w:tr2bl w:val="nil"/>
            </w:tcBorders>
            <w:shd w:val="clear" w:color="auto" w:fill="auto"/>
            <w:vAlign w:val="center"/>
          </w:tcPr>
          <w:p w14:paraId="02BD7038">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进场运输道路</w:t>
            </w:r>
          </w:p>
        </w:tc>
        <w:tc>
          <w:tcPr>
            <w:tcW w:w="2101" w:type="dxa"/>
            <w:tcBorders>
              <w:tl2br w:val="nil"/>
              <w:tr2bl w:val="nil"/>
            </w:tcBorders>
            <w:shd w:val="clear" w:color="auto" w:fill="auto"/>
            <w:vAlign w:val="center"/>
          </w:tcPr>
          <w:p w14:paraId="432966AE">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TSP</w:t>
            </w:r>
          </w:p>
        </w:tc>
        <w:tc>
          <w:tcPr>
            <w:tcW w:w="1459" w:type="dxa"/>
            <w:tcBorders>
              <w:tl2br w:val="nil"/>
              <w:tr2bl w:val="nil"/>
            </w:tcBorders>
            <w:shd w:val="clear" w:color="auto" w:fill="auto"/>
            <w:vAlign w:val="center"/>
          </w:tcPr>
          <w:p w14:paraId="4C27B0B1">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密闭运输、减速慢行，洒水抑尘</w:t>
            </w:r>
          </w:p>
        </w:tc>
        <w:tc>
          <w:tcPr>
            <w:tcW w:w="1459" w:type="dxa"/>
            <w:tcBorders>
              <w:tl2br w:val="nil"/>
              <w:tr2bl w:val="nil"/>
            </w:tcBorders>
            <w:shd w:val="clear" w:color="auto" w:fill="auto"/>
            <w:vAlign w:val="center"/>
          </w:tcPr>
          <w:p w14:paraId="50B7F87E">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2822" w:type="dxa"/>
            <w:tcBorders>
              <w:tl2br w:val="nil"/>
              <w:tr2bl w:val="nil"/>
            </w:tcBorders>
            <w:shd w:val="clear" w:color="auto" w:fill="auto"/>
            <w:vAlign w:val="center"/>
          </w:tcPr>
          <w:p w14:paraId="3107DAAF">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3.7kg/h</w:t>
            </w:r>
          </w:p>
        </w:tc>
        <w:tc>
          <w:tcPr>
            <w:tcW w:w="3130" w:type="dxa"/>
            <w:tcBorders>
              <w:tl2br w:val="nil"/>
              <w:tr2bl w:val="nil"/>
            </w:tcBorders>
            <w:shd w:val="clear" w:color="auto" w:fill="auto"/>
            <w:vAlign w:val="center"/>
          </w:tcPr>
          <w:p w14:paraId="215413F5">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《大气污染物综合排放标准》（GB16297-1996）中的表2无组织排放监控浓度限值</w:t>
            </w:r>
          </w:p>
        </w:tc>
      </w:tr>
      <w:tr w14:paraId="2A608838">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806" w:hRule="atLeast"/>
        </w:trPr>
        <w:tc>
          <w:tcPr>
            <w:tcW w:w="1459" w:type="dxa"/>
            <w:tcBorders>
              <w:tl2br w:val="nil"/>
              <w:tr2bl w:val="nil"/>
            </w:tcBorders>
            <w:shd w:val="clear" w:color="auto" w:fill="auto"/>
            <w:vAlign w:val="center"/>
          </w:tcPr>
          <w:p w14:paraId="4901D51E">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声环境</w:t>
            </w:r>
          </w:p>
        </w:tc>
        <w:tc>
          <w:tcPr>
            <w:tcW w:w="3609" w:type="dxa"/>
            <w:gridSpan w:val="2"/>
            <w:tcBorders>
              <w:tl2br w:val="nil"/>
              <w:tr2bl w:val="nil"/>
            </w:tcBorders>
            <w:shd w:val="clear" w:color="auto" w:fill="auto"/>
            <w:vAlign w:val="center"/>
          </w:tcPr>
          <w:p w14:paraId="49F325AB">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厂界噪声</w:t>
            </w:r>
          </w:p>
        </w:tc>
        <w:tc>
          <w:tcPr>
            <w:tcW w:w="1459" w:type="dxa"/>
            <w:tcBorders>
              <w:tl2br w:val="nil"/>
              <w:tr2bl w:val="nil"/>
            </w:tcBorders>
            <w:shd w:val="clear" w:color="auto" w:fill="auto"/>
            <w:vAlign w:val="center"/>
          </w:tcPr>
          <w:p w14:paraId="175ABD8D">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低噪声设备、加强管理</w:t>
            </w:r>
          </w:p>
        </w:tc>
        <w:tc>
          <w:tcPr>
            <w:tcW w:w="1459" w:type="dxa"/>
            <w:tcBorders>
              <w:tl2br w:val="nil"/>
              <w:tr2bl w:val="nil"/>
            </w:tcBorders>
            <w:shd w:val="clear" w:color="auto" w:fill="auto"/>
            <w:vAlign w:val="center"/>
          </w:tcPr>
          <w:p w14:paraId="67F43C53">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2822" w:type="dxa"/>
            <w:tcBorders>
              <w:tl2br w:val="nil"/>
              <w:tr2bl w:val="nil"/>
            </w:tcBorders>
            <w:shd w:val="clear" w:color="auto" w:fill="auto"/>
            <w:vAlign w:val="center"/>
          </w:tcPr>
          <w:p w14:paraId="7548ACC4">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3130" w:type="dxa"/>
            <w:tcBorders>
              <w:tl2br w:val="nil"/>
              <w:tr2bl w:val="nil"/>
            </w:tcBorders>
            <w:shd w:val="clear" w:color="auto" w:fill="auto"/>
            <w:vAlign w:val="center"/>
          </w:tcPr>
          <w:p w14:paraId="21083C2D">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厂界满足《工业企业厂界环境噪声排放标准》表1中的1类标准</w:t>
            </w:r>
          </w:p>
        </w:tc>
      </w:tr>
      <w:tr w14:paraId="5AB96974">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shd w:val="clear" w:color="auto" w:fill="auto"/>
          <w:tblCellMar>
            <w:top w:w="0" w:type="dxa"/>
            <w:left w:w="108" w:type="dxa"/>
            <w:bottom w:w="0" w:type="dxa"/>
            <w:right w:w="108" w:type="dxa"/>
          </w:tblCellMar>
        </w:tblPrEx>
        <w:trPr>
          <w:trHeight w:val="568" w:hRule="atLeast"/>
        </w:trPr>
        <w:tc>
          <w:tcPr>
            <w:tcW w:w="1459" w:type="dxa"/>
            <w:tcBorders>
              <w:tl2br w:val="nil"/>
              <w:tr2bl w:val="nil"/>
            </w:tcBorders>
            <w:shd w:val="clear" w:color="auto" w:fill="auto"/>
            <w:vAlign w:val="center"/>
          </w:tcPr>
          <w:p w14:paraId="2C8DC39D">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固体废物</w:t>
            </w:r>
          </w:p>
        </w:tc>
        <w:tc>
          <w:tcPr>
            <w:tcW w:w="1508" w:type="dxa"/>
            <w:tcBorders>
              <w:tl2br w:val="nil"/>
              <w:tr2bl w:val="nil"/>
            </w:tcBorders>
            <w:shd w:val="clear" w:color="auto" w:fill="auto"/>
            <w:vAlign w:val="center"/>
          </w:tcPr>
          <w:p w14:paraId="09C6EDE5">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沉渣</w:t>
            </w:r>
          </w:p>
        </w:tc>
        <w:tc>
          <w:tcPr>
            <w:tcW w:w="2101" w:type="dxa"/>
            <w:tcBorders>
              <w:tl2br w:val="nil"/>
              <w:tr2bl w:val="nil"/>
            </w:tcBorders>
            <w:shd w:val="clear" w:color="auto" w:fill="auto"/>
            <w:vAlign w:val="center"/>
          </w:tcPr>
          <w:p w14:paraId="289353D1">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沉渣</w:t>
            </w:r>
          </w:p>
        </w:tc>
        <w:tc>
          <w:tcPr>
            <w:tcW w:w="1459" w:type="dxa"/>
            <w:tcBorders>
              <w:tl2br w:val="nil"/>
              <w:tr2bl w:val="nil"/>
            </w:tcBorders>
            <w:shd w:val="clear" w:color="auto" w:fill="auto"/>
            <w:vAlign w:val="center"/>
          </w:tcPr>
          <w:p w14:paraId="6BA231E0">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后期直接回填</w:t>
            </w:r>
          </w:p>
        </w:tc>
        <w:tc>
          <w:tcPr>
            <w:tcW w:w="1459" w:type="dxa"/>
            <w:tcBorders>
              <w:tl2br w:val="nil"/>
              <w:tr2bl w:val="nil"/>
            </w:tcBorders>
            <w:shd w:val="clear" w:color="auto" w:fill="auto"/>
            <w:vAlign w:val="center"/>
          </w:tcPr>
          <w:p w14:paraId="03E5CFA5">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2822" w:type="dxa"/>
            <w:tcBorders>
              <w:tl2br w:val="nil"/>
              <w:tr2bl w:val="nil"/>
            </w:tcBorders>
            <w:shd w:val="clear" w:color="auto" w:fill="auto"/>
            <w:vAlign w:val="center"/>
          </w:tcPr>
          <w:p w14:paraId="0372037D">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3130" w:type="dxa"/>
            <w:tcBorders>
              <w:tl2br w:val="nil"/>
              <w:tr2bl w:val="nil"/>
            </w:tcBorders>
            <w:shd w:val="clear" w:color="auto" w:fill="auto"/>
            <w:vAlign w:val="center"/>
          </w:tcPr>
          <w:p w14:paraId="3599376A">
            <w:pPr>
              <w:pStyle w:val="44"/>
              <w:bidi w:val="0"/>
              <w:rPr>
                <w:rFonts w:hint="default" w:ascii="Times New Roman" w:hAnsi="Times New Roman" w:cs="Times New Roman"/>
                <w:color w:val="auto"/>
              </w:rPr>
            </w:pPr>
            <w:r>
              <w:rPr>
                <w:rFonts w:hint="default" w:ascii="Times New Roman" w:hAnsi="Times New Roman" w:cs="Times New Roman"/>
                <w:color w:val="auto"/>
                <w:lang w:val="en-US" w:eastAsia="zh-CN"/>
              </w:rPr>
              <w:t>固废处置率100%</w:t>
            </w:r>
          </w:p>
        </w:tc>
      </w:tr>
    </w:tbl>
    <w:p w14:paraId="78CB638F">
      <w:pPr>
        <w:pStyle w:val="25"/>
        <w:tabs>
          <w:tab w:val="left" w:pos="2084"/>
        </w:tabs>
        <w:ind w:firstLine="480"/>
        <w:rPr>
          <w:rFonts w:hint="default" w:ascii="Times New Roman" w:hAnsi="Times New Roman" w:eastAsia="宋体" w:cs="Times New Roman"/>
          <w:color w:val="auto"/>
          <w:lang w:eastAsia="zh-CN"/>
        </w:rPr>
        <w:sectPr>
          <w:pgSz w:w="16838" w:h="11906" w:orient="landscape"/>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5E0E55A9">
      <w:pPr>
        <w:pStyle w:val="41"/>
        <w:bidi w:val="0"/>
        <w:rPr>
          <w:rFonts w:hint="default" w:ascii="Times New Roman" w:hAnsi="Times New Roman" w:cs="Times New Roman"/>
          <w:color w:val="auto"/>
        </w:rPr>
      </w:pPr>
      <w:bookmarkStart w:id="388" w:name="_Toc119316822"/>
      <w:bookmarkStart w:id="389" w:name="_Toc152926840"/>
      <w:bookmarkStart w:id="390" w:name="_Toc16531"/>
      <w:bookmarkStart w:id="391" w:name="_Toc18136"/>
      <w:r>
        <w:rPr>
          <w:rFonts w:hint="default" w:ascii="Times New Roman" w:hAnsi="Times New Roman" w:cs="Times New Roman"/>
          <w:color w:val="auto"/>
        </w:rPr>
        <w:t>8.2环境监测</w:t>
      </w:r>
      <w:bookmarkEnd w:id="378"/>
      <w:bookmarkEnd w:id="379"/>
      <w:bookmarkEnd w:id="388"/>
      <w:r>
        <w:rPr>
          <w:rFonts w:hint="default" w:ascii="Times New Roman" w:hAnsi="Times New Roman" w:cs="Times New Roman"/>
          <w:color w:val="auto"/>
        </w:rPr>
        <w:t>计划</w:t>
      </w:r>
      <w:bookmarkEnd w:id="389"/>
      <w:bookmarkEnd w:id="390"/>
      <w:bookmarkEnd w:id="391"/>
    </w:p>
    <w:p w14:paraId="36C5C607">
      <w:pPr>
        <w:pStyle w:val="41"/>
        <w:bidi w:val="0"/>
        <w:rPr>
          <w:rFonts w:hint="default" w:ascii="Times New Roman" w:hAnsi="Times New Roman" w:cs="Times New Roman"/>
          <w:color w:val="auto"/>
        </w:rPr>
      </w:pPr>
      <w:bookmarkStart w:id="392" w:name="_Toc18861"/>
      <w:bookmarkStart w:id="393" w:name="_Toc6246"/>
      <w:r>
        <w:rPr>
          <w:rFonts w:hint="default" w:ascii="Times New Roman" w:hAnsi="Times New Roman" w:cs="Times New Roman"/>
          <w:color w:val="auto"/>
        </w:rPr>
        <w:t>8.2.1环境监测机构设置及职责</w:t>
      </w:r>
      <w:bookmarkEnd w:id="392"/>
      <w:bookmarkEnd w:id="393"/>
    </w:p>
    <w:p w14:paraId="1D62624C">
      <w:pPr>
        <w:pStyle w:val="25"/>
        <w:bidi w:val="0"/>
        <w:rPr>
          <w:rFonts w:hint="default" w:ascii="Times New Roman" w:hAnsi="Times New Roman" w:cs="Times New Roman"/>
          <w:color w:val="auto"/>
        </w:rPr>
      </w:pPr>
      <w:bookmarkStart w:id="394" w:name="_Toc11758577"/>
      <w:r>
        <w:rPr>
          <w:rFonts w:hint="default" w:ascii="Times New Roman" w:hAnsi="Times New Roman" w:cs="Times New Roman"/>
          <w:color w:val="auto"/>
        </w:rPr>
        <w:t>（1）依据国家颁发的环境质量标准、污染物排放标准及地方环保主管部门的要求，制定全厂的监测计划和工作方案。</w:t>
      </w:r>
    </w:p>
    <w:p w14:paraId="21DA40A8">
      <w:pPr>
        <w:pStyle w:val="25"/>
        <w:bidi w:val="0"/>
        <w:rPr>
          <w:rFonts w:hint="default" w:ascii="Times New Roman" w:hAnsi="Times New Roman" w:cs="Times New Roman"/>
          <w:color w:val="auto"/>
        </w:rPr>
      </w:pPr>
      <w:r>
        <w:rPr>
          <w:rFonts w:hint="default" w:ascii="Times New Roman" w:hAnsi="Times New Roman" w:cs="Times New Roman"/>
          <w:color w:val="auto"/>
        </w:rPr>
        <w:t>（2）根据监测计划预定的监测任务，安排全厂主要排污点的监测任务，及时整理数据，建立污染源监测档案，并将监测结果和环境考核指标及时上报各级主管部门。</w:t>
      </w:r>
    </w:p>
    <w:p w14:paraId="75D715F5">
      <w:pPr>
        <w:pStyle w:val="25"/>
        <w:bidi w:val="0"/>
        <w:rPr>
          <w:rFonts w:hint="default" w:ascii="Times New Roman" w:hAnsi="Times New Roman" w:cs="Times New Roman"/>
          <w:color w:val="auto"/>
        </w:rPr>
      </w:pPr>
      <w:r>
        <w:rPr>
          <w:rFonts w:hint="default" w:ascii="Times New Roman" w:hAnsi="Times New Roman" w:cs="Times New Roman"/>
          <w:color w:val="auto"/>
        </w:rPr>
        <w:t>（3）通过对监测结果的综合分析，摸清污染源排放情况，防止污染事故的发生，如果出现异常情况及时反馈到有关部门，以便采取应急措施。</w:t>
      </w:r>
    </w:p>
    <w:p w14:paraId="1935A7BC">
      <w:pPr>
        <w:pStyle w:val="39"/>
        <w:bidi w:val="0"/>
        <w:rPr>
          <w:rFonts w:hint="default" w:ascii="Times New Roman" w:hAnsi="Times New Roman" w:cs="Times New Roman"/>
          <w:color w:val="auto"/>
        </w:rPr>
      </w:pPr>
      <w:bookmarkStart w:id="395" w:name="_Toc1499"/>
      <w:r>
        <w:rPr>
          <w:rFonts w:hint="default" w:ascii="Times New Roman" w:hAnsi="Times New Roman" w:cs="Times New Roman"/>
          <w:color w:val="auto"/>
        </w:rPr>
        <w:t>8.2.2监测计划</w:t>
      </w:r>
      <w:bookmarkEnd w:id="395"/>
    </w:p>
    <w:p w14:paraId="5D1F3828">
      <w:pPr>
        <w:pStyle w:val="25"/>
        <w:bidi w:val="0"/>
        <w:rPr>
          <w:rFonts w:hint="default" w:ascii="Times New Roman" w:hAnsi="Times New Roman" w:cs="Times New Roman"/>
          <w:color w:val="auto"/>
        </w:rPr>
      </w:pPr>
      <w:r>
        <w:rPr>
          <w:rFonts w:hint="default" w:ascii="Times New Roman" w:hAnsi="Times New Roman" w:cs="Times New Roman"/>
          <w:color w:val="auto"/>
        </w:rPr>
        <w:t>项目建成投产后，建设单位应根据《排污单位自行监测技术指南 总则》（HJ819-2017）制定自行环境监测计划，满足《一般工业固体废物贮存和填埋污染控制标准》（GB18599-2020）中相关监测要求。</w:t>
      </w:r>
    </w:p>
    <w:p w14:paraId="47FA3BE4">
      <w:pPr>
        <w:pStyle w:val="25"/>
        <w:bidi w:val="0"/>
        <w:rPr>
          <w:rFonts w:hint="default" w:ascii="Times New Roman" w:hAnsi="Times New Roman" w:cs="Times New Roman"/>
          <w:color w:val="auto"/>
        </w:rPr>
      </w:pPr>
      <w:r>
        <w:rPr>
          <w:rFonts w:hint="default" w:ascii="Times New Roman" w:hAnsi="Times New Roman" w:cs="Times New Roman"/>
          <w:color w:val="auto"/>
        </w:rPr>
        <w:t>公司可委托检测机构定期对项目污染源及场界环境状况进行例行监测，保证环境保护工作的顺利进行。</w:t>
      </w:r>
    </w:p>
    <w:p w14:paraId="5DBF434F">
      <w:pPr>
        <w:pStyle w:val="25"/>
        <w:bidi w:val="0"/>
        <w:rPr>
          <w:rFonts w:hint="default" w:ascii="Times New Roman" w:hAnsi="Times New Roman" w:cs="Times New Roman"/>
          <w:color w:val="auto"/>
        </w:rPr>
      </w:pPr>
      <w:r>
        <w:rPr>
          <w:rFonts w:hint="default" w:ascii="Times New Roman" w:hAnsi="Times New Roman" w:cs="Times New Roman"/>
          <w:color w:val="auto"/>
        </w:rPr>
        <w:t>根据该项目生产特点和主要污染源及污染物排放情况，提出如下监测要求：</w:t>
      </w:r>
    </w:p>
    <w:p w14:paraId="7C1C783E">
      <w:pPr>
        <w:pStyle w:val="25"/>
        <w:bidi w:val="0"/>
        <w:rPr>
          <w:rFonts w:hint="default" w:ascii="Times New Roman" w:hAnsi="Times New Roman" w:cs="Times New Roman"/>
          <w:color w:val="auto"/>
        </w:rPr>
      </w:pPr>
      <w:r>
        <w:rPr>
          <w:rFonts w:hint="default" w:ascii="Times New Roman" w:hAnsi="Times New Roman" w:cs="Times New Roman"/>
          <w:color w:val="auto"/>
        </w:rPr>
        <w:t>（1）委托环境监测部门定期对产生的废气、废水、项目区地下水进行监测；</w:t>
      </w:r>
    </w:p>
    <w:p w14:paraId="78150DE8">
      <w:pPr>
        <w:pStyle w:val="25"/>
        <w:bidi w:val="0"/>
        <w:rPr>
          <w:rFonts w:hint="default" w:ascii="Times New Roman" w:hAnsi="Times New Roman" w:cs="Times New Roman"/>
          <w:color w:val="auto"/>
        </w:rPr>
      </w:pPr>
      <w:r>
        <w:rPr>
          <w:rFonts w:hint="default" w:ascii="Times New Roman" w:hAnsi="Times New Roman" w:cs="Times New Roman"/>
          <w:color w:val="auto"/>
        </w:rPr>
        <w:t>（2）定期向环境管理部门上报监测结果；</w:t>
      </w:r>
    </w:p>
    <w:p w14:paraId="5810707E">
      <w:pPr>
        <w:pStyle w:val="25"/>
        <w:bidi w:val="0"/>
        <w:rPr>
          <w:rFonts w:hint="default" w:ascii="Times New Roman" w:hAnsi="Times New Roman" w:cs="Times New Roman"/>
          <w:color w:val="auto"/>
        </w:rPr>
      </w:pPr>
      <w:r>
        <w:rPr>
          <w:rFonts w:hint="default" w:ascii="Times New Roman" w:hAnsi="Times New Roman" w:cs="Times New Roman"/>
          <w:color w:val="auto"/>
        </w:rPr>
        <w:t>（3）监测中发现超标排放或其他异常情况，及时报告企业环保管理部门查找原因、解决处理，遇有特殊情况时应随时监测。</w:t>
      </w:r>
    </w:p>
    <w:p w14:paraId="47239FB0">
      <w:pPr>
        <w:pStyle w:val="25"/>
        <w:bidi w:val="0"/>
        <w:rPr>
          <w:rFonts w:hint="default" w:ascii="Times New Roman" w:hAnsi="Times New Roman" w:cs="Times New Roman"/>
          <w:color w:val="auto"/>
        </w:rPr>
      </w:pPr>
      <w:r>
        <w:rPr>
          <w:rFonts w:hint="default" w:ascii="Times New Roman" w:hAnsi="Times New Roman" w:cs="Times New Roman"/>
          <w:color w:val="auto"/>
        </w:rPr>
        <w:t>按照《一般工业固体废物贮存和填埋污染控制标准》（GB18599-2020）、《排污单位自行监测技术指南 总则》（HJ819-2017）相关要求，监测点位、监测项目和监测频率见下表。</w:t>
      </w:r>
    </w:p>
    <w:p w14:paraId="5E49309D">
      <w:pPr>
        <w:pStyle w:val="27"/>
        <w:bidi w:val="0"/>
        <w:ind w:left="0" w:leftChars="0" w:firstLine="0" w:firstLineChars="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表8-2-1环境监测计划一览表</w:t>
      </w:r>
    </w:p>
    <w:tbl>
      <w:tblPr>
        <w:tblStyle w:val="2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75"/>
        <w:gridCol w:w="1136"/>
        <w:gridCol w:w="901"/>
        <w:gridCol w:w="831"/>
        <w:gridCol w:w="1351"/>
        <w:gridCol w:w="1310"/>
        <w:gridCol w:w="2124"/>
      </w:tblGrid>
      <w:tr w14:paraId="6F7740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3" w:hRule="atLeast"/>
        </w:trPr>
        <w:tc>
          <w:tcPr>
            <w:tcW w:w="513" w:type="pct"/>
            <w:tcBorders>
              <w:tl2br w:val="nil"/>
              <w:tr2bl w:val="nil"/>
            </w:tcBorders>
            <w:vAlign w:val="center"/>
          </w:tcPr>
          <w:p w14:paraId="206D3389">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监测时段</w:t>
            </w:r>
          </w:p>
        </w:tc>
        <w:tc>
          <w:tcPr>
            <w:tcW w:w="1194" w:type="pct"/>
            <w:gridSpan w:val="2"/>
            <w:tcBorders>
              <w:tl2br w:val="nil"/>
              <w:tr2bl w:val="nil"/>
            </w:tcBorders>
            <w:vAlign w:val="center"/>
          </w:tcPr>
          <w:p w14:paraId="0EEBC35B">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监测方案</w:t>
            </w:r>
          </w:p>
          <w:p w14:paraId="1618408F">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监测内容</w:t>
            </w:r>
          </w:p>
        </w:tc>
        <w:tc>
          <w:tcPr>
            <w:tcW w:w="487" w:type="pct"/>
            <w:tcBorders>
              <w:tl2br w:val="nil"/>
              <w:tr2bl w:val="nil"/>
            </w:tcBorders>
            <w:vAlign w:val="center"/>
          </w:tcPr>
          <w:p w14:paraId="498ED04F">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监测点位</w:t>
            </w:r>
          </w:p>
        </w:tc>
        <w:tc>
          <w:tcPr>
            <w:tcW w:w="792" w:type="pct"/>
            <w:tcBorders>
              <w:tl2br w:val="nil"/>
              <w:tr2bl w:val="nil"/>
            </w:tcBorders>
            <w:vAlign w:val="center"/>
          </w:tcPr>
          <w:p w14:paraId="1B0A50E3">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监测指标</w:t>
            </w:r>
          </w:p>
        </w:tc>
        <w:tc>
          <w:tcPr>
            <w:tcW w:w="768" w:type="pct"/>
            <w:tcBorders>
              <w:tl2br w:val="nil"/>
              <w:tr2bl w:val="nil"/>
            </w:tcBorders>
            <w:vAlign w:val="center"/>
          </w:tcPr>
          <w:p w14:paraId="694B2C7F">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监测频率</w:t>
            </w:r>
          </w:p>
        </w:tc>
        <w:tc>
          <w:tcPr>
            <w:tcW w:w="1244" w:type="pct"/>
            <w:tcBorders>
              <w:tl2br w:val="nil"/>
              <w:tr2bl w:val="nil"/>
            </w:tcBorders>
            <w:vAlign w:val="center"/>
          </w:tcPr>
          <w:p w14:paraId="2D73591E">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监测要求</w:t>
            </w:r>
          </w:p>
        </w:tc>
      </w:tr>
      <w:tr w14:paraId="1AE555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513" w:type="pct"/>
            <w:vMerge w:val="restart"/>
            <w:tcBorders>
              <w:tl2br w:val="nil"/>
              <w:tr2bl w:val="nil"/>
            </w:tcBorders>
            <w:vAlign w:val="center"/>
          </w:tcPr>
          <w:p w14:paraId="7CE5E860">
            <w:pPr>
              <w:pStyle w:val="44"/>
              <w:bidi w:val="0"/>
              <w:jc w:val="both"/>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en-US" w:eastAsia="zh-CN"/>
              </w:rPr>
              <w:t>施工</w:t>
            </w:r>
            <w:r>
              <w:rPr>
                <w:rFonts w:hint="default" w:ascii="Times New Roman" w:hAnsi="Times New Roman" w:cs="Times New Roman"/>
                <w:color w:val="auto"/>
                <w:highlight w:val="none"/>
                <w:lang w:val="zh-CN"/>
              </w:rPr>
              <w:t>期</w:t>
            </w:r>
          </w:p>
        </w:tc>
        <w:tc>
          <w:tcPr>
            <w:tcW w:w="666" w:type="pct"/>
            <w:vMerge w:val="restart"/>
            <w:tcBorders>
              <w:tl2br w:val="nil"/>
              <w:tr2bl w:val="nil"/>
            </w:tcBorders>
            <w:vAlign w:val="center"/>
          </w:tcPr>
          <w:p w14:paraId="0D84A2FA">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污染物排放监测</w:t>
            </w:r>
          </w:p>
        </w:tc>
        <w:tc>
          <w:tcPr>
            <w:tcW w:w="528" w:type="pct"/>
            <w:tcBorders>
              <w:tl2br w:val="nil"/>
              <w:tr2bl w:val="nil"/>
            </w:tcBorders>
            <w:vAlign w:val="center"/>
          </w:tcPr>
          <w:p w14:paraId="3A52C72C">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废气</w:t>
            </w:r>
          </w:p>
        </w:tc>
        <w:tc>
          <w:tcPr>
            <w:tcW w:w="487" w:type="pct"/>
            <w:tcBorders>
              <w:tl2br w:val="nil"/>
              <w:tr2bl w:val="nil"/>
            </w:tcBorders>
            <w:vAlign w:val="center"/>
          </w:tcPr>
          <w:p w14:paraId="5FB07557">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厂界</w:t>
            </w:r>
          </w:p>
        </w:tc>
        <w:tc>
          <w:tcPr>
            <w:tcW w:w="792" w:type="pct"/>
            <w:tcBorders>
              <w:tl2br w:val="nil"/>
              <w:tr2bl w:val="nil"/>
            </w:tcBorders>
            <w:vAlign w:val="center"/>
          </w:tcPr>
          <w:p w14:paraId="694A3EFD">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颗粒物</w:t>
            </w:r>
          </w:p>
        </w:tc>
        <w:tc>
          <w:tcPr>
            <w:tcW w:w="768" w:type="pct"/>
            <w:tcBorders>
              <w:tl2br w:val="nil"/>
              <w:tr2bl w:val="nil"/>
            </w:tcBorders>
            <w:vAlign w:val="center"/>
          </w:tcPr>
          <w:p w14:paraId="24EE0ED5">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每季度一次</w:t>
            </w:r>
          </w:p>
        </w:tc>
        <w:tc>
          <w:tcPr>
            <w:tcW w:w="1244" w:type="pct"/>
            <w:tcBorders>
              <w:tl2br w:val="nil"/>
              <w:tr2bl w:val="nil"/>
            </w:tcBorders>
            <w:vAlign w:val="center"/>
          </w:tcPr>
          <w:p w14:paraId="25DC718E">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满足《大气污染物综合排放标准》（GB16297-1996）表2中无组织排放监控浓度限值（周界外浓度最高点≤1.0mg/m3）</w:t>
            </w:r>
          </w:p>
        </w:tc>
      </w:tr>
      <w:tr w14:paraId="17DF18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513" w:type="pct"/>
            <w:vMerge w:val="continue"/>
            <w:tcBorders>
              <w:tl2br w:val="nil"/>
              <w:tr2bl w:val="nil"/>
            </w:tcBorders>
            <w:vAlign w:val="center"/>
          </w:tcPr>
          <w:p w14:paraId="5C0861FA">
            <w:pPr>
              <w:pStyle w:val="44"/>
              <w:bidi w:val="0"/>
              <w:jc w:val="center"/>
              <w:rPr>
                <w:rFonts w:hint="default" w:ascii="Times New Roman" w:hAnsi="Times New Roman" w:cs="Times New Roman"/>
                <w:color w:val="auto"/>
                <w:highlight w:val="none"/>
                <w:lang w:val="zh-CN"/>
              </w:rPr>
            </w:pPr>
          </w:p>
        </w:tc>
        <w:tc>
          <w:tcPr>
            <w:tcW w:w="666" w:type="pct"/>
            <w:vMerge w:val="continue"/>
            <w:tcBorders>
              <w:tl2br w:val="nil"/>
              <w:tr2bl w:val="nil"/>
            </w:tcBorders>
            <w:vAlign w:val="center"/>
          </w:tcPr>
          <w:p w14:paraId="7062675D">
            <w:pPr>
              <w:pStyle w:val="44"/>
              <w:bidi w:val="0"/>
              <w:jc w:val="center"/>
              <w:rPr>
                <w:rFonts w:hint="default" w:ascii="Times New Roman" w:hAnsi="Times New Roman" w:cs="Times New Roman"/>
                <w:color w:val="auto"/>
                <w:highlight w:val="none"/>
                <w:lang w:val="zh-CN"/>
              </w:rPr>
            </w:pPr>
          </w:p>
        </w:tc>
        <w:tc>
          <w:tcPr>
            <w:tcW w:w="528" w:type="pct"/>
            <w:tcBorders>
              <w:tl2br w:val="nil"/>
              <w:tr2bl w:val="nil"/>
            </w:tcBorders>
            <w:vAlign w:val="center"/>
          </w:tcPr>
          <w:p w14:paraId="5B00FFC6">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噪声</w:t>
            </w:r>
          </w:p>
        </w:tc>
        <w:tc>
          <w:tcPr>
            <w:tcW w:w="487" w:type="pct"/>
            <w:tcBorders>
              <w:tl2br w:val="nil"/>
              <w:tr2bl w:val="nil"/>
            </w:tcBorders>
            <w:vAlign w:val="center"/>
          </w:tcPr>
          <w:p w14:paraId="2112108C">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厂界</w:t>
            </w:r>
          </w:p>
        </w:tc>
        <w:tc>
          <w:tcPr>
            <w:tcW w:w="792" w:type="pct"/>
            <w:tcBorders>
              <w:tl2br w:val="nil"/>
              <w:tr2bl w:val="nil"/>
            </w:tcBorders>
            <w:vAlign w:val="center"/>
          </w:tcPr>
          <w:p w14:paraId="36EACD52">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等效连续A声级</w:t>
            </w:r>
          </w:p>
        </w:tc>
        <w:tc>
          <w:tcPr>
            <w:tcW w:w="768" w:type="pct"/>
            <w:tcBorders>
              <w:tl2br w:val="nil"/>
              <w:tr2bl w:val="nil"/>
            </w:tcBorders>
            <w:vAlign w:val="center"/>
          </w:tcPr>
          <w:p w14:paraId="373D3CD3">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每季度一次</w:t>
            </w:r>
          </w:p>
        </w:tc>
        <w:tc>
          <w:tcPr>
            <w:tcW w:w="1244" w:type="pct"/>
            <w:tcBorders>
              <w:tl2br w:val="nil"/>
              <w:tr2bl w:val="nil"/>
            </w:tcBorders>
            <w:vAlign w:val="center"/>
          </w:tcPr>
          <w:p w14:paraId="1AC5F2AE">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《工业企业厂界环境噪声排放标准》（GB12348-2008）中1类标准</w:t>
            </w:r>
          </w:p>
        </w:tc>
      </w:tr>
      <w:tr w14:paraId="774872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513" w:type="pct"/>
            <w:vMerge w:val="continue"/>
            <w:tcBorders>
              <w:tl2br w:val="nil"/>
              <w:tr2bl w:val="nil"/>
            </w:tcBorders>
            <w:vAlign w:val="center"/>
          </w:tcPr>
          <w:p w14:paraId="0031F820">
            <w:pPr>
              <w:pStyle w:val="44"/>
              <w:bidi w:val="0"/>
              <w:jc w:val="center"/>
              <w:rPr>
                <w:rFonts w:hint="default" w:ascii="Times New Roman" w:hAnsi="Times New Roman" w:cs="Times New Roman"/>
                <w:color w:val="auto"/>
                <w:highlight w:val="none"/>
                <w:lang w:val="zh-CN"/>
              </w:rPr>
            </w:pPr>
          </w:p>
        </w:tc>
        <w:tc>
          <w:tcPr>
            <w:tcW w:w="666" w:type="pct"/>
            <w:vMerge w:val="restart"/>
            <w:tcBorders>
              <w:tl2br w:val="nil"/>
              <w:tr2bl w:val="nil"/>
            </w:tcBorders>
            <w:vAlign w:val="center"/>
          </w:tcPr>
          <w:p w14:paraId="43CE86E9">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环境质量影响监测</w:t>
            </w:r>
          </w:p>
        </w:tc>
        <w:tc>
          <w:tcPr>
            <w:tcW w:w="528" w:type="pct"/>
            <w:tcBorders>
              <w:tl2br w:val="nil"/>
              <w:tr2bl w:val="nil"/>
            </w:tcBorders>
            <w:vAlign w:val="center"/>
          </w:tcPr>
          <w:p w14:paraId="55AA2107">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地下水环境质量监测</w:t>
            </w:r>
          </w:p>
        </w:tc>
        <w:tc>
          <w:tcPr>
            <w:tcW w:w="487" w:type="pct"/>
            <w:tcBorders>
              <w:tl2br w:val="nil"/>
              <w:tr2bl w:val="nil"/>
            </w:tcBorders>
            <w:vAlign w:val="center"/>
          </w:tcPr>
          <w:p w14:paraId="767D4EE4">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val="zh-CN"/>
              </w:rPr>
              <w:t>口地下水监控井</w:t>
            </w:r>
          </w:p>
        </w:tc>
        <w:tc>
          <w:tcPr>
            <w:tcW w:w="792" w:type="pct"/>
            <w:tcBorders>
              <w:tl2br w:val="nil"/>
              <w:tr2bl w:val="nil"/>
            </w:tcBorders>
            <w:vAlign w:val="center"/>
          </w:tcPr>
          <w:p w14:paraId="47307BAB">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浑浊度、pH、溶解性总固体、氯化物、硝酸盐（以N计）、亚硝酸盐（以N计）、COD、氨氮、镉、汞、砷、铅、铬、铜、镍、锌</w:t>
            </w:r>
          </w:p>
        </w:tc>
        <w:tc>
          <w:tcPr>
            <w:tcW w:w="768" w:type="pct"/>
            <w:tcBorders>
              <w:tl2br w:val="nil"/>
              <w:tr2bl w:val="nil"/>
            </w:tcBorders>
            <w:vAlign w:val="center"/>
          </w:tcPr>
          <w:p w14:paraId="23847247">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每年1次，直到地下水水质连续2年不超出地下水本底水平</w:t>
            </w:r>
          </w:p>
        </w:tc>
        <w:tc>
          <w:tcPr>
            <w:tcW w:w="1244" w:type="pct"/>
            <w:tcBorders>
              <w:tl2br w:val="nil"/>
              <w:tr2bl w:val="nil"/>
            </w:tcBorders>
            <w:vAlign w:val="center"/>
          </w:tcPr>
          <w:p w14:paraId="09762AD9">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按照《地下水环境监测技术规范》（HJ/T164-2020）要求</w:t>
            </w:r>
          </w:p>
        </w:tc>
      </w:tr>
      <w:tr w14:paraId="7D00C3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513" w:type="pct"/>
            <w:vMerge w:val="continue"/>
            <w:tcBorders>
              <w:tl2br w:val="nil"/>
              <w:tr2bl w:val="nil"/>
            </w:tcBorders>
            <w:vAlign w:val="center"/>
          </w:tcPr>
          <w:p w14:paraId="06202253">
            <w:pPr>
              <w:pStyle w:val="44"/>
              <w:bidi w:val="0"/>
              <w:jc w:val="center"/>
              <w:rPr>
                <w:rFonts w:hint="default" w:ascii="Times New Roman" w:hAnsi="Times New Roman" w:cs="Times New Roman"/>
                <w:color w:val="auto"/>
                <w:highlight w:val="none"/>
                <w:lang w:val="zh-CN"/>
              </w:rPr>
            </w:pPr>
          </w:p>
        </w:tc>
        <w:tc>
          <w:tcPr>
            <w:tcW w:w="666" w:type="pct"/>
            <w:vMerge w:val="continue"/>
            <w:tcBorders>
              <w:tl2br w:val="nil"/>
              <w:tr2bl w:val="nil"/>
            </w:tcBorders>
            <w:vAlign w:val="center"/>
          </w:tcPr>
          <w:p w14:paraId="1B5B7016">
            <w:pPr>
              <w:pStyle w:val="44"/>
              <w:bidi w:val="0"/>
              <w:jc w:val="center"/>
              <w:rPr>
                <w:rFonts w:hint="default" w:ascii="Times New Roman" w:hAnsi="Times New Roman" w:cs="Times New Roman"/>
                <w:color w:val="auto"/>
                <w:highlight w:val="none"/>
                <w:lang w:val="zh-CN"/>
              </w:rPr>
            </w:pPr>
          </w:p>
        </w:tc>
        <w:tc>
          <w:tcPr>
            <w:tcW w:w="528" w:type="pct"/>
            <w:tcBorders>
              <w:tl2br w:val="nil"/>
              <w:tr2bl w:val="nil"/>
            </w:tcBorders>
            <w:vAlign w:val="center"/>
          </w:tcPr>
          <w:p w14:paraId="7F20B75A">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土壤环境质量监测</w:t>
            </w:r>
          </w:p>
        </w:tc>
        <w:tc>
          <w:tcPr>
            <w:tcW w:w="487" w:type="pct"/>
            <w:tcBorders>
              <w:tl2br w:val="nil"/>
              <w:tr2bl w:val="nil"/>
            </w:tcBorders>
            <w:vAlign w:val="center"/>
          </w:tcPr>
          <w:p w14:paraId="21A37115">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场区东南侧</w:t>
            </w:r>
          </w:p>
        </w:tc>
        <w:tc>
          <w:tcPr>
            <w:tcW w:w="792" w:type="pct"/>
            <w:tcBorders>
              <w:tl2br w:val="nil"/>
              <w:tr2bl w:val="nil"/>
            </w:tcBorders>
            <w:vAlign w:val="center"/>
          </w:tcPr>
          <w:p w14:paraId="6CCDCB7D">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pH、砷、镉、铬、铜、铅、汞、镍、锌</w:t>
            </w:r>
          </w:p>
        </w:tc>
        <w:tc>
          <w:tcPr>
            <w:tcW w:w="768" w:type="pct"/>
            <w:tcBorders>
              <w:tl2br w:val="nil"/>
              <w:tr2bl w:val="nil"/>
            </w:tcBorders>
            <w:vAlign w:val="center"/>
          </w:tcPr>
          <w:p w14:paraId="07FE6D5F">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每年一次</w:t>
            </w:r>
          </w:p>
        </w:tc>
        <w:tc>
          <w:tcPr>
            <w:tcW w:w="1244" w:type="pct"/>
            <w:tcBorders>
              <w:tl2br w:val="nil"/>
              <w:tr2bl w:val="nil"/>
            </w:tcBorders>
            <w:vAlign w:val="center"/>
          </w:tcPr>
          <w:p w14:paraId="074ADF52">
            <w:pPr>
              <w:pStyle w:val="44"/>
              <w:bidi w:val="0"/>
              <w:jc w:val="cente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监测表层土壤</w:t>
            </w:r>
          </w:p>
        </w:tc>
      </w:tr>
    </w:tbl>
    <w:p w14:paraId="29A93B16">
      <w:pPr>
        <w:pStyle w:val="39"/>
        <w:bidi w:val="0"/>
        <w:rPr>
          <w:rFonts w:hint="default" w:ascii="Times New Roman" w:hAnsi="Times New Roman" w:cs="Times New Roman"/>
          <w:color w:val="auto"/>
        </w:rPr>
      </w:pPr>
      <w:bookmarkStart w:id="396" w:name="_Toc23757"/>
      <w:r>
        <w:rPr>
          <w:rFonts w:hint="default" w:ascii="Times New Roman" w:hAnsi="Times New Roman" w:cs="Times New Roman"/>
          <w:color w:val="auto"/>
        </w:rPr>
        <w:t>8.2.3信息公开</w:t>
      </w:r>
      <w:bookmarkEnd w:id="396"/>
    </w:p>
    <w:p w14:paraId="37390D32">
      <w:pPr>
        <w:pStyle w:val="25"/>
        <w:bidi w:val="0"/>
        <w:rPr>
          <w:rFonts w:hint="default" w:ascii="Times New Roman" w:hAnsi="Times New Roman" w:cs="Times New Roman"/>
          <w:color w:val="auto"/>
        </w:rPr>
      </w:pPr>
      <w:r>
        <w:rPr>
          <w:rFonts w:hint="default" w:ascii="Times New Roman" w:hAnsi="Times New Roman" w:cs="Times New Roman"/>
          <w:color w:val="auto"/>
        </w:rPr>
        <w:t>企事业单位应按照强制公开和自愿公开相结合的原则，及时、如实地公开其环境信息。企业事业单位应当建立健全本单位环境信息公开制度，设定机构负责本单位环境信息公开日常工作。企业事业单位环境信息涉及国家秘密、商业秘密或者个人隐私的，依法可以不公开。法律法规另有规定的，从其规定。</w:t>
      </w:r>
    </w:p>
    <w:p w14:paraId="1F850497">
      <w:pPr>
        <w:pStyle w:val="39"/>
        <w:bidi w:val="0"/>
        <w:rPr>
          <w:rFonts w:hint="default" w:ascii="Times New Roman" w:hAnsi="Times New Roman" w:cs="Times New Roman"/>
          <w:color w:val="auto"/>
        </w:rPr>
      </w:pPr>
      <w:bookmarkStart w:id="397" w:name="_Toc16305"/>
      <w:r>
        <w:rPr>
          <w:rFonts w:hint="default" w:ascii="Times New Roman" w:hAnsi="Times New Roman" w:cs="Times New Roman"/>
          <w:color w:val="auto"/>
        </w:rPr>
        <w:t>8.2.4设立排放口（源）标识</w:t>
      </w:r>
      <w:bookmarkEnd w:id="394"/>
      <w:bookmarkEnd w:id="397"/>
    </w:p>
    <w:p w14:paraId="70B89F85">
      <w:pPr>
        <w:pStyle w:val="25"/>
        <w:bidi w:val="0"/>
        <w:rPr>
          <w:rFonts w:hint="default" w:ascii="Times New Roman" w:hAnsi="Times New Roman" w:cs="Times New Roman"/>
          <w:color w:val="auto"/>
        </w:rPr>
      </w:pPr>
      <w:bookmarkStart w:id="398" w:name="_Toc11758578"/>
      <w:r>
        <w:rPr>
          <w:rFonts w:hint="default" w:ascii="Times New Roman" w:hAnsi="Times New Roman" w:cs="Times New Roman"/>
          <w:color w:val="auto"/>
        </w:rPr>
        <w:t>本项目的各排污口按照环境管理要求，必须进行规范化建设，在本项目的污水处理站排放口、大气排放源、噪声、固废排放源设立规范的环境保护图形标志，按照《环境保护图形标志―排放口（源）》（GB15562.1-1995）执行，以利于环境保护行政主管部门对各排放口的监督管理。标志牌制作由国家环境保护总局统一监制，标志牌应设置在与之功能相应的醒目处。</w:t>
      </w:r>
    </w:p>
    <w:p w14:paraId="4078F68F">
      <w:pPr>
        <w:pStyle w:val="25"/>
        <w:bidi w:val="0"/>
        <w:rPr>
          <w:rFonts w:hint="default" w:ascii="Times New Roman" w:hAnsi="Times New Roman" w:cs="Times New Roman"/>
          <w:color w:val="auto"/>
        </w:rPr>
      </w:pPr>
      <w:r>
        <w:rPr>
          <w:rFonts w:hint="default" w:ascii="Times New Roman" w:hAnsi="Times New Roman" w:cs="Times New Roman"/>
          <w:color w:val="auto"/>
        </w:rPr>
        <w:t>废气排放口、固废、噪声排放源图形符号分为提示图形符号和警告图形符号两种，图形符号与说明见下表。</w:t>
      </w:r>
    </w:p>
    <w:p w14:paraId="7BFA3486">
      <w:pPr>
        <w:pStyle w:val="27"/>
        <w:bidi w:val="0"/>
        <w:rPr>
          <w:rFonts w:hint="default" w:ascii="Times New Roman" w:hAnsi="Times New Roman" w:cs="Times New Roman"/>
          <w:color w:val="auto"/>
        </w:rPr>
      </w:pPr>
      <w:r>
        <w:rPr>
          <w:rFonts w:hint="default" w:ascii="Times New Roman" w:hAnsi="Times New Roman" w:cs="Times New Roman"/>
          <w:color w:val="auto"/>
          <w:lang w:val="zh-CN"/>
        </w:rPr>
        <w:t>表8-2-2污染物排放口环境保护图形标志一览表</w:t>
      </w:r>
    </w:p>
    <w:tbl>
      <w:tblPr>
        <w:tblStyle w:val="20"/>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765"/>
        <w:gridCol w:w="2314"/>
        <w:gridCol w:w="2136"/>
        <w:gridCol w:w="1699"/>
        <w:gridCol w:w="1614"/>
      </w:tblGrid>
      <w:tr w14:paraId="5466580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50" w:type="pct"/>
            <w:tcBorders>
              <w:tl2br w:val="nil"/>
              <w:tr2bl w:val="nil"/>
            </w:tcBorders>
            <w:vAlign w:val="center"/>
          </w:tcPr>
          <w:p w14:paraId="0F3F2B77">
            <w:pPr>
              <w:pStyle w:val="44"/>
              <w:bidi w:val="0"/>
              <w:jc w:val="center"/>
              <w:rPr>
                <w:rFonts w:hint="default" w:ascii="Times New Roman" w:hAnsi="Times New Roman" w:cs="Times New Roman"/>
                <w:color w:val="auto"/>
                <w:lang w:val="zh-CN"/>
              </w:rPr>
            </w:pPr>
            <w:r>
              <w:rPr>
                <w:rFonts w:hint="default" w:ascii="Times New Roman" w:hAnsi="Times New Roman" w:cs="Times New Roman"/>
                <w:color w:val="auto"/>
                <w:lang w:val="zh-CN"/>
              </w:rPr>
              <w:t>序号</w:t>
            </w:r>
          </w:p>
        </w:tc>
        <w:tc>
          <w:tcPr>
            <w:tcW w:w="1358" w:type="pct"/>
            <w:tcBorders>
              <w:tl2br w:val="nil"/>
              <w:tr2bl w:val="nil"/>
            </w:tcBorders>
            <w:vAlign w:val="center"/>
          </w:tcPr>
          <w:p w14:paraId="72314066">
            <w:pPr>
              <w:pStyle w:val="44"/>
              <w:bidi w:val="0"/>
              <w:jc w:val="center"/>
              <w:rPr>
                <w:rFonts w:hint="default" w:ascii="Times New Roman" w:hAnsi="Times New Roman" w:cs="Times New Roman"/>
                <w:color w:val="auto"/>
                <w:lang w:val="zh-CN"/>
              </w:rPr>
            </w:pPr>
            <w:r>
              <w:rPr>
                <w:rFonts w:hint="default" w:ascii="Times New Roman" w:hAnsi="Times New Roman" w:cs="Times New Roman"/>
                <w:color w:val="auto"/>
                <w:lang w:val="zh-CN"/>
              </w:rPr>
              <w:t>提示图形符号</w:t>
            </w:r>
          </w:p>
        </w:tc>
        <w:tc>
          <w:tcPr>
            <w:tcW w:w="1246" w:type="pct"/>
            <w:tcBorders>
              <w:tl2br w:val="nil"/>
              <w:tr2bl w:val="nil"/>
            </w:tcBorders>
            <w:vAlign w:val="center"/>
          </w:tcPr>
          <w:p w14:paraId="79A8E433">
            <w:pPr>
              <w:pStyle w:val="44"/>
              <w:bidi w:val="0"/>
              <w:jc w:val="center"/>
              <w:rPr>
                <w:rFonts w:hint="default" w:ascii="Times New Roman" w:hAnsi="Times New Roman" w:cs="Times New Roman"/>
                <w:color w:val="auto"/>
                <w:lang w:val="zh-CN"/>
              </w:rPr>
            </w:pPr>
            <w:r>
              <w:rPr>
                <w:rFonts w:hint="default" w:ascii="Times New Roman" w:hAnsi="Times New Roman" w:cs="Times New Roman"/>
                <w:color w:val="auto"/>
                <w:lang w:val="zh-CN"/>
              </w:rPr>
              <w:t>警告图形符号</w:t>
            </w:r>
          </w:p>
        </w:tc>
        <w:tc>
          <w:tcPr>
            <w:tcW w:w="997" w:type="pct"/>
            <w:tcBorders>
              <w:tl2br w:val="nil"/>
              <w:tr2bl w:val="nil"/>
            </w:tcBorders>
            <w:vAlign w:val="center"/>
          </w:tcPr>
          <w:p w14:paraId="07748A13">
            <w:pPr>
              <w:pStyle w:val="44"/>
              <w:bidi w:val="0"/>
              <w:jc w:val="center"/>
              <w:rPr>
                <w:rFonts w:hint="default" w:ascii="Times New Roman" w:hAnsi="Times New Roman" w:cs="Times New Roman"/>
                <w:color w:val="auto"/>
                <w:lang w:val="zh-CN"/>
              </w:rPr>
            </w:pPr>
            <w:r>
              <w:rPr>
                <w:rFonts w:hint="default" w:ascii="Times New Roman" w:hAnsi="Times New Roman" w:cs="Times New Roman"/>
                <w:color w:val="auto"/>
                <w:lang w:val="zh-CN"/>
              </w:rPr>
              <w:t>名称</w:t>
            </w:r>
          </w:p>
        </w:tc>
        <w:tc>
          <w:tcPr>
            <w:tcW w:w="947" w:type="pct"/>
            <w:tcBorders>
              <w:tl2br w:val="nil"/>
              <w:tr2bl w:val="nil"/>
            </w:tcBorders>
            <w:vAlign w:val="center"/>
          </w:tcPr>
          <w:p w14:paraId="5B8CC2B5">
            <w:pPr>
              <w:pStyle w:val="44"/>
              <w:bidi w:val="0"/>
              <w:jc w:val="center"/>
              <w:rPr>
                <w:rFonts w:hint="default" w:ascii="Times New Roman" w:hAnsi="Times New Roman" w:cs="Times New Roman"/>
                <w:color w:val="auto"/>
                <w:lang w:val="zh-CN"/>
              </w:rPr>
            </w:pPr>
            <w:r>
              <w:rPr>
                <w:rFonts w:hint="default" w:ascii="Times New Roman" w:hAnsi="Times New Roman" w:cs="Times New Roman"/>
                <w:color w:val="auto"/>
                <w:lang w:val="zh-CN"/>
              </w:rPr>
              <w:t>功能</w:t>
            </w:r>
          </w:p>
        </w:tc>
      </w:tr>
      <w:tr w14:paraId="29C0537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50" w:type="pct"/>
            <w:tcBorders>
              <w:tl2br w:val="nil"/>
              <w:tr2bl w:val="nil"/>
            </w:tcBorders>
            <w:vAlign w:val="center"/>
          </w:tcPr>
          <w:p w14:paraId="77B86341">
            <w:pPr>
              <w:pStyle w:val="44"/>
              <w:bidi w:val="0"/>
              <w:jc w:val="center"/>
              <w:rPr>
                <w:rFonts w:hint="default" w:ascii="Times New Roman" w:hAnsi="Times New Roman" w:cs="Times New Roman"/>
                <w:color w:val="auto"/>
                <w:lang w:val="zh-CN"/>
              </w:rPr>
            </w:pPr>
            <w:r>
              <w:rPr>
                <w:rFonts w:hint="default" w:ascii="Times New Roman" w:hAnsi="Times New Roman" w:cs="Times New Roman"/>
                <w:color w:val="auto"/>
                <w:lang w:val="zh-CN"/>
              </w:rPr>
              <w:t>1</w:t>
            </w:r>
          </w:p>
        </w:tc>
        <w:tc>
          <w:tcPr>
            <w:tcW w:w="1358" w:type="pct"/>
            <w:tcBorders>
              <w:tl2br w:val="nil"/>
              <w:tr2bl w:val="nil"/>
            </w:tcBorders>
            <w:vAlign w:val="center"/>
          </w:tcPr>
          <w:p w14:paraId="48A1A5F5">
            <w:pPr>
              <w:pStyle w:val="44"/>
              <w:bidi w:val="0"/>
              <w:jc w:val="center"/>
              <w:rPr>
                <w:rFonts w:hint="default" w:ascii="Times New Roman" w:hAnsi="Times New Roman" w:cs="Times New Roman"/>
                <w:color w:val="auto"/>
                <w:lang w:val="zh-CN"/>
              </w:rPr>
            </w:pPr>
            <w:r>
              <w:rPr>
                <w:rFonts w:hint="default" w:ascii="Times New Roman" w:hAnsi="Times New Roman" w:cs="Times New Roman"/>
                <w:color w:val="auto"/>
              </w:rPr>
              <w:drawing>
                <wp:inline distT="0" distB="0" distL="0" distR="0">
                  <wp:extent cx="1000125" cy="1009650"/>
                  <wp:effectExtent l="0" t="0" r="9525" b="0"/>
                  <wp:docPr id="166463223" name="图片 6" descr="QQ截图2018030209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63223" name="图片 6" descr="QQ截图2018030209162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a:xfrm>
                            <a:off x="0" y="0"/>
                            <a:ext cx="1000125" cy="1009650"/>
                          </a:xfrm>
                          <a:prstGeom prst="rect">
                            <a:avLst/>
                          </a:prstGeom>
                          <a:noFill/>
                          <a:ln>
                            <a:noFill/>
                          </a:ln>
                        </pic:spPr>
                      </pic:pic>
                    </a:graphicData>
                  </a:graphic>
                </wp:inline>
              </w:drawing>
            </w:r>
          </w:p>
        </w:tc>
        <w:tc>
          <w:tcPr>
            <w:tcW w:w="1246" w:type="pct"/>
            <w:tcBorders>
              <w:tl2br w:val="nil"/>
              <w:tr2bl w:val="nil"/>
            </w:tcBorders>
            <w:vAlign w:val="center"/>
          </w:tcPr>
          <w:p w14:paraId="183E51B6">
            <w:pPr>
              <w:pStyle w:val="44"/>
              <w:bidi w:val="0"/>
              <w:jc w:val="center"/>
              <w:rPr>
                <w:rFonts w:hint="default" w:ascii="Times New Roman" w:hAnsi="Times New Roman" w:cs="Times New Roman"/>
                <w:color w:val="auto"/>
                <w:lang w:val="zh-CN"/>
              </w:rPr>
            </w:pPr>
            <w:r>
              <w:rPr>
                <w:rFonts w:hint="default" w:ascii="Times New Roman" w:hAnsi="Times New Roman" w:cs="Times New Roman"/>
                <w:color w:val="auto"/>
              </w:rPr>
              <w:drawing>
                <wp:inline distT="0" distB="0" distL="0" distR="0">
                  <wp:extent cx="1209675" cy="1076325"/>
                  <wp:effectExtent l="0" t="0" r="9525" b="9525"/>
                  <wp:docPr id="1699839979" name="图片 5" descr="QQ截图2018030209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839979" name="图片 5" descr="QQ截图2018030209163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a:xfrm>
                            <a:off x="0" y="0"/>
                            <a:ext cx="1209675" cy="1076325"/>
                          </a:xfrm>
                          <a:prstGeom prst="rect">
                            <a:avLst/>
                          </a:prstGeom>
                          <a:noFill/>
                          <a:ln>
                            <a:noFill/>
                          </a:ln>
                        </pic:spPr>
                      </pic:pic>
                    </a:graphicData>
                  </a:graphic>
                </wp:inline>
              </w:drawing>
            </w:r>
          </w:p>
        </w:tc>
        <w:tc>
          <w:tcPr>
            <w:tcW w:w="997" w:type="pct"/>
            <w:tcBorders>
              <w:tl2br w:val="nil"/>
              <w:tr2bl w:val="nil"/>
            </w:tcBorders>
            <w:vAlign w:val="center"/>
          </w:tcPr>
          <w:p w14:paraId="694F42B3">
            <w:pPr>
              <w:pStyle w:val="44"/>
              <w:bidi w:val="0"/>
              <w:jc w:val="center"/>
              <w:rPr>
                <w:rFonts w:hint="default" w:ascii="Times New Roman" w:hAnsi="Times New Roman" w:cs="Times New Roman"/>
                <w:color w:val="auto"/>
                <w:lang w:val="zh-CN"/>
              </w:rPr>
            </w:pPr>
            <w:r>
              <w:rPr>
                <w:rFonts w:hint="default" w:ascii="Times New Roman" w:hAnsi="Times New Roman" w:cs="Times New Roman"/>
                <w:color w:val="auto"/>
                <w:lang w:val="zh-CN"/>
              </w:rPr>
              <w:t>废气排放口</w:t>
            </w:r>
          </w:p>
        </w:tc>
        <w:tc>
          <w:tcPr>
            <w:tcW w:w="947" w:type="pct"/>
            <w:tcBorders>
              <w:tl2br w:val="nil"/>
              <w:tr2bl w:val="nil"/>
            </w:tcBorders>
            <w:vAlign w:val="center"/>
          </w:tcPr>
          <w:p w14:paraId="769A1647">
            <w:pPr>
              <w:pStyle w:val="44"/>
              <w:bidi w:val="0"/>
              <w:jc w:val="center"/>
              <w:rPr>
                <w:rFonts w:hint="default" w:ascii="Times New Roman" w:hAnsi="Times New Roman" w:cs="Times New Roman"/>
                <w:color w:val="auto"/>
                <w:lang w:val="zh-CN"/>
              </w:rPr>
            </w:pPr>
            <w:r>
              <w:rPr>
                <w:rFonts w:hint="default" w:ascii="Times New Roman" w:hAnsi="Times New Roman" w:cs="Times New Roman"/>
                <w:color w:val="auto"/>
                <w:lang w:val="zh-CN"/>
              </w:rPr>
              <w:t>表示废气向大气环境排放</w:t>
            </w:r>
          </w:p>
        </w:tc>
      </w:tr>
      <w:tr w14:paraId="155E0EA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50" w:type="pct"/>
            <w:tcBorders>
              <w:tl2br w:val="nil"/>
              <w:tr2bl w:val="nil"/>
            </w:tcBorders>
            <w:vAlign w:val="center"/>
          </w:tcPr>
          <w:p w14:paraId="2A14C3AE">
            <w:pPr>
              <w:pStyle w:val="44"/>
              <w:bidi w:val="0"/>
              <w:jc w:val="center"/>
              <w:rPr>
                <w:rFonts w:hint="default" w:ascii="Times New Roman" w:hAnsi="Times New Roman" w:cs="Times New Roman"/>
                <w:color w:val="auto"/>
                <w:lang w:val="zh-CN"/>
              </w:rPr>
            </w:pPr>
            <w:r>
              <w:rPr>
                <w:rFonts w:hint="default" w:ascii="Times New Roman" w:hAnsi="Times New Roman" w:cs="Times New Roman"/>
                <w:color w:val="auto"/>
                <w:lang w:val="zh-CN"/>
              </w:rPr>
              <w:t>2</w:t>
            </w:r>
          </w:p>
        </w:tc>
        <w:tc>
          <w:tcPr>
            <w:tcW w:w="1358" w:type="pct"/>
            <w:tcBorders>
              <w:tl2br w:val="nil"/>
              <w:tr2bl w:val="nil"/>
            </w:tcBorders>
            <w:vAlign w:val="center"/>
          </w:tcPr>
          <w:p w14:paraId="7552B839">
            <w:pPr>
              <w:pStyle w:val="44"/>
              <w:bidi w:val="0"/>
              <w:jc w:val="center"/>
              <w:rPr>
                <w:rFonts w:hint="default" w:ascii="Times New Roman" w:hAnsi="Times New Roman" w:cs="Times New Roman"/>
                <w:color w:val="auto"/>
                <w:lang w:val="zh-CN"/>
              </w:rPr>
            </w:pPr>
            <w:r>
              <w:rPr>
                <w:rFonts w:hint="default" w:ascii="Times New Roman" w:hAnsi="Times New Roman" w:cs="Times New Roman"/>
                <w:color w:val="auto"/>
              </w:rPr>
              <w:drawing>
                <wp:inline distT="0" distB="0" distL="0" distR="0">
                  <wp:extent cx="1038225" cy="1038225"/>
                  <wp:effectExtent l="0" t="0" r="9525" b="9525"/>
                  <wp:docPr id="1303357735" name="图片 4" descr="QQ截图2018030209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357735" name="图片 4" descr="QQ截图2018030209165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a:xfrm>
                            <a:off x="0" y="0"/>
                            <a:ext cx="1038225" cy="1038225"/>
                          </a:xfrm>
                          <a:prstGeom prst="rect">
                            <a:avLst/>
                          </a:prstGeom>
                          <a:noFill/>
                          <a:ln>
                            <a:noFill/>
                          </a:ln>
                        </pic:spPr>
                      </pic:pic>
                    </a:graphicData>
                  </a:graphic>
                </wp:inline>
              </w:drawing>
            </w:r>
          </w:p>
        </w:tc>
        <w:tc>
          <w:tcPr>
            <w:tcW w:w="1246" w:type="pct"/>
            <w:tcBorders>
              <w:tl2br w:val="nil"/>
              <w:tr2bl w:val="nil"/>
            </w:tcBorders>
            <w:vAlign w:val="center"/>
          </w:tcPr>
          <w:p w14:paraId="059A6A7E">
            <w:pPr>
              <w:pStyle w:val="44"/>
              <w:bidi w:val="0"/>
              <w:jc w:val="center"/>
              <w:rPr>
                <w:rFonts w:hint="default" w:ascii="Times New Roman" w:hAnsi="Times New Roman" w:cs="Times New Roman"/>
                <w:color w:val="auto"/>
                <w:lang w:val="zh-CN"/>
              </w:rPr>
            </w:pPr>
            <w:r>
              <w:rPr>
                <w:rFonts w:hint="default" w:ascii="Times New Roman" w:hAnsi="Times New Roman" w:cs="Times New Roman"/>
                <w:color w:val="auto"/>
              </w:rPr>
              <w:drawing>
                <wp:inline distT="0" distB="0" distL="0" distR="0">
                  <wp:extent cx="1209675" cy="1076325"/>
                  <wp:effectExtent l="0" t="0" r="9525" b="9525"/>
                  <wp:docPr id="1531480118" name="图片 3" descr="QQ截图2018030209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480118" name="图片 3" descr="QQ截图2018030209170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a:xfrm>
                            <a:off x="0" y="0"/>
                            <a:ext cx="1209675" cy="1076325"/>
                          </a:xfrm>
                          <a:prstGeom prst="rect">
                            <a:avLst/>
                          </a:prstGeom>
                          <a:noFill/>
                          <a:ln>
                            <a:noFill/>
                          </a:ln>
                        </pic:spPr>
                      </pic:pic>
                    </a:graphicData>
                  </a:graphic>
                </wp:inline>
              </w:drawing>
            </w:r>
          </w:p>
        </w:tc>
        <w:tc>
          <w:tcPr>
            <w:tcW w:w="997" w:type="pct"/>
            <w:tcBorders>
              <w:tl2br w:val="nil"/>
              <w:tr2bl w:val="nil"/>
            </w:tcBorders>
            <w:vAlign w:val="center"/>
          </w:tcPr>
          <w:p w14:paraId="3B0AF771">
            <w:pPr>
              <w:pStyle w:val="44"/>
              <w:bidi w:val="0"/>
              <w:jc w:val="center"/>
              <w:rPr>
                <w:rFonts w:hint="default" w:ascii="Times New Roman" w:hAnsi="Times New Roman" w:cs="Times New Roman"/>
                <w:color w:val="auto"/>
                <w:lang w:val="zh-CN"/>
              </w:rPr>
            </w:pPr>
            <w:r>
              <w:rPr>
                <w:rFonts w:hint="default" w:ascii="Times New Roman" w:hAnsi="Times New Roman" w:cs="Times New Roman"/>
                <w:color w:val="auto"/>
                <w:lang w:val="zh-CN"/>
              </w:rPr>
              <w:t>噪声排放源</w:t>
            </w:r>
          </w:p>
        </w:tc>
        <w:tc>
          <w:tcPr>
            <w:tcW w:w="947" w:type="pct"/>
            <w:tcBorders>
              <w:tl2br w:val="nil"/>
              <w:tr2bl w:val="nil"/>
            </w:tcBorders>
            <w:vAlign w:val="center"/>
          </w:tcPr>
          <w:p w14:paraId="6FAAC41B">
            <w:pPr>
              <w:pStyle w:val="44"/>
              <w:bidi w:val="0"/>
              <w:jc w:val="center"/>
              <w:rPr>
                <w:rFonts w:hint="default" w:ascii="Times New Roman" w:hAnsi="Times New Roman" w:cs="Times New Roman"/>
                <w:color w:val="auto"/>
                <w:lang w:val="zh-CN"/>
              </w:rPr>
            </w:pPr>
            <w:r>
              <w:rPr>
                <w:rFonts w:hint="default" w:ascii="Times New Roman" w:hAnsi="Times New Roman" w:cs="Times New Roman"/>
                <w:color w:val="auto"/>
                <w:lang w:val="zh-CN"/>
              </w:rPr>
              <w:t>表示噪声向外环境排放</w:t>
            </w:r>
          </w:p>
        </w:tc>
      </w:tr>
      <w:tr w14:paraId="7AAC629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50" w:type="pct"/>
            <w:tcBorders>
              <w:tl2br w:val="nil"/>
              <w:tr2bl w:val="nil"/>
            </w:tcBorders>
            <w:vAlign w:val="center"/>
          </w:tcPr>
          <w:p w14:paraId="36B8E81B">
            <w:pPr>
              <w:pStyle w:val="44"/>
              <w:bidi w:val="0"/>
              <w:jc w:val="center"/>
              <w:rPr>
                <w:rFonts w:hint="default" w:ascii="Times New Roman" w:hAnsi="Times New Roman" w:cs="Times New Roman"/>
                <w:color w:val="auto"/>
                <w:lang w:val="zh-CN"/>
              </w:rPr>
            </w:pPr>
            <w:r>
              <w:rPr>
                <w:rFonts w:hint="default" w:ascii="Times New Roman" w:hAnsi="Times New Roman" w:cs="Times New Roman"/>
                <w:color w:val="auto"/>
                <w:lang w:val="zh-CN"/>
              </w:rPr>
              <w:t>3</w:t>
            </w:r>
          </w:p>
        </w:tc>
        <w:tc>
          <w:tcPr>
            <w:tcW w:w="1358" w:type="pct"/>
            <w:tcBorders>
              <w:tl2br w:val="nil"/>
              <w:tr2bl w:val="nil"/>
            </w:tcBorders>
            <w:vAlign w:val="center"/>
          </w:tcPr>
          <w:p w14:paraId="7D14AAF4">
            <w:pPr>
              <w:pStyle w:val="44"/>
              <w:bidi w:val="0"/>
              <w:jc w:val="center"/>
              <w:rPr>
                <w:rFonts w:hint="default" w:ascii="Times New Roman" w:hAnsi="Times New Roman" w:cs="Times New Roman"/>
                <w:color w:val="auto"/>
                <w:lang w:val="zh-CN"/>
              </w:rPr>
            </w:pPr>
            <w:r>
              <w:rPr>
                <w:rFonts w:hint="default" w:ascii="Times New Roman" w:hAnsi="Times New Roman" w:cs="Times New Roman"/>
                <w:color w:val="auto"/>
              </w:rPr>
              <w:drawing>
                <wp:inline distT="0" distB="0" distL="0" distR="0">
                  <wp:extent cx="1076325" cy="971550"/>
                  <wp:effectExtent l="0" t="0" r="9525" b="0"/>
                  <wp:docPr id="1410457452" name="图片 2" descr="5004926_20075408374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457452" name="图片 2" descr="5004926_200754083745_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a:xfrm>
                            <a:off x="0" y="0"/>
                            <a:ext cx="1076325" cy="971550"/>
                          </a:xfrm>
                          <a:prstGeom prst="rect">
                            <a:avLst/>
                          </a:prstGeom>
                          <a:noFill/>
                          <a:ln>
                            <a:noFill/>
                          </a:ln>
                        </pic:spPr>
                      </pic:pic>
                    </a:graphicData>
                  </a:graphic>
                </wp:inline>
              </w:drawing>
            </w:r>
          </w:p>
        </w:tc>
        <w:tc>
          <w:tcPr>
            <w:tcW w:w="1246" w:type="pct"/>
            <w:tcBorders>
              <w:tl2br w:val="nil"/>
              <w:tr2bl w:val="nil"/>
            </w:tcBorders>
            <w:vAlign w:val="center"/>
          </w:tcPr>
          <w:p w14:paraId="2BAFAFE7">
            <w:pPr>
              <w:pStyle w:val="44"/>
              <w:bidi w:val="0"/>
              <w:jc w:val="center"/>
              <w:rPr>
                <w:rFonts w:hint="default" w:ascii="Times New Roman" w:hAnsi="Times New Roman" w:cs="Times New Roman"/>
                <w:color w:val="auto"/>
                <w:lang w:val="zh-CN"/>
              </w:rPr>
            </w:pPr>
            <w:r>
              <w:rPr>
                <w:rFonts w:hint="default" w:ascii="Times New Roman" w:hAnsi="Times New Roman" w:cs="Times New Roman"/>
                <w:color w:val="auto"/>
              </w:rPr>
              <w:drawing>
                <wp:inline distT="0" distB="0" distL="0" distR="0">
                  <wp:extent cx="990600" cy="885825"/>
                  <wp:effectExtent l="0" t="0" r="0" b="9525"/>
                  <wp:docPr id="1134200567" name="图片 1" descr="wps1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200567" name="图片 1" descr="wps175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a:xfrm>
                            <a:off x="0" y="0"/>
                            <a:ext cx="990600" cy="885825"/>
                          </a:xfrm>
                          <a:prstGeom prst="rect">
                            <a:avLst/>
                          </a:prstGeom>
                          <a:noFill/>
                          <a:ln>
                            <a:noFill/>
                          </a:ln>
                        </pic:spPr>
                      </pic:pic>
                    </a:graphicData>
                  </a:graphic>
                </wp:inline>
              </w:drawing>
            </w:r>
          </w:p>
        </w:tc>
        <w:tc>
          <w:tcPr>
            <w:tcW w:w="997" w:type="pct"/>
            <w:tcBorders>
              <w:tl2br w:val="nil"/>
              <w:tr2bl w:val="nil"/>
            </w:tcBorders>
            <w:vAlign w:val="center"/>
          </w:tcPr>
          <w:p w14:paraId="2CD6EAD6">
            <w:pPr>
              <w:pStyle w:val="44"/>
              <w:bidi w:val="0"/>
              <w:jc w:val="center"/>
              <w:rPr>
                <w:rFonts w:hint="default" w:ascii="Times New Roman" w:hAnsi="Times New Roman" w:cs="Times New Roman"/>
                <w:color w:val="auto"/>
                <w:lang w:val="zh-CN"/>
              </w:rPr>
            </w:pPr>
            <w:r>
              <w:rPr>
                <w:rFonts w:hint="default" w:ascii="Times New Roman" w:hAnsi="Times New Roman" w:cs="Times New Roman"/>
                <w:color w:val="auto"/>
                <w:lang w:val="zh-CN"/>
              </w:rPr>
              <w:t>固体废物堆放场</w:t>
            </w:r>
          </w:p>
        </w:tc>
        <w:tc>
          <w:tcPr>
            <w:tcW w:w="947" w:type="pct"/>
            <w:tcBorders>
              <w:tl2br w:val="nil"/>
              <w:tr2bl w:val="nil"/>
            </w:tcBorders>
            <w:vAlign w:val="center"/>
          </w:tcPr>
          <w:p w14:paraId="042EF8FB">
            <w:pPr>
              <w:pStyle w:val="44"/>
              <w:bidi w:val="0"/>
              <w:jc w:val="center"/>
              <w:rPr>
                <w:rFonts w:hint="default" w:ascii="Times New Roman" w:hAnsi="Times New Roman" w:cs="Times New Roman"/>
                <w:color w:val="auto"/>
                <w:lang w:val="zh-CN"/>
              </w:rPr>
            </w:pPr>
            <w:r>
              <w:rPr>
                <w:rFonts w:hint="default" w:ascii="Times New Roman" w:hAnsi="Times New Roman" w:cs="Times New Roman"/>
                <w:color w:val="auto"/>
                <w:lang w:val="zh-CN"/>
              </w:rPr>
              <w:t>表示此处为固体堆放区</w:t>
            </w:r>
          </w:p>
        </w:tc>
      </w:tr>
      <w:bookmarkEnd w:id="398"/>
    </w:tbl>
    <w:p w14:paraId="36C33078">
      <w:pPr>
        <w:pStyle w:val="41"/>
        <w:bidi w:val="0"/>
        <w:rPr>
          <w:rFonts w:hint="default" w:ascii="Times New Roman" w:hAnsi="Times New Roman" w:cs="Times New Roman"/>
          <w:color w:val="auto"/>
        </w:rPr>
      </w:pPr>
      <w:bookmarkStart w:id="399" w:name="_Toc152926841"/>
      <w:bookmarkStart w:id="400" w:name="_Toc119316823"/>
      <w:bookmarkStart w:id="401" w:name="_Toc28809"/>
      <w:bookmarkStart w:id="402" w:name="_Toc330"/>
      <w:bookmarkStart w:id="403" w:name="_Toc11758579"/>
      <w:r>
        <w:rPr>
          <w:rFonts w:hint="default" w:ascii="Times New Roman" w:hAnsi="Times New Roman" w:cs="Times New Roman"/>
          <w:color w:val="auto"/>
        </w:rPr>
        <w:t>8.3环境保护竣工验收</w:t>
      </w:r>
      <w:bookmarkEnd w:id="399"/>
      <w:bookmarkEnd w:id="400"/>
      <w:bookmarkEnd w:id="401"/>
      <w:bookmarkEnd w:id="402"/>
      <w:bookmarkEnd w:id="403"/>
    </w:p>
    <w:p w14:paraId="74EB2366">
      <w:pPr>
        <w:pStyle w:val="25"/>
        <w:bidi w:val="0"/>
        <w:rPr>
          <w:rFonts w:hint="default" w:ascii="Times New Roman" w:hAnsi="Times New Roman" w:cs="Times New Roman"/>
          <w:color w:val="auto"/>
        </w:rPr>
      </w:pPr>
      <w:r>
        <w:rPr>
          <w:rFonts w:hint="default" w:ascii="Times New Roman" w:hAnsi="Times New Roman" w:cs="Times New Roman"/>
          <w:color w:val="auto"/>
        </w:rPr>
        <w:t>本项目中的污染防治措施必须与主体工程同时设计、同时施工、同时投产使用。防治污染的设施必须经原审批环境影响报告书的环境保护行政主管部门验收合格后，项目方可投入生产和使用。</w:t>
      </w:r>
    </w:p>
    <w:p w14:paraId="022CA18D">
      <w:pPr>
        <w:pStyle w:val="25"/>
        <w:bidi w:val="0"/>
        <w:rPr>
          <w:rFonts w:hint="default" w:ascii="Times New Roman" w:hAnsi="Times New Roman" w:cs="Times New Roman"/>
          <w:color w:val="auto"/>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type="linesAndChars" w:linePitch="326" w:charSpace="0"/>
        </w:sectPr>
      </w:pPr>
      <w:r>
        <w:rPr>
          <w:rFonts w:hint="default" w:ascii="Times New Roman" w:hAnsi="Times New Roman" w:cs="Times New Roman"/>
          <w:color w:val="auto"/>
        </w:rPr>
        <w:t>拟建项目建成后，环境保护措施竣工验收情况详见表8-3-1。</w:t>
      </w:r>
    </w:p>
    <w:p w14:paraId="10C942E6">
      <w:pPr>
        <w:pStyle w:val="27"/>
        <w:bidi w:val="0"/>
        <w:rPr>
          <w:rFonts w:hint="default" w:ascii="Times New Roman" w:hAnsi="Times New Roman" w:cs="Times New Roman"/>
          <w:color w:val="auto"/>
        </w:rPr>
      </w:pPr>
      <w:r>
        <w:rPr>
          <w:rFonts w:hint="default" w:ascii="Times New Roman" w:hAnsi="Times New Roman" w:cs="Times New Roman"/>
          <w:color w:val="auto"/>
        </w:rPr>
        <w:t>表8-3-1建设项目竣工环境保护验收一览表</w:t>
      </w:r>
    </w:p>
    <w:tbl>
      <w:tblPr>
        <w:tblStyle w:val="20"/>
        <w:tblW w:w="1380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05"/>
        <w:gridCol w:w="1222"/>
        <w:gridCol w:w="1559"/>
        <w:gridCol w:w="6237"/>
        <w:gridCol w:w="3821"/>
        <w:gridCol w:w="59"/>
      </w:tblGrid>
      <w:tr w14:paraId="5F4A1A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 w:hRule="atLeast"/>
          <w:jc w:val="center"/>
        </w:trPr>
        <w:tc>
          <w:tcPr>
            <w:tcW w:w="905" w:type="dxa"/>
            <w:tcMar>
              <w:left w:w="0" w:type="dxa"/>
              <w:right w:w="0" w:type="dxa"/>
            </w:tcMar>
            <w:vAlign w:val="center"/>
          </w:tcPr>
          <w:p w14:paraId="39004944">
            <w:pPr>
              <w:pStyle w:val="44"/>
              <w:bidi w:val="0"/>
              <w:rPr>
                <w:rFonts w:hint="default" w:ascii="Times New Roman" w:hAnsi="Times New Roman" w:cs="Times New Roman"/>
                <w:color w:val="auto"/>
              </w:rPr>
            </w:pPr>
            <w:r>
              <w:rPr>
                <w:rFonts w:hint="default" w:ascii="Times New Roman" w:hAnsi="Times New Roman" w:cs="Times New Roman"/>
                <w:color w:val="auto"/>
              </w:rPr>
              <w:t>时序</w:t>
            </w:r>
          </w:p>
        </w:tc>
        <w:tc>
          <w:tcPr>
            <w:tcW w:w="1222" w:type="dxa"/>
            <w:vAlign w:val="center"/>
          </w:tcPr>
          <w:p w14:paraId="745E6095">
            <w:pPr>
              <w:pStyle w:val="44"/>
              <w:bidi w:val="0"/>
              <w:rPr>
                <w:rFonts w:hint="default" w:ascii="Times New Roman" w:hAnsi="Times New Roman" w:cs="Times New Roman"/>
                <w:color w:val="auto"/>
              </w:rPr>
            </w:pPr>
            <w:r>
              <w:rPr>
                <w:rFonts w:hint="default" w:ascii="Times New Roman" w:hAnsi="Times New Roman" w:cs="Times New Roman"/>
                <w:color w:val="auto"/>
              </w:rPr>
              <w:t>污染源</w:t>
            </w:r>
          </w:p>
        </w:tc>
        <w:tc>
          <w:tcPr>
            <w:tcW w:w="1559" w:type="dxa"/>
            <w:vAlign w:val="center"/>
          </w:tcPr>
          <w:p w14:paraId="3EF24A33">
            <w:pPr>
              <w:pStyle w:val="44"/>
              <w:bidi w:val="0"/>
              <w:rPr>
                <w:rFonts w:hint="default" w:ascii="Times New Roman" w:hAnsi="Times New Roman" w:cs="Times New Roman"/>
                <w:color w:val="auto"/>
              </w:rPr>
            </w:pPr>
            <w:r>
              <w:rPr>
                <w:rFonts w:hint="default" w:ascii="Times New Roman" w:hAnsi="Times New Roman" w:cs="Times New Roman"/>
                <w:color w:val="auto"/>
              </w:rPr>
              <w:t>项目</w:t>
            </w:r>
          </w:p>
        </w:tc>
        <w:tc>
          <w:tcPr>
            <w:tcW w:w="6237" w:type="dxa"/>
            <w:vAlign w:val="center"/>
          </w:tcPr>
          <w:p w14:paraId="02B1D5B7">
            <w:pPr>
              <w:pStyle w:val="44"/>
              <w:bidi w:val="0"/>
              <w:rPr>
                <w:rFonts w:hint="default" w:ascii="Times New Roman" w:hAnsi="Times New Roman" w:cs="Times New Roman"/>
                <w:color w:val="auto"/>
              </w:rPr>
            </w:pPr>
            <w:r>
              <w:rPr>
                <w:rFonts w:hint="default" w:ascii="Times New Roman" w:hAnsi="Times New Roman" w:cs="Times New Roman"/>
                <w:color w:val="auto"/>
              </w:rPr>
              <w:t>治理措施</w:t>
            </w:r>
          </w:p>
        </w:tc>
        <w:tc>
          <w:tcPr>
            <w:tcW w:w="3880" w:type="dxa"/>
            <w:gridSpan w:val="2"/>
            <w:vAlign w:val="center"/>
          </w:tcPr>
          <w:p w14:paraId="57862D35">
            <w:pPr>
              <w:pStyle w:val="44"/>
              <w:bidi w:val="0"/>
              <w:rPr>
                <w:rFonts w:hint="default" w:ascii="Times New Roman" w:hAnsi="Times New Roman" w:cs="Times New Roman"/>
                <w:color w:val="auto"/>
              </w:rPr>
            </w:pPr>
            <w:r>
              <w:rPr>
                <w:rFonts w:hint="default" w:ascii="Times New Roman" w:hAnsi="Times New Roman" w:cs="Times New Roman"/>
                <w:color w:val="auto"/>
              </w:rPr>
              <w:t>验收标准</w:t>
            </w:r>
          </w:p>
        </w:tc>
      </w:tr>
      <w:tr w14:paraId="009B5E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 w:hRule="atLeast"/>
          <w:jc w:val="center"/>
        </w:trPr>
        <w:tc>
          <w:tcPr>
            <w:tcW w:w="905" w:type="dxa"/>
            <w:vMerge w:val="restart"/>
            <w:tcMar>
              <w:left w:w="0" w:type="dxa"/>
              <w:right w:w="0" w:type="dxa"/>
            </w:tcMar>
            <w:vAlign w:val="center"/>
          </w:tcPr>
          <w:p w14:paraId="4EACEF7F">
            <w:pPr>
              <w:pStyle w:val="4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施工期</w:t>
            </w:r>
          </w:p>
        </w:tc>
        <w:tc>
          <w:tcPr>
            <w:tcW w:w="1222" w:type="dxa"/>
            <w:vAlign w:val="center"/>
          </w:tcPr>
          <w:p w14:paraId="548AB55D">
            <w:pPr>
              <w:pStyle w:val="44"/>
              <w:bidi w:val="0"/>
              <w:rPr>
                <w:rFonts w:hint="default" w:ascii="Times New Roman" w:hAnsi="Times New Roman" w:cs="Times New Roman"/>
                <w:color w:val="auto"/>
              </w:rPr>
            </w:pPr>
            <w:r>
              <w:rPr>
                <w:rFonts w:hint="default" w:ascii="Times New Roman" w:hAnsi="Times New Roman" w:cs="Times New Roman"/>
                <w:color w:val="auto"/>
              </w:rPr>
              <w:t>生活污水</w:t>
            </w:r>
          </w:p>
        </w:tc>
        <w:tc>
          <w:tcPr>
            <w:tcW w:w="1559" w:type="dxa"/>
            <w:vAlign w:val="center"/>
          </w:tcPr>
          <w:p w14:paraId="60ED6334">
            <w:pPr>
              <w:pStyle w:val="44"/>
              <w:bidi w:val="0"/>
              <w:rPr>
                <w:rFonts w:hint="default" w:ascii="Times New Roman" w:hAnsi="Times New Roman" w:cs="Times New Roman"/>
                <w:color w:val="auto"/>
              </w:rPr>
            </w:pPr>
            <w:r>
              <w:rPr>
                <w:rFonts w:hint="default" w:ascii="Times New Roman" w:hAnsi="Times New Roman" w:cs="Times New Roman"/>
                <w:color w:val="auto"/>
              </w:rPr>
              <w:t>COD、氨氮、pH、SS、BOD</w:t>
            </w:r>
            <w:r>
              <w:rPr>
                <w:rFonts w:hint="default" w:ascii="Times New Roman" w:hAnsi="Times New Roman" w:cs="Times New Roman"/>
                <w:color w:val="auto"/>
                <w:vertAlign w:val="subscript"/>
              </w:rPr>
              <w:t>5</w:t>
            </w:r>
          </w:p>
        </w:tc>
        <w:tc>
          <w:tcPr>
            <w:tcW w:w="6237" w:type="dxa"/>
            <w:vAlign w:val="center"/>
          </w:tcPr>
          <w:p w14:paraId="55C25F6A">
            <w:pPr>
              <w:pStyle w:val="44"/>
              <w:bidi w:val="0"/>
              <w:rPr>
                <w:rFonts w:hint="default" w:ascii="Times New Roman" w:hAnsi="Times New Roman" w:cs="Times New Roman"/>
                <w:color w:val="auto"/>
              </w:rPr>
            </w:pPr>
            <w:r>
              <w:rPr>
                <w:rFonts w:hint="default" w:ascii="Times New Roman" w:hAnsi="Times New Roman" w:cs="Times New Roman"/>
                <w:color w:val="auto"/>
              </w:rPr>
              <w:t>员工生活污水排入依托租赁的民房配套的防渗旱厕，定期清掏，外运堆肥，不外排</w:t>
            </w:r>
          </w:p>
        </w:tc>
        <w:tc>
          <w:tcPr>
            <w:tcW w:w="3880" w:type="dxa"/>
            <w:gridSpan w:val="2"/>
            <w:vAlign w:val="center"/>
          </w:tcPr>
          <w:p w14:paraId="254C628A">
            <w:pPr>
              <w:pStyle w:val="44"/>
              <w:bidi w:val="0"/>
              <w:rPr>
                <w:rFonts w:hint="default" w:ascii="Times New Roman" w:hAnsi="Times New Roman" w:cs="Times New Roman"/>
                <w:color w:val="auto"/>
              </w:rPr>
            </w:pPr>
            <w:r>
              <w:rPr>
                <w:rFonts w:hint="default" w:ascii="Times New Roman" w:hAnsi="Times New Roman" w:cs="Times New Roman"/>
                <w:color w:val="auto"/>
              </w:rPr>
              <w:t>不外排</w:t>
            </w:r>
          </w:p>
        </w:tc>
      </w:tr>
      <w:tr w14:paraId="169A7B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 w:hRule="atLeast"/>
          <w:jc w:val="center"/>
        </w:trPr>
        <w:tc>
          <w:tcPr>
            <w:tcW w:w="905" w:type="dxa"/>
            <w:vMerge w:val="continue"/>
            <w:tcMar>
              <w:left w:w="0" w:type="dxa"/>
              <w:right w:w="0" w:type="dxa"/>
            </w:tcMar>
            <w:vAlign w:val="center"/>
          </w:tcPr>
          <w:p w14:paraId="2C889C7D">
            <w:pPr>
              <w:pStyle w:val="44"/>
              <w:bidi w:val="0"/>
              <w:rPr>
                <w:rFonts w:hint="default" w:ascii="Times New Roman" w:hAnsi="Times New Roman" w:cs="Times New Roman"/>
                <w:color w:val="auto"/>
              </w:rPr>
            </w:pPr>
          </w:p>
        </w:tc>
        <w:tc>
          <w:tcPr>
            <w:tcW w:w="1222" w:type="dxa"/>
            <w:vAlign w:val="center"/>
          </w:tcPr>
          <w:p w14:paraId="7F09B579">
            <w:pPr>
              <w:pStyle w:val="44"/>
              <w:bidi w:val="0"/>
              <w:rPr>
                <w:rFonts w:hint="default" w:ascii="Times New Roman" w:hAnsi="Times New Roman" w:cs="Times New Roman"/>
                <w:color w:val="auto"/>
              </w:rPr>
            </w:pPr>
            <w:r>
              <w:rPr>
                <w:rFonts w:hint="default" w:ascii="Times New Roman" w:hAnsi="Times New Roman" w:cs="Times New Roman"/>
                <w:color w:val="auto"/>
              </w:rPr>
              <w:t>径流雨水</w:t>
            </w:r>
          </w:p>
        </w:tc>
        <w:tc>
          <w:tcPr>
            <w:tcW w:w="1559" w:type="dxa"/>
            <w:vAlign w:val="center"/>
          </w:tcPr>
          <w:p w14:paraId="68A83113">
            <w:pPr>
              <w:pStyle w:val="44"/>
              <w:bidi w:val="0"/>
              <w:rPr>
                <w:rFonts w:hint="default" w:ascii="Times New Roman" w:hAnsi="Times New Roman" w:cs="Times New Roman"/>
                <w:color w:val="auto"/>
              </w:rPr>
            </w:pPr>
            <w:r>
              <w:rPr>
                <w:rFonts w:hint="default" w:ascii="Times New Roman" w:hAnsi="Times New Roman" w:cs="Times New Roman"/>
                <w:color w:val="auto"/>
              </w:rPr>
              <w:t>SS</w:t>
            </w:r>
          </w:p>
        </w:tc>
        <w:tc>
          <w:tcPr>
            <w:tcW w:w="6237" w:type="dxa"/>
            <w:vAlign w:val="center"/>
          </w:tcPr>
          <w:p w14:paraId="5681789A">
            <w:pPr>
              <w:pStyle w:val="44"/>
              <w:bidi w:val="0"/>
              <w:rPr>
                <w:rFonts w:hint="default" w:ascii="Times New Roman" w:hAnsi="Times New Roman" w:cs="Times New Roman"/>
                <w:color w:val="auto"/>
              </w:rPr>
            </w:pPr>
            <w:r>
              <w:rPr>
                <w:rFonts w:hint="default" w:ascii="Times New Roman" w:hAnsi="Times New Roman" w:cs="Times New Roman"/>
                <w:color w:val="auto"/>
              </w:rPr>
              <w:t>在回填区四周设置排水沟，未受污染的雨水沿苫布上的坡面流进排水沟，最终排入厂区东北侧自然冲沟</w:t>
            </w:r>
          </w:p>
        </w:tc>
        <w:tc>
          <w:tcPr>
            <w:tcW w:w="3880" w:type="dxa"/>
            <w:gridSpan w:val="2"/>
            <w:vAlign w:val="center"/>
          </w:tcPr>
          <w:p w14:paraId="2FB19B4D">
            <w:pPr>
              <w:pStyle w:val="44"/>
              <w:bidi w:val="0"/>
              <w:rPr>
                <w:rFonts w:hint="default" w:ascii="Times New Roman" w:hAnsi="Times New Roman" w:cs="Times New Roman"/>
                <w:color w:val="auto"/>
              </w:rPr>
            </w:pPr>
            <w:r>
              <w:rPr>
                <w:rFonts w:hint="default" w:ascii="Times New Roman" w:hAnsi="Times New Roman" w:cs="Times New Roman"/>
                <w:color w:val="auto"/>
              </w:rPr>
              <w:t>/</w:t>
            </w:r>
          </w:p>
        </w:tc>
      </w:tr>
      <w:tr w14:paraId="7AA891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 w:hRule="atLeast"/>
          <w:jc w:val="center"/>
        </w:trPr>
        <w:tc>
          <w:tcPr>
            <w:tcW w:w="905" w:type="dxa"/>
            <w:vMerge w:val="continue"/>
            <w:tcMar>
              <w:left w:w="0" w:type="dxa"/>
              <w:right w:w="0" w:type="dxa"/>
            </w:tcMar>
            <w:vAlign w:val="center"/>
          </w:tcPr>
          <w:p w14:paraId="0DB1273C">
            <w:pPr>
              <w:pStyle w:val="44"/>
              <w:bidi w:val="0"/>
              <w:rPr>
                <w:rFonts w:hint="default" w:ascii="Times New Roman" w:hAnsi="Times New Roman" w:cs="Times New Roman"/>
                <w:color w:val="auto"/>
              </w:rPr>
            </w:pPr>
          </w:p>
        </w:tc>
        <w:tc>
          <w:tcPr>
            <w:tcW w:w="1222" w:type="dxa"/>
            <w:vAlign w:val="center"/>
          </w:tcPr>
          <w:p w14:paraId="7BF9BC57">
            <w:pPr>
              <w:pStyle w:val="44"/>
              <w:bidi w:val="0"/>
              <w:rPr>
                <w:rFonts w:hint="default" w:ascii="Times New Roman" w:hAnsi="Times New Roman" w:cs="Times New Roman"/>
                <w:color w:val="auto"/>
              </w:rPr>
            </w:pPr>
            <w:r>
              <w:rPr>
                <w:rFonts w:hint="default" w:ascii="Times New Roman" w:hAnsi="Times New Roman" w:cs="Times New Roman"/>
                <w:color w:val="auto"/>
              </w:rPr>
              <w:t>作业扬尘、堆场、运输扬尘</w:t>
            </w:r>
          </w:p>
        </w:tc>
        <w:tc>
          <w:tcPr>
            <w:tcW w:w="1559" w:type="dxa"/>
            <w:vAlign w:val="center"/>
          </w:tcPr>
          <w:p w14:paraId="2B38044B">
            <w:pPr>
              <w:pStyle w:val="44"/>
              <w:bidi w:val="0"/>
              <w:rPr>
                <w:rFonts w:hint="default" w:ascii="Times New Roman" w:hAnsi="Times New Roman" w:cs="Times New Roman"/>
                <w:color w:val="auto"/>
              </w:rPr>
            </w:pPr>
            <w:r>
              <w:rPr>
                <w:rFonts w:hint="default" w:ascii="Times New Roman" w:hAnsi="Times New Roman" w:cs="Times New Roman"/>
                <w:color w:val="auto"/>
              </w:rPr>
              <w:t>颗粒物</w:t>
            </w:r>
          </w:p>
        </w:tc>
        <w:tc>
          <w:tcPr>
            <w:tcW w:w="6237" w:type="dxa"/>
            <w:vAlign w:val="center"/>
          </w:tcPr>
          <w:p w14:paraId="2BBCD2E9">
            <w:pPr>
              <w:pStyle w:val="44"/>
              <w:bidi w:val="0"/>
              <w:rPr>
                <w:rFonts w:hint="default" w:ascii="Times New Roman" w:hAnsi="Times New Roman" w:cs="Times New Roman"/>
                <w:color w:val="auto"/>
              </w:rPr>
            </w:pPr>
            <w:r>
              <w:rPr>
                <w:rFonts w:hint="default" w:ascii="Times New Roman" w:hAnsi="Times New Roman" w:cs="Times New Roman"/>
                <w:color w:val="auto"/>
              </w:rPr>
              <w:t>作业区：</w:t>
            </w:r>
          </w:p>
          <w:p w14:paraId="4CE720B6">
            <w:pPr>
              <w:pStyle w:val="44"/>
              <w:bidi w:val="0"/>
              <w:rPr>
                <w:rFonts w:hint="default" w:ascii="Times New Roman" w:hAnsi="Times New Roman" w:cs="Times New Roman"/>
                <w:color w:val="auto"/>
              </w:rPr>
            </w:pPr>
            <w:r>
              <w:rPr>
                <w:rFonts w:hint="default" w:ascii="Times New Roman" w:hAnsi="Times New Roman" w:cs="Times New Roman"/>
                <w:color w:val="auto"/>
              </w:rPr>
              <w:t>运到回填场的煤矸石分区分块摊铺并及时碾压通过洒水车进行洒水抑尘；</w:t>
            </w:r>
          </w:p>
          <w:p w14:paraId="282F40B1">
            <w:pPr>
              <w:pStyle w:val="44"/>
              <w:bidi w:val="0"/>
              <w:rPr>
                <w:rFonts w:hint="default" w:ascii="Times New Roman" w:hAnsi="Times New Roman" w:cs="Times New Roman"/>
                <w:color w:val="auto"/>
              </w:rPr>
            </w:pPr>
            <w:r>
              <w:rPr>
                <w:rFonts w:hint="default" w:ascii="Times New Roman" w:hAnsi="Times New Roman" w:cs="Times New Roman"/>
                <w:color w:val="auto"/>
              </w:rPr>
              <w:t>②控制自卸汽车卸料高度，在卸料过程中通过洒水车进行洒水抑尘；</w:t>
            </w:r>
          </w:p>
          <w:p w14:paraId="477DAB73">
            <w:pPr>
              <w:pStyle w:val="44"/>
              <w:bidi w:val="0"/>
              <w:rPr>
                <w:rFonts w:hint="default" w:ascii="Times New Roman" w:hAnsi="Times New Roman" w:cs="Times New Roman"/>
                <w:color w:val="auto"/>
              </w:rPr>
            </w:pPr>
            <w:r>
              <w:rPr>
                <w:rFonts w:hint="default" w:ascii="Times New Roman" w:hAnsi="Times New Roman" w:cs="Times New Roman"/>
                <w:color w:val="auto"/>
              </w:rPr>
              <w:t>③作业面四周加装围挡，高度不低于1.8m。</w:t>
            </w:r>
          </w:p>
          <w:p w14:paraId="6F7C008A">
            <w:pPr>
              <w:pStyle w:val="44"/>
              <w:bidi w:val="0"/>
              <w:rPr>
                <w:rFonts w:hint="default" w:ascii="Times New Roman" w:hAnsi="Times New Roman" w:cs="Times New Roman"/>
                <w:color w:val="auto"/>
              </w:rPr>
            </w:pPr>
            <w:r>
              <w:rPr>
                <w:rFonts w:hint="default" w:ascii="Times New Roman" w:hAnsi="Times New Roman" w:cs="Times New Roman"/>
                <w:color w:val="auto"/>
              </w:rPr>
              <w:t>非作业面扬尘：</w:t>
            </w:r>
          </w:p>
          <w:p w14:paraId="1AC0E6E1">
            <w:pPr>
              <w:pStyle w:val="44"/>
              <w:bidi w:val="0"/>
              <w:rPr>
                <w:rFonts w:hint="default" w:ascii="Times New Roman" w:hAnsi="Times New Roman" w:cs="Times New Roman"/>
                <w:color w:val="auto"/>
              </w:rPr>
            </w:pPr>
            <w:r>
              <w:rPr>
                <w:rFonts w:hint="default" w:ascii="Times New Roman" w:hAnsi="Times New Roman" w:cs="Times New Roman"/>
                <w:color w:val="auto"/>
              </w:rPr>
              <w:t>非作业面以及已碾实的煤矸石表面采用密目网或苫布覆盖。</w:t>
            </w:r>
          </w:p>
          <w:p w14:paraId="59A3FB67">
            <w:pPr>
              <w:pStyle w:val="44"/>
              <w:bidi w:val="0"/>
              <w:rPr>
                <w:rFonts w:hint="default" w:ascii="Times New Roman" w:hAnsi="Times New Roman" w:cs="Times New Roman"/>
                <w:color w:val="auto"/>
              </w:rPr>
            </w:pPr>
            <w:r>
              <w:rPr>
                <w:rFonts w:hint="default" w:ascii="Times New Roman" w:hAnsi="Times New Roman" w:cs="Times New Roman"/>
                <w:color w:val="auto"/>
              </w:rPr>
              <w:t>道路运输：</w:t>
            </w:r>
          </w:p>
          <w:p w14:paraId="3BE95C6C">
            <w:pPr>
              <w:pStyle w:val="44"/>
              <w:bidi w:val="0"/>
              <w:rPr>
                <w:rFonts w:hint="default" w:ascii="Times New Roman" w:hAnsi="Times New Roman" w:cs="Times New Roman"/>
                <w:color w:val="auto"/>
              </w:rPr>
            </w:pPr>
            <w:r>
              <w:rPr>
                <w:rFonts w:hint="default" w:ascii="Times New Roman" w:hAnsi="Times New Roman" w:cs="Times New Roman"/>
                <w:color w:val="auto"/>
              </w:rPr>
              <w:t>①车辆运输过程中严格限制超载、超速；</w:t>
            </w:r>
          </w:p>
          <w:p w14:paraId="59633ECF">
            <w:pPr>
              <w:pStyle w:val="44"/>
              <w:bidi w:val="0"/>
              <w:rPr>
                <w:rFonts w:hint="default" w:ascii="Times New Roman" w:hAnsi="Times New Roman" w:cs="Times New Roman"/>
                <w:color w:val="auto"/>
              </w:rPr>
            </w:pPr>
            <w:r>
              <w:rPr>
                <w:rFonts w:hint="default" w:ascii="Times New Roman" w:hAnsi="Times New Roman" w:cs="Times New Roman"/>
                <w:color w:val="auto"/>
              </w:rPr>
              <w:t>②自卸汽车密闭运输，减速慢行；</w:t>
            </w:r>
          </w:p>
          <w:p w14:paraId="63FA196E">
            <w:pPr>
              <w:pStyle w:val="44"/>
              <w:bidi w:val="0"/>
              <w:rPr>
                <w:rFonts w:hint="default" w:ascii="Times New Roman" w:hAnsi="Times New Roman" w:cs="Times New Roman"/>
                <w:color w:val="auto"/>
              </w:rPr>
            </w:pPr>
            <w:r>
              <w:rPr>
                <w:rFonts w:hint="default" w:ascii="Times New Roman" w:hAnsi="Times New Roman" w:cs="Times New Roman"/>
                <w:color w:val="auto"/>
              </w:rPr>
              <w:t>③进场道路定期清扫及路面定期洒水抑尘。</w:t>
            </w:r>
          </w:p>
        </w:tc>
        <w:tc>
          <w:tcPr>
            <w:tcW w:w="3880" w:type="dxa"/>
            <w:gridSpan w:val="2"/>
            <w:vAlign w:val="center"/>
          </w:tcPr>
          <w:p w14:paraId="55C437FC">
            <w:pPr>
              <w:pStyle w:val="44"/>
              <w:bidi w:val="0"/>
              <w:rPr>
                <w:rFonts w:hint="default" w:ascii="Times New Roman" w:hAnsi="Times New Roman" w:cs="Times New Roman"/>
                <w:color w:val="auto"/>
              </w:rPr>
            </w:pPr>
            <w:r>
              <w:rPr>
                <w:rFonts w:hint="default" w:ascii="Times New Roman" w:hAnsi="Times New Roman" w:cs="Times New Roman"/>
                <w:color w:val="auto"/>
              </w:rPr>
              <w:t>《大气污染物综合排放标准》（GB16297-1996）表2中无组织排放监控浓度限值</w:t>
            </w:r>
          </w:p>
        </w:tc>
      </w:tr>
      <w:tr w14:paraId="26CEA9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59" w:type="dxa"/>
          <w:trHeight w:val="38" w:hRule="atLeast"/>
          <w:jc w:val="center"/>
        </w:trPr>
        <w:tc>
          <w:tcPr>
            <w:tcW w:w="905" w:type="dxa"/>
            <w:vMerge w:val="continue"/>
            <w:tcMar>
              <w:left w:w="0" w:type="dxa"/>
              <w:right w:w="0" w:type="dxa"/>
            </w:tcMar>
            <w:vAlign w:val="center"/>
          </w:tcPr>
          <w:p w14:paraId="54AD14AE">
            <w:pPr>
              <w:pStyle w:val="44"/>
              <w:bidi w:val="0"/>
              <w:rPr>
                <w:rFonts w:hint="default" w:ascii="Times New Roman" w:hAnsi="Times New Roman" w:cs="Times New Roman"/>
                <w:color w:val="auto"/>
              </w:rPr>
            </w:pPr>
          </w:p>
        </w:tc>
        <w:tc>
          <w:tcPr>
            <w:tcW w:w="1222" w:type="dxa"/>
            <w:vMerge w:val="restart"/>
            <w:vAlign w:val="center"/>
          </w:tcPr>
          <w:p w14:paraId="574F2123">
            <w:pPr>
              <w:pStyle w:val="44"/>
              <w:bidi w:val="0"/>
              <w:rPr>
                <w:rFonts w:hint="default" w:ascii="Times New Roman" w:hAnsi="Times New Roman" w:cs="Times New Roman"/>
                <w:color w:val="auto"/>
              </w:rPr>
            </w:pPr>
            <w:r>
              <w:rPr>
                <w:rFonts w:hint="default" w:ascii="Times New Roman" w:hAnsi="Times New Roman" w:cs="Times New Roman"/>
                <w:color w:val="auto"/>
              </w:rPr>
              <w:t>噪声</w:t>
            </w:r>
          </w:p>
        </w:tc>
        <w:tc>
          <w:tcPr>
            <w:tcW w:w="1559" w:type="dxa"/>
            <w:vAlign w:val="center"/>
          </w:tcPr>
          <w:p w14:paraId="4E1D3453">
            <w:pPr>
              <w:pStyle w:val="44"/>
              <w:bidi w:val="0"/>
              <w:rPr>
                <w:rFonts w:hint="default" w:ascii="Times New Roman" w:hAnsi="Times New Roman" w:cs="Times New Roman"/>
                <w:color w:val="auto"/>
              </w:rPr>
            </w:pPr>
            <w:r>
              <w:rPr>
                <w:rFonts w:hint="default" w:ascii="Times New Roman" w:hAnsi="Times New Roman" w:cs="Times New Roman"/>
                <w:color w:val="auto"/>
              </w:rPr>
              <w:t>设备噪声</w:t>
            </w:r>
          </w:p>
        </w:tc>
        <w:tc>
          <w:tcPr>
            <w:tcW w:w="6237" w:type="dxa"/>
            <w:vAlign w:val="center"/>
          </w:tcPr>
          <w:p w14:paraId="3CA610ED">
            <w:pPr>
              <w:pStyle w:val="44"/>
              <w:bidi w:val="0"/>
              <w:rPr>
                <w:rFonts w:hint="default" w:ascii="Times New Roman" w:hAnsi="Times New Roman" w:cs="Times New Roman"/>
                <w:color w:val="auto"/>
              </w:rPr>
            </w:pPr>
            <w:r>
              <w:rPr>
                <w:rFonts w:hint="default" w:ascii="Times New Roman" w:hAnsi="Times New Roman" w:cs="Times New Roman"/>
                <w:color w:val="auto"/>
              </w:rPr>
              <w:t>作业面四周设置围挡、采用低噪声设备，加强维修和保养，减少设备噪声影响</w:t>
            </w:r>
          </w:p>
        </w:tc>
        <w:tc>
          <w:tcPr>
            <w:tcW w:w="3821" w:type="dxa"/>
            <w:vAlign w:val="center"/>
          </w:tcPr>
          <w:p w14:paraId="54042670">
            <w:pPr>
              <w:pStyle w:val="44"/>
              <w:bidi w:val="0"/>
              <w:rPr>
                <w:rFonts w:hint="default" w:ascii="Times New Roman" w:hAnsi="Times New Roman" w:cs="Times New Roman"/>
                <w:color w:val="auto"/>
              </w:rPr>
            </w:pPr>
            <w:r>
              <w:rPr>
                <w:rFonts w:hint="default" w:ascii="Times New Roman" w:hAnsi="Times New Roman" w:cs="Times New Roman"/>
                <w:color w:val="auto"/>
              </w:rPr>
              <w:t>厂界执行《工业企业厂界环境噪声排放标准》(GB12348-2008）表1中1类标准</w:t>
            </w:r>
          </w:p>
        </w:tc>
      </w:tr>
      <w:tr w14:paraId="5D6068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59" w:type="dxa"/>
          <w:trHeight w:val="38" w:hRule="atLeast"/>
          <w:jc w:val="center"/>
        </w:trPr>
        <w:tc>
          <w:tcPr>
            <w:tcW w:w="905" w:type="dxa"/>
            <w:vMerge w:val="continue"/>
            <w:tcMar>
              <w:left w:w="0" w:type="dxa"/>
              <w:right w:w="0" w:type="dxa"/>
            </w:tcMar>
            <w:vAlign w:val="center"/>
          </w:tcPr>
          <w:p w14:paraId="7DEFE101">
            <w:pPr>
              <w:pStyle w:val="44"/>
              <w:bidi w:val="0"/>
              <w:rPr>
                <w:rFonts w:hint="default" w:ascii="Times New Roman" w:hAnsi="Times New Roman" w:cs="Times New Roman"/>
                <w:color w:val="auto"/>
              </w:rPr>
            </w:pPr>
          </w:p>
        </w:tc>
        <w:tc>
          <w:tcPr>
            <w:tcW w:w="1222" w:type="dxa"/>
            <w:vMerge w:val="continue"/>
            <w:vAlign w:val="center"/>
          </w:tcPr>
          <w:p w14:paraId="6C4595F2">
            <w:pPr>
              <w:pStyle w:val="44"/>
              <w:bidi w:val="0"/>
              <w:rPr>
                <w:rFonts w:hint="default" w:ascii="Times New Roman" w:hAnsi="Times New Roman" w:cs="Times New Roman"/>
                <w:color w:val="auto"/>
              </w:rPr>
            </w:pPr>
          </w:p>
        </w:tc>
        <w:tc>
          <w:tcPr>
            <w:tcW w:w="1559" w:type="dxa"/>
            <w:vAlign w:val="center"/>
          </w:tcPr>
          <w:p w14:paraId="0637AA1D">
            <w:pPr>
              <w:pStyle w:val="44"/>
              <w:bidi w:val="0"/>
              <w:rPr>
                <w:rFonts w:hint="default" w:ascii="Times New Roman" w:hAnsi="Times New Roman" w:cs="Times New Roman"/>
                <w:color w:val="auto"/>
              </w:rPr>
            </w:pPr>
            <w:r>
              <w:rPr>
                <w:rFonts w:hint="default" w:ascii="Times New Roman" w:hAnsi="Times New Roman" w:cs="Times New Roman"/>
                <w:color w:val="auto"/>
              </w:rPr>
              <w:t>交通噪声</w:t>
            </w:r>
          </w:p>
        </w:tc>
        <w:tc>
          <w:tcPr>
            <w:tcW w:w="6237" w:type="dxa"/>
            <w:vAlign w:val="center"/>
          </w:tcPr>
          <w:p w14:paraId="39CB0E77">
            <w:pPr>
              <w:pStyle w:val="44"/>
              <w:bidi w:val="0"/>
              <w:rPr>
                <w:rFonts w:hint="default" w:ascii="Times New Roman" w:hAnsi="Times New Roman" w:cs="Times New Roman"/>
                <w:color w:val="auto"/>
              </w:rPr>
            </w:pPr>
            <w:r>
              <w:rPr>
                <w:rFonts w:hint="default" w:ascii="Times New Roman" w:hAnsi="Times New Roman" w:cs="Times New Roman"/>
                <w:color w:val="auto"/>
              </w:rPr>
              <w:t>机动车辆必须加强维修和保养，保持技术性能良好，运输车辆经过沿线村庄时将车速控制在20km/h以下、禁止鸣笛，夜间禁止运输，减少交通噪声影响</w:t>
            </w:r>
          </w:p>
        </w:tc>
        <w:tc>
          <w:tcPr>
            <w:tcW w:w="3821" w:type="dxa"/>
            <w:vAlign w:val="center"/>
          </w:tcPr>
          <w:p w14:paraId="0600D60F">
            <w:pPr>
              <w:pStyle w:val="44"/>
              <w:bidi w:val="0"/>
              <w:rPr>
                <w:rFonts w:hint="default" w:ascii="Times New Roman" w:hAnsi="Times New Roman" w:cs="Times New Roman"/>
                <w:color w:val="auto"/>
              </w:rPr>
            </w:pPr>
            <w:r>
              <w:rPr>
                <w:rFonts w:hint="default" w:ascii="Times New Roman" w:hAnsi="Times New Roman" w:cs="Times New Roman"/>
                <w:color w:val="auto"/>
              </w:rPr>
              <w:t>运输道路两侧敏感点处噪声满足《声环境质量标准》（GB3096-2008）中1类、2类标准要求</w:t>
            </w:r>
          </w:p>
        </w:tc>
      </w:tr>
      <w:tr w14:paraId="266986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59" w:type="dxa"/>
          <w:trHeight w:val="38" w:hRule="atLeast"/>
          <w:jc w:val="center"/>
        </w:trPr>
        <w:tc>
          <w:tcPr>
            <w:tcW w:w="905" w:type="dxa"/>
            <w:vMerge w:val="continue"/>
            <w:tcMar>
              <w:left w:w="0" w:type="dxa"/>
              <w:right w:w="0" w:type="dxa"/>
            </w:tcMar>
            <w:vAlign w:val="center"/>
          </w:tcPr>
          <w:p w14:paraId="707CAA0B">
            <w:pPr>
              <w:pStyle w:val="44"/>
              <w:bidi w:val="0"/>
              <w:rPr>
                <w:rFonts w:hint="default" w:ascii="Times New Roman" w:hAnsi="Times New Roman" w:cs="Times New Roman"/>
                <w:color w:val="auto"/>
              </w:rPr>
            </w:pPr>
          </w:p>
        </w:tc>
        <w:tc>
          <w:tcPr>
            <w:tcW w:w="1222" w:type="dxa"/>
            <w:vAlign w:val="center"/>
          </w:tcPr>
          <w:p w14:paraId="7BAD5565">
            <w:pPr>
              <w:pStyle w:val="44"/>
              <w:bidi w:val="0"/>
              <w:rPr>
                <w:rFonts w:hint="default" w:ascii="Times New Roman" w:hAnsi="Times New Roman" w:cs="Times New Roman"/>
                <w:color w:val="auto"/>
              </w:rPr>
            </w:pPr>
            <w:r>
              <w:rPr>
                <w:rFonts w:hint="default" w:ascii="Times New Roman" w:hAnsi="Times New Roman" w:cs="Times New Roman"/>
                <w:color w:val="auto"/>
              </w:rPr>
              <w:t>固体废物</w:t>
            </w:r>
          </w:p>
        </w:tc>
        <w:tc>
          <w:tcPr>
            <w:tcW w:w="1559" w:type="dxa"/>
            <w:vAlign w:val="center"/>
          </w:tcPr>
          <w:p w14:paraId="7D040450">
            <w:pPr>
              <w:pStyle w:val="44"/>
              <w:bidi w:val="0"/>
              <w:rPr>
                <w:rFonts w:hint="default" w:ascii="Times New Roman" w:hAnsi="Times New Roman" w:cs="Times New Roman"/>
                <w:color w:val="auto"/>
              </w:rPr>
            </w:pPr>
            <w:r>
              <w:rPr>
                <w:rFonts w:hint="default" w:ascii="Times New Roman" w:hAnsi="Times New Roman" w:cs="Times New Roman"/>
                <w:color w:val="auto"/>
              </w:rPr>
              <w:t>生活垃圾</w:t>
            </w:r>
          </w:p>
        </w:tc>
        <w:tc>
          <w:tcPr>
            <w:tcW w:w="6237" w:type="dxa"/>
            <w:vAlign w:val="center"/>
          </w:tcPr>
          <w:p w14:paraId="23F0DC11">
            <w:pPr>
              <w:pStyle w:val="44"/>
              <w:bidi w:val="0"/>
              <w:rPr>
                <w:rFonts w:hint="default" w:ascii="Times New Roman" w:hAnsi="Times New Roman" w:cs="Times New Roman"/>
                <w:color w:val="auto"/>
              </w:rPr>
            </w:pPr>
            <w:r>
              <w:rPr>
                <w:rFonts w:hint="default" w:ascii="Times New Roman" w:hAnsi="Times New Roman" w:cs="Times New Roman"/>
                <w:color w:val="auto"/>
              </w:rPr>
              <w:t>建筑材料下脚料、包装袋等建筑废弃物，外售废品回收部门；场地清理废物包含杂草、草木根茎、杂物等，集中收集后交由市政部门统一处理。生活垃圾集中收集，交由市政部门统一处理。</w:t>
            </w:r>
          </w:p>
        </w:tc>
        <w:tc>
          <w:tcPr>
            <w:tcW w:w="3821" w:type="dxa"/>
            <w:vAlign w:val="center"/>
          </w:tcPr>
          <w:p w14:paraId="0F177549">
            <w:pPr>
              <w:pStyle w:val="44"/>
              <w:bidi w:val="0"/>
              <w:rPr>
                <w:rFonts w:hint="default" w:ascii="Times New Roman" w:hAnsi="Times New Roman" w:cs="Times New Roman"/>
                <w:color w:val="auto"/>
              </w:rPr>
            </w:pPr>
            <w:r>
              <w:rPr>
                <w:rFonts w:hint="default" w:ascii="Times New Roman" w:hAnsi="Times New Roman" w:cs="Times New Roman"/>
                <w:color w:val="auto"/>
              </w:rPr>
              <w:t>100%处置</w:t>
            </w:r>
          </w:p>
        </w:tc>
      </w:tr>
      <w:tr w14:paraId="55CAE0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59" w:type="dxa"/>
          <w:trHeight w:val="38" w:hRule="atLeast"/>
          <w:jc w:val="center"/>
        </w:trPr>
        <w:tc>
          <w:tcPr>
            <w:tcW w:w="905" w:type="dxa"/>
            <w:vMerge w:val="continue"/>
            <w:tcMar>
              <w:left w:w="0" w:type="dxa"/>
              <w:right w:w="0" w:type="dxa"/>
            </w:tcMar>
            <w:vAlign w:val="center"/>
          </w:tcPr>
          <w:p w14:paraId="09752C9E">
            <w:pPr>
              <w:pStyle w:val="44"/>
              <w:bidi w:val="0"/>
              <w:rPr>
                <w:rFonts w:hint="default" w:ascii="Times New Roman" w:hAnsi="Times New Roman" w:cs="Times New Roman"/>
                <w:color w:val="auto"/>
              </w:rPr>
            </w:pPr>
          </w:p>
        </w:tc>
        <w:tc>
          <w:tcPr>
            <w:tcW w:w="1222" w:type="dxa"/>
            <w:vAlign w:val="center"/>
          </w:tcPr>
          <w:p w14:paraId="19CF4FF2">
            <w:pPr>
              <w:pStyle w:val="44"/>
              <w:bidi w:val="0"/>
              <w:rPr>
                <w:rFonts w:hint="default" w:ascii="Times New Roman" w:hAnsi="Times New Roman" w:cs="Times New Roman"/>
                <w:color w:val="auto"/>
              </w:rPr>
            </w:pPr>
            <w:r>
              <w:rPr>
                <w:rFonts w:hint="default" w:ascii="Times New Roman" w:hAnsi="Times New Roman" w:cs="Times New Roman"/>
                <w:color w:val="auto"/>
              </w:rPr>
              <w:t>生态</w:t>
            </w:r>
          </w:p>
        </w:tc>
        <w:tc>
          <w:tcPr>
            <w:tcW w:w="1559" w:type="dxa"/>
            <w:vAlign w:val="center"/>
          </w:tcPr>
          <w:p w14:paraId="0BC8C2A1">
            <w:pPr>
              <w:pStyle w:val="44"/>
              <w:bidi w:val="0"/>
              <w:rPr>
                <w:rFonts w:hint="default" w:ascii="Times New Roman" w:hAnsi="Times New Roman" w:cs="Times New Roman"/>
                <w:color w:val="auto"/>
              </w:rPr>
            </w:pPr>
            <w:r>
              <w:rPr>
                <w:rFonts w:hint="default" w:ascii="Times New Roman" w:hAnsi="Times New Roman" w:cs="Times New Roman"/>
                <w:color w:val="auto"/>
              </w:rPr>
              <w:t>生态恢复</w:t>
            </w:r>
          </w:p>
        </w:tc>
        <w:tc>
          <w:tcPr>
            <w:tcW w:w="6237" w:type="dxa"/>
            <w:vAlign w:val="center"/>
          </w:tcPr>
          <w:p w14:paraId="73A0B704">
            <w:pPr>
              <w:pStyle w:val="44"/>
              <w:bidi w:val="0"/>
              <w:rPr>
                <w:rFonts w:hint="default" w:ascii="Times New Roman" w:hAnsi="Times New Roman" w:cs="Times New Roman"/>
                <w:color w:val="auto"/>
              </w:rPr>
            </w:pPr>
            <w:r>
              <w:rPr>
                <w:rFonts w:hint="default" w:ascii="Times New Roman" w:hAnsi="Times New Roman" w:cs="Times New Roman"/>
                <w:color w:val="auto"/>
              </w:rPr>
              <w:t>回填完成后对回填复垦区进行复垦</w:t>
            </w:r>
          </w:p>
        </w:tc>
        <w:tc>
          <w:tcPr>
            <w:tcW w:w="3821" w:type="dxa"/>
            <w:vAlign w:val="center"/>
          </w:tcPr>
          <w:p w14:paraId="243F63A0">
            <w:pPr>
              <w:pStyle w:val="44"/>
              <w:bidi w:val="0"/>
              <w:rPr>
                <w:rFonts w:hint="default" w:ascii="Times New Roman" w:hAnsi="Times New Roman" w:cs="Times New Roman"/>
                <w:color w:val="auto"/>
              </w:rPr>
            </w:pPr>
            <w:r>
              <w:rPr>
                <w:rFonts w:hint="default" w:ascii="Times New Roman" w:hAnsi="Times New Roman" w:cs="Times New Roman"/>
                <w:color w:val="auto"/>
              </w:rPr>
              <w:t>实施过程应满足《土地复垦质量控制标准》（TD/T1036-2013）规定的相关土地复垦质量控制要求。</w:t>
            </w:r>
          </w:p>
        </w:tc>
      </w:tr>
      <w:tr w14:paraId="6EC117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59" w:type="dxa"/>
          <w:trHeight w:val="38" w:hRule="atLeast"/>
          <w:jc w:val="center"/>
        </w:trPr>
        <w:tc>
          <w:tcPr>
            <w:tcW w:w="905" w:type="dxa"/>
            <w:tcMar>
              <w:left w:w="0" w:type="dxa"/>
              <w:right w:w="0" w:type="dxa"/>
            </w:tcMar>
            <w:vAlign w:val="center"/>
          </w:tcPr>
          <w:p w14:paraId="302FF2B8">
            <w:pPr>
              <w:pStyle w:val="44"/>
              <w:bidi w:val="0"/>
              <w:rPr>
                <w:rFonts w:hint="default" w:ascii="Times New Roman" w:hAnsi="Times New Roman" w:eastAsia="宋体" w:cs="Times New Roman"/>
                <w:color w:val="auto"/>
                <w:lang w:val="en-US" w:eastAsia="zh-CN"/>
              </w:rPr>
            </w:pPr>
            <w:r>
              <w:rPr>
                <w:rFonts w:hint="eastAsia" w:cs="Times New Roman"/>
                <w:color w:val="auto"/>
                <w:lang w:val="en-US" w:eastAsia="zh-CN"/>
              </w:rPr>
              <w:t>生态恢复期</w:t>
            </w:r>
          </w:p>
        </w:tc>
        <w:tc>
          <w:tcPr>
            <w:tcW w:w="1222" w:type="dxa"/>
            <w:vAlign w:val="center"/>
          </w:tcPr>
          <w:p w14:paraId="369DB18A">
            <w:pPr>
              <w:pStyle w:val="44"/>
              <w:bidi w:val="0"/>
              <w:rPr>
                <w:rFonts w:hint="eastAsia" w:ascii="Times New Roman" w:hAnsi="Times New Roman" w:eastAsia="宋体" w:cs="Times New Roman"/>
                <w:color w:val="auto"/>
                <w:lang w:val="en-US" w:eastAsia="zh-CN"/>
              </w:rPr>
            </w:pPr>
            <w:r>
              <w:rPr>
                <w:rFonts w:hint="eastAsia" w:cs="Times New Roman"/>
                <w:color w:val="auto"/>
                <w:lang w:val="en-US" w:eastAsia="zh-CN"/>
              </w:rPr>
              <w:t>生态</w:t>
            </w:r>
          </w:p>
        </w:tc>
        <w:tc>
          <w:tcPr>
            <w:tcW w:w="1559" w:type="dxa"/>
            <w:vAlign w:val="center"/>
          </w:tcPr>
          <w:p w14:paraId="2E75CF69">
            <w:pPr>
              <w:pStyle w:val="44"/>
              <w:bidi w:val="0"/>
              <w:rPr>
                <w:rFonts w:hint="default" w:ascii="Times New Roman" w:hAnsi="Times New Roman" w:cs="Times New Roman"/>
                <w:color w:val="auto"/>
              </w:rPr>
            </w:pPr>
            <w:r>
              <w:rPr>
                <w:rFonts w:hint="default" w:ascii="Times New Roman" w:hAnsi="Times New Roman" w:cs="Times New Roman"/>
                <w:color w:val="auto"/>
              </w:rPr>
              <w:t>生态恢复</w:t>
            </w:r>
          </w:p>
        </w:tc>
        <w:tc>
          <w:tcPr>
            <w:tcW w:w="6237" w:type="dxa"/>
            <w:vAlign w:val="center"/>
          </w:tcPr>
          <w:p w14:paraId="7B0119BA">
            <w:pPr>
              <w:pStyle w:val="44"/>
              <w:bidi w:val="0"/>
              <w:rPr>
                <w:rFonts w:hint="default" w:ascii="Times New Roman" w:hAnsi="Times New Roman" w:eastAsia="宋体" w:cs="Times New Roman"/>
                <w:color w:val="auto"/>
                <w:lang w:val="en-US" w:eastAsia="zh-CN"/>
              </w:rPr>
            </w:pPr>
            <w:r>
              <w:rPr>
                <w:rFonts w:hint="eastAsia" w:cs="Times New Roman"/>
                <w:color w:val="auto"/>
                <w:lang w:val="en-US" w:eastAsia="zh-CN"/>
              </w:rPr>
              <w:t>对已复垦矿山不定期人工巡查；开展跟踪监测对矿山自然修复过程中的恢复区面积，植被类型、保存(成活)率，并记录相关数据</w:t>
            </w:r>
          </w:p>
        </w:tc>
        <w:tc>
          <w:tcPr>
            <w:tcW w:w="3821" w:type="dxa"/>
            <w:vAlign w:val="center"/>
          </w:tcPr>
          <w:p w14:paraId="7971CA13">
            <w:pPr>
              <w:pStyle w:val="44"/>
              <w:bidi w:val="0"/>
              <w:rPr>
                <w:rFonts w:hint="eastAsia" w:ascii="Times New Roman" w:hAnsi="Times New Roman" w:eastAsia="宋体" w:cs="Times New Roman"/>
                <w:color w:val="auto"/>
                <w:lang w:val="en-US" w:eastAsia="zh-CN"/>
              </w:rPr>
            </w:pPr>
            <w:r>
              <w:rPr>
                <w:rFonts w:hint="eastAsia" w:cs="Times New Roman"/>
                <w:color w:val="auto"/>
                <w:lang w:val="en-US" w:eastAsia="zh-CN"/>
              </w:rPr>
              <w:t>/</w:t>
            </w:r>
          </w:p>
        </w:tc>
      </w:tr>
    </w:tbl>
    <w:p w14:paraId="49C951EA">
      <w:pPr>
        <w:spacing w:line="360" w:lineRule="auto"/>
        <w:jc w:val="center"/>
        <w:rPr>
          <w:rFonts w:hint="default" w:ascii="Times New Roman" w:hAnsi="Times New Roman" w:cs="Times New Roman"/>
          <w:b/>
          <w:snapToGrid w:val="0"/>
          <w:color w:val="auto"/>
          <w:kern w:val="0"/>
          <w:sz w:val="24"/>
          <w:lang w:val="zh-CN"/>
        </w:rPr>
      </w:pPr>
    </w:p>
    <w:p w14:paraId="66A0457B">
      <w:pPr>
        <w:widowControl/>
        <w:jc w:val="left"/>
        <w:rPr>
          <w:rFonts w:hint="default" w:ascii="Times New Roman" w:hAnsi="Times New Roman" w:cs="Times New Roman"/>
          <w:color w:val="auto"/>
          <w:kern w:val="0"/>
          <w:sz w:val="24"/>
        </w:rPr>
        <w:sectPr>
          <w:pgSz w:w="16838" w:h="11906" w:orient="landscape"/>
          <w:pgMar w:top="1440" w:right="1800" w:bottom="1440" w:left="1800" w:header="851" w:footer="992" w:gutter="0"/>
          <w:pgBorders>
            <w:top w:val="none" w:sz="0" w:space="0"/>
            <w:left w:val="none" w:sz="0" w:space="0"/>
            <w:bottom w:val="none" w:sz="0" w:space="0"/>
            <w:right w:val="none" w:sz="0" w:space="0"/>
          </w:pgBorders>
          <w:cols w:space="720" w:num="1"/>
          <w:docGrid w:type="lines" w:linePitch="326" w:charSpace="0"/>
        </w:sectPr>
      </w:pPr>
    </w:p>
    <w:p w14:paraId="1BD1FC1B">
      <w:pPr>
        <w:pStyle w:val="41"/>
        <w:bidi w:val="0"/>
        <w:rPr>
          <w:rFonts w:hint="default" w:ascii="Times New Roman" w:hAnsi="Times New Roman" w:cs="Times New Roman"/>
          <w:color w:val="auto"/>
        </w:rPr>
      </w:pPr>
      <w:bookmarkStart w:id="404" w:name="_Toc22886"/>
      <w:bookmarkStart w:id="405" w:name="_Toc15991728"/>
      <w:bookmarkStart w:id="406" w:name="_Toc119316824"/>
      <w:bookmarkStart w:id="407" w:name="_Toc26093"/>
      <w:bookmarkStart w:id="408" w:name="_Toc152926842"/>
      <w:bookmarkStart w:id="409" w:name="_Toc477954592"/>
      <w:bookmarkStart w:id="410" w:name="_Toc454962811"/>
      <w:r>
        <w:rPr>
          <w:rFonts w:hint="default" w:ascii="Times New Roman" w:hAnsi="Times New Roman" w:cs="Times New Roman"/>
          <w:color w:val="auto"/>
        </w:rPr>
        <w:t>8.4总量控制</w:t>
      </w:r>
      <w:bookmarkEnd w:id="404"/>
      <w:bookmarkEnd w:id="405"/>
      <w:bookmarkEnd w:id="406"/>
      <w:bookmarkEnd w:id="407"/>
      <w:bookmarkEnd w:id="408"/>
    </w:p>
    <w:p w14:paraId="015EFE81">
      <w:pPr>
        <w:pStyle w:val="39"/>
        <w:bidi w:val="0"/>
        <w:rPr>
          <w:rFonts w:hint="default" w:ascii="Times New Roman" w:hAnsi="Times New Roman" w:cs="Times New Roman"/>
          <w:color w:val="auto"/>
        </w:rPr>
      </w:pPr>
      <w:bookmarkStart w:id="411" w:name="_Toc10061"/>
      <w:bookmarkStart w:id="412" w:name="_Toc15991729"/>
      <w:r>
        <w:rPr>
          <w:rFonts w:hint="default" w:ascii="Times New Roman" w:hAnsi="Times New Roman" w:cs="Times New Roman"/>
          <w:color w:val="auto"/>
        </w:rPr>
        <w:t>8.4.1总量控制的意义和原则</w:t>
      </w:r>
      <w:bookmarkEnd w:id="411"/>
      <w:bookmarkEnd w:id="412"/>
    </w:p>
    <w:p w14:paraId="765A5D6F">
      <w:pPr>
        <w:pStyle w:val="25"/>
        <w:bidi w:val="0"/>
        <w:rPr>
          <w:rFonts w:hint="default" w:ascii="Times New Roman" w:hAnsi="Times New Roman" w:cs="Times New Roman"/>
          <w:color w:val="auto"/>
        </w:rPr>
      </w:pPr>
      <w:r>
        <w:rPr>
          <w:rFonts w:hint="default" w:ascii="Times New Roman" w:hAnsi="Times New Roman" w:cs="Times New Roman"/>
          <w:color w:val="auto"/>
        </w:rPr>
        <w:t>实施总量控制将促进资源、能源的含量利用和优化配置，加速产业结构的调整，实现经济增长方式的根本转变；实施总量控制可以较好地协调经济发展与环境保护之间的关系，推动可持续发展战略的实行。</w:t>
      </w:r>
    </w:p>
    <w:p w14:paraId="2B7E25E1">
      <w:pPr>
        <w:pStyle w:val="25"/>
        <w:bidi w:val="0"/>
        <w:rPr>
          <w:rFonts w:hint="default" w:ascii="Times New Roman" w:hAnsi="Times New Roman" w:cs="Times New Roman"/>
          <w:color w:val="auto"/>
        </w:rPr>
      </w:pPr>
      <w:r>
        <w:rPr>
          <w:rFonts w:hint="default" w:ascii="Times New Roman" w:hAnsi="Times New Roman" w:cs="Times New Roman"/>
          <w:color w:val="auto"/>
        </w:rPr>
        <w:t>本工程属于煤矸石回填复垦项目，总量控制应以鸡西市总量控制规划为目标，将本工程投产后排放的污染物总量纳入其总量控制规划中，通过区域调整平衡，实现鸡西市污染物排放总量控制的目标。</w:t>
      </w:r>
    </w:p>
    <w:p w14:paraId="353830D7">
      <w:pPr>
        <w:pStyle w:val="25"/>
        <w:bidi w:val="0"/>
        <w:rPr>
          <w:rFonts w:hint="default" w:ascii="Times New Roman" w:hAnsi="Times New Roman" w:cs="Times New Roman"/>
          <w:color w:val="auto"/>
        </w:rPr>
      </w:pPr>
      <w:r>
        <w:rPr>
          <w:rFonts w:hint="default" w:ascii="Times New Roman" w:hAnsi="Times New Roman" w:cs="Times New Roman"/>
          <w:color w:val="auto"/>
        </w:rPr>
        <w:t>考虑本项目工程排污特征，本工程废气主要污染物为</w:t>
      </w:r>
      <w:r>
        <w:rPr>
          <w:rFonts w:hint="default" w:ascii="Times New Roman" w:hAnsi="Times New Roman" w:cs="Times New Roman"/>
          <w:color w:val="auto"/>
          <w:lang w:val="en-US" w:eastAsia="zh-CN"/>
        </w:rPr>
        <w:t>施工期扬尘</w:t>
      </w:r>
      <w:r>
        <w:rPr>
          <w:rFonts w:hint="default" w:ascii="Times New Roman" w:hAnsi="Times New Roman" w:cs="Times New Roman"/>
          <w:color w:val="auto"/>
        </w:rPr>
        <w:t>，产生量主要取决于管理措施和气象条件，属于非固定源，不计入总量控制指标。</w:t>
      </w:r>
    </w:p>
    <w:p w14:paraId="3BE8158D">
      <w:pPr>
        <w:pStyle w:val="25"/>
        <w:bidi w:val="0"/>
        <w:rPr>
          <w:rFonts w:hint="default" w:ascii="Times New Roman" w:hAnsi="Times New Roman" w:eastAsia="宋体" w:cs="Times New Roman"/>
          <w:b/>
          <w:color w:val="auto"/>
          <w:szCs w:val="22"/>
          <w:lang w:eastAsia="zh-CN"/>
        </w:rPr>
      </w:pPr>
      <w:r>
        <w:rPr>
          <w:rFonts w:hint="default" w:ascii="Times New Roman" w:hAnsi="Times New Roman" w:eastAsia="宋体" w:cs="Times New Roman"/>
          <w:color w:val="auto"/>
          <w:spacing w:val="2"/>
          <w:sz w:val="24"/>
          <w:szCs w:val="24"/>
          <w:highlight w:val="none"/>
        </w:rPr>
        <w:t>本项目</w:t>
      </w:r>
      <w:r>
        <w:rPr>
          <w:rFonts w:hint="default" w:ascii="Times New Roman" w:hAnsi="Times New Roman" w:cs="Times New Roman"/>
          <w:color w:val="auto"/>
          <w:spacing w:val="2"/>
          <w:sz w:val="24"/>
          <w:szCs w:val="24"/>
          <w:highlight w:val="none"/>
          <w:lang w:val="en-US" w:eastAsia="zh-CN"/>
        </w:rPr>
        <w:t>施工阶段</w:t>
      </w:r>
      <w:r>
        <w:rPr>
          <w:rFonts w:hint="default" w:ascii="Times New Roman" w:hAnsi="Times New Roman" w:eastAsia="宋体" w:cs="Times New Roman"/>
          <w:color w:val="auto"/>
          <w:spacing w:val="1"/>
          <w:sz w:val="24"/>
          <w:szCs w:val="24"/>
          <w:highlight w:val="none"/>
        </w:rPr>
        <w:t>生产用</w:t>
      </w:r>
      <w:r>
        <w:rPr>
          <w:rFonts w:hint="default" w:ascii="Times New Roman" w:hAnsi="Times New Roman" w:eastAsia="宋体" w:cs="Times New Roman"/>
          <w:color w:val="auto"/>
          <w:spacing w:val="4"/>
          <w:sz w:val="24"/>
          <w:szCs w:val="24"/>
          <w:highlight w:val="none"/>
        </w:rPr>
        <w:t>水包括道路洒水和矸石回填工作面抑尘洒水</w:t>
      </w:r>
      <w:r>
        <w:rPr>
          <w:rFonts w:hint="default" w:ascii="Times New Roman" w:hAnsi="Times New Roman" w:eastAsia="宋体" w:cs="Times New Roman"/>
          <w:color w:val="auto"/>
          <w:spacing w:val="-1"/>
          <w:sz w:val="24"/>
          <w:szCs w:val="24"/>
          <w:highlight w:val="none"/>
        </w:rPr>
        <w:t>，无生产废水产生</w:t>
      </w:r>
      <w:r>
        <w:rPr>
          <w:rFonts w:hint="default" w:ascii="Times New Roman" w:hAnsi="Times New Roman" w:cs="Times New Roman"/>
          <w:color w:val="auto"/>
          <w:spacing w:val="-1"/>
          <w:sz w:val="24"/>
          <w:szCs w:val="24"/>
          <w:highlight w:val="none"/>
          <w:lang w:eastAsia="zh-CN"/>
        </w:rPr>
        <w:t>；</w:t>
      </w:r>
      <w:r>
        <w:rPr>
          <w:rFonts w:hint="default" w:ascii="Times New Roman" w:hAnsi="Times New Roman" w:cs="Times New Roman"/>
          <w:color w:val="auto"/>
          <w:highlight w:val="none"/>
          <w:lang w:val="en-US" w:eastAsia="zh-CN"/>
        </w:rPr>
        <w:t>生态恢复阶段</w:t>
      </w:r>
      <w:r>
        <w:rPr>
          <w:rFonts w:hint="default" w:ascii="Times New Roman" w:hAnsi="Times New Roman" w:cs="Times New Roman"/>
          <w:color w:val="auto"/>
          <w:highlight w:val="none"/>
        </w:rPr>
        <w:t>主要为养护，不产生废水。</w:t>
      </w:r>
      <w:r>
        <w:rPr>
          <w:rFonts w:hint="default" w:ascii="Times New Roman" w:hAnsi="Times New Roman" w:cs="Times New Roman"/>
          <w:color w:val="auto"/>
          <w:highlight w:val="none"/>
          <w:lang w:val="en-US" w:eastAsia="zh-CN"/>
        </w:rPr>
        <w:t>生态恢复</w:t>
      </w:r>
      <w:r>
        <w:rPr>
          <w:rFonts w:hint="default" w:ascii="Times New Roman" w:hAnsi="Times New Roman" w:cs="Times New Roman"/>
          <w:color w:val="auto"/>
          <w:highlight w:val="none"/>
        </w:rPr>
        <w:t>阶段人员</w:t>
      </w:r>
      <w:r>
        <w:rPr>
          <w:rFonts w:hint="default" w:ascii="Times New Roman" w:hAnsi="Times New Roman" w:cs="Times New Roman"/>
          <w:color w:val="auto"/>
          <w:highlight w:val="none"/>
          <w:lang w:val="en-US" w:eastAsia="zh-CN"/>
        </w:rPr>
        <w:t>定期巡查</w:t>
      </w:r>
      <w:r>
        <w:rPr>
          <w:rFonts w:hint="default" w:ascii="Times New Roman" w:hAnsi="Times New Roman" w:cs="Times New Roman"/>
          <w:color w:val="auto"/>
          <w:highlight w:val="none"/>
        </w:rPr>
        <w:t>，不新增生活污水</w:t>
      </w:r>
      <w:r>
        <w:rPr>
          <w:rFonts w:hint="default" w:ascii="Times New Roman" w:hAnsi="Times New Roman" w:cs="Times New Roman"/>
          <w:color w:val="auto"/>
          <w:highlight w:val="none"/>
          <w:lang w:eastAsia="zh-CN"/>
        </w:rPr>
        <w:t>。</w:t>
      </w:r>
    </w:p>
    <w:p w14:paraId="3A0CDF5F">
      <w:pPr>
        <w:rPr>
          <w:rFonts w:hint="default" w:ascii="Times New Roman" w:hAnsi="Times New Roman" w:cs="Times New Roman"/>
          <w:color w:val="auto"/>
        </w:rPr>
      </w:pPr>
      <w:r>
        <w:rPr>
          <w:rFonts w:hint="default" w:ascii="Times New Roman" w:hAnsi="Times New Roman" w:cs="Times New Roman"/>
          <w:color w:val="auto"/>
        </w:rPr>
        <w:br w:type="page"/>
      </w:r>
    </w:p>
    <w:bookmarkEnd w:id="409"/>
    <w:bookmarkEnd w:id="410"/>
    <w:p w14:paraId="7383AF92">
      <w:pPr>
        <w:pStyle w:val="42"/>
        <w:rPr>
          <w:rFonts w:hint="default" w:ascii="Times New Roman" w:hAnsi="Times New Roman" w:cs="Times New Roman"/>
          <w:color w:val="auto"/>
          <w:highlight w:val="none"/>
        </w:rPr>
      </w:pPr>
      <w:bookmarkStart w:id="413" w:name="_Toc8136"/>
      <w:r>
        <w:rPr>
          <w:rFonts w:hint="default" w:ascii="Times New Roman" w:hAnsi="Times New Roman" w:cs="Times New Roman"/>
          <w:color w:val="auto"/>
          <w:highlight w:val="none"/>
        </w:rPr>
        <w:t>9环境影响评价结论</w:t>
      </w:r>
      <w:bookmarkEnd w:id="313"/>
      <w:bookmarkEnd w:id="314"/>
      <w:bookmarkEnd w:id="315"/>
      <w:bookmarkEnd w:id="316"/>
      <w:bookmarkEnd w:id="317"/>
      <w:bookmarkEnd w:id="413"/>
    </w:p>
    <w:p w14:paraId="1DF3766B">
      <w:pPr>
        <w:pStyle w:val="41"/>
        <w:rPr>
          <w:rFonts w:hint="default" w:ascii="Times New Roman" w:hAnsi="Times New Roman" w:cs="Times New Roman"/>
          <w:snapToGrid w:val="0"/>
          <w:color w:val="auto"/>
          <w:highlight w:val="none"/>
        </w:rPr>
      </w:pPr>
      <w:bookmarkStart w:id="414" w:name="_Toc152926844"/>
      <w:bookmarkStart w:id="415" w:name="_Toc2182"/>
      <w:bookmarkStart w:id="416" w:name="_Toc477368706"/>
      <w:bookmarkStart w:id="417" w:name="_Toc10710"/>
      <w:bookmarkStart w:id="418" w:name="_Toc15991734"/>
      <w:bookmarkStart w:id="419" w:name="_Toc457030108"/>
      <w:bookmarkStart w:id="420" w:name="_Toc119316826"/>
      <w:r>
        <w:rPr>
          <w:rFonts w:hint="default" w:ascii="Times New Roman" w:hAnsi="Times New Roman" w:cs="Times New Roman"/>
          <w:snapToGrid w:val="0"/>
          <w:color w:val="auto"/>
          <w:highlight w:val="none"/>
        </w:rPr>
        <w:t>9.1评价结论</w:t>
      </w:r>
      <w:bookmarkEnd w:id="414"/>
      <w:bookmarkEnd w:id="415"/>
      <w:bookmarkEnd w:id="416"/>
      <w:bookmarkEnd w:id="417"/>
      <w:bookmarkEnd w:id="418"/>
      <w:bookmarkEnd w:id="419"/>
      <w:bookmarkEnd w:id="420"/>
    </w:p>
    <w:p w14:paraId="2012B386">
      <w:pPr>
        <w:pStyle w:val="39"/>
        <w:rPr>
          <w:rFonts w:hint="default" w:ascii="Times New Roman" w:hAnsi="Times New Roman" w:eastAsia="宋体" w:cs="Times New Roman"/>
          <w:b/>
          <w:color w:val="auto"/>
          <w:szCs w:val="24"/>
          <w:highlight w:val="none"/>
        </w:rPr>
      </w:pPr>
      <w:bookmarkStart w:id="421" w:name="_Toc15991735"/>
      <w:bookmarkStart w:id="422" w:name="_Toc14197"/>
      <w:r>
        <w:rPr>
          <w:rFonts w:hint="default" w:ascii="Times New Roman" w:hAnsi="Times New Roman" w:eastAsia="宋体" w:cs="Times New Roman"/>
          <w:color w:val="auto"/>
          <w:szCs w:val="24"/>
          <w:highlight w:val="none"/>
        </w:rPr>
        <w:t>9.1.1建设概况</w:t>
      </w:r>
      <w:bookmarkEnd w:id="421"/>
      <w:bookmarkEnd w:id="422"/>
    </w:p>
    <w:p w14:paraId="00D7D70D">
      <w:pPr>
        <w:pStyle w:val="25"/>
        <w:ind w:firstLine="480"/>
        <w:rPr>
          <w:rFonts w:hint="default" w:ascii="Times New Roman" w:hAnsi="Times New Roman" w:cs="Times New Roman"/>
          <w:color w:val="auto"/>
          <w:highlight w:val="none"/>
        </w:rPr>
      </w:pPr>
      <w:bookmarkStart w:id="423" w:name="_Toc18867"/>
      <w:bookmarkStart w:id="424" w:name="_Toc15991736"/>
      <w:r>
        <w:rPr>
          <w:rFonts w:hint="default" w:ascii="Times New Roman" w:hAnsi="Times New Roman" w:cs="Times New Roman"/>
          <w:color w:val="auto"/>
          <w:highlight w:val="none"/>
        </w:rPr>
        <w:t>项目名称：鸡西市城子河区历史遗留矿山生态修复项目</w:t>
      </w:r>
    </w:p>
    <w:p w14:paraId="4611FEBD">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项目建设单位：鸡西市城子河区住房和城乡建设局</w:t>
      </w:r>
    </w:p>
    <w:p w14:paraId="33F0E9CF">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项目性质：新建</w:t>
      </w:r>
    </w:p>
    <w:p w14:paraId="6CCC569C">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建设地点：</w:t>
      </w:r>
      <w:r>
        <w:rPr>
          <w:rFonts w:hint="default" w:ascii="Times New Roman" w:hAnsi="Times New Roman" w:cs="Times New Roman"/>
          <w:bCs/>
          <w:color w:val="auto"/>
          <w:highlight w:val="none"/>
        </w:rPr>
        <w:t>鸡西市城子河区</w:t>
      </w:r>
    </w:p>
    <w:p w14:paraId="04785026">
      <w:pPr>
        <w:pStyle w:val="25"/>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工程投资：</w:t>
      </w:r>
      <w:r>
        <w:rPr>
          <w:rFonts w:hint="eastAsia" w:cs="Times New Roman"/>
          <w:snapToGrid w:val="0"/>
          <w:color w:val="auto"/>
          <w:highlight w:val="none"/>
          <w:lang w:eastAsia="zh-CN"/>
        </w:rPr>
        <w:t>4552.91</w:t>
      </w:r>
      <w:r>
        <w:rPr>
          <w:rFonts w:hint="default" w:ascii="Times New Roman" w:hAnsi="Times New Roman" w:cs="Times New Roman"/>
          <w:snapToGrid w:val="0"/>
          <w:color w:val="auto"/>
          <w:highlight w:val="none"/>
        </w:rPr>
        <w:t>万元</w:t>
      </w:r>
    </w:p>
    <w:p w14:paraId="7D4787D8">
      <w:pPr>
        <w:pStyle w:val="25"/>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修复面积</w:t>
      </w:r>
      <w:r>
        <w:rPr>
          <w:rFonts w:hint="eastAsia" w:cs="Times New Roman"/>
          <w:snapToGrid w:val="0"/>
          <w:color w:val="auto"/>
          <w:highlight w:val="none"/>
          <w:lang w:eastAsia="zh-CN"/>
        </w:rPr>
        <w:t>：26.648</w:t>
      </w:r>
      <w:r>
        <w:rPr>
          <w:rFonts w:hint="default" w:ascii="Times New Roman" w:hAnsi="Times New Roman" w:cs="Times New Roman"/>
          <w:snapToGrid w:val="0"/>
          <w:color w:val="auto"/>
          <w:highlight w:val="none"/>
        </w:rPr>
        <w:t>hm</w:t>
      </w:r>
      <w:r>
        <w:rPr>
          <w:rFonts w:hint="default" w:ascii="Times New Roman" w:hAnsi="Times New Roman" w:cs="Times New Roman"/>
          <w:snapToGrid w:val="0"/>
          <w:color w:val="auto"/>
          <w:highlight w:val="none"/>
          <w:vertAlign w:val="superscript"/>
        </w:rPr>
        <w:t>2</w:t>
      </w:r>
    </w:p>
    <w:p w14:paraId="03FAEA91">
      <w:pPr>
        <w:pStyle w:val="25"/>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建设内容：拟建项目修复历史遗留废弃矿山共计12个，其中包括露天采石场8个、煤矿工业广场2个、矸石堆场2个，结合每一处修复场地实际情况，制定专属修复方案，涉及的修复工程内容主要包括清理工程、场地平整工程、回填工程、挡土墙工程、截排水沟工程和植被恢复工程等。</w:t>
      </w:r>
    </w:p>
    <w:p w14:paraId="2E716D02">
      <w:pPr>
        <w:pStyle w:val="25"/>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劳动定员及工作制度：</w:t>
      </w:r>
      <w:r>
        <w:rPr>
          <w:rFonts w:hint="default" w:ascii="Times New Roman" w:hAnsi="Times New Roman" w:cs="Times New Roman"/>
          <w:snapToGrid w:val="0"/>
          <w:color w:val="auto"/>
          <w:highlight w:val="none"/>
          <w:lang w:val="en-US" w:eastAsia="zh-CN"/>
        </w:rPr>
        <w:t>10</w:t>
      </w:r>
      <w:r>
        <w:rPr>
          <w:rFonts w:hint="default" w:ascii="Times New Roman" w:hAnsi="Times New Roman" w:cs="Times New Roman"/>
          <w:snapToGrid w:val="0"/>
          <w:color w:val="auto"/>
          <w:highlight w:val="none"/>
        </w:rPr>
        <w:t>人，</w:t>
      </w:r>
      <w:r>
        <w:rPr>
          <w:rFonts w:hint="default" w:ascii="Times New Roman" w:hAnsi="Times New Roman" w:cs="Times New Roman"/>
          <w:bCs/>
          <w:color w:val="auto"/>
          <w:highlight w:val="none"/>
        </w:rPr>
        <w:t>施工现场</w:t>
      </w:r>
      <w:r>
        <w:rPr>
          <w:rFonts w:hint="default" w:ascii="Times New Roman" w:hAnsi="Times New Roman" w:cs="Times New Roman"/>
          <w:color w:val="auto"/>
          <w:highlight w:val="none"/>
        </w:rPr>
        <w:t>不设生活区。</w:t>
      </w:r>
      <w:r>
        <w:rPr>
          <w:rFonts w:hint="default" w:ascii="Times New Roman" w:hAnsi="Times New Roman" w:cs="Times New Roman"/>
          <w:bCs/>
          <w:color w:val="auto"/>
          <w:highlight w:val="none"/>
        </w:rPr>
        <w:t>年工作</w:t>
      </w:r>
      <w:r>
        <w:rPr>
          <w:rFonts w:hint="default" w:ascii="Times New Roman" w:hAnsi="Times New Roman" w:cs="Times New Roman"/>
          <w:bCs/>
          <w:color w:val="auto"/>
          <w:highlight w:val="none"/>
          <w:lang w:val="en-US" w:eastAsia="zh-CN"/>
        </w:rPr>
        <w:t>210</w:t>
      </w:r>
      <w:r>
        <w:rPr>
          <w:rFonts w:hint="default" w:ascii="Times New Roman" w:hAnsi="Times New Roman" w:cs="Times New Roman"/>
          <w:bCs/>
          <w:color w:val="auto"/>
          <w:highlight w:val="none"/>
        </w:rPr>
        <w:t>天，</w:t>
      </w:r>
      <w:r>
        <w:rPr>
          <w:rStyle w:val="26"/>
          <w:rFonts w:hint="default" w:ascii="Times New Roman" w:hAnsi="Times New Roman" w:cs="Times New Roman"/>
          <w:color w:val="auto"/>
          <w:highlight w:val="none"/>
        </w:rPr>
        <w:t>每班8小时。</w:t>
      </w:r>
      <w:r>
        <w:rPr>
          <w:rFonts w:hint="default" w:ascii="Times New Roman" w:hAnsi="Times New Roman" w:cs="Times New Roman"/>
          <w:bCs/>
          <w:color w:val="auto"/>
          <w:highlight w:val="none"/>
        </w:rPr>
        <w:t>本工程覆土复垦后</w:t>
      </w:r>
      <w:r>
        <w:rPr>
          <w:rFonts w:hint="default" w:ascii="Times New Roman" w:hAnsi="Times New Roman" w:cs="Times New Roman"/>
          <w:bCs/>
          <w:color w:val="auto"/>
          <w:highlight w:val="none"/>
          <w:lang w:val="en-US" w:eastAsia="zh-CN"/>
        </w:rPr>
        <w:t>生态恢复期</w:t>
      </w:r>
      <w:r>
        <w:rPr>
          <w:rFonts w:hint="default" w:ascii="Times New Roman" w:hAnsi="Times New Roman" w:cs="Times New Roman"/>
          <w:bCs/>
          <w:color w:val="auto"/>
          <w:highlight w:val="none"/>
        </w:rPr>
        <w:t>由鸡西市城子河区住房和城乡建设局内部调配，定期赴场地进行巡检。</w:t>
      </w:r>
    </w:p>
    <w:p w14:paraId="38C5F591">
      <w:pPr>
        <w:pStyle w:val="25"/>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建设周期：</w:t>
      </w:r>
      <w:r>
        <w:rPr>
          <w:rFonts w:hint="default" w:ascii="Times New Roman" w:hAnsi="Times New Roman" w:cs="Times New Roman"/>
          <w:color w:val="auto"/>
          <w:highlight w:val="none"/>
        </w:rPr>
        <w:t>项目建设期</w:t>
      </w:r>
      <w:r>
        <w:rPr>
          <w:rFonts w:hint="default" w:ascii="Times New Roman" w:hAnsi="Times New Roman" w:cs="Times New Roman"/>
          <w:color w:val="auto"/>
          <w:highlight w:val="none"/>
          <w:lang w:val="en-US" w:eastAsia="zh-CN"/>
        </w:rPr>
        <w:t>12</w:t>
      </w:r>
      <w:r>
        <w:rPr>
          <w:rFonts w:hint="default" w:ascii="Times New Roman" w:hAnsi="Times New Roman" w:cs="Times New Roman"/>
          <w:color w:val="auto"/>
          <w:highlight w:val="none"/>
        </w:rPr>
        <w:t>个月</w:t>
      </w:r>
      <w:r>
        <w:rPr>
          <w:rFonts w:hint="default" w:ascii="Times New Roman" w:hAnsi="Times New Roman" w:cs="Times New Roman"/>
          <w:snapToGrid w:val="0"/>
          <w:color w:val="auto"/>
          <w:highlight w:val="none"/>
        </w:rPr>
        <w:t>，202</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年</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月至202</w:t>
      </w:r>
      <w:r>
        <w:rPr>
          <w:rFonts w:hint="default" w:ascii="Times New Roman" w:hAnsi="Times New Roman" w:cs="Times New Roman"/>
          <w:snapToGrid w:val="0"/>
          <w:color w:val="auto"/>
          <w:highlight w:val="none"/>
          <w:lang w:val="en-US" w:eastAsia="zh-CN"/>
        </w:rPr>
        <w:t>6</w:t>
      </w:r>
      <w:r>
        <w:rPr>
          <w:rFonts w:hint="default" w:ascii="Times New Roman" w:hAnsi="Times New Roman" w:cs="Times New Roman"/>
          <w:snapToGrid w:val="0"/>
          <w:color w:val="auto"/>
          <w:highlight w:val="none"/>
        </w:rPr>
        <w:t>年</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月。</w:t>
      </w:r>
    </w:p>
    <w:p w14:paraId="6403E667">
      <w:pPr>
        <w:pStyle w:val="39"/>
        <w:rPr>
          <w:rFonts w:hint="default" w:ascii="Times New Roman" w:hAnsi="Times New Roman" w:cs="Times New Roman"/>
          <w:b/>
          <w:color w:val="auto"/>
          <w:highlight w:val="none"/>
        </w:rPr>
      </w:pPr>
      <w:r>
        <w:rPr>
          <w:rFonts w:hint="default" w:ascii="Times New Roman" w:hAnsi="Times New Roman" w:cs="Times New Roman"/>
          <w:color w:val="auto"/>
          <w:highlight w:val="none"/>
        </w:rPr>
        <w:t>9.1.2项目符合性结论</w:t>
      </w:r>
      <w:bookmarkEnd w:id="423"/>
      <w:bookmarkEnd w:id="424"/>
    </w:p>
    <w:p w14:paraId="04AAE7D2">
      <w:pPr>
        <w:pStyle w:val="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9.1.2.1产业政策符合性结论</w:t>
      </w:r>
    </w:p>
    <w:p w14:paraId="070ABD6B">
      <w:pPr>
        <w:spacing w:line="500" w:lineRule="exact"/>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本项目属于《产业结构调整指导目录（2024年本）》中鼓励类“四十二、环境保护与资源节约综合利用”中2、生态环境修复和资源利用中的矿山生态环境恢复工程”和10、工业“三废”循环利用：“三废”综合利用与治理技术、装备和工程，均属于产业政策中“鼓励类”项目，符合国家产业政策。</w:t>
      </w:r>
    </w:p>
    <w:p w14:paraId="37EAB388">
      <w:pPr>
        <w:pStyle w:val="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9.1.2.2选址合理性结论</w:t>
      </w:r>
    </w:p>
    <w:p w14:paraId="6FD4B01D">
      <w:pPr>
        <w:pStyle w:val="25"/>
        <w:ind w:firstLine="480"/>
        <w:rPr>
          <w:rFonts w:hint="default" w:ascii="Times New Roman" w:hAnsi="Times New Roman" w:cs="Times New Roman"/>
          <w:color w:val="auto"/>
          <w:highlight w:val="none"/>
        </w:rPr>
      </w:pPr>
      <w:bookmarkStart w:id="425" w:name="_Toc3978"/>
      <w:bookmarkStart w:id="426" w:name="_Toc15991737"/>
      <w:r>
        <w:rPr>
          <w:rFonts w:hint="default" w:ascii="Times New Roman" w:hAnsi="Times New Roman" w:cs="Times New Roman"/>
          <w:color w:val="auto"/>
          <w:highlight w:val="none"/>
        </w:rPr>
        <w:t>本项目</w:t>
      </w:r>
      <w:r>
        <w:rPr>
          <w:rFonts w:hint="default" w:ascii="Times New Roman" w:hAnsi="Times New Roman" w:cs="Times New Roman"/>
          <w:snapToGrid w:val="0"/>
          <w:color w:val="auto"/>
          <w:highlight w:val="none"/>
        </w:rPr>
        <w:t>拟建项目修复历史遗留废弃矿山共计12个，其中包括露天采石场8个、煤矿工业广场2个、矸石堆场2个，</w:t>
      </w:r>
      <w:r>
        <w:rPr>
          <w:rFonts w:hint="default" w:ascii="Times New Roman" w:hAnsi="Times New Roman" w:cs="Times New Roman"/>
          <w:color w:val="auto"/>
          <w:highlight w:val="none"/>
        </w:rPr>
        <w:t>目前均处于荒废状态，春季是扬尘源，雨季易造成水土流失，土地利用率低，景观环境差。城子河区住房和建设局委托建设单位对</w:t>
      </w:r>
      <w:r>
        <w:rPr>
          <w:rFonts w:hint="default" w:ascii="Times New Roman" w:hAnsi="Times New Roman" w:cs="Times New Roman"/>
          <w:snapToGrid w:val="0"/>
          <w:color w:val="auto"/>
          <w:highlight w:val="none"/>
        </w:rPr>
        <w:t>结合每一处修复场地实际情况，制定专属修复方案，涉及的修复工程内容主要包括清理工程、场地平整工程、回填工程、挡土墙工程、截排水沟工程和植被恢复工程等，</w:t>
      </w:r>
      <w:r>
        <w:rPr>
          <w:rFonts w:hint="default" w:ascii="Times New Roman" w:hAnsi="Times New Roman" w:cs="Times New Roman"/>
          <w:color w:val="auto"/>
          <w:highlight w:val="none"/>
        </w:rPr>
        <w:t>不但能改善场地环境、恢复土地利用价值、区域土地利用功能、创造新的生态景观，而且对项目区本身的安全和稳定性也具有重要意义，可起到水土保持、防风固沙的效果，可消除遗留采坑的水土流失、坍塌隐患。因此，选址合理。</w:t>
      </w:r>
    </w:p>
    <w:p w14:paraId="7ED8ABA2">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本项目评价范围内无自然保护区、风景名胜区、森林公园、地质公园、重要湿地、饮用水源保护区等环境敏感区，不占用生态保护红线。因此，选址合理。</w:t>
      </w:r>
    </w:p>
    <w:p w14:paraId="5A64830D">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根据项目周边自然环境的踏查，项目选址周边最近敏感点为2#东侧</w:t>
      </w:r>
      <w:r>
        <w:rPr>
          <w:rFonts w:hint="default" w:ascii="Times New Roman" w:hAnsi="Times New Roman" w:cs="Times New Roman"/>
          <w:color w:val="auto"/>
          <w:highlight w:val="none"/>
          <w:lang w:val="en-US" w:eastAsia="zh-CN"/>
        </w:rPr>
        <w:t>100</w:t>
      </w:r>
      <w:r>
        <w:rPr>
          <w:rFonts w:hint="default" w:ascii="Times New Roman" w:hAnsi="Times New Roman" w:cs="Times New Roman"/>
          <w:color w:val="auto"/>
          <w:highlight w:val="none"/>
        </w:rPr>
        <w:t>m处城海村，位于常年主导风向侧风向。经预测计算，本项目厂界外大气污染物短期贡献浓度无超标点，因此本项目不需要设置大气环境防护距离，对敏感点的影响很小，因此从大气环境影响的角度分析，选址合理。</w:t>
      </w:r>
    </w:p>
    <w:p w14:paraId="6AFDA24E">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2#项目区</w:t>
      </w:r>
      <w:r>
        <w:rPr>
          <w:rFonts w:hint="default" w:ascii="Times New Roman" w:hAnsi="Times New Roman" w:cs="Times New Roman"/>
          <w:color w:val="auto"/>
          <w:highlight w:val="none"/>
        </w:rPr>
        <w:t>边界最近的地表水体为城子河，本项目在回填活动前已开展环境本底调查，并按照《建设用地土壤污染风险评估技术导则》（HJ25.3-2019）等相关标准开展环境风险评估，形成了环境风险评估报告并通过专家评审，风险评估报告重点评估项目对地下水、地表水及周边土壤的环境污染风险，评估结论为环境风险可以接受。因此，选址合理。</w:t>
      </w:r>
    </w:p>
    <w:p w14:paraId="1E838622">
      <w:pPr>
        <w:pStyle w:val="39"/>
        <w:rPr>
          <w:rFonts w:hint="default" w:ascii="Times New Roman" w:hAnsi="Times New Roman" w:cs="Times New Roman"/>
          <w:b/>
          <w:color w:val="auto"/>
          <w:highlight w:val="none"/>
        </w:rPr>
      </w:pPr>
      <w:r>
        <w:rPr>
          <w:rFonts w:hint="default" w:ascii="Times New Roman" w:hAnsi="Times New Roman" w:cs="Times New Roman"/>
          <w:color w:val="auto"/>
          <w:highlight w:val="none"/>
        </w:rPr>
        <w:t>9.1.3环境质量现状评价结论</w:t>
      </w:r>
      <w:bookmarkEnd w:id="425"/>
      <w:bookmarkEnd w:id="426"/>
    </w:p>
    <w:p w14:paraId="36BD776E">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（1）大气环境质量现状评价结论</w:t>
      </w:r>
    </w:p>
    <w:p w14:paraId="3FD826D4">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bidi="ar"/>
        </w:rPr>
        <w:t>根据《</w:t>
      </w:r>
      <w:r>
        <w:rPr>
          <w:rFonts w:hint="eastAsia" w:cs="Times New Roman"/>
          <w:color w:val="auto"/>
          <w:highlight w:val="none"/>
          <w:lang w:eastAsia="zh-CN" w:bidi="ar"/>
        </w:rPr>
        <w:t>2024年黑龙江省生态环境质量状况</w:t>
      </w:r>
      <w:r>
        <w:rPr>
          <w:rFonts w:hint="default" w:ascii="Times New Roman" w:hAnsi="Times New Roman" w:cs="Times New Roman"/>
          <w:color w:val="auto"/>
          <w:highlight w:val="none"/>
          <w:lang w:bidi="ar"/>
        </w:rPr>
        <w:t>》，鸡西市202</w:t>
      </w:r>
      <w:r>
        <w:rPr>
          <w:rFonts w:hint="eastAsia" w:cs="Times New Roman"/>
          <w:color w:val="auto"/>
          <w:highlight w:val="none"/>
          <w:lang w:val="en-US" w:eastAsia="zh-CN" w:bidi="ar"/>
        </w:rPr>
        <w:t>4</w:t>
      </w:r>
      <w:r>
        <w:rPr>
          <w:rFonts w:hint="default" w:ascii="Times New Roman" w:hAnsi="Times New Roman" w:cs="Times New Roman"/>
          <w:color w:val="auto"/>
          <w:highlight w:val="none"/>
          <w:lang w:bidi="ar"/>
        </w:rPr>
        <w:t>年PM</w:t>
      </w:r>
      <w:r>
        <w:rPr>
          <w:rFonts w:hint="default" w:ascii="Times New Roman" w:hAnsi="Times New Roman" w:cs="Times New Roman"/>
          <w:color w:val="auto"/>
          <w:highlight w:val="none"/>
          <w:vertAlign w:val="subscript"/>
          <w:lang w:bidi="ar"/>
        </w:rPr>
        <w:t>2.5</w:t>
      </w:r>
      <w:r>
        <w:rPr>
          <w:rFonts w:hint="default" w:ascii="Times New Roman" w:hAnsi="Times New Roman" w:cs="Times New Roman"/>
          <w:color w:val="auto"/>
          <w:highlight w:val="none"/>
          <w:lang w:bidi="ar"/>
        </w:rPr>
        <w:t>、PM</w:t>
      </w:r>
      <w:r>
        <w:rPr>
          <w:rFonts w:hint="default" w:ascii="Times New Roman" w:hAnsi="Times New Roman" w:cs="Times New Roman"/>
          <w:color w:val="auto"/>
          <w:highlight w:val="none"/>
          <w:vertAlign w:val="subscript"/>
          <w:lang w:bidi="ar"/>
        </w:rPr>
        <w:t>10</w:t>
      </w:r>
      <w:r>
        <w:rPr>
          <w:rFonts w:hint="default" w:ascii="Times New Roman" w:hAnsi="Times New Roman" w:cs="Times New Roman"/>
          <w:color w:val="auto"/>
          <w:highlight w:val="none"/>
          <w:lang w:bidi="ar"/>
        </w:rPr>
        <w:t>、SO</w:t>
      </w:r>
      <w:r>
        <w:rPr>
          <w:rFonts w:hint="default" w:ascii="Times New Roman" w:hAnsi="Times New Roman" w:cs="Times New Roman"/>
          <w:color w:val="auto"/>
          <w:highlight w:val="none"/>
          <w:vertAlign w:val="subscript"/>
          <w:lang w:bidi="ar"/>
        </w:rPr>
        <w:t>2</w:t>
      </w:r>
      <w:r>
        <w:rPr>
          <w:rFonts w:hint="default" w:ascii="Times New Roman" w:hAnsi="Times New Roman" w:cs="Times New Roman"/>
          <w:color w:val="auto"/>
          <w:highlight w:val="none"/>
          <w:lang w:bidi="ar"/>
        </w:rPr>
        <w:t>、NO</w:t>
      </w:r>
      <w:r>
        <w:rPr>
          <w:rFonts w:hint="default" w:ascii="Times New Roman" w:hAnsi="Times New Roman" w:cs="Times New Roman"/>
          <w:color w:val="auto"/>
          <w:highlight w:val="none"/>
          <w:vertAlign w:val="subscript"/>
          <w:lang w:bidi="ar"/>
        </w:rPr>
        <w:t>2</w:t>
      </w:r>
      <w:r>
        <w:rPr>
          <w:rFonts w:hint="default" w:ascii="Times New Roman" w:hAnsi="Times New Roman" w:cs="Times New Roman"/>
          <w:color w:val="auto"/>
          <w:highlight w:val="none"/>
          <w:lang w:bidi="ar"/>
        </w:rPr>
        <w:t>、CO-95per和O</w:t>
      </w:r>
      <w:r>
        <w:rPr>
          <w:rFonts w:hint="default" w:ascii="Times New Roman" w:hAnsi="Times New Roman" w:cs="Times New Roman"/>
          <w:color w:val="auto"/>
          <w:highlight w:val="none"/>
          <w:vertAlign w:val="subscript"/>
          <w:lang w:bidi="ar"/>
        </w:rPr>
        <w:t>3</w:t>
      </w:r>
      <w:r>
        <w:rPr>
          <w:rFonts w:hint="default" w:ascii="Times New Roman" w:hAnsi="Times New Roman" w:cs="Times New Roman"/>
          <w:color w:val="auto"/>
          <w:highlight w:val="none"/>
          <w:lang w:bidi="ar"/>
        </w:rPr>
        <w:t>-8h-90per年均浓度分别为2</w:t>
      </w:r>
      <w:r>
        <w:rPr>
          <w:rFonts w:hint="eastAsia" w:cs="Times New Roman"/>
          <w:color w:val="auto"/>
          <w:highlight w:val="none"/>
          <w:lang w:val="en-US" w:eastAsia="zh-CN" w:bidi="ar"/>
        </w:rPr>
        <w:t>7</w:t>
      </w:r>
      <w:r>
        <w:rPr>
          <w:rFonts w:hint="default" w:ascii="Times New Roman" w:hAnsi="Times New Roman" w:eastAsia="黑体" w:cs="Times New Roman"/>
          <w:snapToGrid w:val="0"/>
          <w:color w:val="auto"/>
          <w:highlight w:val="none"/>
        </w:rPr>
        <w:t>μ</w:t>
      </w:r>
      <w:r>
        <w:rPr>
          <w:rFonts w:hint="default" w:ascii="Times New Roman" w:hAnsi="Times New Roman" w:cs="Times New Roman"/>
          <w:color w:val="auto"/>
          <w:highlight w:val="none"/>
          <w:lang w:bidi="ar"/>
        </w:rPr>
        <w:t>g/m</w:t>
      </w:r>
      <w:r>
        <w:rPr>
          <w:rFonts w:hint="default" w:ascii="Times New Roman" w:hAnsi="Times New Roman" w:cs="Times New Roman"/>
          <w:color w:val="auto"/>
          <w:highlight w:val="none"/>
          <w:vertAlign w:val="superscript"/>
          <w:lang w:bidi="ar"/>
        </w:rPr>
        <w:t>3</w:t>
      </w:r>
      <w:r>
        <w:rPr>
          <w:rFonts w:hint="default" w:ascii="Times New Roman" w:hAnsi="Times New Roman" w:cs="Times New Roman"/>
          <w:color w:val="auto"/>
          <w:highlight w:val="none"/>
          <w:lang w:bidi="ar"/>
        </w:rPr>
        <w:t>、</w:t>
      </w:r>
      <w:r>
        <w:rPr>
          <w:rFonts w:hint="eastAsia" w:cs="Times New Roman"/>
          <w:color w:val="auto"/>
          <w:highlight w:val="none"/>
          <w:lang w:val="en-US" w:eastAsia="zh-CN" w:bidi="ar"/>
        </w:rPr>
        <w:t>46</w:t>
      </w:r>
      <w:r>
        <w:rPr>
          <w:rFonts w:hint="default" w:ascii="Times New Roman" w:hAnsi="Times New Roman" w:eastAsia="黑体" w:cs="Times New Roman"/>
          <w:snapToGrid w:val="0"/>
          <w:color w:val="auto"/>
          <w:highlight w:val="none"/>
        </w:rPr>
        <w:t>μ</w:t>
      </w:r>
      <w:r>
        <w:rPr>
          <w:rFonts w:hint="default" w:ascii="Times New Roman" w:hAnsi="Times New Roman" w:cs="Times New Roman"/>
          <w:color w:val="auto"/>
          <w:highlight w:val="none"/>
          <w:lang w:bidi="ar"/>
        </w:rPr>
        <w:t>g/m</w:t>
      </w:r>
      <w:r>
        <w:rPr>
          <w:rFonts w:hint="default" w:ascii="Times New Roman" w:hAnsi="Times New Roman" w:cs="Times New Roman"/>
          <w:color w:val="auto"/>
          <w:highlight w:val="none"/>
          <w:vertAlign w:val="superscript"/>
          <w:lang w:bidi="ar"/>
        </w:rPr>
        <w:t>3</w:t>
      </w:r>
      <w:r>
        <w:rPr>
          <w:rFonts w:hint="default" w:ascii="Times New Roman" w:hAnsi="Times New Roman" w:cs="Times New Roman"/>
          <w:color w:val="auto"/>
          <w:highlight w:val="none"/>
          <w:lang w:bidi="ar"/>
        </w:rPr>
        <w:t>、8</w:t>
      </w:r>
      <w:r>
        <w:rPr>
          <w:rFonts w:hint="default" w:ascii="Times New Roman" w:hAnsi="Times New Roman" w:eastAsia="黑体" w:cs="Times New Roman"/>
          <w:snapToGrid w:val="0"/>
          <w:color w:val="auto"/>
          <w:highlight w:val="none"/>
        </w:rPr>
        <w:t>μ</w:t>
      </w:r>
      <w:r>
        <w:rPr>
          <w:rFonts w:hint="default" w:ascii="Times New Roman" w:hAnsi="Times New Roman" w:cs="Times New Roman"/>
          <w:color w:val="auto"/>
          <w:highlight w:val="none"/>
          <w:lang w:bidi="ar"/>
        </w:rPr>
        <w:t>g/m</w:t>
      </w:r>
      <w:r>
        <w:rPr>
          <w:rFonts w:hint="default" w:ascii="Times New Roman" w:hAnsi="Times New Roman" w:cs="Times New Roman"/>
          <w:color w:val="auto"/>
          <w:highlight w:val="none"/>
          <w:vertAlign w:val="superscript"/>
          <w:lang w:bidi="ar"/>
        </w:rPr>
        <w:t>3</w:t>
      </w:r>
      <w:r>
        <w:rPr>
          <w:rFonts w:hint="default" w:ascii="Times New Roman" w:hAnsi="Times New Roman" w:cs="Times New Roman"/>
          <w:color w:val="auto"/>
          <w:highlight w:val="none"/>
          <w:lang w:bidi="ar"/>
        </w:rPr>
        <w:t>、</w:t>
      </w:r>
      <w:r>
        <w:rPr>
          <w:rFonts w:hint="eastAsia" w:cs="Times New Roman"/>
          <w:color w:val="auto"/>
          <w:highlight w:val="none"/>
          <w:lang w:val="en-US" w:eastAsia="zh-CN" w:bidi="ar"/>
        </w:rPr>
        <w:t>17</w:t>
      </w:r>
      <w:r>
        <w:rPr>
          <w:rFonts w:hint="default" w:ascii="Times New Roman" w:hAnsi="Times New Roman" w:eastAsia="黑体" w:cs="Times New Roman"/>
          <w:snapToGrid w:val="0"/>
          <w:color w:val="auto"/>
          <w:highlight w:val="none"/>
        </w:rPr>
        <w:t>μ</w:t>
      </w:r>
      <w:r>
        <w:rPr>
          <w:rFonts w:hint="default" w:ascii="Times New Roman" w:hAnsi="Times New Roman" w:cs="Times New Roman"/>
          <w:color w:val="auto"/>
          <w:highlight w:val="none"/>
          <w:lang w:bidi="ar"/>
        </w:rPr>
        <w:t>g/m</w:t>
      </w:r>
      <w:r>
        <w:rPr>
          <w:rFonts w:hint="default" w:ascii="Times New Roman" w:hAnsi="Times New Roman" w:cs="Times New Roman"/>
          <w:color w:val="auto"/>
          <w:highlight w:val="none"/>
          <w:vertAlign w:val="superscript"/>
          <w:lang w:bidi="ar"/>
        </w:rPr>
        <w:t>3</w:t>
      </w:r>
      <w:r>
        <w:rPr>
          <w:rFonts w:hint="default" w:ascii="Times New Roman" w:hAnsi="Times New Roman" w:cs="Times New Roman"/>
          <w:color w:val="auto"/>
          <w:highlight w:val="none"/>
          <w:lang w:bidi="ar"/>
        </w:rPr>
        <w:t>、</w:t>
      </w:r>
      <w:r>
        <w:rPr>
          <w:rFonts w:hint="default" w:ascii="Times New Roman" w:hAnsi="Times New Roman" w:cs="Times New Roman"/>
          <w:color w:val="auto"/>
          <w:highlight w:val="none"/>
          <w:lang w:val="en-US" w:eastAsia="zh-CN" w:bidi="ar"/>
        </w:rPr>
        <w:t>1.0</w:t>
      </w:r>
      <w:r>
        <w:rPr>
          <w:rFonts w:hint="default" w:ascii="Times New Roman" w:hAnsi="Times New Roman" w:eastAsia="黑体" w:cs="Times New Roman"/>
          <w:snapToGrid w:val="0"/>
          <w:color w:val="auto"/>
          <w:highlight w:val="none"/>
        </w:rPr>
        <w:t>m</w:t>
      </w:r>
      <w:r>
        <w:rPr>
          <w:rFonts w:hint="default" w:ascii="Times New Roman" w:hAnsi="Times New Roman" w:cs="Times New Roman"/>
          <w:color w:val="auto"/>
          <w:highlight w:val="none"/>
          <w:lang w:bidi="ar"/>
        </w:rPr>
        <w:t>g/m</w:t>
      </w:r>
      <w:r>
        <w:rPr>
          <w:rFonts w:hint="default" w:ascii="Times New Roman" w:hAnsi="Times New Roman" w:cs="Times New Roman"/>
          <w:color w:val="auto"/>
          <w:highlight w:val="none"/>
          <w:vertAlign w:val="superscript"/>
          <w:lang w:bidi="ar"/>
        </w:rPr>
        <w:t>3</w:t>
      </w:r>
      <w:r>
        <w:rPr>
          <w:rFonts w:hint="default" w:ascii="Times New Roman" w:hAnsi="Times New Roman" w:cs="Times New Roman"/>
          <w:color w:val="auto"/>
          <w:highlight w:val="none"/>
          <w:lang w:bidi="ar"/>
        </w:rPr>
        <w:t>和9</w:t>
      </w:r>
      <w:r>
        <w:rPr>
          <w:rFonts w:hint="eastAsia" w:cs="Times New Roman"/>
          <w:color w:val="auto"/>
          <w:highlight w:val="none"/>
          <w:lang w:val="en-US" w:eastAsia="zh-CN" w:bidi="ar"/>
        </w:rPr>
        <w:t>0</w:t>
      </w:r>
      <w:r>
        <w:rPr>
          <w:rFonts w:hint="default" w:ascii="Times New Roman" w:hAnsi="Times New Roman" w:eastAsia="黑体" w:cs="Times New Roman"/>
          <w:snapToGrid w:val="0"/>
          <w:color w:val="auto"/>
          <w:highlight w:val="none"/>
        </w:rPr>
        <w:t>μ</w:t>
      </w:r>
      <w:r>
        <w:rPr>
          <w:rFonts w:hint="default" w:ascii="Times New Roman" w:hAnsi="Times New Roman" w:cs="Times New Roman"/>
          <w:color w:val="auto"/>
          <w:highlight w:val="none"/>
          <w:lang w:bidi="ar"/>
        </w:rPr>
        <w:t>g/m</w:t>
      </w:r>
      <w:r>
        <w:rPr>
          <w:rFonts w:hint="default" w:ascii="Times New Roman" w:hAnsi="Times New Roman" w:cs="Times New Roman"/>
          <w:color w:val="auto"/>
          <w:highlight w:val="none"/>
          <w:vertAlign w:val="superscript"/>
          <w:lang w:bidi="ar"/>
        </w:rPr>
        <w:t>3</w:t>
      </w:r>
      <w:r>
        <w:rPr>
          <w:rFonts w:hint="default" w:ascii="Times New Roman" w:hAnsi="Times New Roman" w:cs="Times New Roman"/>
          <w:color w:val="auto"/>
          <w:highlight w:val="none"/>
          <w:lang w:bidi="ar"/>
        </w:rPr>
        <w:t>，各污染物平均浓度均优于《环境空气质量标准》（GB3095-2012）及修改单中二级标准限值。因此，鸡西市属于达标区。</w:t>
      </w:r>
    </w:p>
    <w:p w14:paraId="73E97BD3">
      <w:pPr>
        <w:pStyle w:val="25"/>
        <w:ind w:firstLine="480"/>
        <w:rPr>
          <w:rFonts w:hint="default" w:ascii="Times New Roman" w:hAnsi="Times New Roman" w:cs="Times New Roman" w:eastAsiaTheme="minorEastAsia"/>
          <w:color w:val="auto"/>
          <w:highlight w:val="none"/>
        </w:rPr>
      </w:pPr>
      <w:r>
        <w:rPr>
          <w:rFonts w:hint="default" w:ascii="Times New Roman" w:hAnsi="Times New Roman" w:cs="Times New Roman"/>
          <w:color w:val="auto"/>
          <w:szCs w:val="22"/>
          <w:highlight w:val="none"/>
        </w:rPr>
        <w:t>根据托</w:t>
      </w:r>
      <w:r>
        <w:rPr>
          <w:rFonts w:hint="default" w:ascii="Times New Roman" w:hAnsi="Times New Roman" w:cs="Times New Roman"/>
          <w:color w:val="auto"/>
          <w:szCs w:val="22"/>
          <w:highlight w:val="none"/>
          <w:lang w:eastAsia="zh-CN"/>
        </w:rPr>
        <w:t>黑龙江汉风环境检测技术有限公司</w:t>
      </w:r>
      <w:r>
        <w:rPr>
          <w:rFonts w:hint="default" w:ascii="Times New Roman" w:hAnsi="Times New Roman" w:cs="Times New Roman"/>
          <w:color w:val="auto"/>
          <w:szCs w:val="22"/>
          <w:highlight w:val="none"/>
        </w:rPr>
        <w:t>于202</w:t>
      </w:r>
      <w:r>
        <w:rPr>
          <w:rFonts w:hint="default" w:ascii="Times New Roman" w:hAnsi="Times New Roman" w:cs="Times New Roman"/>
          <w:color w:val="auto"/>
          <w:szCs w:val="22"/>
          <w:highlight w:val="none"/>
          <w:lang w:val="en-US" w:eastAsia="zh-CN"/>
        </w:rPr>
        <w:t>4</w:t>
      </w:r>
      <w:r>
        <w:rPr>
          <w:rFonts w:hint="default" w:ascii="Times New Roman" w:hAnsi="Times New Roman" w:cs="Times New Roman"/>
          <w:color w:val="auto"/>
          <w:szCs w:val="22"/>
          <w:highlight w:val="none"/>
        </w:rPr>
        <w:t>年</w:t>
      </w:r>
      <w:r>
        <w:rPr>
          <w:rFonts w:hint="default" w:ascii="Times New Roman" w:hAnsi="Times New Roman" w:cs="Times New Roman"/>
          <w:color w:val="auto"/>
          <w:szCs w:val="22"/>
          <w:highlight w:val="none"/>
          <w:lang w:val="en-US" w:eastAsia="zh-CN"/>
        </w:rPr>
        <w:t>8</w:t>
      </w:r>
      <w:r>
        <w:rPr>
          <w:rFonts w:hint="default" w:ascii="Times New Roman" w:hAnsi="Times New Roman" w:cs="Times New Roman"/>
          <w:color w:val="auto"/>
          <w:szCs w:val="22"/>
          <w:highlight w:val="none"/>
        </w:rPr>
        <w:t>月</w:t>
      </w:r>
      <w:r>
        <w:rPr>
          <w:rFonts w:hint="default" w:ascii="Times New Roman" w:hAnsi="Times New Roman" w:cs="Times New Roman"/>
          <w:color w:val="auto"/>
          <w:szCs w:val="22"/>
          <w:highlight w:val="none"/>
          <w:lang w:val="en-US" w:eastAsia="zh-CN"/>
        </w:rPr>
        <w:t>19</w:t>
      </w:r>
      <w:r>
        <w:rPr>
          <w:rFonts w:hint="default" w:ascii="Times New Roman" w:hAnsi="Times New Roman" w:cs="Times New Roman"/>
          <w:color w:val="auto"/>
          <w:szCs w:val="22"/>
          <w:highlight w:val="none"/>
        </w:rPr>
        <w:t>日～2</w:t>
      </w:r>
      <w:r>
        <w:rPr>
          <w:rFonts w:hint="default" w:ascii="Times New Roman" w:hAnsi="Times New Roman" w:cs="Times New Roman"/>
          <w:color w:val="auto"/>
          <w:szCs w:val="22"/>
          <w:highlight w:val="none"/>
          <w:lang w:val="en-US" w:eastAsia="zh-CN"/>
        </w:rPr>
        <w:t>7</w:t>
      </w:r>
      <w:r>
        <w:rPr>
          <w:rFonts w:hint="default" w:ascii="Times New Roman" w:hAnsi="Times New Roman" w:cs="Times New Roman"/>
          <w:color w:val="auto"/>
          <w:szCs w:val="22"/>
          <w:highlight w:val="none"/>
        </w:rPr>
        <w:t>日对本项目厂址及下风向处的TSP进行现状监测，结果满足《环境空气质量标准》（GB3095-2012）中二级标准。</w:t>
      </w:r>
    </w:p>
    <w:p w14:paraId="5F403640">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（2）地表水环境质量现状评价结论</w:t>
      </w:r>
    </w:p>
    <w:p w14:paraId="789C86F2">
      <w:pPr>
        <w:pStyle w:val="25"/>
        <w:adjustRightInd/>
        <w:snapToGrid/>
        <w:ind w:firstLine="480"/>
        <w:contextualSpacing/>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本项目涉及的地表水体为</w:t>
      </w:r>
      <w:r>
        <w:rPr>
          <w:rFonts w:hint="default" w:ascii="Times New Roman" w:hAnsi="Times New Roman" w:cs="Times New Roman"/>
          <w:color w:val="auto"/>
          <w:highlight w:val="none"/>
          <w:lang w:val="en-US" w:eastAsia="zh-CN"/>
        </w:rPr>
        <w:t>城子河，</w:t>
      </w:r>
      <w:r>
        <w:rPr>
          <w:rFonts w:hint="default" w:ascii="Times New Roman" w:hAnsi="Times New Roman" w:cs="Times New Roman"/>
          <w:color w:val="auto"/>
          <w:highlight w:val="none"/>
        </w:rPr>
        <w:t>城子河无规划水体类别。城子河汇入穆棱河，根据《全国重要江河湖泊水功能区划》(2011—2030年），项目区穆棱河所在一级水功能区名称为穆棱河鸡西市开发利用区，二级水功能区名称为穆棱河鸡西市排污控制区，起始断面为206省道公路桥，终止断面为东胜村，无规划水质目标，本次评价按III类执行。</w:t>
      </w:r>
    </w:p>
    <w:p w14:paraId="2A9152A0">
      <w:pPr>
        <w:pStyle w:val="25"/>
        <w:adjustRightInd/>
        <w:snapToGrid/>
        <w:ind w:firstLine="480"/>
        <w:contextualSpacing/>
        <w:rPr>
          <w:rFonts w:hint="default" w:ascii="Times New Roman" w:hAnsi="Times New Roman" w:cs="Times New Roman"/>
          <w:color w:val="auto"/>
          <w:highlight w:val="none"/>
        </w:rPr>
      </w:pPr>
      <w:r>
        <w:rPr>
          <w:rFonts w:hint="default" w:ascii="Times New Roman" w:hAnsi="Times New Roman" w:cs="Times New Roman"/>
          <w:color w:val="auto"/>
          <w:highlight w:val="none"/>
        </w:rPr>
        <w:t>根据黑龙江省生态环境厅《</w:t>
      </w:r>
      <w:r>
        <w:rPr>
          <w:rFonts w:hint="eastAsia" w:cs="Times New Roman"/>
          <w:color w:val="auto"/>
          <w:highlight w:val="none"/>
          <w:lang w:eastAsia="zh-CN"/>
        </w:rPr>
        <w:t>2024年黑龙江省生态环境质量状况</w:t>
      </w:r>
      <w:r>
        <w:rPr>
          <w:rFonts w:hint="default" w:ascii="Times New Roman" w:hAnsi="Times New Roman" w:cs="Times New Roman"/>
          <w:color w:val="auto"/>
          <w:highlight w:val="none"/>
        </w:rPr>
        <w:t>》，鸡西市地表水国家考核断面共8个，Ⅰ - Ⅲ类水质比例为</w:t>
      </w:r>
      <w:r>
        <w:rPr>
          <w:rFonts w:hint="eastAsia" w:cs="Times New Roman"/>
          <w:color w:val="auto"/>
          <w:highlight w:val="none"/>
          <w:lang w:val="en-US" w:eastAsia="zh-CN"/>
        </w:rPr>
        <w:t>75.0</w:t>
      </w:r>
      <w:r>
        <w:rPr>
          <w:rFonts w:hint="default" w:ascii="Times New Roman" w:hAnsi="Times New Roman" w:cs="Times New Roman"/>
          <w:color w:val="auto"/>
          <w:highlight w:val="none"/>
        </w:rPr>
        <w:t>%，无劣V类水质断面。与上年同期相比，Ⅰ - Ⅲ类水质比例上升12.5个百分点，均无劣V类水质断面。</w:t>
      </w:r>
    </w:p>
    <w:p w14:paraId="084485E5">
      <w:pPr>
        <w:pStyle w:val="25"/>
        <w:adjustRightInd/>
        <w:snapToGrid/>
        <w:ind w:firstLine="480"/>
        <w:contextualSpacing/>
        <w:rPr>
          <w:rFonts w:hint="default" w:ascii="Times New Roman" w:hAnsi="Times New Roman" w:cs="Times New Roman"/>
          <w:color w:val="auto"/>
          <w:highlight w:val="none"/>
        </w:rPr>
      </w:pPr>
      <w:r>
        <w:rPr>
          <w:rFonts w:hint="eastAsia" w:cs="Times New Roman"/>
          <w:color w:val="auto"/>
          <w:highlight w:val="none"/>
          <w:lang w:val="en-US" w:eastAsia="zh-CN"/>
        </w:rPr>
        <w:t>兴凯湖和</w:t>
      </w:r>
      <w:r>
        <w:rPr>
          <w:rFonts w:hint="default" w:ascii="Times New Roman" w:hAnsi="Times New Roman" w:cs="Times New Roman"/>
          <w:color w:val="auto"/>
          <w:highlight w:val="none"/>
        </w:rPr>
        <w:t>小兴凯湖的水质状况为轻度污染，鸡西市饮用水水源地水量达标率为100%。穆棱河水质现状为Ⅲ类水体，满足水体功能区规划目标Ⅲ类标准要求。</w:t>
      </w:r>
    </w:p>
    <w:p w14:paraId="458D1144">
      <w:pPr>
        <w:pStyle w:val="25"/>
        <w:adjustRightInd/>
        <w:snapToGrid/>
        <w:ind w:firstLine="480"/>
        <w:contextualSpacing/>
        <w:rPr>
          <w:rFonts w:hint="default" w:ascii="Times New Roman" w:hAnsi="Times New Roman" w:cs="Times New Roman"/>
          <w:color w:val="auto"/>
          <w:highlight w:val="none"/>
        </w:rPr>
      </w:pPr>
      <w:r>
        <w:rPr>
          <w:rFonts w:hint="default" w:ascii="Times New Roman" w:hAnsi="Times New Roman" w:cs="Times New Roman"/>
          <w:color w:val="auto"/>
          <w:highlight w:val="none"/>
        </w:rPr>
        <w:t>（3）地下水环境质量现状评价结论</w:t>
      </w:r>
    </w:p>
    <w:p w14:paraId="4FDC2901">
      <w:pPr>
        <w:pStyle w:val="25"/>
        <w:ind w:firstLine="480"/>
        <w:contextualSpacing/>
        <w:rPr>
          <w:rFonts w:hint="default" w:ascii="Times New Roman" w:hAnsi="Times New Roman" w:cs="Times New Roman"/>
          <w:color w:val="auto"/>
          <w:highlight w:val="none"/>
        </w:rPr>
      </w:pPr>
      <w:r>
        <w:rPr>
          <w:rFonts w:hint="default" w:ascii="Times New Roman" w:hAnsi="Times New Roman" w:cs="Times New Roman"/>
          <w:color w:val="auto"/>
          <w:highlight w:val="none"/>
        </w:rPr>
        <w:t>根据对水质、水位监测点进行了取样检测，并对各监测点水位进行了测量。监测点水质整体较好，指标</w:t>
      </w:r>
      <w:r>
        <w:rPr>
          <w:rFonts w:hint="default" w:ascii="Times New Roman" w:hAnsi="Times New Roman" w:cs="Times New Roman"/>
          <w:color w:val="auto"/>
          <w:highlight w:val="none"/>
          <w:lang w:val="en-US" w:eastAsia="zh-CN"/>
        </w:rPr>
        <w:t>满足</w:t>
      </w:r>
      <w:r>
        <w:rPr>
          <w:rFonts w:hint="default" w:ascii="Times New Roman" w:hAnsi="Times New Roman" w:cs="Times New Roman"/>
          <w:color w:val="auto"/>
          <w:highlight w:val="none"/>
        </w:rPr>
        <w:t>《地下水质量标准》(GB/T14848-2017)Ⅲ类标准要求。</w:t>
      </w:r>
    </w:p>
    <w:p w14:paraId="4C1DFA42">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（4）声环境质量现状评价结论</w:t>
      </w:r>
    </w:p>
    <w:p w14:paraId="15663D6C">
      <w:pPr>
        <w:pStyle w:val="25"/>
        <w:ind w:firstLine="48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通过将环境噪声现状监测结果与标准比较，</w:t>
      </w:r>
      <w:r>
        <w:rPr>
          <w:rFonts w:hint="default" w:ascii="Times New Roman" w:hAnsi="Times New Roman" w:cs="Times New Roman"/>
          <w:color w:val="auto"/>
          <w:highlight w:val="none"/>
        </w:rPr>
        <w:t>厂界监测点均</w:t>
      </w:r>
      <w:r>
        <w:rPr>
          <w:rFonts w:hint="default" w:ascii="Times New Roman" w:hAnsi="Times New Roman" w:cs="Times New Roman"/>
          <w:color w:val="auto"/>
          <w:highlight w:val="none"/>
          <w:lang w:val="zh-CN"/>
        </w:rPr>
        <w:t>满足《声环境质量标准》（GB3096-2008）中的</w:t>
      </w:r>
      <w:r>
        <w:rPr>
          <w:rFonts w:hint="default" w:ascii="Times New Roman" w:hAnsi="Times New Roman" w:cs="Times New Roman"/>
          <w:color w:val="auto"/>
          <w:highlight w:val="none"/>
        </w:rPr>
        <w:t>1</w:t>
      </w:r>
      <w:r>
        <w:rPr>
          <w:rFonts w:hint="default" w:ascii="Times New Roman" w:hAnsi="Times New Roman" w:cs="Times New Roman"/>
          <w:color w:val="auto"/>
          <w:highlight w:val="none"/>
          <w:lang w:val="zh-CN"/>
        </w:rPr>
        <w:t>类标准，敏感点满足《声环境质量标准》（GB3096-2008）中的1类标准。</w:t>
      </w:r>
    </w:p>
    <w:p w14:paraId="3C9B21FB">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（5）土壤现状评价结论</w:t>
      </w:r>
    </w:p>
    <w:p w14:paraId="0B696979">
      <w:pPr>
        <w:pStyle w:val="25"/>
        <w:bidi w:val="0"/>
        <w:rPr>
          <w:rFonts w:hint="default" w:ascii="Times New Roman" w:hAnsi="Times New Roman" w:cs="Times New Roman"/>
          <w:color w:val="auto"/>
          <w:highlight w:val="none"/>
        </w:rPr>
      </w:pPr>
      <w:bookmarkStart w:id="427" w:name="_Toc15991738"/>
      <w:bookmarkStart w:id="428" w:name="_Toc31556"/>
      <w:r>
        <w:rPr>
          <w:rFonts w:hint="default" w:ascii="Times New Roman" w:hAnsi="Times New Roman" w:cs="Times New Roman"/>
          <w:color w:val="auto"/>
          <w:highlight w:val="none"/>
        </w:rPr>
        <w:t>本工程占地范围内各监测点的土壤环境质量现状均符合《土壤环境质量 建设用地土壤污染风险管控标准（试行）》（GB36600-2018）中的第二类用地风险筛选值，占地范围外各监测点的土壤环境质量现状均符合《土壤环境质量 农用地土壤污染风险管控标准（试行）》（GB 15618-2018）中风险筛选值，本工程土壤环境质量现状满足要求。</w:t>
      </w:r>
    </w:p>
    <w:p w14:paraId="3300C0D7">
      <w:pPr>
        <w:pStyle w:val="39"/>
        <w:rPr>
          <w:rFonts w:hint="default" w:ascii="Times New Roman" w:hAnsi="Times New Roman" w:cs="Times New Roman"/>
          <w:color w:val="auto"/>
          <w:highlight w:val="none"/>
        </w:rPr>
      </w:pPr>
      <w:r>
        <w:rPr>
          <w:rFonts w:hint="default" w:ascii="Times New Roman" w:hAnsi="Times New Roman" w:cs="Times New Roman"/>
          <w:color w:val="auto"/>
          <w:highlight w:val="none"/>
        </w:rPr>
        <w:t>9.1.4污染防治措施可行性结论</w:t>
      </w:r>
      <w:bookmarkEnd w:id="427"/>
      <w:bookmarkEnd w:id="428"/>
    </w:p>
    <w:p w14:paraId="3EF2C6DB">
      <w:pPr>
        <w:pStyle w:val="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9.1.4.1施工期</w:t>
      </w:r>
    </w:p>
    <w:p w14:paraId="02C395BB">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1、大气</w:t>
      </w:r>
    </w:p>
    <w:p w14:paraId="2453D611">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施工期产生废气为施工扬尘、燃油废气。施工场地、道路采取洒水和清扫措施抑尘，土方采用苫布苫盖，运输车加盖篷布；定期对车辆设备进行维护保养，禁止以柴油为燃料的施工机械超负荷工作，减小燃油废气影响。</w:t>
      </w:r>
    </w:p>
    <w:p w14:paraId="078C4C87">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运输车辆采取加盖篷布、密封仓等措施，运输道路及时洒水降尘，煤矸石到场后按照指定点卸车，且做到随卸随填，控制自卸汽车卸料高度；根据项目地区实际天气情况制定合理的洒水制度，并严格执行；分区分单元作业，作业时周边设置1.8m围挡，每日作业后对表面及时采用苫布覆盖，非作业面以及已碾实的煤矸石表面采用苫布覆盖；对大风等特殊气象条件，停止作业，并加大洒水强度。在采取上述措施后，厂界颗粒物浓度可达到《大气污染物综合排放标准》（GB16297-1996）中的表2无组织排放监控浓度限值。</w:t>
      </w:r>
    </w:p>
    <w:p w14:paraId="3F480752">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2、废水</w:t>
      </w:r>
    </w:p>
    <w:p w14:paraId="494DA7A9">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本项目施工期产生废水为施工废水。本项目不设预制场和拌合场，施工废水经沉淀池收集后用于厂区内洒水降尘，不外排。</w:t>
      </w:r>
    </w:p>
    <w:p w14:paraId="4325D430">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3、噪声</w:t>
      </w:r>
    </w:p>
    <w:p w14:paraId="1D4A0E74">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施工期产生施工机械噪声、运输噪声。合理安排施工时间（晚间22:00-6:00）严禁高噪声设备施工，尽量避免高噪声设备同时运行。优先选用低噪声设备，做好施工机械的维护和保养，减小施工机械噪声影响。加强运输车辆管理，严禁超速超载，减小运输噪声影响。</w:t>
      </w:r>
    </w:p>
    <w:p w14:paraId="3D1949E3">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4、固废</w:t>
      </w:r>
    </w:p>
    <w:p w14:paraId="2DAFBF0F">
      <w:pPr>
        <w:pStyle w:val="25"/>
        <w:ind w:firstLine="480"/>
        <w:rPr>
          <w:rFonts w:hint="default" w:ascii="Times New Roman" w:hAnsi="Times New Roman" w:eastAsia="宋体" w:cs="Times New Roman"/>
          <w:color w:val="auto"/>
          <w:highlight w:val="none"/>
          <w:lang w:val="en-US" w:eastAsia="zh-CN"/>
        </w:rPr>
      </w:pPr>
      <w:bookmarkStart w:id="429" w:name="_Toc15991739"/>
      <w:r>
        <w:rPr>
          <w:rFonts w:hint="default" w:ascii="Times New Roman" w:hAnsi="Times New Roman" w:cs="Times New Roman"/>
          <w:color w:val="auto"/>
          <w:highlight w:val="none"/>
        </w:rPr>
        <w:t>本项目施工期产生固废为建筑垃圾、场地清理废物。建筑材料下脚料、包装袋等建筑废弃物，外售废品回收部门；场地清理废物包含杂草、草木根茎、杂物等，集中收集后交由市政部门统一处理。生活垃圾集中收集，交由市政部门统一处理。</w:t>
      </w:r>
      <w:r>
        <w:rPr>
          <w:rFonts w:hint="default" w:ascii="Times New Roman" w:hAnsi="Times New Roman" w:cs="Times New Roman"/>
          <w:color w:val="auto"/>
          <w:highlight w:val="none"/>
          <w:lang w:val="en-US" w:eastAsia="zh-CN"/>
        </w:rPr>
        <w:t>沉渣直接回填于回填区。</w:t>
      </w:r>
    </w:p>
    <w:p w14:paraId="0BCC8DC3">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5、生态</w:t>
      </w:r>
    </w:p>
    <w:p w14:paraId="4167179B">
      <w:pPr>
        <w:pStyle w:val="25"/>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本项目施工期会对自然景观、水土流失、土地利用功能等产生影响。严格控制施工范围，严禁捕杀野生动物，加强对施工人员的教育，土方开挖后及时回填，减少水土流失。</w:t>
      </w:r>
    </w:p>
    <w:p w14:paraId="7C3501E2">
      <w:pPr>
        <w:pStyle w:val="5"/>
        <w:bidi w:val="0"/>
        <w:rPr>
          <w:rFonts w:hint="default" w:ascii="Times New Roman" w:hAnsi="Times New Roman" w:cs="Times New Roman"/>
          <w:color w:val="auto"/>
        </w:rPr>
      </w:pPr>
      <w:r>
        <w:rPr>
          <w:rFonts w:hint="default" w:ascii="Times New Roman" w:hAnsi="Times New Roman" w:cs="Times New Roman"/>
          <w:color w:val="auto"/>
        </w:rPr>
        <w:t>9.1.4.2生态恢复期</w:t>
      </w:r>
    </w:p>
    <w:p w14:paraId="30BFC705">
      <w:pPr>
        <w:pStyle w:val="25"/>
        <w:bidi w:val="0"/>
        <w:rPr>
          <w:rFonts w:hint="default" w:ascii="Times New Roman" w:hAnsi="Times New Roman" w:cs="Times New Roman"/>
          <w:color w:val="auto"/>
        </w:rPr>
      </w:pPr>
      <w:bookmarkStart w:id="430" w:name="_Toc10118"/>
      <w:r>
        <w:rPr>
          <w:rFonts w:hint="eastAsia" w:ascii="Times New Roman" w:hAnsi="Times New Roman" w:cs="Times New Roman"/>
          <w:color w:val="558ED5" w:themeColor="text2" w:themeTint="99"/>
          <w:highlight w:val="none"/>
          <w:lang w:val="en-US" w:eastAsia="zh-CN"/>
          <w14:textFill>
            <w14:solidFill>
              <w14:schemeClr w14:val="tx2">
                <w14:lumMod w14:val="60000"/>
                <w14:lumOff w14:val="40000"/>
              </w14:schemeClr>
            </w14:solidFill>
          </w14:textFill>
        </w:rPr>
        <w:t>种植</w:t>
      </w: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作业环节，</w:t>
      </w:r>
      <w:r>
        <w:rPr>
          <w:rFonts w:hint="eastAsia" w:ascii="Times New Roman" w:hAnsi="Times New Roman" w:cs="Times New Roman"/>
          <w:color w:val="558ED5" w:themeColor="text2" w:themeTint="99"/>
          <w:highlight w:val="none"/>
          <w:lang w:val="en-US" w:eastAsia="zh-CN"/>
          <w14:textFill>
            <w14:solidFill>
              <w14:schemeClr w14:val="tx2">
                <w14:lumMod w14:val="60000"/>
                <w14:lumOff w14:val="40000"/>
              </w14:schemeClr>
            </w14:solidFill>
          </w14:textFill>
        </w:rPr>
        <w:t>为人工种植，主要污染源为运输机械产生的尾气及噪声，</w:t>
      </w: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主要因子是NO</w:t>
      </w:r>
      <w:r>
        <w:rPr>
          <w:rFonts w:hint="default" w:ascii="Times New Roman" w:hAnsi="Times New Roman" w:cs="Times New Roman"/>
          <w:color w:val="558ED5" w:themeColor="text2" w:themeTint="99"/>
          <w:highlight w:val="none"/>
          <w:vertAlign w:val="subscript"/>
          <w14:textFill>
            <w14:solidFill>
              <w14:schemeClr w14:val="tx2">
                <w14:lumMod w14:val="60000"/>
                <w14:lumOff w14:val="40000"/>
              </w14:schemeClr>
            </w14:solidFill>
          </w14:textFill>
        </w:rPr>
        <w:t>2</w:t>
      </w: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、CO、SO</w:t>
      </w:r>
      <w:r>
        <w:rPr>
          <w:rFonts w:hint="default" w:ascii="Times New Roman" w:hAnsi="Times New Roman" w:cs="Times New Roman"/>
          <w:color w:val="558ED5" w:themeColor="text2" w:themeTint="99"/>
          <w:highlight w:val="none"/>
          <w:vertAlign w:val="subscript"/>
          <w14:textFill>
            <w14:solidFill>
              <w14:schemeClr w14:val="tx2">
                <w14:lumMod w14:val="60000"/>
                <w14:lumOff w14:val="40000"/>
              </w14:schemeClr>
            </w14:solidFill>
          </w14:textFill>
        </w:rPr>
        <w:t>2</w:t>
      </w:r>
      <w:r>
        <w:rPr>
          <w:rFonts w:hint="eastAsia" w:ascii="Times New Roman" w:hAnsi="Times New Roman" w:cs="Times New Roman"/>
          <w:color w:val="558ED5" w:themeColor="text2" w:themeTint="99"/>
          <w:highlight w:val="none"/>
          <w:vertAlign w:val="baseline"/>
          <w:lang w:val="en-US" w:eastAsia="zh-CN"/>
          <w14:textFill>
            <w14:solidFill>
              <w14:schemeClr w14:val="tx2">
                <w14:lumMod w14:val="60000"/>
                <w14:lumOff w14:val="40000"/>
              </w14:schemeClr>
            </w14:solidFill>
          </w14:textFill>
        </w:rPr>
        <w:t>及噪声</w:t>
      </w:r>
      <w:r>
        <w:rPr>
          <w:rFonts w:hint="default" w:ascii="Times New Roman" w:hAnsi="Times New Roman" w:cs="Times New Roman"/>
          <w:color w:val="558ED5" w:themeColor="text2" w:themeTint="99"/>
          <w:highlight w:val="none"/>
          <w14:textFill>
            <w14:solidFill>
              <w14:schemeClr w14:val="tx2">
                <w14:lumMod w14:val="60000"/>
                <w14:lumOff w14:val="40000"/>
              </w14:schemeClr>
            </w14:solidFill>
          </w14:textFill>
        </w:rPr>
        <w:t>。</w:t>
      </w:r>
      <w:r>
        <w:rPr>
          <w:rFonts w:hint="eastAsia" w:cs="Times New Roman"/>
          <w:color w:val="558ED5" w:themeColor="text2" w:themeTint="99"/>
          <w:highlight w:val="none"/>
          <w:lang w:val="en-US" w:eastAsia="zh-CN"/>
          <w14:textFill>
            <w14:solidFill>
              <w14:schemeClr w14:val="tx2">
                <w14:lumMod w14:val="60000"/>
                <w14:lumOff w14:val="40000"/>
              </w14:schemeClr>
            </w14:solidFill>
          </w14:textFill>
        </w:rPr>
        <w:t>种植期时间较短，且运输设备较少，对环境空气、噪声影响较小。</w:t>
      </w:r>
      <w:r>
        <w:rPr>
          <w:rFonts w:hint="default" w:ascii="Times New Roman" w:hAnsi="Times New Roman" w:cs="Times New Roman"/>
          <w:color w:val="auto"/>
        </w:rPr>
        <w:t>生态恢复期为回填复垦结束后</w:t>
      </w:r>
      <w:r>
        <w:rPr>
          <w:rFonts w:hint="default" w:ascii="Times New Roman" w:hAnsi="Times New Roman" w:cs="Times New Roman"/>
          <w:color w:val="auto"/>
          <w:lang w:eastAsia="zh-CN"/>
        </w:rPr>
        <w:t>林地</w:t>
      </w:r>
      <w:r>
        <w:rPr>
          <w:rFonts w:hint="default" w:ascii="Times New Roman" w:hAnsi="Times New Roman" w:cs="Times New Roman"/>
          <w:color w:val="auto"/>
        </w:rPr>
        <w:t>的自然恢复期，</w:t>
      </w:r>
      <w:r>
        <w:rPr>
          <w:rFonts w:hint="default" w:ascii="Times New Roman" w:hAnsi="Times New Roman" w:cs="Times New Roman"/>
          <w:color w:val="auto"/>
          <w:lang w:val="en-US" w:eastAsia="zh-CN"/>
        </w:rPr>
        <w:t>定期巡护，保证林地生长状况</w:t>
      </w:r>
      <w:r>
        <w:rPr>
          <w:rFonts w:hint="default" w:ascii="Times New Roman" w:hAnsi="Times New Roman" w:cs="Times New Roman"/>
          <w:color w:val="auto"/>
        </w:rPr>
        <w:t>。</w:t>
      </w:r>
    </w:p>
    <w:p w14:paraId="5628F42F">
      <w:pPr>
        <w:pStyle w:val="39"/>
        <w:rPr>
          <w:rFonts w:hint="default" w:ascii="Times New Roman" w:hAnsi="Times New Roman" w:cs="Times New Roman"/>
          <w:b/>
          <w:color w:val="auto"/>
          <w:highlight w:val="none"/>
        </w:rPr>
      </w:pPr>
      <w:r>
        <w:rPr>
          <w:rFonts w:hint="default" w:ascii="Times New Roman" w:hAnsi="Times New Roman" w:cs="Times New Roman"/>
          <w:color w:val="auto"/>
          <w:highlight w:val="none"/>
        </w:rPr>
        <w:t>9.1.5经济损益分析结论</w:t>
      </w:r>
      <w:bookmarkEnd w:id="429"/>
      <w:bookmarkEnd w:id="430"/>
    </w:p>
    <w:p w14:paraId="7C2CA59C">
      <w:pPr>
        <w:pStyle w:val="25"/>
        <w:adjustRightInd/>
        <w:snapToGrid/>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本项目的建设具有良好的社会效益和经济效益，不会对当地环境产生明显不利影响，因此该项目的实施做到了社会效益、经济效益和环境效益的同步发展。</w:t>
      </w:r>
    </w:p>
    <w:p w14:paraId="57DA3926">
      <w:pPr>
        <w:pStyle w:val="39"/>
        <w:rPr>
          <w:rFonts w:hint="default" w:ascii="Times New Roman" w:hAnsi="Times New Roman" w:cs="Times New Roman"/>
          <w:b/>
          <w:color w:val="auto"/>
          <w:highlight w:val="none"/>
        </w:rPr>
      </w:pPr>
      <w:bookmarkStart w:id="431" w:name="_Toc7905"/>
      <w:bookmarkStart w:id="432" w:name="_Toc486255152"/>
      <w:bookmarkStart w:id="433" w:name="_Toc15991740"/>
      <w:r>
        <w:rPr>
          <w:rFonts w:hint="default" w:ascii="Times New Roman" w:hAnsi="Times New Roman" w:cs="Times New Roman"/>
          <w:color w:val="auto"/>
          <w:highlight w:val="none"/>
        </w:rPr>
        <w:t>9.1.6环境管理与监测结论</w:t>
      </w:r>
      <w:bookmarkEnd w:id="431"/>
      <w:bookmarkEnd w:id="432"/>
      <w:bookmarkEnd w:id="433"/>
    </w:p>
    <w:p w14:paraId="69CF3ACC">
      <w:pPr>
        <w:pStyle w:val="25"/>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项目回填复垦期通过加强建设和运行的环境管理与监控，建立健全安全生产管理制度，制订科学严谨的操作规程，通过职工操作技能培训，提高危险辨识、防护和保护能力，落实责任到人。同时加强厂内各类设备包括污染治理设施的日常运行管理和维护，对生产设备进行定期检测，对关键设备进行不定期探伤测试。增强岗位职责和环保、安全意识，保证生产设施和环保治理设施运行的可靠性、稳定性。</w:t>
      </w:r>
    </w:p>
    <w:p w14:paraId="4E0F95B3">
      <w:pPr>
        <w:pStyle w:val="39"/>
        <w:rPr>
          <w:rFonts w:hint="default" w:ascii="Times New Roman" w:hAnsi="Times New Roman" w:cs="Times New Roman"/>
          <w:color w:val="auto"/>
          <w:highlight w:val="none"/>
        </w:rPr>
      </w:pPr>
      <w:bookmarkStart w:id="434" w:name="_Toc486255150"/>
      <w:bookmarkStart w:id="435" w:name="_Toc15991741"/>
      <w:bookmarkStart w:id="436" w:name="_Toc9503"/>
      <w:r>
        <w:rPr>
          <w:rFonts w:hint="default" w:ascii="Times New Roman" w:hAnsi="Times New Roman" w:cs="Times New Roman"/>
          <w:color w:val="auto"/>
          <w:highlight w:val="none"/>
        </w:rPr>
        <w:t>9.1.7公众意见采纳情况</w:t>
      </w:r>
      <w:bookmarkEnd w:id="434"/>
      <w:bookmarkEnd w:id="435"/>
      <w:bookmarkEnd w:id="436"/>
    </w:p>
    <w:p w14:paraId="45F5A70A">
      <w:pPr>
        <w:pStyle w:val="47"/>
        <w:adjustRightInd/>
        <w:snapToGrid/>
        <w:ind w:firstLine="480"/>
        <w:rPr>
          <w:rFonts w:hint="default" w:ascii="Times New Roman" w:hAnsi="Times New Roman" w:cs="Times New Roman"/>
          <w:color w:val="auto"/>
        </w:rPr>
      </w:pPr>
      <w:r>
        <w:rPr>
          <w:rFonts w:hint="default" w:ascii="Times New Roman" w:hAnsi="Times New Roman" w:cs="Times New Roman"/>
          <w:color w:val="auto"/>
        </w:rPr>
        <w:t>建设单位于202</w:t>
      </w:r>
      <w:r>
        <w:rPr>
          <w:rFonts w:hint="default" w:ascii="Times New Roman" w:hAnsi="Times New Roman" w:cs="Times New Roman"/>
          <w:color w:val="auto"/>
          <w:lang w:val="en-US" w:eastAsia="zh-CN"/>
        </w:rPr>
        <w:t>4</w:t>
      </w:r>
      <w:r>
        <w:rPr>
          <w:rFonts w:hint="default" w:ascii="Times New Roman" w:hAnsi="Times New Roman" w:cs="Times New Roman"/>
          <w:color w:val="auto"/>
        </w:rPr>
        <w:t>年</w:t>
      </w:r>
      <w:r>
        <w:rPr>
          <w:rFonts w:hint="default" w:ascii="Times New Roman" w:hAnsi="Times New Roman" w:cs="Times New Roman"/>
          <w:color w:val="auto"/>
          <w:lang w:val="en-US" w:eastAsia="zh-CN"/>
        </w:rPr>
        <w:t>7</w:t>
      </w:r>
      <w:r>
        <w:rPr>
          <w:rFonts w:hint="default" w:ascii="Times New Roman" w:hAnsi="Times New Roman" w:cs="Times New Roman"/>
          <w:color w:val="auto"/>
        </w:rPr>
        <w:t>月1</w:t>
      </w:r>
      <w:r>
        <w:rPr>
          <w:rFonts w:hint="default" w:ascii="Times New Roman" w:hAnsi="Times New Roman" w:cs="Times New Roman"/>
          <w:color w:val="auto"/>
          <w:lang w:val="en-US" w:eastAsia="zh-CN"/>
        </w:rPr>
        <w:t>6</w:t>
      </w:r>
      <w:r>
        <w:rPr>
          <w:rFonts w:hint="default" w:ascii="Times New Roman" w:hAnsi="Times New Roman" w:cs="Times New Roman"/>
          <w:color w:val="auto"/>
        </w:rPr>
        <w:t>日在</w:t>
      </w:r>
      <w:r>
        <w:rPr>
          <w:rFonts w:hint="default" w:ascii="Times New Roman" w:hAnsi="Times New Roman" w:cs="Times New Roman"/>
          <w:color w:val="auto"/>
          <w:lang w:val="en-US" w:eastAsia="zh-CN"/>
        </w:rPr>
        <w:t>鸡西市城子河区人民政府</w:t>
      </w:r>
      <w:r>
        <w:rPr>
          <w:rFonts w:hint="default" w:ascii="Times New Roman" w:hAnsi="Times New Roman" w:cs="Times New Roman"/>
          <w:color w:val="auto"/>
        </w:rPr>
        <w:t>网站（</w:t>
      </w:r>
      <w:r>
        <w:rPr>
          <w:rFonts w:hint="default" w:ascii="Times New Roman" w:hAnsi="Times New Roman" w:cs="Times New Roman"/>
          <w:color w:val="auto"/>
          <w:lang w:eastAsia="zh-CN"/>
        </w:rPr>
        <w:t>http://www.czh.gov.cn</w:t>
      </w:r>
      <w:r>
        <w:rPr>
          <w:rFonts w:hint="default" w:ascii="Times New Roman" w:hAnsi="Times New Roman" w:cs="Times New Roman"/>
          <w:color w:val="auto"/>
        </w:rPr>
        <w:t>）对</w:t>
      </w:r>
      <w:r>
        <w:rPr>
          <w:rFonts w:hint="default" w:ascii="Times New Roman" w:hAnsi="Times New Roman" w:cs="Times New Roman"/>
          <w:color w:val="auto"/>
          <w:lang w:val="en-US" w:eastAsia="zh-CN"/>
        </w:rPr>
        <w:t>本</w:t>
      </w:r>
      <w:r>
        <w:rPr>
          <w:rFonts w:hint="default" w:ascii="Times New Roman" w:hAnsi="Times New Roman" w:cs="Times New Roman"/>
          <w:color w:val="auto"/>
        </w:rPr>
        <w:t>项目进行了第一次公示；202</w:t>
      </w:r>
      <w:r>
        <w:rPr>
          <w:rFonts w:hint="default" w:ascii="Times New Roman" w:hAnsi="Times New Roman" w:cs="Times New Roman"/>
          <w:color w:val="auto"/>
          <w:lang w:val="en-US" w:eastAsia="zh-CN"/>
        </w:rPr>
        <w:t>4</w:t>
      </w:r>
      <w:r>
        <w:rPr>
          <w:rFonts w:hint="default" w:ascii="Times New Roman" w:hAnsi="Times New Roman" w:cs="Times New Roman"/>
          <w:color w:val="auto"/>
        </w:rPr>
        <w:t>年</w:t>
      </w:r>
      <w:r>
        <w:rPr>
          <w:rFonts w:hint="default" w:ascii="Times New Roman" w:hAnsi="Times New Roman" w:cs="Times New Roman"/>
          <w:color w:val="auto"/>
          <w:lang w:val="en-US" w:eastAsia="zh-CN"/>
        </w:rPr>
        <w:t>9</w:t>
      </w:r>
      <w:r>
        <w:rPr>
          <w:rFonts w:hint="default" w:ascii="Times New Roman" w:hAnsi="Times New Roman" w:cs="Times New Roman"/>
          <w:color w:val="auto"/>
        </w:rPr>
        <w:t>月</w:t>
      </w:r>
      <w:r>
        <w:rPr>
          <w:rFonts w:hint="default" w:ascii="Times New Roman" w:hAnsi="Times New Roman" w:cs="Times New Roman"/>
          <w:color w:val="auto"/>
          <w:lang w:val="en-US" w:eastAsia="zh-CN"/>
        </w:rPr>
        <w:t>30</w:t>
      </w:r>
      <w:r>
        <w:rPr>
          <w:rFonts w:hint="default" w:ascii="Times New Roman" w:hAnsi="Times New Roman" w:cs="Times New Roman"/>
          <w:color w:val="auto"/>
        </w:rPr>
        <w:t>日编制完成了征求意见稿后，</w:t>
      </w:r>
      <w:r>
        <w:rPr>
          <w:rFonts w:hint="default" w:ascii="Times New Roman" w:hAnsi="Times New Roman" w:cs="Times New Roman"/>
          <w:color w:val="auto"/>
          <w:lang w:val="en-US" w:eastAsia="zh-CN"/>
        </w:rPr>
        <w:t>在</w:t>
      </w:r>
      <w:r>
        <w:rPr>
          <w:rFonts w:hint="default" w:ascii="Times New Roman" w:hAnsi="Times New Roman" w:cs="Times New Roman"/>
          <w:color w:val="auto"/>
          <w:kern w:val="0"/>
          <w:lang w:val="en-US" w:eastAsia="zh-CN" w:bidi="ar"/>
        </w:rPr>
        <w:t>鸡西市城子河区人民政府</w:t>
      </w:r>
      <w:r>
        <w:rPr>
          <w:rFonts w:hint="default" w:ascii="Times New Roman" w:hAnsi="Times New Roman" w:cs="Times New Roman"/>
          <w:color w:val="auto"/>
          <w:kern w:val="0"/>
          <w:lang w:bidi="ar"/>
        </w:rPr>
        <w:t>网站（</w:t>
      </w:r>
      <w:r>
        <w:rPr>
          <w:rFonts w:hint="default" w:ascii="Times New Roman" w:hAnsi="Times New Roman" w:cs="Times New Roman"/>
          <w:color w:val="auto"/>
          <w:kern w:val="0"/>
          <w:lang w:eastAsia="zh-CN" w:bidi="ar"/>
        </w:rPr>
        <w:t>http://www.czh.gov.cn</w:t>
      </w:r>
      <w:r>
        <w:rPr>
          <w:rFonts w:hint="default" w:ascii="Times New Roman" w:hAnsi="Times New Roman" w:cs="Times New Roman"/>
          <w:color w:val="auto"/>
          <w:kern w:val="0"/>
          <w:lang w:bidi="ar"/>
        </w:rPr>
        <w:t>）</w:t>
      </w:r>
      <w:r>
        <w:rPr>
          <w:rFonts w:hint="default" w:ascii="Times New Roman" w:hAnsi="Times New Roman" w:cs="Times New Roman"/>
          <w:color w:val="auto"/>
        </w:rPr>
        <w:t>对环境影响报告书的征求意见稿进行了公示，在此期间，分别于202</w:t>
      </w:r>
      <w:r>
        <w:rPr>
          <w:rFonts w:hint="default" w:ascii="Times New Roman" w:hAnsi="Times New Roman" w:cs="Times New Roman"/>
          <w:color w:val="auto"/>
          <w:lang w:val="en-US" w:eastAsia="zh-CN"/>
        </w:rPr>
        <w:t>4</w:t>
      </w:r>
      <w:r>
        <w:rPr>
          <w:rFonts w:hint="default" w:ascii="Times New Roman" w:hAnsi="Times New Roman" w:cs="Times New Roman"/>
          <w:color w:val="auto"/>
        </w:rPr>
        <w:t>年</w:t>
      </w:r>
      <w:r>
        <w:rPr>
          <w:rFonts w:hint="default" w:ascii="Times New Roman" w:hAnsi="Times New Roman" w:cs="Times New Roman"/>
          <w:color w:val="auto"/>
          <w:lang w:val="en-US" w:eastAsia="zh-CN"/>
        </w:rPr>
        <w:t>10</w:t>
      </w:r>
      <w:r>
        <w:rPr>
          <w:rFonts w:hint="default" w:ascii="Times New Roman" w:hAnsi="Times New Roman" w:cs="Times New Roman"/>
          <w:color w:val="auto"/>
        </w:rPr>
        <w:t>月</w:t>
      </w:r>
      <w:r>
        <w:rPr>
          <w:rFonts w:hint="default" w:ascii="Times New Roman" w:hAnsi="Times New Roman" w:cs="Times New Roman"/>
          <w:color w:val="auto"/>
          <w:lang w:val="en-US" w:eastAsia="zh-CN"/>
        </w:rPr>
        <w:t>1</w:t>
      </w:r>
      <w:r>
        <w:rPr>
          <w:rFonts w:hint="default" w:ascii="Times New Roman" w:hAnsi="Times New Roman" w:cs="Times New Roman"/>
          <w:color w:val="auto"/>
          <w:highlight w:val="none"/>
          <w:lang w:val="en-US" w:eastAsia="zh-CN"/>
        </w:rPr>
        <w:t>0</w:t>
      </w:r>
      <w:r>
        <w:rPr>
          <w:rFonts w:hint="default" w:ascii="Times New Roman" w:hAnsi="Times New Roman" w:cs="Times New Roman"/>
          <w:color w:val="auto"/>
          <w:highlight w:val="none"/>
        </w:rPr>
        <w:t>日和</w:t>
      </w:r>
      <w:r>
        <w:rPr>
          <w:rFonts w:hint="default" w:ascii="Times New Roman" w:hAnsi="Times New Roman" w:cs="Times New Roman"/>
          <w:color w:val="auto"/>
          <w:highlight w:val="none"/>
          <w:lang w:val="en-US" w:eastAsia="zh-CN"/>
        </w:rPr>
        <w:t>10</w:t>
      </w:r>
      <w:r>
        <w:rPr>
          <w:rFonts w:hint="default" w:ascii="Times New Roman" w:hAnsi="Times New Roman" w:cs="Times New Roman"/>
          <w:color w:val="auto"/>
          <w:highlight w:val="none"/>
        </w:rPr>
        <w:t>月</w:t>
      </w:r>
      <w:r>
        <w:rPr>
          <w:rFonts w:hint="default" w:ascii="Times New Roman" w:hAnsi="Times New Roman" w:cs="Times New Roman"/>
          <w:color w:val="auto"/>
          <w:highlight w:val="none"/>
          <w:lang w:val="en-US" w:eastAsia="zh-CN"/>
        </w:rPr>
        <w:t>11</w:t>
      </w:r>
      <w:r>
        <w:rPr>
          <w:rFonts w:hint="default" w:ascii="Times New Roman" w:hAnsi="Times New Roman" w:cs="Times New Roman"/>
          <w:color w:val="auto"/>
          <w:highlight w:val="none"/>
        </w:rPr>
        <w:t>日在黑龙江日报上报纸公示了2次，且在附近张贴了布告栏公示。于202</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年</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月</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日在</w:t>
      </w:r>
      <w:r>
        <w:rPr>
          <w:rFonts w:hint="default" w:ascii="Times New Roman" w:hAnsi="Times New Roman" w:cs="Times New Roman"/>
          <w:color w:val="auto"/>
          <w:highlight w:val="none"/>
          <w:lang w:val="en-US" w:eastAsia="zh-CN"/>
        </w:rPr>
        <w:t>鸡西市城子河区人民政府</w:t>
      </w:r>
      <w:r>
        <w:rPr>
          <w:rFonts w:hint="default" w:ascii="Times New Roman" w:hAnsi="Times New Roman" w:cs="Times New Roman"/>
          <w:color w:val="auto"/>
          <w:highlight w:val="none"/>
        </w:rPr>
        <w:t>网站进行了报批前公示。项目信息公告公示期间，均未收到</w:t>
      </w:r>
      <w:r>
        <w:rPr>
          <w:rFonts w:hint="default" w:ascii="Times New Roman" w:hAnsi="Times New Roman" w:cs="Times New Roman"/>
          <w:color w:val="auto"/>
        </w:rPr>
        <w:t>公众以电话、信件或电子邮件等任何形式发回的反馈意见。</w:t>
      </w:r>
    </w:p>
    <w:p w14:paraId="5478F702">
      <w:pPr>
        <w:pStyle w:val="39"/>
        <w:rPr>
          <w:rFonts w:hint="default" w:ascii="Times New Roman" w:hAnsi="Times New Roman" w:cs="Times New Roman"/>
          <w:b/>
          <w:color w:val="auto"/>
          <w:highlight w:val="none"/>
        </w:rPr>
      </w:pPr>
      <w:bookmarkStart w:id="437" w:name="_Toc342462538"/>
      <w:bookmarkStart w:id="438" w:name="_Toc27497"/>
      <w:bookmarkStart w:id="439" w:name="_Toc285188950"/>
      <w:bookmarkStart w:id="440" w:name="_Toc15991742"/>
      <w:r>
        <w:rPr>
          <w:rFonts w:hint="default" w:ascii="Times New Roman" w:hAnsi="Times New Roman" w:cs="Times New Roman"/>
          <w:color w:val="auto"/>
          <w:highlight w:val="none"/>
        </w:rPr>
        <w:t>9.1.8总结论</w:t>
      </w:r>
      <w:bookmarkEnd w:id="437"/>
      <w:bookmarkEnd w:id="438"/>
      <w:bookmarkEnd w:id="439"/>
      <w:bookmarkEnd w:id="440"/>
    </w:p>
    <w:p w14:paraId="4BB1970E">
      <w:pPr>
        <w:pStyle w:val="25"/>
        <w:bidi w:val="0"/>
        <w:rPr>
          <w:rFonts w:hint="default" w:ascii="Times New Roman" w:hAnsi="Times New Roman" w:cs="Times New Roman"/>
          <w:color w:val="auto"/>
        </w:rPr>
      </w:pPr>
      <w:bookmarkStart w:id="441" w:name="_Toc477368707"/>
      <w:bookmarkStart w:id="442" w:name="_Toc119316827"/>
      <w:bookmarkStart w:id="443" w:name="_Toc15991743"/>
      <w:r>
        <w:rPr>
          <w:rFonts w:hint="default" w:ascii="Times New Roman" w:hAnsi="Times New Roman" w:cs="Times New Roman"/>
          <w:color w:val="auto"/>
        </w:rPr>
        <w:t>本项目符合国家产业政策要求，在坚持“三同时”原则、采取相应的环保措施并严格执行各种污染物排放标准的情况下，可实现污染物稳定达标排放，通过加强环境管理和环境监测，杜绝事故发生，本项目建设可被周围环境所接受。</w:t>
      </w:r>
    </w:p>
    <w:p w14:paraId="76FCDC4F">
      <w:pPr>
        <w:pStyle w:val="25"/>
        <w:bidi w:val="0"/>
        <w:rPr>
          <w:rFonts w:hint="default" w:ascii="Times New Roman" w:hAnsi="Times New Roman" w:cs="Times New Roman"/>
          <w:color w:val="auto"/>
        </w:rPr>
      </w:pPr>
      <w:r>
        <w:rPr>
          <w:rFonts w:hint="default" w:ascii="Times New Roman" w:hAnsi="Times New Roman" w:cs="Times New Roman"/>
          <w:color w:val="auto"/>
        </w:rPr>
        <w:t>因此，从环境保护角度分析，本项目具有可行性。</w:t>
      </w:r>
    </w:p>
    <w:p w14:paraId="5D9CB5F0">
      <w:pPr>
        <w:pStyle w:val="41"/>
        <w:rPr>
          <w:rFonts w:hint="default" w:ascii="Times New Roman" w:hAnsi="Times New Roman" w:cs="Times New Roman"/>
          <w:snapToGrid w:val="0"/>
          <w:color w:val="auto"/>
          <w:highlight w:val="none"/>
        </w:rPr>
      </w:pPr>
      <w:bookmarkStart w:id="444" w:name="_Toc5055"/>
      <w:bookmarkStart w:id="445" w:name="_Toc29615"/>
      <w:bookmarkStart w:id="446" w:name="_Toc152926845"/>
      <w:r>
        <w:rPr>
          <w:rFonts w:hint="default" w:ascii="Times New Roman" w:hAnsi="Times New Roman" w:cs="Times New Roman"/>
          <w:snapToGrid w:val="0"/>
          <w:color w:val="auto"/>
          <w:highlight w:val="none"/>
        </w:rPr>
        <w:t>9.2建议</w:t>
      </w:r>
      <w:bookmarkEnd w:id="441"/>
      <w:bookmarkEnd w:id="442"/>
      <w:bookmarkEnd w:id="443"/>
      <w:bookmarkEnd w:id="444"/>
      <w:bookmarkEnd w:id="445"/>
      <w:bookmarkEnd w:id="446"/>
    </w:p>
    <w:p w14:paraId="5FFCA01D">
      <w:pPr>
        <w:pStyle w:val="25"/>
        <w:bidi w:val="0"/>
        <w:rPr>
          <w:rFonts w:hint="default" w:ascii="Times New Roman" w:hAnsi="Times New Roman" w:cs="Times New Roman"/>
          <w:color w:val="auto"/>
        </w:rPr>
      </w:pPr>
      <w:r>
        <w:rPr>
          <w:rFonts w:hint="default" w:ascii="Times New Roman" w:hAnsi="Times New Roman" w:cs="Times New Roman"/>
          <w:color w:val="auto"/>
        </w:rPr>
        <w:t>关心并积极听取可能受项目环境影响的附近居民的反映，定期向项目管理者和当地环保部门汇报项目环境保护工作的情况。遵守有关环境法律、法规，树立良好的企业形象，实现经济效益与社会效益、环境效益相统一。</w:t>
      </w:r>
    </w:p>
    <w:p w14:paraId="47F6375D">
      <w:pPr>
        <w:pStyle w:val="25"/>
        <w:bidi w:val="0"/>
        <w:rPr>
          <w:rFonts w:hint="default" w:ascii="Times New Roman" w:hAnsi="Times New Roman" w:cs="Times New Roman"/>
          <w:color w:val="auto"/>
        </w:rPr>
      </w:pPr>
      <w:r>
        <w:rPr>
          <w:rFonts w:hint="default" w:ascii="Times New Roman" w:hAnsi="Times New Roman" w:cs="Times New Roman"/>
          <w:color w:val="auto"/>
        </w:rPr>
        <w:t>在</w:t>
      </w:r>
      <w:r>
        <w:rPr>
          <w:rFonts w:hint="default" w:ascii="Times New Roman" w:hAnsi="Times New Roman" w:cs="Times New Roman"/>
          <w:color w:val="auto"/>
          <w:lang w:val="en-US" w:eastAsia="zh-CN"/>
        </w:rPr>
        <w:t>施工</w:t>
      </w:r>
      <w:r>
        <w:rPr>
          <w:rFonts w:hint="default" w:ascii="Times New Roman" w:hAnsi="Times New Roman" w:cs="Times New Roman"/>
          <w:color w:val="auto"/>
        </w:rPr>
        <w:t>程中严格按照设计要求进行，加强设备运行维护，保证环保设备性能保持在最佳状态，效果最好。</w:t>
      </w:r>
    </w:p>
    <w:sectPr>
      <w:headerReference r:id="rId10" w:type="default"/>
      <w:footerReference r:id="rId11" w:type="default"/>
      <w:pgSz w:w="11906" w:h="16838"/>
      <w:pgMar w:top="1440" w:right="1803" w:bottom="1440" w:left="1803" w:header="794" w:footer="907" w:gutter="0"/>
      <w:pgBorders>
        <w:top w:val="none" w:sz="0" w:space="0"/>
        <w:left w:val="none" w:sz="0" w:space="0"/>
        <w:bottom w:val="none" w:sz="0" w:space="0"/>
        <w:right w:val="none" w:sz="0" w:space="0"/>
      </w:pgBorders>
      <w:cols w:space="0" w:num="1"/>
      <w:docGrid w:type="linesAndChars" w:linePitch="33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Garamond">
    <w:panose1 w:val="02020404030301010803"/>
    <w:charset w:val="00"/>
    <w:family w:val="roman"/>
    <w:pitch w:val="default"/>
    <w:sig w:usb0="00000287" w:usb1="00000000" w:usb2="00000000" w:usb3="00000000" w:csb0="0000009F" w:csb1="DFD70000"/>
  </w:font>
  <w:font w:name="仿宋">
    <w:panose1 w:val="02010609060101010101"/>
    <w:charset w:val="86"/>
    <w:family w:val="modern"/>
    <w:pitch w:val="default"/>
    <w:sig w:usb0="800002BF" w:usb1="38CF7CFA" w:usb2="00000016" w:usb3="00000000" w:csb0="00040001" w:csb1="00000000"/>
  </w:font>
  <w:font w:name="Cambria Math">
    <w:panose1 w:val="02040503050406030204"/>
    <w:charset w:val="00"/>
    <w:family w:val="roman"/>
    <w:pitch w:val="default"/>
    <w:sig w:usb0="E00006FF" w:usb1="420024FF" w:usb2="02000000" w:usb3="00000000" w:csb0="2000019F" w:csb1="00000000"/>
  </w:font>
  <w:font w:name="等线">
    <w:panose1 w:val="02010600030101010101"/>
    <w:charset w:val="86"/>
    <w:family w:val="auto"/>
    <w:pitch w:val="default"/>
    <w:sig w:usb0="A00002BF" w:usb1="38CF7CFA" w:usb2="00000016" w:usb3="00000000" w:csb0="0004000F" w:csb1="00000000"/>
  </w:font>
  <w:font w:name="TimesNewRomanPSMT">
    <w:altName w:val="等线"/>
    <w:panose1 w:val="00000000000000000000"/>
    <w:charset w:val="86"/>
    <w:family w:val="auto"/>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AA9D7E">
    <w:pPr>
      <w:tabs>
        <w:tab w:val="center" w:pos="4153"/>
        <w:tab w:val="right" w:pos="8306"/>
      </w:tabs>
      <w:jc w:val="center"/>
    </w:pPr>
  </w:p>
  <w:p w14:paraId="4468DD7D">
    <w:pPr>
      <w:tabs>
        <w:tab w:val="center" w:pos="4153"/>
        <w:tab w:val="right" w:pos="8306"/>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AE41C4">
    <w:pPr>
      <w:tabs>
        <w:tab w:val="center" w:pos="4153"/>
        <w:tab w:val="right" w:pos="8306"/>
      </w:tabs>
      <w:jc w:val="center"/>
    </w:pPr>
    <w:r>
      <w:fldChar w:fldCharType="begin"/>
    </w:r>
    <w:r>
      <w:instrText xml:space="preserve"> PAGE   \* MERGEFORMAT </w:instrText>
    </w:r>
    <w:r>
      <w:fldChar w:fldCharType="separate"/>
    </w:r>
    <w:r>
      <w:rPr>
        <w:lang w:val="zh-CN"/>
      </w:rPr>
      <w:t>110</w:t>
    </w:r>
    <w:r>
      <w:rPr>
        <w:lang w:val="zh-CN"/>
      </w:rPr>
      <w:fldChar w:fldCharType="end"/>
    </w:r>
  </w:p>
  <w:p w14:paraId="121DC3EA"/>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ECA0F8">
    <w:pPr>
      <w:tabs>
        <w:tab w:val="center" w:pos="4422"/>
        <w:tab w:val="right" w:pos="8844"/>
      </w:tabs>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72085" cy="131445"/>
              <wp:effectExtent l="0" t="0" r="635" b="0"/>
              <wp:wrapNone/>
              <wp:docPr id="1662565081" name="Text Box 1"/>
              <wp:cNvGraphicFramePr/>
              <a:graphic xmlns:a="http://schemas.openxmlformats.org/drawingml/2006/main">
                <a:graphicData uri="http://schemas.microsoft.com/office/word/2010/wordprocessingShape">
                  <wps:wsp>
                    <wps:cNvSpPr txBox="1">
                      <a:spLocks noChangeArrowheads="1"/>
                    </wps:cNvSpPr>
                    <wps:spPr bwMode="auto">
                      <a:xfrm>
                        <a:off x="0" y="0"/>
                        <a:ext cx="172085" cy="131445"/>
                      </a:xfrm>
                      <a:prstGeom prst="rect">
                        <a:avLst/>
                      </a:prstGeom>
                      <a:noFill/>
                      <a:ln>
                        <a:noFill/>
                      </a:ln>
                    </wps:spPr>
                    <wps:txbx>
                      <w:txbxContent>
                        <w:p w14:paraId="53B6C246">
                          <w:pPr>
                            <w:tabs>
                              <w:tab w:val="center" w:pos="4153"/>
                              <w:tab w:val="right" w:pos="8306"/>
                            </w:tabs>
                          </w:pPr>
                          <w:r>
                            <w:fldChar w:fldCharType="begin"/>
                          </w:r>
                          <w:r>
                            <w:instrText xml:space="preserve"> PAGE  \* MERGEFORMAT </w:instrText>
                          </w:r>
                          <w:r>
                            <w:fldChar w:fldCharType="separate"/>
                          </w:r>
                          <w:r>
                            <w:t>168</w:t>
                          </w:r>
                          <w:r>
                            <w:fldChar w:fldCharType="end"/>
                          </w:r>
                        </w:p>
                      </w:txbxContent>
                    </wps:txbx>
                    <wps:bodyPr rot="0" vert="horz" wrap="none" lIns="0" tIns="0" rIns="0" bIns="0" anchor="t" anchorCtr="0" upright="1">
                      <a:spAutoFit/>
                    </wps:bodyPr>
                  </wps:wsp>
                </a:graphicData>
              </a:graphic>
            </wp:anchor>
          </w:drawing>
        </mc:Choice>
        <mc:Fallback>
          <w:pict>
            <v:shape id="Text Box 1" o:spid="_x0000_s1026" o:spt="202" type="#_x0000_t202" style="position:absolute;left:0pt;margin-top:0pt;height:10.35pt;width:13.55pt;mso-position-horizontal:center;mso-position-horizontal-relative:margin;mso-wrap-style:none;z-index:251659264;mso-width-relative:page;mso-height-relative:page;" filled="f" stroked="f" coordsize="21600,21600" o:gfxdata="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UldDlzwAAAAMBAAAPAAAAAAAAAAEAIAAAACIAAABkcnMvZG93bnJldi54bWxQ&#10;SwECFAAUAAAACACHTuJAyyhOcAACAAAKBAAADgAAAAAAAAABACAAAAAeAQAAZHJzL2Uyb0RvYy54&#10;bWxQSwUGAAAAAAYABgBZAQAAkAUAAAAA&#10;">
              <v:fill on="f" focussize="0,0"/>
              <v:stroke on="f"/>
              <v:imagedata o:title=""/>
              <o:lock v:ext="edit" aspectratio="f"/>
              <v:textbox inset="0mm,0mm,0mm,0mm" style="mso-fit-shape-to-text:t;">
                <w:txbxContent>
                  <w:p w14:paraId="53B6C246">
                    <w:pPr>
                      <w:tabs>
                        <w:tab w:val="center" w:pos="4153"/>
                        <w:tab w:val="right" w:pos="8306"/>
                      </w:tabs>
                    </w:pPr>
                    <w:r>
                      <w:fldChar w:fldCharType="begin"/>
                    </w:r>
                    <w:r>
                      <w:instrText xml:space="preserve"> PAGE  \* MERGEFORMAT </w:instrText>
                    </w:r>
                    <w:r>
                      <w:fldChar w:fldCharType="separate"/>
                    </w:r>
                    <w:r>
                      <w:t>168</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8861559"/>
    </w:sdtPr>
    <w:sdtContent>
      <w:p w14:paraId="020A62DE">
        <w:pPr>
          <w:tabs>
            <w:tab w:val="center" w:pos="4153"/>
            <w:tab w:val="right" w:pos="8306"/>
          </w:tabs>
          <w:jc w:val="center"/>
        </w:pPr>
        <w:r>
          <w:fldChar w:fldCharType="begin"/>
        </w:r>
        <w:r>
          <w:instrText xml:space="preserve"> PAGE   \* MERGEFORMAT </w:instrText>
        </w:r>
        <w:r>
          <w:fldChar w:fldCharType="separate"/>
        </w:r>
        <w:r>
          <w:rPr>
            <w:lang w:val="zh-CN"/>
          </w:rPr>
          <w:t>203</w:t>
        </w:r>
        <w:r>
          <w:rPr>
            <w:lang w:val="zh-CN"/>
          </w:rPr>
          <w:fldChar w:fldCharType="end"/>
        </w:r>
      </w:p>
    </w:sdtContent>
  </w:sdt>
  <w:p w14:paraId="637F8529">
    <w:pPr>
      <w:tabs>
        <w:tab w:val="center" w:pos="4153"/>
        <w:tab w:val="right" w:pos="8306"/>
      </w:tabs>
      <w:ind w:firstLine="36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ED9E9B">
    <w:pPr>
      <w:jc w:val="center"/>
      <w:outlineLvl w:val="0"/>
      <w:rPr>
        <w:rFonts w:hint="eastAsia" w:ascii="黑体" w:hAnsi="宋体" w:eastAsia="黑体"/>
        <w:sz w:val="18"/>
        <w:szCs w:val="1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B608B7">
    <w:pPr>
      <w:pBdr>
        <w:bottom w:val="single" w:color="auto" w:sz="4" w:space="0"/>
      </w:pBdr>
      <w:jc w:val="center"/>
      <w:outlineLvl w:val="0"/>
      <w:rPr>
        <w:rFonts w:hint="eastAsia" w:ascii="仿宋" w:hAnsi="仿宋" w:eastAsia="仿宋"/>
        <w:b/>
        <w:bCs/>
        <w:sz w:val="18"/>
        <w:szCs w:val="18"/>
      </w:rPr>
    </w:pPr>
    <w:bookmarkStart w:id="447" w:name="OLE_LINK17"/>
    <w:r>
      <w:rPr>
        <w:rFonts w:hint="eastAsia" w:ascii="仿宋" w:hAnsi="仿宋" w:eastAsia="仿宋"/>
        <w:b/>
        <w:bCs/>
        <w:sz w:val="18"/>
        <w:szCs w:val="18"/>
      </w:rPr>
      <w:t>鸡西市城子河区历史遗留矿山生态修复项目</w:t>
    </w:r>
    <w:bookmarkEnd w:id="447"/>
    <w:r>
      <w:rPr>
        <w:rFonts w:hint="eastAsia" w:ascii="仿宋" w:hAnsi="仿宋" w:eastAsia="仿宋"/>
        <w:b/>
        <w:bCs/>
        <w:sz w:val="18"/>
        <w:szCs w:val="18"/>
      </w:rPr>
      <w:t>环境影响报告书</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BF39F1">
    <w:pPr>
      <w:pBdr>
        <w:bottom w:val="single" w:color="auto" w:sz="4" w:space="0"/>
      </w:pBdr>
      <w:jc w:val="center"/>
      <w:outlineLvl w:val="0"/>
      <w:rPr>
        <w:rFonts w:hint="eastAsia" w:ascii="仿宋" w:hAnsi="仿宋" w:eastAsia="仿宋"/>
        <w:b/>
        <w:bCs/>
        <w:sz w:val="18"/>
        <w:szCs w:val="18"/>
      </w:rPr>
    </w:pPr>
    <w:r>
      <w:rPr>
        <w:rFonts w:hint="eastAsia" w:ascii="仿宋" w:hAnsi="仿宋" w:eastAsia="仿宋"/>
        <w:b/>
        <w:bCs/>
        <w:sz w:val="18"/>
        <w:szCs w:val="18"/>
      </w:rPr>
      <w:t>鸡西市城子河区历史遗留矿山生态修复项目环境影响报告书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numPicBullet w:numPicBulletId="0">
    <w:pict>
      <v:shape id="0" type="#_x0000_t75" style="width:14px;height:18px" o:bullet="t">
        <v:imagedata r:id="rId1" o:title=""/>
      </v:shape>
    </w:pict>
  </w:numPicBullet>
  <w:abstractNum w:abstractNumId="0">
    <w:nsid w:val="977DDC33"/>
    <w:multiLevelType w:val="singleLevel"/>
    <w:tmpl w:val="977DDC33"/>
    <w:lvl w:ilvl="0" w:tentative="0">
      <w:start w:val="1"/>
      <w:numFmt w:val="decimal"/>
      <w:suff w:val="nothing"/>
      <w:lvlText w:val="%1、"/>
      <w:lvlJc w:val="left"/>
    </w:lvl>
  </w:abstractNum>
  <w:abstractNum w:abstractNumId="1">
    <w:nsid w:val="AB51065B"/>
    <w:multiLevelType w:val="singleLevel"/>
    <w:tmpl w:val="AB51065B"/>
    <w:lvl w:ilvl="0" w:tentative="0">
      <w:start w:val="4"/>
      <w:numFmt w:val="decimal"/>
      <w:suff w:val="nothing"/>
      <w:lvlText w:val="（%1）"/>
      <w:lvlJc w:val="left"/>
    </w:lvl>
  </w:abstractNum>
  <w:abstractNum w:abstractNumId="2">
    <w:nsid w:val="E360EC57"/>
    <w:multiLevelType w:val="singleLevel"/>
    <w:tmpl w:val="E360EC57"/>
    <w:lvl w:ilvl="0" w:tentative="0">
      <w:start w:val="4"/>
      <w:numFmt w:val="decimal"/>
      <w:suff w:val="nothing"/>
      <w:lvlText w:val="%1）"/>
      <w:lvlJc w:val="left"/>
    </w:lvl>
  </w:abstractNum>
  <w:abstractNum w:abstractNumId="3">
    <w:nsid w:val="15621728"/>
    <w:multiLevelType w:val="multilevel"/>
    <w:tmpl w:val="15621728"/>
    <w:lvl w:ilvl="0" w:tentative="0">
      <w:start w:val="1"/>
      <w:numFmt w:val="bullet"/>
      <w:lvlText w:val=""/>
      <w:lvlPicBulletId w:val="0"/>
      <w:lvlJc w:val="left"/>
      <w:pPr>
        <w:tabs>
          <w:tab w:val="left" w:pos="420"/>
        </w:tabs>
        <w:ind w:left="420" w:firstLine="0"/>
      </w:pPr>
      <w:rPr>
        <w:rFonts w:hint="default" w:ascii="Symbol" w:hAnsi="Symbol"/>
      </w:rPr>
    </w:lvl>
    <w:lvl w:ilvl="1" w:tentative="0">
      <w:start w:val="1"/>
      <w:numFmt w:val="bullet"/>
      <w:lvlText w:val=""/>
      <w:lvlJc w:val="left"/>
      <w:pPr>
        <w:tabs>
          <w:tab w:val="left" w:pos="840"/>
        </w:tabs>
        <w:ind w:left="840" w:firstLine="0"/>
      </w:pPr>
      <w:rPr>
        <w:rFonts w:hint="default" w:ascii="Symbol" w:hAnsi="Symbol"/>
      </w:rPr>
    </w:lvl>
    <w:lvl w:ilvl="2" w:tentative="0">
      <w:start w:val="1"/>
      <w:numFmt w:val="bullet"/>
      <w:lvlText w:val=""/>
      <w:lvlJc w:val="left"/>
      <w:pPr>
        <w:tabs>
          <w:tab w:val="left" w:pos="1260"/>
        </w:tabs>
        <w:ind w:left="1260" w:firstLine="0"/>
      </w:pPr>
      <w:rPr>
        <w:rFonts w:hint="default" w:ascii="Symbol" w:hAnsi="Symbol"/>
      </w:rPr>
    </w:lvl>
    <w:lvl w:ilvl="3" w:tentative="0">
      <w:start w:val="1"/>
      <w:numFmt w:val="bullet"/>
      <w:lvlText w:val=""/>
      <w:lvlJc w:val="left"/>
      <w:pPr>
        <w:tabs>
          <w:tab w:val="left" w:pos="1680"/>
        </w:tabs>
        <w:ind w:left="1680" w:firstLine="0"/>
      </w:pPr>
      <w:rPr>
        <w:rFonts w:hint="default" w:ascii="Symbol" w:hAnsi="Symbol"/>
      </w:rPr>
    </w:lvl>
    <w:lvl w:ilvl="4" w:tentative="0">
      <w:start w:val="1"/>
      <w:numFmt w:val="bullet"/>
      <w:lvlText w:val=""/>
      <w:lvlJc w:val="left"/>
      <w:pPr>
        <w:tabs>
          <w:tab w:val="left" w:pos="2100"/>
        </w:tabs>
        <w:ind w:left="2100" w:firstLine="0"/>
      </w:pPr>
      <w:rPr>
        <w:rFonts w:hint="default" w:ascii="Symbol" w:hAnsi="Symbol"/>
      </w:rPr>
    </w:lvl>
    <w:lvl w:ilvl="5" w:tentative="0">
      <w:start w:val="1"/>
      <w:numFmt w:val="bullet"/>
      <w:lvlText w:val=""/>
      <w:lvlJc w:val="left"/>
      <w:pPr>
        <w:tabs>
          <w:tab w:val="left" w:pos="2520"/>
        </w:tabs>
        <w:ind w:left="2520" w:firstLine="0"/>
      </w:pPr>
      <w:rPr>
        <w:rFonts w:hint="default" w:ascii="Symbol" w:hAnsi="Symbol"/>
      </w:rPr>
    </w:lvl>
    <w:lvl w:ilvl="6" w:tentative="0">
      <w:start w:val="1"/>
      <w:numFmt w:val="bullet"/>
      <w:lvlText w:val=""/>
      <w:lvlJc w:val="left"/>
      <w:pPr>
        <w:tabs>
          <w:tab w:val="left" w:pos="2940"/>
        </w:tabs>
        <w:ind w:left="2940" w:firstLine="0"/>
      </w:pPr>
      <w:rPr>
        <w:rFonts w:hint="default" w:ascii="Symbol" w:hAnsi="Symbol"/>
      </w:rPr>
    </w:lvl>
    <w:lvl w:ilvl="7" w:tentative="0">
      <w:start w:val="1"/>
      <w:numFmt w:val="bullet"/>
      <w:lvlText w:val=""/>
      <w:lvlJc w:val="left"/>
      <w:pPr>
        <w:tabs>
          <w:tab w:val="left" w:pos="3360"/>
        </w:tabs>
        <w:ind w:left="3360" w:firstLine="0"/>
      </w:pPr>
      <w:rPr>
        <w:rFonts w:hint="default" w:ascii="Symbol" w:hAnsi="Symbol"/>
      </w:rPr>
    </w:lvl>
    <w:lvl w:ilvl="8" w:tentative="0">
      <w:start w:val="1"/>
      <w:numFmt w:val="bullet"/>
      <w:lvlText w:val=""/>
      <w:lvlJc w:val="left"/>
      <w:pPr>
        <w:tabs>
          <w:tab w:val="left" w:pos="3780"/>
        </w:tabs>
        <w:ind w:left="3780" w:firstLine="0"/>
      </w:pPr>
      <w:rPr>
        <w:rFonts w:hint="default" w:ascii="Symbol" w:hAnsi="Symbol"/>
      </w:rPr>
    </w:lvl>
  </w:abstractNum>
  <w:abstractNum w:abstractNumId="4">
    <w:nsid w:val="19E13BB6"/>
    <w:multiLevelType w:val="singleLevel"/>
    <w:tmpl w:val="19E13BB6"/>
    <w:lvl w:ilvl="0" w:tentative="0">
      <w:start w:val="7"/>
      <w:numFmt w:val="decimal"/>
      <w:suff w:val="nothing"/>
      <w:lvlText w:val="%1、"/>
      <w:lvlJc w:val="left"/>
    </w:lvl>
  </w:abstractNum>
  <w:abstractNum w:abstractNumId="5">
    <w:nsid w:val="4465A2EB"/>
    <w:multiLevelType w:val="singleLevel"/>
    <w:tmpl w:val="4465A2EB"/>
    <w:lvl w:ilvl="0" w:tentative="0">
      <w:start w:val="2"/>
      <w:numFmt w:val="decimal"/>
      <w:suff w:val="nothing"/>
      <w:lvlText w:val="%1、"/>
      <w:lvlJc w:val="left"/>
    </w:lvl>
  </w:abstractNum>
  <w:num w:numId="1">
    <w:abstractNumId w:val="2"/>
  </w:num>
  <w:num w:numId="2">
    <w:abstractNumId w:val="0"/>
  </w:num>
  <w:num w:numId="3">
    <w:abstractNumId w:val="5"/>
  </w:num>
  <w:num w:numId="4">
    <w:abstractNumId w:val="1"/>
  </w:num>
  <w:num w:numId="5">
    <w:abstractNumId w:val="4"/>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hideSpellingErrors/>
  <w:documentProtection w:enforcement="0"/>
  <w:defaultTabStop w:val="420"/>
  <w:drawingGridHorizontalSpacing w:val="105"/>
  <w:drawingGridVerticalSpacing w:val="166"/>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TFjNTcxOTUzMmJiYzdjMTUyMDUxYjJlMmFiZjRlNDEifQ=="/>
  </w:docVars>
  <w:rsids>
    <w:rsidRoot w:val="00CD6827"/>
    <w:rsid w:val="0000015F"/>
    <w:rsid w:val="00000247"/>
    <w:rsid w:val="00000261"/>
    <w:rsid w:val="0000041D"/>
    <w:rsid w:val="00000955"/>
    <w:rsid w:val="000011B8"/>
    <w:rsid w:val="0000146A"/>
    <w:rsid w:val="00001D5A"/>
    <w:rsid w:val="00001DD1"/>
    <w:rsid w:val="00001DF9"/>
    <w:rsid w:val="00002043"/>
    <w:rsid w:val="000020FF"/>
    <w:rsid w:val="0000255E"/>
    <w:rsid w:val="000025FF"/>
    <w:rsid w:val="00002EDF"/>
    <w:rsid w:val="00003A27"/>
    <w:rsid w:val="00003ADD"/>
    <w:rsid w:val="00003DF8"/>
    <w:rsid w:val="000043FE"/>
    <w:rsid w:val="00004822"/>
    <w:rsid w:val="0000489C"/>
    <w:rsid w:val="00004DFD"/>
    <w:rsid w:val="00004E4E"/>
    <w:rsid w:val="000059C4"/>
    <w:rsid w:val="00005A28"/>
    <w:rsid w:val="00006C60"/>
    <w:rsid w:val="00006EA1"/>
    <w:rsid w:val="00007252"/>
    <w:rsid w:val="00007648"/>
    <w:rsid w:val="000108E6"/>
    <w:rsid w:val="00010959"/>
    <w:rsid w:val="00010F8B"/>
    <w:rsid w:val="00011646"/>
    <w:rsid w:val="00011C2B"/>
    <w:rsid w:val="00011DDF"/>
    <w:rsid w:val="00011E25"/>
    <w:rsid w:val="00012939"/>
    <w:rsid w:val="00012C34"/>
    <w:rsid w:val="000130E3"/>
    <w:rsid w:val="0001378D"/>
    <w:rsid w:val="00013845"/>
    <w:rsid w:val="00014AF2"/>
    <w:rsid w:val="00015172"/>
    <w:rsid w:val="00015FD3"/>
    <w:rsid w:val="000160FE"/>
    <w:rsid w:val="00016617"/>
    <w:rsid w:val="000166C8"/>
    <w:rsid w:val="00016F39"/>
    <w:rsid w:val="00017D34"/>
    <w:rsid w:val="00020E53"/>
    <w:rsid w:val="00021497"/>
    <w:rsid w:val="00021C39"/>
    <w:rsid w:val="0002201F"/>
    <w:rsid w:val="00022108"/>
    <w:rsid w:val="000222BC"/>
    <w:rsid w:val="00022568"/>
    <w:rsid w:val="000228A3"/>
    <w:rsid w:val="0002364E"/>
    <w:rsid w:val="00023736"/>
    <w:rsid w:val="00023739"/>
    <w:rsid w:val="00023756"/>
    <w:rsid w:val="00023938"/>
    <w:rsid w:val="00023FC5"/>
    <w:rsid w:val="00024162"/>
    <w:rsid w:val="000241AF"/>
    <w:rsid w:val="000247BA"/>
    <w:rsid w:val="00024B71"/>
    <w:rsid w:val="0002518C"/>
    <w:rsid w:val="000251C1"/>
    <w:rsid w:val="00025E78"/>
    <w:rsid w:val="000262F5"/>
    <w:rsid w:val="00026517"/>
    <w:rsid w:val="00026977"/>
    <w:rsid w:val="00026E50"/>
    <w:rsid w:val="000272AF"/>
    <w:rsid w:val="000273BA"/>
    <w:rsid w:val="000273C1"/>
    <w:rsid w:val="0002753E"/>
    <w:rsid w:val="00027852"/>
    <w:rsid w:val="00027AB6"/>
    <w:rsid w:val="00027B9A"/>
    <w:rsid w:val="00027D37"/>
    <w:rsid w:val="00027E1C"/>
    <w:rsid w:val="00030300"/>
    <w:rsid w:val="000303AD"/>
    <w:rsid w:val="00030457"/>
    <w:rsid w:val="00030C80"/>
    <w:rsid w:val="00030D02"/>
    <w:rsid w:val="00030D22"/>
    <w:rsid w:val="00030D5B"/>
    <w:rsid w:val="000310B4"/>
    <w:rsid w:val="0003162C"/>
    <w:rsid w:val="00031767"/>
    <w:rsid w:val="00031BC7"/>
    <w:rsid w:val="00031DC9"/>
    <w:rsid w:val="0003272A"/>
    <w:rsid w:val="00032925"/>
    <w:rsid w:val="00032C6C"/>
    <w:rsid w:val="00033011"/>
    <w:rsid w:val="00033858"/>
    <w:rsid w:val="00033A63"/>
    <w:rsid w:val="00033AB4"/>
    <w:rsid w:val="00033CC7"/>
    <w:rsid w:val="00033E48"/>
    <w:rsid w:val="00033F4B"/>
    <w:rsid w:val="0003420D"/>
    <w:rsid w:val="000346DC"/>
    <w:rsid w:val="000347A9"/>
    <w:rsid w:val="00034D30"/>
    <w:rsid w:val="000351D2"/>
    <w:rsid w:val="00035448"/>
    <w:rsid w:val="00035553"/>
    <w:rsid w:val="00035B39"/>
    <w:rsid w:val="00035DCD"/>
    <w:rsid w:val="00036345"/>
    <w:rsid w:val="00036EE4"/>
    <w:rsid w:val="0003720B"/>
    <w:rsid w:val="000372B7"/>
    <w:rsid w:val="00037967"/>
    <w:rsid w:val="00037B8B"/>
    <w:rsid w:val="00040272"/>
    <w:rsid w:val="0004032D"/>
    <w:rsid w:val="00040954"/>
    <w:rsid w:val="00040DE8"/>
    <w:rsid w:val="00041001"/>
    <w:rsid w:val="0004165F"/>
    <w:rsid w:val="000416C4"/>
    <w:rsid w:val="000416FD"/>
    <w:rsid w:val="00041A53"/>
    <w:rsid w:val="00041B96"/>
    <w:rsid w:val="00041BE7"/>
    <w:rsid w:val="00042041"/>
    <w:rsid w:val="000421E3"/>
    <w:rsid w:val="000421F8"/>
    <w:rsid w:val="0004298C"/>
    <w:rsid w:val="00042A3C"/>
    <w:rsid w:val="00042E1E"/>
    <w:rsid w:val="000436D5"/>
    <w:rsid w:val="00043ECF"/>
    <w:rsid w:val="00044DAE"/>
    <w:rsid w:val="000459E1"/>
    <w:rsid w:val="00046128"/>
    <w:rsid w:val="000469EB"/>
    <w:rsid w:val="00046F5D"/>
    <w:rsid w:val="00047325"/>
    <w:rsid w:val="000477BF"/>
    <w:rsid w:val="00047D3E"/>
    <w:rsid w:val="00050290"/>
    <w:rsid w:val="00050923"/>
    <w:rsid w:val="000509C9"/>
    <w:rsid w:val="000514A8"/>
    <w:rsid w:val="000516C1"/>
    <w:rsid w:val="0005197C"/>
    <w:rsid w:val="00051B0A"/>
    <w:rsid w:val="00052487"/>
    <w:rsid w:val="000524AC"/>
    <w:rsid w:val="00052943"/>
    <w:rsid w:val="000530AE"/>
    <w:rsid w:val="000533A2"/>
    <w:rsid w:val="00053904"/>
    <w:rsid w:val="00053F42"/>
    <w:rsid w:val="0005436B"/>
    <w:rsid w:val="00054C89"/>
    <w:rsid w:val="000552E4"/>
    <w:rsid w:val="000555EB"/>
    <w:rsid w:val="00055C3B"/>
    <w:rsid w:val="00057153"/>
    <w:rsid w:val="000571D5"/>
    <w:rsid w:val="000579A0"/>
    <w:rsid w:val="00057CE1"/>
    <w:rsid w:val="00057D66"/>
    <w:rsid w:val="00060092"/>
    <w:rsid w:val="00060191"/>
    <w:rsid w:val="00060256"/>
    <w:rsid w:val="00060375"/>
    <w:rsid w:val="0006049A"/>
    <w:rsid w:val="000607CB"/>
    <w:rsid w:val="0006094F"/>
    <w:rsid w:val="00060B6A"/>
    <w:rsid w:val="000610BB"/>
    <w:rsid w:val="0006158B"/>
    <w:rsid w:val="00061B56"/>
    <w:rsid w:val="00061CC9"/>
    <w:rsid w:val="00061F49"/>
    <w:rsid w:val="00062182"/>
    <w:rsid w:val="000624A5"/>
    <w:rsid w:val="0006254D"/>
    <w:rsid w:val="000627D7"/>
    <w:rsid w:val="00062B0A"/>
    <w:rsid w:val="00062EAE"/>
    <w:rsid w:val="00062F43"/>
    <w:rsid w:val="000631F2"/>
    <w:rsid w:val="0006320E"/>
    <w:rsid w:val="00063443"/>
    <w:rsid w:val="00063E58"/>
    <w:rsid w:val="00064051"/>
    <w:rsid w:val="00064536"/>
    <w:rsid w:val="000649EB"/>
    <w:rsid w:val="00064B30"/>
    <w:rsid w:val="00065032"/>
    <w:rsid w:val="000659BE"/>
    <w:rsid w:val="00065F8A"/>
    <w:rsid w:val="000660FA"/>
    <w:rsid w:val="00067D3A"/>
    <w:rsid w:val="00067DF8"/>
    <w:rsid w:val="0007031B"/>
    <w:rsid w:val="00070496"/>
    <w:rsid w:val="00070A72"/>
    <w:rsid w:val="00070F53"/>
    <w:rsid w:val="00071280"/>
    <w:rsid w:val="00071654"/>
    <w:rsid w:val="00071F26"/>
    <w:rsid w:val="00071FD2"/>
    <w:rsid w:val="000729CC"/>
    <w:rsid w:val="00072A13"/>
    <w:rsid w:val="00072C37"/>
    <w:rsid w:val="00072CBD"/>
    <w:rsid w:val="00072E7C"/>
    <w:rsid w:val="0007326E"/>
    <w:rsid w:val="00073380"/>
    <w:rsid w:val="00073389"/>
    <w:rsid w:val="0007392C"/>
    <w:rsid w:val="00073BC0"/>
    <w:rsid w:val="00073C12"/>
    <w:rsid w:val="00073E64"/>
    <w:rsid w:val="00073E84"/>
    <w:rsid w:val="000741DF"/>
    <w:rsid w:val="0007422A"/>
    <w:rsid w:val="00075196"/>
    <w:rsid w:val="000759A8"/>
    <w:rsid w:val="00075D55"/>
    <w:rsid w:val="00075F9F"/>
    <w:rsid w:val="0007621C"/>
    <w:rsid w:val="00076A17"/>
    <w:rsid w:val="0007708E"/>
    <w:rsid w:val="000770C0"/>
    <w:rsid w:val="0007715B"/>
    <w:rsid w:val="000772A3"/>
    <w:rsid w:val="00077938"/>
    <w:rsid w:val="000804E9"/>
    <w:rsid w:val="000807A6"/>
    <w:rsid w:val="000809C6"/>
    <w:rsid w:val="00080DB3"/>
    <w:rsid w:val="0008135D"/>
    <w:rsid w:val="000819BF"/>
    <w:rsid w:val="0008228A"/>
    <w:rsid w:val="0008259F"/>
    <w:rsid w:val="00082BF2"/>
    <w:rsid w:val="00082E23"/>
    <w:rsid w:val="00083053"/>
    <w:rsid w:val="00083AC5"/>
    <w:rsid w:val="00084C2D"/>
    <w:rsid w:val="00084C56"/>
    <w:rsid w:val="0008512C"/>
    <w:rsid w:val="0008536B"/>
    <w:rsid w:val="000859A3"/>
    <w:rsid w:val="00086584"/>
    <w:rsid w:val="00086DE3"/>
    <w:rsid w:val="00087393"/>
    <w:rsid w:val="000876C3"/>
    <w:rsid w:val="00087C83"/>
    <w:rsid w:val="00087E07"/>
    <w:rsid w:val="0009000F"/>
    <w:rsid w:val="000902E0"/>
    <w:rsid w:val="00090F5F"/>
    <w:rsid w:val="0009123A"/>
    <w:rsid w:val="00091538"/>
    <w:rsid w:val="000915AA"/>
    <w:rsid w:val="00091797"/>
    <w:rsid w:val="00091B93"/>
    <w:rsid w:val="00091BEF"/>
    <w:rsid w:val="00091D02"/>
    <w:rsid w:val="00091ED6"/>
    <w:rsid w:val="00092387"/>
    <w:rsid w:val="00092636"/>
    <w:rsid w:val="00092727"/>
    <w:rsid w:val="00092D1B"/>
    <w:rsid w:val="000930EC"/>
    <w:rsid w:val="00093517"/>
    <w:rsid w:val="00093A4E"/>
    <w:rsid w:val="00093FC0"/>
    <w:rsid w:val="000940A0"/>
    <w:rsid w:val="00094278"/>
    <w:rsid w:val="00094DE6"/>
    <w:rsid w:val="000953DB"/>
    <w:rsid w:val="000953E5"/>
    <w:rsid w:val="00095ACD"/>
    <w:rsid w:val="00096EE3"/>
    <w:rsid w:val="000976FA"/>
    <w:rsid w:val="00097A72"/>
    <w:rsid w:val="00097C15"/>
    <w:rsid w:val="00097C78"/>
    <w:rsid w:val="000A0197"/>
    <w:rsid w:val="000A0364"/>
    <w:rsid w:val="000A1439"/>
    <w:rsid w:val="000A1CA4"/>
    <w:rsid w:val="000A252B"/>
    <w:rsid w:val="000A276C"/>
    <w:rsid w:val="000A281D"/>
    <w:rsid w:val="000A2DA7"/>
    <w:rsid w:val="000A3798"/>
    <w:rsid w:val="000A3FB8"/>
    <w:rsid w:val="000A4333"/>
    <w:rsid w:val="000A4A5A"/>
    <w:rsid w:val="000A4D68"/>
    <w:rsid w:val="000A50AE"/>
    <w:rsid w:val="000A5846"/>
    <w:rsid w:val="000A5AE1"/>
    <w:rsid w:val="000A5F4A"/>
    <w:rsid w:val="000A669A"/>
    <w:rsid w:val="000A66A1"/>
    <w:rsid w:val="000A6D0C"/>
    <w:rsid w:val="000A6D5A"/>
    <w:rsid w:val="000A6E6B"/>
    <w:rsid w:val="000A72A2"/>
    <w:rsid w:val="000A7925"/>
    <w:rsid w:val="000B00A4"/>
    <w:rsid w:val="000B0187"/>
    <w:rsid w:val="000B0320"/>
    <w:rsid w:val="000B070E"/>
    <w:rsid w:val="000B0978"/>
    <w:rsid w:val="000B0D93"/>
    <w:rsid w:val="000B2067"/>
    <w:rsid w:val="000B2355"/>
    <w:rsid w:val="000B28A5"/>
    <w:rsid w:val="000B2C06"/>
    <w:rsid w:val="000B2DE4"/>
    <w:rsid w:val="000B30B1"/>
    <w:rsid w:val="000B32BA"/>
    <w:rsid w:val="000B345C"/>
    <w:rsid w:val="000B37EA"/>
    <w:rsid w:val="000B37EB"/>
    <w:rsid w:val="000B4326"/>
    <w:rsid w:val="000B438A"/>
    <w:rsid w:val="000B4524"/>
    <w:rsid w:val="000B452E"/>
    <w:rsid w:val="000B48C9"/>
    <w:rsid w:val="000B4DB0"/>
    <w:rsid w:val="000B4FF2"/>
    <w:rsid w:val="000B5205"/>
    <w:rsid w:val="000B5243"/>
    <w:rsid w:val="000B5265"/>
    <w:rsid w:val="000B6633"/>
    <w:rsid w:val="000B6C8B"/>
    <w:rsid w:val="000B6F81"/>
    <w:rsid w:val="000B77F1"/>
    <w:rsid w:val="000B7D08"/>
    <w:rsid w:val="000B7F44"/>
    <w:rsid w:val="000C0676"/>
    <w:rsid w:val="000C07EA"/>
    <w:rsid w:val="000C08DD"/>
    <w:rsid w:val="000C0CAD"/>
    <w:rsid w:val="000C0FA3"/>
    <w:rsid w:val="000C120A"/>
    <w:rsid w:val="000C1C26"/>
    <w:rsid w:val="000C1DD4"/>
    <w:rsid w:val="000C2BA9"/>
    <w:rsid w:val="000C2DEB"/>
    <w:rsid w:val="000C2FC4"/>
    <w:rsid w:val="000C2FCC"/>
    <w:rsid w:val="000C3266"/>
    <w:rsid w:val="000C3500"/>
    <w:rsid w:val="000C3732"/>
    <w:rsid w:val="000C3FD6"/>
    <w:rsid w:val="000C4550"/>
    <w:rsid w:val="000C4767"/>
    <w:rsid w:val="000C4A00"/>
    <w:rsid w:val="000C4D9A"/>
    <w:rsid w:val="000C4E23"/>
    <w:rsid w:val="000C5234"/>
    <w:rsid w:val="000C53F7"/>
    <w:rsid w:val="000C56D6"/>
    <w:rsid w:val="000C5E9C"/>
    <w:rsid w:val="000C6013"/>
    <w:rsid w:val="000C62A1"/>
    <w:rsid w:val="000C6343"/>
    <w:rsid w:val="000C68D8"/>
    <w:rsid w:val="000C699C"/>
    <w:rsid w:val="000C6D0D"/>
    <w:rsid w:val="000C6DEB"/>
    <w:rsid w:val="000C75C0"/>
    <w:rsid w:val="000C7FBB"/>
    <w:rsid w:val="000D0361"/>
    <w:rsid w:val="000D0E61"/>
    <w:rsid w:val="000D0EE9"/>
    <w:rsid w:val="000D1F95"/>
    <w:rsid w:val="000D26B8"/>
    <w:rsid w:val="000D272A"/>
    <w:rsid w:val="000D2941"/>
    <w:rsid w:val="000D2CFC"/>
    <w:rsid w:val="000D3313"/>
    <w:rsid w:val="000D3A73"/>
    <w:rsid w:val="000D3ADD"/>
    <w:rsid w:val="000D3BC9"/>
    <w:rsid w:val="000D43F2"/>
    <w:rsid w:val="000D4A40"/>
    <w:rsid w:val="000D4B1B"/>
    <w:rsid w:val="000D4C13"/>
    <w:rsid w:val="000D5024"/>
    <w:rsid w:val="000D50B4"/>
    <w:rsid w:val="000D5222"/>
    <w:rsid w:val="000D560F"/>
    <w:rsid w:val="000D562E"/>
    <w:rsid w:val="000D58DC"/>
    <w:rsid w:val="000D5D78"/>
    <w:rsid w:val="000D6124"/>
    <w:rsid w:val="000D6158"/>
    <w:rsid w:val="000D634A"/>
    <w:rsid w:val="000D6CF6"/>
    <w:rsid w:val="000D6E03"/>
    <w:rsid w:val="000D6EFD"/>
    <w:rsid w:val="000D720B"/>
    <w:rsid w:val="000E00A3"/>
    <w:rsid w:val="000E0145"/>
    <w:rsid w:val="000E0303"/>
    <w:rsid w:val="000E0C4F"/>
    <w:rsid w:val="000E0FA1"/>
    <w:rsid w:val="000E1303"/>
    <w:rsid w:val="000E1827"/>
    <w:rsid w:val="000E1862"/>
    <w:rsid w:val="000E18B8"/>
    <w:rsid w:val="000E204C"/>
    <w:rsid w:val="000E2326"/>
    <w:rsid w:val="000E2541"/>
    <w:rsid w:val="000E25F0"/>
    <w:rsid w:val="000E27A5"/>
    <w:rsid w:val="000E342F"/>
    <w:rsid w:val="000E3562"/>
    <w:rsid w:val="000E3738"/>
    <w:rsid w:val="000E3835"/>
    <w:rsid w:val="000E3953"/>
    <w:rsid w:val="000E399B"/>
    <w:rsid w:val="000E3B67"/>
    <w:rsid w:val="000E410F"/>
    <w:rsid w:val="000E4C0B"/>
    <w:rsid w:val="000E4C1C"/>
    <w:rsid w:val="000E56AE"/>
    <w:rsid w:val="000E5A21"/>
    <w:rsid w:val="000E5DC0"/>
    <w:rsid w:val="000E6065"/>
    <w:rsid w:val="000E6710"/>
    <w:rsid w:val="000E681E"/>
    <w:rsid w:val="000E7094"/>
    <w:rsid w:val="000E78A6"/>
    <w:rsid w:val="000F1140"/>
    <w:rsid w:val="000F14D3"/>
    <w:rsid w:val="000F2080"/>
    <w:rsid w:val="000F264F"/>
    <w:rsid w:val="000F2AB7"/>
    <w:rsid w:val="000F2AD6"/>
    <w:rsid w:val="000F2AF5"/>
    <w:rsid w:val="000F2D4A"/>
    <w:rsid w:val="000F2E82"/>
    <w:rsid w:val="000F3327"/>
    <w:rsid w:val="000F355E"/>
    <w:rsid w:val="000F3621"/>
    <w:rsid w:val="000F390D"/>
    <w:rsid w:val="000F419A"/>
    <w:rsid w:val="000F4373"/>
    <w:rsid w:val="000F47F7"/>
    <w:rsid w:val="000F4831"/>
    <w:rsid w:val="000F4B28"/>
    <w:rsid w:val="000F4CFE"/>
    <w:rsid w:val="000F5327"/>
    <w:rsid w:val="000F5460"/>
    <w:rsid w:val="000F54D7"/>
    <w:rsid w:val="000F578F"/>
    <w:rsid w:val="000F58A2"/>
    <w:rsid w:val="000F6070"/>
    <w:rsid w:val="000F631E"/>
    <w:rsid w:val="000F673D"/>
    <w:rsid w:val="000F69AE"/>
    <w:rsid w:val="000F702E"/>
    <w:rsid w:val="000F710C"/>
    <w:rsid w:val="000F76EC"/>
    <w:rsid w:val="000F7DBC"/>
    <w:rsid w:val="00100110"/>
    <w:rsid w:val="00100228"/>
    <w:rsid w:val="00100371"/>
    <w:rsid w:val="00100640"/>
    <w:rsid w:val="00100CF0"/>
    <w:rsid w:val="001014F7"/>
    <w:rsid w:val="001018C5"/>
    <w:rsid w:val="00101B3E"/>
    <w:rsid w:val="00101E2A"/>
    <w:rsid w:val="0010255F"/>
    <w:rsid w:val="0010268E"/>
    <w:rsid w:val="0010387F"/>
    <w:rsid w:val="00103D17"/>
    <w:rsid w:val="00103F59"/>
    <w:rsid w:val="0010412B"/>
    <w:rsid w:val="001042EF"/>
    <w:rsid w:val="001044CB"/>
    <w:rsid w:val="00105389"/>
    <w:rsid w:val="00105C26"/>
    <w:rsid w:val="00105D73"/>
    <w:rsid w:val="00105D83"/>
    <w:rsid w:val="00105DC0"/>
    <w:rsid w:val="00105EAD"/>
    <w:rsid w:val="001062DE"/>
    <w:rsid w:val="00106D32"/>
    <w:rsid w:val="00106E01"/>
    <w:rsid w:val="00106E38"/>
    <w:rsid w:val="00107294"/>
    <w:rsid w:val="00107639"/>
    <w:rsid w:val="00107646"/>
    <w:rsid w:val="00107BFB"/>
    <w:rsid w:val="0011081D"/>
    <w:rsid w:val="001108A3"/>
    <w:rsid w:val="001109CC"/>
    <w:rsid w:val="00111010"/>
    <w:rsid w:val="00111075"/>
    <w:rsid w:val="001114FC"/>
    <w:rsid w:val="00111810"/>
    <w:rsid w:val="00111952"/>
    <w:rsid w:val="00111A63"/>
    <w:rsid w:val="00111B84"/>
    <w:rsid w:val="001122F9"/>
    <w:rsid w:val="0011257C"/>
    <w:rsid w:val="00112E6D"/>
    <w:rsid w:val="00112F1A"/>
    <w:rsid w:val="0011393C"/>
    <w:rsid w:val="00113A59"/>
    <w:rsid w:val="00113FB0"/>
    <w:rsid w:val="00114024"/>
    <w:rsid w:val="00114251"/>
    <w:rsid w:val="00114AAF"/>
    <w:rsid w:val="00114B4D"/>
    <w:rsid w:val="00114C77"/>
    <w:rsid w:val="00114E6C"/>
    <w:rsid w:val="00114F4E"/>
    <w:rsid w:val="0011535B"/>
    <w:rsid w:val="00115550"/>
    <w:rsid w:val="001156E7"/>
    <w:rsid w:val="0011573E"/>
    <w:rsid w:val="001158EC"/>
    <w:rsid w:val="00115B23"/>
    <w:rsid w:val="00115FB0"/>
    <w:rsid w:val="001162AB"/>
    <w:rsid w:val="0011636C"/>
    <w:rsid w:val="001163F9"/>
    <w:rsid w:val="0011643F"/>
    <w:rsid w:val="00116D46"/>
    <w:rsid w:val="00117526"/>
    <w:rsid w:val="00117AFE"/>
    <w:rsid w:val="00117BD5"/>
    <w:rsid w:val="00117E78"/>
    <w:rsid w:val="0012003E"/>
    <w:rsid w:val="00120733"/>
    <w:rsid w:val="001207A6"/>
    <w:rsid w:val="001209E0"/>
    <w:rsid w:val="001210E8"/>
    <w:rsid w:val="0012143D"/>
    <w:rsid w:val="0012163A"/>
    <w:rsid w:val="00121B99"/>
    <w:rsid w:val="001220F6"/>
    <w:rsid w:val="0012219B"/>
    <w:rsid w:val="001225C7"/>
    <w:rsid w:val="00123B4E"/>
    <w:rsid w:val="00123B5A"/>
    <w:rsid w:val="00123CBE"/>
    <w:rsid w:val="00123CD1"/>
    <w:rsid w:val="00123FDF"/>
    <w:rsid w:val="00124291"/>
    <w:rsid w:val="0012461A"/>
    <w:rsid w:val="001247B4"/>
    <w:rsid w:val="00124F15"/>
    <w:rsid w:val="00125199"/>
    <w:rsid w:val="00125342"/>
    <w:rsid w:val="0012554B"/>
    <w:rsid w:val="00125741"/>
    <w:rsid w:val="00125A56"/>
    <w:rsid w:val="00125B5B"/>
    <w:rsid w:val="00125BC5"/>
    <w:rsid w:val="00125E79"/>
    <w:rsid w:val="00126AF5"/>
    <w:rsid w:val="00126D89"/>
    <w:rsid w:val="001272D6"/>
    <w:rsid w:val="0012757D"/>
    <w:rsid w:val="001279E7"/>
    <w:rsid w:val="00127AA6"/>
    <w:rsid w:val="00127B17"/>
    <w:rsid w:val="00127F86"/>
    <w:rsid w:val="00130508"/>
    <w:rsid w:val="0013095F"/>
    <w:rsid w:val="00130AC0"/>
    <w:rsid w:val="00130B87"/>
    <w:rsid w:val="00131003"/>
    <w:rsid w:val="0013119A"/>
    <w:rsid w:val="00131682"/>
    <w:rsid w:val="00131B34"/>
    <w:rsid w:val="00131B73"/>
    <w:rsid w:val="00131FEE"/>
    <w:rsid w:val="00132155"/>
    <w:rsid w:val="00132894"/>
    <w:rsid w:val="00132CBF"/>
    <w:rsid w:val="00132D3B"/>
    <w:rsid w:val="00132D69"/>
    <w:rsid w:val="00132ECB"/>
    <w:rsid w:val="00132FD2"/>
    <w:rsid w:val="0013352E"/>
    <w:rsid w:val="0013357F"/>
    <w:rsid w:val="00133767"/>
    <w:rsid w:val="0013385B"/>
    <w:rsid w:val="00133866"/>
    <w:rsid w:val="00133B55"/>
    <w:rsid w:val="00133C6A"/>
    <w:rsid w:val="001343B4"/>
    <w:rsid w:val="001353B1"/>
    <w:rsid w:val="001354D3"/>
    <w:rsid w:val="0013559D"/>
    <w:rsid w:val="0013584F"/>
    <w:rsid w:val="00135D3C"/>
    <w:rsid w:val="00135D71"/>
    <w:rsid w:val="0013623A"/>
    <w:rsid w:val="00137760"/>
    <w:rsid w:val="001400AB"/>
    <w:rsid w:val="00140516"/>
    <w:rsid w:val="0014064E"/>
    <w:rsid w:val="00140AF9"/>
    <w:rsid w:val="001412C0"/>
    <w:rsid w:val="001413FA"/>
    <w:rsid w:val="001414C0"/>
    <w:rsid w:val="00141899"/>
    <w:rsid w:val="00142615"/>
    <w:rsid w:val="00142B2B"/>
    <w:rsid w:val="001430B5"/>
    <w:rsid w:val="001434CD"/>
    <w:rsid w:val="00143C3B"/>
    <w:rsid w:val="00144082"/>
    <w:rsid w:val="0014436B"/>
    <w:rsid w:val="001446D4"/>
    <w:rsid w:val="00144BD4"/>
    <w:rsid w:val="00144E80"/>
    <w:rsid w:val="00145239"/>
    <w:rsid w:val="001452FC"/>
    <w:rsid w:val="001455D7"/>
    <w:rsid w:val="0014570F"/>
    <w:rsid w:val="001459BD"/>
    <w:rsid w:val="00145AB4"/>
    <w:rsid w:val="00145AD3"/>
    <w:rsid w:val="00145B43"/>
    <w:rsid w:val="001463E5"/>
    <w:rsid w:val="001468CA"/>
    <w:rsid w:val="001469E3"/>
    <w:rsid w:val="001469EC"/>
    <w:rsid w:val="001469F9"/>
    <w:rsid w:val="00147429"/>
    <w:rsid w:val="001475B5"/>
    <w:rsid w:val="00147690"/>
    <w:rsid w:val="00147B40"/>
    <w:rsid w:val="00147C4B"/>
    <w:rsid w:val="00150783"/>
    <w:rsid w:val="00150D31"/>
    <w:rsid w:val="00150FF9"/>
    <w:rsid w:val="001510BA"/>
    <w:rsid w:val="00151133"/>
    <w:rsid w:val="0015121C"/>
    <w:rsid w:val="0015149D"/>
    <w:rsid w:val="001515FE"/>
    <w:rsid w:val="00151BC2"/>
    <w:rsid w:val="00152591"/>
    <w:rsid w:val="0015271D"/>
    <w:rsid w:val="00152B2D"/>
    <w:rsid w:val="00152EAB"/>
    <w:rsid w:val="00153569"/>
    <w:rsid w:val="0015365C"/>
    <w:rsid w:val="001538E4"/>
    <w:rsid w:val="00153A98"/>
    <w:rsid w:val="00153BB1"/>
    <w:rsid w:val="00153CC4"/>
    <w:rsid w:val="00153E53"/>
    <w:rsid w:val="001544D3"/>
    <w:rsid w:val="00155408"/>
    <w:rsid w:val="0015541D"/>
    <w:rsid w:val="00155437"/>
    <w:rsid w:val="001558D7"/>
    <w:rsid w:val="00155967"/>
    <w:rsid w:val="001566DC"/>
    <w:rsid w:val="00156DEE"/>
    <w:rsid w:val="00156EF0"/>
    <w:rsid w:val="0015785B"/>
    <w:rsid w:val="0015797D"/>
    <w:rsid w:val="00157C33"/>
    <w:rsid w:val="00157FB4"/>
    <w:rsid w:val="00157FEA"/>
    <w:rsid w:val="001600A7"/>
    <w:rsid w:val="00160753"/>
    <w:rsid w:val="0016099C"/>
    <w:rsid w:val="001609AE"/>
    <w:rsid w:val="001611EF"/>
    <w:rsid w:val="00161BA0"/>
    <w:rsid w:val="00161E15"/>
    <w:rsid w:val="00161EBD"/>
    <w:rsid w:val="00161FDE"/>
    <w:rsid w:val="00162917"/>
    <w:rsid w:val="00162988"/>
    <w:rsid w:val="00163150"/>
    <w:rsid w:val="00163451"/>
    <w:rsid w:val="00163DEA"/>
    <w:rsid w:val="00164239"/>
    <w:rsid w:val="00164868"/>
    <w:rsid w:val="001648DE"/>
    <w:rsid w:val="001649F4"/>
    <w:rsid w:val="00165781"/>
    <w:rsid w:val="00165D60"/>
    <w:rsid w:val="00165E62"/>
    <w:rsid w:val="00165F2E"/>
    <w:rsid w:val="00165FE2"/>
    <w:rsid w:val="00166327"/>
    <w:rsid w:val="00166AFE"/>
    <w:rsid w:val="001670A5"/>
    <w:rsid w:val="001670B2"/>
    <w:rsid w:val="00167769"/>
    <w:rsid w:val="0016798D"/>
    <w:rsid w:val="00167BE3"/>
    <w:rsid w:val="00167D4A"/>
    <w:rsid w:val="001708FF"/>
    <w:rsid w:val="00170F4A"/>
    <w:rsid w:val="0017121B"/>
    <w:rsid w:val="001712AC"/>
    <w:rsid w:val="00171CB0"/>
    <w:rsid w:val="00172191"/>
    <w:rsid w:val="00172818"/>
    <w:rsid w:val="0017298A"/>
    <w:rsid w:val="001732BB"/>
    <w:rsid w:val="0017334E"/>
    <w:rsid w:val="0017349B"/>
    <w:rsid w:val="001737B1"/>
    <w:rsid w:val="00173A6B"/>
    <w:rsid w:val="00173F8C"/>
    <w:rsid w:val="00174017"/>
    <w:rsid w:val="00174428"/>
    <w:rsid w:val="001745BB"/>
    <w:rsid w:val="0017496E"/>
    <w:rsid w:val="00174979"/>
    <w:rsid w:val="00174ADB"/>
    <w:rsid w:val="00175283"/>
    <w:rsid w:val="00175B12"/>
    <w:rsid w:val="00175C08"/>
    <w:rsid w:val="00176F17"/>
    <w:rsid w:val="001777ED"/>
    <w:rsid w:val="00177C79"/>
    <w:rsid w:val="00177E43"/>
    <w:rsid w:val="00180054"/>
    <w:rsid w:val="001800B9"/>
    <w:rsid w:val="00180683"/>
    <w:rsid w:val="0018095C"/>
    <w:rsid w:val="00180A00"/>
    <w:rsid w:val="00180C65"/>
    <w:rsid w:val="00180D7E"/>
    <w:rsid w:val="00181186"/>
    <w:rsid w:val="0018119A"/>
    <w:rsid w:val="00182056"/>
    <w:rsid w:val="0018257E"/>
    <w:rsid w:val="001825F2"/>
    <w:rsid w:val="001831FE"/>
    <w:rsid w:val="0018335E"/>
    <w:rsid w:val="0018353D"/>
    <w:rsid w:val="0018377C"/>
    <w:rsid w:val="001837F5"/>
    <w:rsid w:val="00183EAC"/>
    <w:rsid w:val="00183FB3"/>
    <w:rsid w:val="001844E6"/>
    <w:rsid w:val="00184730"/>
    <w:rsid w:val="0018479C"/>
    <w:rsid w:val="00184850"/>
    <w:rsid w:val="00184F14"/>
    <w:rsid w:val="00184F48"/>
    <w:rsid w:val="00185634"/>
    <w:rsid w:val="001866C1"/>
    <w:rsid w:val="00187359"/>
    <w:rsid w:val="00187936"/>
    <w:rsid w:val="00187B82"/>
    <w:rsid w:val="00190BD5"/>
    <w:rsid w:val="00190EA8"/>
    <w:rsid w:val="001910EC"/>
    <w:rsid w:val="00191128"/>
    <w:rsid w:val="00191146"/>
    <w:rsid w:val="001911FC"/>
    <w:rsid w:val="001916AF"/>
    <w:rsid w:val="0019183D"/>
    <w:rsid w:val="00191A62"/>
    <w:rsid w:val="00191B99"/>
    <w:rsid w:val="00191D50"/>
    <w:rsid w:val="00192D17"/>
    <w:rsid w:val="00192F70"/>
    <w:rsid w:val="00193476"/>
    <w:rsid w:val="00193F5A"/>
    <w:rsid w:val="00194911"/>
    <w:rsid w:val="00194AEB"/>
    <w:rsid w:val="00194F13"/>
    <w:rsid w:val="001951AF"/>
    <w:rsid w:val="0019531D"/>
    <w:rsid w:val="00195D85"/>
    <w:rsid w:val="00196303"/>
    <w:rsid w:val="00196505"/>
    <w:rsid w:val="00196E41"/>
    <w:rsid w:val="001971E1"/>
    <w:rsid w:val="001971EB"/>
    <w:rsid w:val="001976B7"/>
    <w:rsid w:val="00197905"/>
    <w:rsid w:val="00197C82"/>
    <w:rsid w:val="00197E0D"/>
    <w:rsid w:val="001A01F1"/>
    <w:rsid w:val="001A040C"/>
    <w:rsid w:val="001A0842"/>
    <w:rsid w:val="001A1067"/>
    <w:rsid w:val="001A10E7"/>
    <w:rsid w:val="001A133B"/>
    <w:rsid w:val="001A1358"/>
    <w:rsid w:val="001A143E"/>
    <w:rsid w:val="001A158C"/>
    <w:rsid w:val="001A1AD3"/>
    <w:rsid w:val="001A1C91"/>
    <w:rsid w:val="001A2576"/>
    <w:rsid w:val="001A2793"/>
    <w:rsid w:val="001A2BE8"/>
    <w:rsid w:val="001A3636"/>
    <w:rsid w:val="001A37F5"/>
    <w:rsid w:val="001A3EE7"/>
    <w:rsid w:val="001A4288"/>
    <w:rsid w:val="001A485B"/>
    <w:rsid w:val="001A50DB"/>
    <w:rsid w:val="001A51EE"/>
    <w:rsid w:val="001A541C"/>
    <w:rsid w:val="001A58B3"/>
    <w:rsid w:val="001A5D17"/>
    <w:rsid w:val="001A614C"/>
    <w:rsid w:val="001A6338"/>
    <w:rsid w:val="001A6431"/>
    <w:rsid w:val="001A65A8"/>
    <w:rsid w:val="001A6B16"/>
    <w:rsid w:val="001A7594"/>
    <w:rsid w:val="001A7CB2"/>
    <w:rsid w:val="001A7F53"/>
    <w:rsid w:val="001B043D"/>
    <w:rsid w:val="001B0DAC"/>
    <w:rsid w:val="001B12F0"/>
    <w:rsid w:val="001B136C"/>
    <w:rsid w:val="001B1579"/>
    <w:rsid w:val="001B15AC"/>
    <w:rsid w:val="001B15B9"/>
    <w:rsid w:val="001B1CEF"/>
    <w:rsid w:val="001B2497"/>
    <w:rsid w:val="001B26DD"/>
    <w:rsid w:val="001B2EEC"/>
    <w:rsid w:val="001B2F5C"/>
    <w:rsid w:val="001B3053"/>
    <w:rsid w:val="001B3D53"/>
    <w:rsid w:val="001B3D5D"/>
    <w:rsid w:val="001B3E02"/>
    <w:rsid w:val="001B4A90"/>
    <w:rsid w:val="001B50DD"/>
    <w:rsid w:val="001B6228"/>
    <w:rsid w:val="001B6FAE"/>
    <w:rsid w:val="001B75C1"/>
    <w:rsid w:val="001B7FF7"/>
    <w:rsid w:val="001C0146"/>
    <w:rsid w:val="001C019A"/>
    <w:rsid w:val="001C01D0"/>
    <w:rsid w:val="001C0B10"/>
    <w:rsid w:val="001C0F7A"/>
    <w:rsid w:val="001C11EF"/>
    <w:rsid w:val="001C1393"/>
    <w:rsid w:val="001C1FB6"/>
    <w:rsid w:val="001C227D"/>
    <w:rsid w:val="001C2485"/>
    <w:rsid w:val="001C2887"/>
    <w:rsid w:val="001C2EDB"/>
    <w:rsid w:val="001C32E6"/>
    <w:rsid w:val="001C3600"/>
    <w:rsid w:val="001C39D8"/>
    <w:rsid w:val="001C44C1"/>
    <w:rsid w:val="001C513E"/>
    <w:rsid w:val="001C5145"/>
    <w:rsid w:val="001C5380"/>
    <w:rsid w:val="001C5F79"/>
    <w:rsid w:val="001C69F7"/>
    <w:rsid w:val="001C6A71"/>
    <w:rsid w:val="001C7287"/>
    <w:rsid w:val="001C7349"/>
    <w:rsid w:val="001C775C"/>
    <w:rsid w:val="001C7CA9"/>
    <w:rsid w:val="001D1357"/>
    <w:rsid w:val="001D140A"/>
    <w:rsid w:val="001D182B"/>
    <w:rsid w:val="001D1830"/>
    <w:rsid w:val="001D18C9"/>
    <w:rsid w:val="001D1E40"/>
    <w:rsid w:val="001D2407"/>
    <w:rsid w:val="001D2E33"/>
    <w:rsid w:val="001D2F1C"/>
    <w:rsid w:val="001D2FF5"/>
    <w:rsid w:val="001D32B5"/>
    <w:rsid w:val="001D3634"/>
    <w:rsid w:val="001D3EBA"/>
    <w:rsid w:val="001D480F"/>
    <w:rsid w:val="001D4938"/>
    <w:rsid w:val="001D49D3"/>
    <w:rsid w:val="001D4DE1"/>
    <w:rsid w:val="001D5978"/>
    <w:rsid w:val="001D609A"/>
    <w:rsid w:val="001D667A"/>
    <w:rsid w:val="001D69A6"/>
    <w:rsid w:val="001D69D7"/>
    <w:rsid w:val="001D6AF3"/>
    <w:rsid w:val="001D6F39"/>
    <w:rsid w:val="001D7C01"/>
    <w:rsid w:val="001E08AC"/>
    <w:rsid w:val="001E0970"/>
    <w:rsid w:val="001E09F5"/>
    <w:rsid w:val="001E0DE7"/>
    <w:rsid w:val="001E0EC3"/>
    <w:rsid w:val="001E0F72"/>
    <w:rsid w:val="001E10D5"/>
    <w:rsid w:val="001E17F3"/>
    <w:rsid w:val="001E1CF0"/>
    <w:rsid w:val="001E2052"/>
    <w:rsid w:val="001E2797"/>
    <w:rsid w:val="001E2AF0"/>
    <w:rsid w:val="001E2B4A"/>
    <w:rsid w:val="001E2FA1"/>
    <w:rsid w:val="001E30F7"/>
    <w:rsid w:val="001E3405"/>
    <w:rsid w:val="001E35EE"/>
    <w:rsid w:val="001E3640"/>
    <w:rsid w:val="001E3C5B"/>
    <w:rsid w:val="001E3E89"/>
    <w:rsid w:val="001E4042"/>
    <w:rsid w:val="001E4B1E"/>
    <w:rsid w:val="001E4B9B"/>
    <w:rsid w:val="001E564C"/>
    <w:rsid w:val="001E578F"/>
    <w:rsid w:val="001E58AC"/>
    <w:rsid w:val="001E5C32"/>
    <w:rsid w:val="001E5C52"/>
    <w:rsid w:val="001E6404"/>
    <w:rsid w:val="001E6984"/>
    <w:rsid w:val="001E6EA8"/>
    <w:rsid w:val="001E7889"/>
    <w:rsid w:val="001E7D11"/>
    <w:rsid w:val="001E7E76"/>
    <w:rsid w:val="001F058C"/>
    <w:rsid w:val="001F0E18"/>
    <w:rsid w:val="001F0F07"/>
    <w:rsid w:val="001F101E"/>
    <w:rsid w:val="001F1954"/>
    <w:rsid w:val="001F1D3F"/>
    <w:rsid w:val="001F1DAB"/>
    <w:rsid w:val="001F2740"/>
    <w:rsid w:val="001F2CEF"/>
    <w:rsid w:val="001F2E0E"/>
    <w:rsid w:val="001F35E7"/>
    <w:rsid w:val="001F3795"/>
    <w:rsid w:val="001F3FD7"/>
    <w:rsid w:val="001F4596"/>
    <w:rsid w:val="001F4857"/>
    <w:rsid w:val="001F4973"/>
    <w:rsid w:val="001F4C52"/>
    <w:rsid w:val="001F4CE5"/>
    <w:rsid w:val="001F4DAC"/>
    <w:rsid w:val="001F50F0"/>
    <w:rsid w:val="001F5411"/>
    <w:rsid w:val="001F5472"/>
    <w:rsid w:val="001F55DB"/>
    <w:rsid w:val="001F591D"/>
    <w:rsid w:val="001F59FA"/>
    <w:rsid w:val="001F68A4"/>
    <w:rsid w:val="001F78EF"/>
    <w:rsid w:val="001F7A93"/>
    <w:rsid w:val="001F7D7C"/>
    <w:rsid w:val="002002AC"/>
    <w:rsid w:val="002004A8"/>
    <w:rsid w:val="002007B6"/>
    <w:rsid w:val="002007D9"/>
    <w:rsid w:val="00200A34"/>
    <w:rsid w:val="00200E07"/>
    <w:rsid w:val="00201095"/>
    <w:rsid w:val="00201640"/>
    <w:rsid w:val="00201CC3"/>
    <w:rsid w:val="00201F63"/>
    <w:rsid w:val="0020203E"/>
    <w:rsid w:val="00202276"/>
    <w:rsid w:val="00202808"/>
    <w:rsid w:val="00203216"/>
    <w:rsid w:val="0020348C"/>
    <w:rsid w:val="0020351D"/>
    <w:rsid w:val="002040B5"/>
    <w:rsid w:val="002040F3"/>
    <w:rsid w:val="0020411D"/>
    <w:rsid w:val="002045F5"/>
    <w:rsid w:val="0020463E"/>
    <w:rsid w:val="002047F5"/>
    <w:rsid w:val="00204B83"/>
    <w:rsid w:val="002051B8"/>
    <w:rsid w:val="002052AF"/>
    <w:rsid w:val="00205A63"/>
    <w:rsid w:val="002060E7"/>
    <w:rsid w:val="002075F7"/>
    <w:rsid w:val="002076D7"/>
    <w:rsid w:val="002079B4"/>
    <w:rsid w:val="00207A2C"/>
    <w:rsid w:val="00207A39"/>
    <w:rsid w:val="00207A76"/>
    <w:rsid w:val="00207BDA"/>
    <w:rsid w:val="00210162"/>
    <w:rsid w:val="002103BE"/>
    <w:rsid w:val="002114E6"/>
    <w:rsid w:val="002117D7"/>
    <w:rsid w:val="0021183D"/>
    <w:rsid w:val="00211D80"/>
    <w:rsid w:val="00211DC4"/>
    <w:rsid w:val="00211EDF"/>
    <w:rsid w:val="00212008"/>
    <w:rsid w:val="002122CB"/>
    <w:rsid w:val="002122D0"/>
    <w:rsid w:val="002124D4"/>
    <w:rsid w:val="002127F5"/>
    <w:rsid w:val="00213217"/>
    <w:rsid w:val="00213305"/>
    <w:rsid w:val="00213D1A"/>
    <w:rsid w:val="00213D9A"/>
    <w:rsid w:val="002141C3"/>
    <w:rsid w:val="002149C7"/>
    <w:rsid w:val="00214D1C"/>
    <w:rsid w:val="00214D97"/>
    <w:rsid w:val="00215885"/>
    <w:rsid w:val="00215A9E"/>
    <w:rsid w:val="00215FB4"/>
    <w:rsid w:val="00217122"/>
    <w:rsid w:val="00217155"/>
    <w:rsid w:val="0021757E"/>
    <w:rsid w:val="00217582"/>
    <w:rsid w:val="00217F40"/>
    <w:rsid w:val="00217FD4"/>
    <w:rsid w:val="00220317"/>
    <w:rsid w:val="002203DA"/>
    <w:rsid w:val="002205EE"/>
    <w:rsid w:val="00220A73"/>
    <w:rsid w:val="00220AF3"/>
    <w:rsid w:val="00220BB6"/>
    <w:rsid w:val="00220D94"/>
    <w:rsid w:val="00221480"/>
    <w:rsid w:val="00221802"/>
    <w:rsid w:val="002218DE"/>
    <w:rsid w:val="00221C57"/>
    <w:rsid w:val="002222ED"/>
    <w:rsid w:val="002227EB"/>
    <w:rsid w:val="00222A2A"/>
    <w:rsid w:val="00222D5C"/>
    <w:rsid w:val="00222E5E"/>
    <w:rsid w:val="00223037"/>
    <w:rsid w:val="00223278"/>
    <w:rsid w:val="002237C8"/>
    <w:rsid w:val="00223B34"/>
    <w:rsid w:val="0022402D"/>
    <w:rsid w:val="00224483"/>
    <w:rsid w:val="002247A0"/>
    <w:rsid w:val="00224984"/>
    <w:rsid w:val="00224A63"/>
    <w:rsid w:val="002252BB"/>
    <w:rsid w:val="00225B25"/>
    <w:rsid w:val="00225BC7"/>
    <w:rsid w:val="00225E13"/>
    <w:rsid w:val="00226496"/>
    <w:rsid w:val="00226C35"/>
    <w:rsid w:val="00227729"/>
    <w:rsid w:val="0023005B"/>
    <w:rsid w:val="00230109"/>
    <w:rsid w:val="002302C3"/>
    <w:rsid w:val="002303E0"/>
    <w:rsid w:val="002306D8"/>
    <w:rsid w:val="0023081C"/>
    <w:rsid w:val="00230D2A"/>
    <w:rsid w:val="00230EEA"/>
    <w:rsid w:val="00230FBA"/>
    <w:rsid w:val="00231509"/>
    <w:rsid w:val="00231855"/>
    <w:rsid w:val="002319ED"/>
    <w:rsid w:val="00231B8E"/>
    <w:rsid w:val="002322B6"/>
    <w:rsid w:val="00232967"/>
    <w:rsid w:val="00232BAF"/>
    <w:rsid w:val="00232D25"/>
    <w:rsid w:val="0023309C"/>
    <w:rsid w:val="00233A2B"/>
    <w:rsid w:val="00233A81"/>
    <w:rsid w:val="002341A2"/>
    <w:rsid w:val="002347CE"/>
    <w:rsid w:val="00234C6A"/>
    <w:rsid w:val="002355E9"/>
    <w:rsid w:val="00235C80"/>
    <w:rsid w:val="00235D5A"/>
    <w:rsid w:val="00235E80"/>
    <w:rsid w:val="0023624A"/>
    <w:rsid w:val="00236A75"/>
    <w:rsid w:val="00236E0A"/>
    <w:rsid w:val="00237043"/>
    <w:rsid w:val="00237108"/>
    <w:rsid w:val="0023717C"/>
    <w:rsid w:val="002375B8"/>
    <w:rsid w:val="00237947"/>
    <w:rsid w:val="00237994"/>
    <w:rsid w:val="00237F25"/>
    <w:rsid w:val="002404B9"/>
    <w:rsid w:val="002405B1"/>
    <w:rsid w:val="00240669"/>
    <w:rsid w:val="00240A3D"/>
    <w:rsid w:val="00240DA0"/>
    <w:rsid w:val="002411A8"/>
    <w:rsid w:val="0024145D"/>
    <w:rsid w:val="00241BE1"/>
    <w:rsid w:val="00241D20"/>
    <w:rsid w:val="00241DCB"/>
    <w:rsid w:val="00241E08"/>
    <w:rsid w:val="002420F5"/>
    <w:rsid w:val="002423FA"/>
    <w:rsid w:val="00242912"/>
    <w:rsid w:val="00242A00"/>
    <w:rsid w:val="00242A1B"/>
    <w:rsid w:val="00242FF0"/>
    <w:rsid w:val="00243775"/>
    <w:rsid w:val="002438BD"/>
    <w:rsid w:val="0024418F"/>
    <w:rsid w:val="00244773"/>
    <w:rsid w:val="00244D05"/>
    <w:rsid w:val="0024507D"/>
    <w:rsid w:val="00245975"/>
    <w:rsid w:val="00245991"/>
    <w:rsid w:val="00245BEB"/>
    <w:rsid w:val="00245F34"/>
    <w:rsid w:val="002460D7"/>
    <w:rsid w:val="00246600"/>
    <w:rsid w:val="00246739"/>
    <w:rsid w:val="00246978"/>
    <w:rsid w:val="00246A19"/>
    <w:rsid w:val="00246C35"/>
    <w:rsid w:val="00246C48"/>
    <w:rsid w:val="0024775E"/>
    <w:rsid w:val="002478E2"/>
    <w:rsid w:val="00247E1B"/>
    <w:rsid w:val="00250283"/>
    <w:rsid w:val="002505E9"/>
    <w:rsid w:val="00250B22"/>
    <w:rsid w:val="00250E46"/>
    <w:rsid w:val="002513BD"/>
    <w:rsid w:val="002514E4"/>
    <w:rsid w:val="002515E9"/>
    <w:rsid w:val="002519B1"/>
    <w:rsid w:val="00251B10"/>
    <w:rsid w:val="00251C8E"/>
    <w:rsid w:val="00251CE8"/>
    <w:rsid w:val="00251D93"/>
    <w:rsid w:val="002525B0"/>
    <w:rsid w:val="00252C0F"/>
    <w:rsid w:val="00252D45"/>
    <w:rsid w:val="00252DBA"/>
    <w:rsid w:val="002532CF"/>
    <w:rsid w:val="00253491"/>
    <w:rsid w:val="002534D6"/>
    <w:rsid w:val="00253E71"/>
    <w:rsid w:val="00254023"/>
    <w:rsid w:val="00254371"/>
    <w:rsid w:val="002544DC"/>
    <w:rsid w:val="002548DB"/>
    <w:rsid w:val="00254B61"/>
    <w:rsid w:val="00254E21"/>
    <w:rsid w:val="00254F86"/>
    <w:rsid w:val="00254FE5"/>
    <w:rsid w:val="00255236"/>
    <w:rsid w:val="00255A80"/>
    <w:rsid w:val="00255B16"/>
    <w:rsid w:val="002561D6"/>
    <w:rsid w:val="00256686"/>
    <w:rsid w:val="002568B3"/>
    <w:rsid w:val="002569EE"/>
    <w:rsid w:val="0025703F"/>
    <w:rsid w:val="00257585"/>
    <w:rsid w:val="00257AF2"/>
    <w:rsid w:val="00257C5B"/>
    <w:rsid w:val="00257D7A"/>
    <w:rsid w:val="00257E78"/>
    <w:rsid w:val="00260106"/>
    <w:rsid w:val="0026141D"/>
    <w:rsid w:val="00261CAE"/>
    <w:rsid w:val="00261F17"/>
    <w:rsid w:val="00262067"/>
    <w:rsid w:val="002623B1"/>
    <w:rsid w:val="002624C1"/>
    <w:rsid w:val="002625DD"/>
    <w:rsid w:val="002637A0"/>
    <w:rsid w:val="00263BF8"/>
    <w:rsid w:val="00264086"/>
    <w:rsid w:val="002641C1"/>
    <w:rsid w:val="00264389"/>
    <w:rsid w:val="00264449"/>
    <w:rsid w:val="002647BF"/>
    <w:rsid w:val="00264807"/>
    <w:rsid w:val="00264A62"/>
    <w:rsid w:val="002663D5"/>
    <w:rsid w:val="002667BC"/>
    <w:rsid w:val="00266A53"/>
    <w:rsid w:val="00270653"/>
    <w:rsid w:val="00270B6E"/>
    <w:rsid w:val="00270EBC"/>
    <w:rsid w:val="00271474"/>
    <w:rsid w:val="002716A8"/>
    <w:rsid w:val="00271DE6"/>
    <w:rsid w:val="00271DEA"/>
    <w:rsid w:val="00271E79"/>
    <w:rsid w:val="0027207F"/>
    <w:rsid w:val="002721A7"/>
    <w:rsid w:val="0027232E"/>
    <w:rsid w:val="00272511"/>
    <w:rsid w:val="00272639"/>
    <w:rsid w:val="00272757"/>
    <w:rsid w:val="002729E2"/>
    <w:rsid w:val="00272D06"/>
    <w:rsid w:val="00272E77"/>
    <w:rsid w:val="00272F08"/>
    <w:rsid w:val="0027313D"/>
    <w:rsid w:val="002738C1"/>
    <w:rsid w:val="002738F2"/>
    <w:rsid w:val="00273BCC"/>
    <w:rsid w:val="00273F8B"/>
    <w:rsid w:val="00274562"/>
    <w:rsid w:val="00274606"/>
    <w:rsid w:val="00274C85"/>
    <w:rsid w:val="002752CB"/>
    <w:rsid w:val="00275474"/>
    <w:rsid w:val="002755D3"/>
    <w:rsid w:val="0027596F"/>
    <w:rsid w:val="00275A05"/>
    <w:rsid w:val="00275BDD"/>
    <w:rsid w:val="00275DB3"/>
    <w:rsid w:val="00275EC0"/>
    <w:rsid w:val="00275FE5"/>
    <w:rsid w:val="0027663B"/>
    <w:rsid w:val="002768CE"/>
    <w:rsid w:val="0027745B"/>
    <w:rsid w:val="002777F7"/>
    <w:rsid w:val="0027786A"/>
    <w:rsid w:val="002778FD"/>
    <w:rsid w:val="00277A99"/>
    <w:rsid w:val="00277E40"/>
    <w:rsid w:val="00280455"/>
    <w:rsid w:val="00280518"/>
    <w:rsid w:val="0028065F"/>
    <w:rsid w:val="0028069A"/>
    <w:rsid w:val="00280D4D"/>
    <w:rsid w:val="00280D84"/>
    <w:rsid w:val="00280E26"/>
    <w:rsid w:val="002812F9"/>
    <w:rsid w:val="00281780"/>
    <w:rsid w:val="00281803"/>
    <w:rsid w:val="00281996"/>
    <w:rsid w:val="0028220C"/>
    <w:rsid w:val="002824EB"/>
    <w:rsid w:val="002826C7"/>
    <w:rsid w:val="0028272C"/>
    <w:rsid w:val="0028276A"/>
    <w:rsid w:val="00282C84"/>
    <w:rsid w:val="00282DCD"/>
    <w:rsid w:val="00282EDD"/>
    <w:rsid w:val="0028304F"/>
    <w:rsid w:val="002835AF"/>
    <w:rsid w:val="00283D4C"/>
    <w:rsid w:val="0028417C"/>
    <w:rsid w:val="00284D1B"/>
    <w:rsid w:val="00284F46"/>
    <w:rsid w:val="0028551E"/>
    <w:rsid w:val="002855A1"/>
    <w:rsid w:val="002860E1"/>
    <w:rsid w:val="00286AC9"/>
    <w:rsid w:val="00286FC7"/>
    <w:rsid w:val="00287F49"/>
    <w:rsid w:val="00287FAE"/>
    <w:rsid w:val="0029006A"/>
    <w:rsid w:val="002902B9"/>
    <w:rsid w:val="002904A5"/>
    <w:rsid w:val="002907F1"/>
    <w:rsid w:val="002909A5"/>
    <w:rsid w:val="002909A8"/>
    <w:rsid w:val="00290A8B"/>
    <w:rsid w:val="00290ABD"/>
    <w:rsid w:val="00290B38"/>
    <w:rsid w:val="00291093"/>
    <w:rsid w:val="00291479"/>
    <w:rsid w:val="00291866"/>
    <w:rsid w:val="0029196C"/>
    <w:rsid w:val="002919F9"/>
    <w:rsid w:val="00291EF1"/>
    <w:rsid w:val="00292263"/>
    <w:rsid w:val="00292401"/>
    <w:rsid w:val="00292794"/>
    <w:rsid w:val="002929C4"/>
    <w:rsid w:val="00292A89"/>
    <w:rsid w:val="00292AE0"/>
    <w:rsid w:val="00292B38"/>
    <w:rsid w:val="00292BF5"/>
    <w:rsid w:val="00292E11"/>
    <w:rsid w:val="0029323E"/>
    <w:rsid w:val="0029351D"/>
    <w:rsid w:val="00293D54"/>
    <w:rsid w:val="00294B3D"/>
    <w:rsid w:val="00294C04"/>
    <w:rsid w:val="00294DDF"/>
    <w:rsid w:val="002955CC"/>
    <w:rsid w:val="0029590F"/>
    <w:rsid w:val="00295AB9"/>
    <w:rsid w:val="002968E3"/>
    <w:rsid w:val="00296ED8"/>
    <w:rsid w:val="002970EA"/>
    <w:rsid w:val="00297A67"/>
    <w:rsid w:val="00297DD0"/>
    <w:rsid w:val="00297EA3"/>
    <w:rsid w:val="002A0734"/>
    <w:rsid w:val="002A0A5F"/>
    <w:rsid w:val="002A0BB1"/>
    <w:rsid w:val="002A123D"/>
    <w:rsid w:val="002A1482"/>
    <w:rsid w:val="002A1643"/>
    <w:rsid w:val="002A182D"/>
    <w:rsid w:val="002A23F3"/>
    <w:rsid w:val="002A25E0"/>
    <w:rsid w:val="002A2607"/>
    <w:rsid w:val="002A2727"/>
    <w:rsid w:val="002A2A85"/>
    <w:rsid w:val="002A2AB4"/>
    <w:rsid w:val="002A323C"/>
    <w:rsid w:val="002A40CB"/>
    <w:rsid w:val="002A445E"/>
    <w:rsid w:val="002A4878"/>
    <w:rsid w:val="002A4C30"/>
    <w:rsid w:val="002A4EE4"/>
    <w:rsid w:val="002A500B"/>
    <w:rsid w:val="002A50CF"/>
    <w:rsid w:val="002A5926"/>
    <w:rsid w:val="002A5965"/>
    <w:rsid w:val="002A65DE"/>
    <w:rsid w:val="002A6DFE"/>
    <w:rsid w:val="002A6E48"/>
    <w:rsid w:val="002A74CF"/>
    <w:rsid w:val="002A750F"/>
    <w:rsid w:val="002A75DA"/>
    <w:rsid w:val="002A7BCD"/>
    <w:rsid w:val="002B03E9"/>
    <w:rsid w:val="002B04D5"/>
    <w:rsid w:val="002B0E0D"/>
    <w:rsid w:val="002B1756"/>
    <w:rsid w:val="002B17CB"/>
    <w:rsid w:val="002B1AD7"/>
    <w:rsid w:val="002B20EB"/>
    <w:rsid w:val="002B27C5"/>
    <w:rsid w:val="002B2887"/>
    <w:rsid w:val="002B2AB5"/>
    <w:rsid w:val="002B2C9E"/>
    <w:rsid w:val="002B2D23"/>
    <w:rsid w:val="002B2D43"/>
    <w:rsid w:val="002B37BF"/>
    <w:rsid w:val="002B390D"/>
    <w:rsid w:val="002B39CA"/>
    <w:rsid w:val="002B3C19"/>
    <w:rsid w:val="002B3E31"/>
    <w:rsid w:val="002B3ECE"/>
    <w:rsid w:val="002B5476"/>
    <w:rsid w:val="002B5543"/>
    <w:rsid w:val="002B56C0"/>
    <w:rsid w:val="002B5F57"/>
    <w:rsid w:val="002B64A2"/>
    <w:rsid w:val="002B6D11"/>
    <w:rsid w:val="002B6F04"/>
    <w:rsid w:val="002B760A"/>
    <w:rsid w:val="002B77CC"/>
    <w:rsid w:val="002B784D"/>
    <w:rsid w:val="002B7A57"/>
    <w:rsid w:val="002B7BAA"/>
    <w:rsid w:val="002C0200"/>
    <w:rsid w:val="002C02A8"/>
    <w:rsid w:val="002C056C"/>
    <w:rsid w:val="002C0B2C"/>
    <w:rsid w:val="002C17D3"/>
    <w:rsid w:val="002C1E4C"/>
    <w:rsid w:val="002C2793"/>
    <w:rsid w:val="002C2A8E"/>
    <w:rsid w:val="002C305A"/>
    <w:rsid w:val="002C310A"/>
    <w:rsid w:val="002C3270"/>
    <w:rsid w:val="002C32D7"/>
    <w:rsid w:val="002C3999"/>
    <w:rsid w:val="002C403E"/>
    <w:rsid w:val="002C4071"/>
    <w:rsid w:val="002C4216"/>
    <w:rsid w:val="002C49F9"/>
    <w:rsid w:val="002C4B03"/>
    <w:rsid w:val="002C528D"/>
    <w:rsid w:val="002C5326"/>
    <w:rsid w:val="002C536F"/>
    <w:rsid w:val="002C5918"/>
    <w:rsid w:val="002C5931"/>
    <w:rsid w:val="002C5EBC"/>
    <w:rsid w:val="002C677E"/>
    <w:rsid w:val="002C6E84"/>
    <w:rsid w:val="002C6FA5"/>
    <w:rsid w:val="002C77A4"/>
    <w:rsid w:val="002C77A8"/>
    <w:rsid w:val="002C7BE1"/>
    <w:rsid w:val="002D0060"/>
    <w:rsid w:val="002D054D"/>
    <w:rsid w:val="002D0606"/>
    <w:rsid w:val="002D0AFB"/>
    <w:rsid w:val="002D10AF"/>
    <w:rsid w:val="002D16C1"/>
    <w:rsid w:val="002D1957"/>
    <w:rsid w:val="002D1E38"/>
    <w:rsid w:val="002D1F14"/>
    <w:rsid w:val="002D22BA"/>
    <w:rsid w:val="002D236C"/>
    <w:rsid w:val="002D2668"/>
    <w:rsid w:val="002D2814"/>
    <w:rsid w:val="002D2AB9"/>
    <w:rsid w:val="002D320D"/>
    <w:rsid w:val="002D3EE1"/>
    <w:rsid w:val="002D4210"/>
    <w:rsid w:val="002D4239"/>
    <w:rsid w:val="002D4336"/>
    <w:rsid w:val="002D43A3"/>
    <w:rsid w:val="002D4BB1"/>
    <w:rsid w:val="002D5021"/>
    <w:rsid w:val="002D5F71"/>
    <w:rsid w:val="002D6093"/>
    <w:rsid w:val="002D60D1"/>
    <w:rsid w:val="002D61D4"/>
    <w:rsid w:val="002D650A"/>
    <w:rsid w:val="002D65D5"/>
    <w:rsid w:val="002D6E70"/>
    <w:rsid w:val="002D6F5D"/>
    <w:rsid w:val="002D6FB8"/>
    <w:rsid w:val="002D7044"/>
    <w:rsid w:val="002E0102"/>
    <w:rsid w:val="002E03B6"/>
    <w:rsid w:val="002E0DC7"/>
    <w:rsid w:val="002E0E3E"/>
    <w:rsid w:val="002E124C"/>
    <w:rsid w:val="002E1830"/>
    <w:rsid w:val="002E1D52"/>
    <w:rsid w:val="002E230D"/>
    <w:rsid w:val="002E2788"/>
    <w:rsid w:val="002E292C"/>
    <w:rsid w:val="002E2B05"/>
    <w:rsid w:val="002E2F8E"/>
    <w:rsid w:val="002E3544"/>
    <w:rsid w:val="002E3C2D"/>
    <w:rsid w:val="002E47D9"/>
    <w:rsid w:val="002E4970"/>
    <w:rsid w:val="002E559F"/>
    <w:rsid w:val="002E5F9E"/>
    <w:rsid w:val="002E6031"/>
    <w:rsid w:val="002E618C"/>
    <w:rsid w:val="002E6352"/>
    <w:rsid w:val="002E6535"/>
    <w:rsid w:val="002E6545"/>
    <w:rsid w:val="002E683C"/>
    <w:rsid w:val="002E6BB5"/>
    <w:rsid w:val="002E6C9B"/>
    <w:rsid w:val="002E6D58"/>
    <w:rsid w:val="002E70EB"/>
    <w:rsid w:val="002E7707"/>
    <w:rsid w:val="002E7B9E"/>
    <w:rsid w:val="002E7BC8"/>
    <w:rsid w:val="002F01EF"/>
    <w:rsid w:val="002F0B32"/>
    <w:rsid w:val="002F119A"/>
    <w:rsid w:val="002F19BB"/>
    <w:rsid w:val="002F1ED0"/>
    <w:rsid w:val="002F27C9"/>
    <w:rsid w:val="002F292D"/>
    <w:rsid w:val="002F3059"/>
    <w:rsid w:val="002F3E9C"/>
    <w:rsid w:val="002F3EF2"/>
    <w:rsid w:val="002F4279"/>
    <w:rsid w:val="002F4428"/>
    <w:rsid w:val="002F4957"/>
    <w:rsid w:val="002F4A2C"/>
    <w:rsid w:val="002F5089"/>
    <w:rsid w:val="002F53C0"/>
    <w:rsid w:val="002F53F6"/>
    <w:rsid w:val="002F603B"/>
    <w:rsid w:val="002F6300"/>
    <w:rsid w:val="002F6412"/>
    <w:rsid w:val="002F645C"/>
    <w:rsid w:val="002F67A6"/>
    <w:rsid w:val="002F681A"/>
    <w:rsid w:val="002F6ECB"/>
    <w:rsid w:val="002F7244"/>
    <w:rsid w:val="002F7D34"/>
    <w:rsid w:val="002F7E05"/>
    <w:rsid w:val="003005EB"/>
    <w:rsid w:val="003007C9"/>
    <w:rsid w:val="00300920"/>
    <w:rsid w:val="00300AA8"/>
    <w:rsid w:val="00301138"/>
    <w:rsid w:val="003012C7"/>
    <w:rsid w:val="0030150C"/>
    <w:rsid w:val="00301A7F"/>
    <w:rsid w:val="00301B2A"/>
    <w:rsid w:val="00301D68"/>
    <w:rsid w:val="00301F5C"/>
    <w:rsid w:val="00302442"/>
    <w:rsid w:val="003025E6"/>
    <w:rsid w:val="0030296C"/>
    <w:rsid w:val="00302A58"/>
    <w:rsid w:val="00302D4C"/>
    <w:rsid w:val="00303011"/>
    <w:rsid w:val="0030332F"/>
    <w:rsid w:val="00303561"/>
    <w:rsid w:val="003036D0"/>
    <w:rsid w:val="0030398A"/>
    <w:rsid w:val="00303D24"/>
    <w:rsid w:val="003042C3"/>
    <w:rsid w:val="00305521"/>
    <w:rsid w:val="00305B59"/>
    <w:rsid w:val="003066F9"/>
    <w:rsid w:val="00306A0F"/>
    <w:rsid w:val="00306AD6"/>
    <w:rsid w:val="00307226"/>
    <w:rsid w:val="00307303"/>
    <w:rsid w:val="00307338"/>
    <w:rsid w:val="00307353"/>
    <w:rsid w:val="00307359"/>
    <w:rsid w:val="00307E53"/>
    <w:rsid w:val="00307E5E"/>
    <w:rsid w:val="00307EA3"/>
    <w:rsid w:val="00307F7D"/>
    <w:rsid w:val="0031079E"/>
    <w:rsid w:val="00310856"/>
    <w:rsid w:val="00310AC0"/>
    <w:rsid w:val="00311298"/>
    <w:rsid w:val="003116D1"/>
    <w:rsid w:val="00311BCE"/>
    <w:rsid w:val="003128FE"/>
    <w:rsid w:val="00313094"/>
    <w:rsid w:val="00313198"/>
    <w:rsid w:val="00313383"/>
    <w:rsid w:val="00313654"/>
    <w:rsid w:val="00313D11"/>
    <w:rsid w:val="00313F6D"/>
    <w:rsid w:val="003140F0"/>
    <w:rsid w:val="0031412A"/>
    <w:rsid w:val="003143A6"/>
    <w:rsid w:val="00314BDC"/>
    <w:rsid w:val="00314E15"/>
    <w:rsid w:val="003153A6"/>
    <w:rsid w:val="003154B6"/>
    <w:rsid w:val="00315C08"/>
    <w:rsid w:val="00316730"/>
    <w:rsid w:val="00316B89"/>
    <w:rsid w:val="003170A6"/>
    <w:rsid w:val="00317D16"/>
    <w:rsid w:val="00317F6E"/>
    <w:rsid w:val="003200D5"/>
    <w:rsid w:val="00320134"/>
    <w:rsid w:val="00320630"/>
    <w:rsid w:val="00320663"/>
    <w:rsid w:val="0032101D"/>
    <w:rsid w:val="00321181"/>
    <w:rsid w:val="0032128B"/>
    <w:rsid w:val="003214FE"/>
    <w:rsid w:val="003219DE"/>
    <w:rsid w:val="00321BD1"/>
    <w:rsid w:val="0032209E"/>
    <w:rsid w:val="00322294"/>
    <w:rsid w:val="00322320"/>
    <w:rsid w:val="00322FF9"/>
    <w:rsid w:val="003230BF"/>
    <w:rsid w:val="0032313A"/>
    <w:rsid w:val="003232D4"/>
    <w:rsid w:val="00324359"/>
    <w:rsid w:val="003243C9"/>
    <w:rsid w:val="0032475F"/>
    <w:rsid w:val="003247B0"/>
    <w:rsid w:val="003248BA"/>
    <w:rsid w:val="00324ACF"/>
    <w:rsid w:val="00325863"/>
    <w:rsid w:val="00325F4B"/>
    <w:rsid w:val="0032654C"/>
    <w:rsid w:val="003266B2"/>
    <w:rsid w:val="00326C78"/>
    <w:rsid w:val="00326EE8"/>
    <w:rsid w:val="00327541"/>
    <w:rsid w:val="003275D0"/>
    <w:rsid w:val="00327987"/>
    <w:rsid w:val="003309F5"/>
    <w:rsid w:val="00330B09"/>
    <w:rsid w:val="003315EE"/>
    <w:rsid w:val="00332083"/>
    <w:rsid w:val="0033210D"/>
    <w:rsid w:val="00332404"/>
    <w:rsid w:val="0033289A"/>
    <w:rsid w:val="0033301F"/>
    <w:rsid w:val="003336A6"/>
    <w:rsid w:val="00333951"/>
    <w:rsid w:val="00333D62"/>
    <w:rsid w:val="00334296"/>
    <w:rsid w:val="0033445D"/>
    <w:rsid w:val="0033497D"/>
    <w:rsid w:val="00334C7B"/>
    <w:rsid w:val="00335491"/>
    <w:rsid w:val="003357E0"/>
    <w:rsid w:val="003358B6"/>
    <w:rsid w:val="00335D32"/>
    <w:rsid w:val="00335D35"/>
    <w:rsid w:val="00336450"/>
    <w:rsid w:val="00336D01"/>
    <w:rsid w:val="00337856"/>
    <w:rsid w:val="00337E64"/>
    <w:rsid w:val="00341BC6"/>
    <w:rsid w:val="00341C3B"/>
    <w:rsid w:val="00341C77"/>
    <w:rsid w:val="00341DFC"/>
    <w:rsid w:val="003422D1"/>
    <w:rsid w:val="00342EA8"/>
    <w:rsid w:val="00343138"/>
    <w:rsid w:val="00343526"/>
    <w:rsid w:val="00344455"/>
    <w:rsid w:val="00344564"/>
    <w:rsid w:val="003448E6"/>
    <w:rsid w:val="00344C0D"/>
    <w:rsid w:val="00344F5D"/>
    <w:rsid w:val="003451D4"/>
    <w:rsid w:val="0034537D"/>
    <w:rsid w:val="00346046"/>
    <w:rsid w:val="003462AF"/>
    <w:rsid w:val="0034790D"/>
    <w:rsid w:val="00347C0E"/>
    <w:rsid w:val="00347D5E"/>
    <w:rsid w:val="00347F03"/>
    <w:rsid w:val="0035004C"/>
    <w:rsid w:val="00350401"/>
    <w:rsid w:val="003508F1"/>
    <w:rsid w:val="00350B6C"/>
    <w:rsid w:val="00350BE2"/>
    <w:rsid w:val="0035184D"/>
    <w:rsid w:val="003518C8"/>
    <w:rsid w:val="00351B1D"/>
    <w:rsid w:val="00351D63"/>
    <w:rsid w:val="003521AD"/>
    <w:rsid w:val="003521AE"/>
    <w:rsid w:val="00352495"/>
    <w:rsid w:val="00352862"/>
    <w:rsid w:val="003529BB"/>
    <w:rsid w:val="00352D35"/>
    <w:rsid w:val="00352F0F"/>
    <w:rsid w:val="003531D1"/>
    <w:rsid w:val="00353948"/>
    <w:rsid w:val="00353CF5"/>
    <w:rsid w:val="00353F14"/>
    <w:rsid w:val="003541A5"/>
    <w:rsid w:val="00354592"/>
    <w:rsid w:val="003549B2"/>
    <w:rsid w:val="00354BB2"/>
    <w:rsid w:val="00354E76"/>
    <w:rsid w:val="003559D6"/>
    <w:rsid w:val="00355AA9"/>
    <w:rsid w:val="00355D18"/>
    <w:rsid w:val="00355E40"/>
    <w:rsid w:val="00356307"/>
    <w:rsid w:val="0035666F"/>
    <w:rsid w:val="003566BA"/>
    <w:rsid w:val="00356729"/>
    <w:rsid w:val="003569D8"/>
    <w:rsid w:val="00356A5F"/>
    <w:rsid w:val="00356BE5"/>
    <w:rsid w:val="00356E66"/>
    <w:rsid w:val="0035736F"/>
    <w:rsid w:val="003573F8"/>
    <w:rsid w:val="00357556"/>
    <w:rsid w:val="00357EF3"/>
    <w:rsid w:val="00360050"/>
    <w:rsid w:val="00360071"/>
    <w:rsid w:val="00360079"/>
    <w:rsid w:val="00360637"/>
    <w:rsid w:val="0036094D"/>
    <w:rsid w:val="00360ABB"/>
    <w:rsid w:val="00360CB6"/>
    <w:rsid w:val="00361071"/>
    <w:rsid w:val="003613FC"/>
    <w:rsid w:val="0036143E"/>
    <w:rsid w:val="00361611"/>
    <w:rsid w:val="00361E5B"/>
    <w:rsid w:val="00361FD7"/>
    <w:rsid w:val="003625A3"/>
    <w:rsid w:val="003625DA"/>
    <w:rsid w:val="00362789"/>
    <w:rsid w:val="0036281F"/>
    <w:rsid w:val="003629C7"/>
    <w:rsid w:val="00362FFE"/>
    <w:rsid w:val="003634E8"/>
    <w:rsid w:val="003635D0"/>
    <w:rsid w:val="00363827"/>
    <w:rsid w:val="0036382E"/>
    <w:rsid w:val="003638B9"/>
    <w:rsid w:val="00363A04"/>
    <w:rsid w:val="00363BC2"/>
    <w:rsid w:val="003644DA"/>
    <w:rsid w:val="00364A87"/>
    <w:rsid w:val="00364DC1"/>
    <w:rsid w:val="003653C4"/>
    <w:rsid w:val="003657BD"/>
    <w:rsid w:val="00365C87"/>
    <w:rsid w:val="003666B2"/>
    <w:rsid w:val="0036739C"/>
    <w:rsid w:val="00367881"/>
    <w:rsid w:val="00367964"/>
    <w:rsid w:val="00367BA3"/>
    <w:rsid w:val="00367BE5"/>
    <w:rsid w:val="00367DAC"/>
    <w:rsid w:val="003701CE"/>
    <w:rsid w:val="00370E0E"/>
    <w:rsid w:val="0037111F"/>
    <w:rsid w:val="00371157"/>
    <w:rsid w:val="00371DDC"/>
    <w:rsid w:val="00371EDB"/>
    <w:rsid w:val="00371F54"/>
    <w:rsid w:val="003722CB"/>
    <w:rsid w:val="003724C7"/>
    <w:rsid w:val="00372594"/>
    <w:rsid w:val="0037293D"/>
    <w:rsid w:val="003736B4"/>
    <w:rsid w:val="0037372A"/>
    <w:rsid w:val="0037387F"/>
    <w:rsid w:val="003745D5"/>
    <w:rsid w:val="00375260"/>
    <w:rsid w:val="00375424"/>
    <w:rsid w:val="003754A9"/>
    <w:rsid w:val="003754D0"/>
    <w:rsid w:val="00375B12"/>
    <w:rsid w:val="003767E4"/>
    <w:rsid w:val="003767EC"/>
    <w:rsid w:val="00376BFC"/>
    <w:rsid w:val="00377249"/>
    <w:rsid w:val="0037770E"/>
    <w:rsid w:val="0037798C"/>
    <w:rsid w:val="00377AD7"/>
    <w:rsid w:val="003801A8"/>
    <w:rsid w:val="003803D1"/>
    <w:rsid w:val="0038099B"/>
    <w:rsid w:val="00380DF8"/>
    <w:rsid w:val="00381135"/>
    <w:rsid w:val="0038172A"/>
    <w:rsid w:val="003817D2"/>
    <w:rsid w:val="0038186A"/>
    <w:rsid w:val="003820B2"/>
    <w:rsid w:val="00382C48"/>
    <w:rsid w:val="00382D2A"/>
    <w:rsid w:val="0038337D"/>
    <w:rsid w:val="00383D45"/>
    <w:rsid w:val="00383DCA"/>
    <w:rsid w:val="00384098"/>
    <w:rsid w:val="00384176"/>
    <w:rsid w:val="003841B9"/>
    <w:rsid w:val="00384521"/>
    <w:rsid w:val="003846E8"/>
    <w:rsid w:val="00384A8B"/>
    <w:rsid w:val="00384EE4"/>
    <w:rsid w:val="00385349"/>
    <w:rsid w:val="003856DB"/>
    <w:rsid w:val="00385C5A"/>
    <w:rsid w:val="00385DA0"/>
    <w:rsid w:val="00385F0B"/>
    <w:rsid w:val="00386372"/>
    <w:rsid w:val="00386578"/>
    <w:rsid w:val="00386841"/>
    <w:rsid w:val="00386EA4"/>
    <w:rsid w:val="00387089"/>
    <w:rsid w:val="00387209"/>
    <w:rsid w:val="003874B7"/>
    <w:rsid w:val="00387C5E"/>
    <w:rsid w:val="00387D75"/>
    <w:rsid w:val="00390896"/>
    <w:rsid w:val="00390AC3"/>
    <w:rsid w:val="00391136"/>
    <w:rsid w:val="00391738"/>
    <w:rsid w:val="00391CD8"/>
    <w:rsid w:val="00391E55"/>
    <w:rsid w:val="00391EF5"/>
    <w:rsid w:val="00392293"/>
    <w:rsid w:val="00392446"/>
    <w:rsid w:val="00392D57"/>
    <w:rsid w:val="00392E15"/>
    <w:rsid w:val="00393207"/>
    <w:rsid w:val="00393F7C"/>
    <w:rsid w:val="003941E2"/>
    <w:rsid w:val="003944E9"/>
    <w:rsid w:val="00394612"/>
    <w:rsid w:val="0039499C"/>
    <w:rsid w:val="00395587"/>
    <w:rsid w:val="003955B2"/>
    <w:rsid w:val="00395AB3"/>
    <w:rsid w:val="00396A15"/>
    <w:rsid w:val="00397173"/>
    <w:rsid w:val="003972E0"/>
    <w:rsid w:val="00397DAB"/>
    <w:rsid w:val="003A0300"/>
    <w:rsid w:val="003A0519"/>
    <w:rsid w:val="003A0527"/>
    <w:rsid w:val="003A0D97"/>
    <w:rsid w:val="003A14D3"/>
    <w:rsid w:val="003A1913"/>
    <w:rsid w:val="003A1BF1"/>
    <w:rsid w:val="003A2199"/>
    <w:rsid w:val="003A31B3"/>
    <w:rsid w:val="003A366F"/>
    <w:rsid w:val="003A3D3A"/>
    <w:rsid w:val="003A493D"/>
    <w:rsid w:val="003A4D8F"/>
    <w:rsid w:val="003A5218"/>
    <w:rsid w:val="003A542B"/>
    <w:rsid w:val="003A543A"/>
    <w:rsid w:val="003A551D"/>
    <w:rsid w:val="003A5948"/>
    <w:rsid w:val="003A6366"/>
    <w:rsid w:val="003A64B6"/>
    <w:rsid w:val="003A6954"/>
    <w:rsid w:val="003A6A1F"/>
    <w:rsid w:val="003A6C2F"/>
    <w:rsid w:val="003A7377"/>
    <w:rsid w:val="003A7393"/>
    <w:rsid w:val="003A78C5"/>
    <w:rsid w:val="003A7A0C"/>
    <w:rsid w:val="003B0E65"/>
    <w:rsid w:val="003B0FE1"/>
    <w:rsid w:val="003B13DD"/>
    <w:rsid w:val="003B1700"/>
    <w:rsid w:val="003B1BBF"/>
    <w:rsid w:val="003B1F12"/>
    <w:rsid w:val="003B1FF4"/>
    <w:rsid w:val="003B21CD"/>
    <w:rsid w:val="003B2774"/>
    <w:rsid w:val="003B2B6C"/>
    <w:rsid w:val="003B3008"/>
    <w:rsid w:val="003B3920"/>
    <w:rsid w:val="003B3E5D"/>
    <w:rsid w:val="003B418D"/>
    <w:rsid w:val="003B4276"/>
    <w:rsid w:val="003B474B"/>
    <w:rsid w:val="003B4BCF"/>
    <w:rsid w:val="003B4CCC"/>
    <w:rsid w:val="003B4F1F"/>
    <w:rsid w:val="003B51EE"/>
    <w:rsid w:val="003B55B0"/>
    <w:rsid w:val="003B55BD"/>
    <w:rsid w:val="003B5C41"/>
    <w:rsid w:val="003B5FD3"/>
    <w:rsid w:val="003B63DC"/>
    <w:rsid w:val="003B68AA"/>
    <w:rsid w:val="003B6B1D"/>
    <w:rsid w:val="003B6D2C"/>
    <w:rsid w:val="003B6D9B"/>
    <w:rsid w:val="003B7B1F"/>
    <w:rsid w:val="003C0470"/>
    <w:rsid w:val="003C084A"/>
    <w:rsid w:val="003C0BD6"/>
    <w:rsid w:val="003C128A"/>
    <w:rsid w:val="003C12A6"/>
    <w:rsid w:val="003C13CC"/>
    <w:rsid w:val="003C159D"/>
    <w:rsid w:val="003C1DA0"/>
    <w:rsid w:val="003C1DC1"/>
    <w:rsid w:val="003C1E3A"/>
    <w:rsid w:val="003C25FB"/>
    <w:rsid w:val="003C260A"/>
    <w:rsid w:val="003C2D1F"/>
    <w:rsid w:val="003C2E29"/>
    <w:rsid w:val="003C2EC6"/>
    <w:rsid w:val="003C30EC"/>
    <w:rsid w:val="003C37AE"/>
    <w:rsid w:val="003C3EC4"/>
    <w:rsid w:val="003C3EE8"/>
    <w:rsid w:val="003C41D9"/>
    <w:rsid w:val="003C4F32"/>
    <w:rsid w:val="003C52C5"/>
    <w:rsid w:val="003C5532"/>
    <w:rsid w:val="003C594B"/>
    <w:rsid w:val="003C5C04"/>
    <w:rsid w:val="003C5CBD"/>
    <w:rsid w:val="003C5EDE"/>
    <w:rsid w:val="003C6442"/>
    <w:rsid w:val="003C6486"/>
    <w:rsid w:val="003C656C"/>
    <w:rsid w:val="003C6586"/>
    <w:rsid w:val="003C6A79"/>
    <w:rsid w:val="003C6C73"/>
    <w:rsid w:val="003C6D20"/>
    <w:rsid w:val="003C74CD"/>
    <w:rsid w:val="003C798B"/>
    <w:rsid w:val="003C7A26"/>
    <w:rsid w:val="003C7A62"/>
    <w:rsid w:val="003C7E73"/>
    <w:rsid w:val="003D1103"/>
    <w:rsid w:val="003D11E6"/>
    <w:rsid w:val="003D12F8"/>
    <w:rsid w:val="003D28A1"/>
    <w:rsid w:val="003D32A5"/>
    <w:rsid w:val="003D3C2A"/>
    <w:rsid w:val="003D3CCC"/>
    <w:rsid w:val="003D41E9"/>
    <w:rsid w:val="003D43EB"/>
    <w:rsid w:val="003D4BA5"/>
    <w:rsid w:val="003D4CD5"/>
    <w:rsid w:val="003D517F"/>
    <w:rsid w:val="003D52F6"/>
    <w:rsid w:val="003D558C"/>
    <w:rsid w:val="003D5A51"/>
    <w:rsid w:val="003D5D76"/>
    <w:rsid w:val="003D5F77"/>
    <w:rsid w:val="003D6193"/>
    <w:rsid w:val="003D6412"/>
    <w:rsid w:val="003D648D"/>
    <w:rsid w:val="003D64CA"/>
    <w:rsid w:val="003D66D3"/>
    <w:rsid w:val="003D6993"/>
    <w:rsid w:val="003D69EA"/>
    <w:rsid w:val="003D6D19"/>
    <w:rsid w:val="003D705E"/>
    <w:rsid w:val="003D7945"/>
    <w:rsid w:val="003D7A1F"/>
    <w:rsid w:val="003E058C"/>
    <w:rsid w:val="003E0FA7"/>
    <w:rsid w:val="003E12E6"/>
    <w:rsid w:val="003E1BDB"/>
    <w:rsid w:val="003E2983"/>
    <w:rsid w:val="003E3BD5"/>
    <w:rsid w:val="003E4802"/>
    <w:rsid w:val="003E48F8"/>
    <w:rsid w:val="003E4F78"/>
    <w:rsid w:val="003E55C6"/>
    <w:rsid w:val="003E55F2"/>
    <w:rsid w:val="003E5EB9"/>
    <w:rsid w:val="003E6133"/>
    <w:rsid w:val="003E6179"/>
    <w:rsid w:val="003E627E"/>
    <w:rsid w:val="003E6CAA"/>
    <w:rsid w:val="003E7326"/>
    <w:rsid w:val="003E7AED"/>
    <w:rsid w:val="003E7CB9"/>
    <w:rsid w:val="003F008B"/>
    <w:rsid w:val="003F01C5"/>
    <w:rsid w:val="003F0981"/>
    <w:rsid w:val="003F11F6"/>
    <w:rsid w:val="003F1510"/>
    <w:rsid w:val="003F1949"/>
    <w:rsid w:val="003F1D55"/>
    <w:rsid w:val="003F1E0C"/>
    <w:rsid w:val="003F211A"/>
    <w:rsid w:val="003F28DE"/>
    <w:rsid w:val="003F2EB1"/>
    <w:rsid w:val="003F38A8"/>
    <w:rsid w:val="003F38DA"/>
    <w:rsid w:val="003F3B97"/>
    <w:rsid w:val="003F3D23"/>
    <w:rsid w:val="003F3FDF"/>
    <w:rsid w:val="003F440A"/>
    <w:rsid w:val="003F4517"/>
    <w:rsid w:val="003F45F5"/>
    <w:rsid w:val="003F4995"/>
    <w:rsid w:val="003F55AB"/>
    <w:rsid w:val="003F55C2"/>
    <w:rsid w:val="003F5F9A"/>
    <w:rsid w:val="003F61FA"/>
    <w:rsid w:val="003F6227"/>
    <w:rsid w:val="003F6432"/>
    <w:rsid w:val="003F6569"/>
    <w:rsid w:val="003F658C"/>
    <w:rsid w:val="003F672C"/>
    <w:rsid w:val="003F696E"/>
    <w:rsid w:val="003F6ADE"/>
    <w:rsid w:val="003F6C4F"/>
    <w:rsid w:val="003F6F37"/>
    <w:rsid w:val="003F6F47"/>
    <w:rsid w:val="003F7844"/>
    <w:rsid w:val="003F7CB5"/>
    <w:rsid w:val="003F7D12"/>
    <w:rsid w:val="004001D0"/>
    <w:rsid w:val="004003D2"/>
    <w:rsid w:val="004010FC"/>
    <w:rsid w:val="0040174C"/>
    <w:rsid w:val="00401996"/>
    <w:rsid w:val="00401C0F"/>
    <w:rsid w:val="00401CC2"/>
    <w:rsid w:val="004029E6"/>
    <w:rsid w:val="00402F23"/>
    <w:rsid w:val="0040373B"/>
    <w:rsid w:val="0040383E"/>
    <w:rsid w:val="00403862"/>
    <w:rsid w:val="00403C07"/>
    <w:rsid w:val="00403D00"/>
    <w:rsid w:val="00403EB3"/>
    <w:rsid w:val="00404855"/>
    <w:rsid w:val="00404A34"/>
    <w:rsid w:val="00404FC0"/>
    <w:rsid w:val="004051FF"/>
    <w:rsid w:val="00405400"/>
    <w:rsid w:val="004054EF"/>
    <w:rsid w:val="004057EE"/>
    <w:rsid w:val="004059AD"/>
    <w:rsid w:val="00405FD0"/>
    <w:rsid w:val="004063C6"/>
    <w:rsid w:val="004064D9"/>
    <w:rsid w:val="00406634"/>
    <w:rsid w:val="00406EBA"/>
    <w:rsid w:val="00406F25"/>
    <w:rsid w:val="0040709C"/>
    <w:rsid w:val="0040731C"/>
    <w:rsid w:val="00407A6A"/>
    <w:rsid w:val="00407E3C"/>
    <w:rsid w:val="00410556"/>
    <w:rsid w:val="004107ED"/>
    <w:rsid w:val="00410B07"/>
    <w:rsid w:val="00410BAC"/>
    <w:rsid w:val="00410F69"/>
    <w:rsid w:val="00411177"/>
    <w:rsid w:val="0041130D"/>
    <w:rsid w:val="00411342"/>
    <w:rsid w:val="004115DD"/>
    <w:rsid w:val="00411758"/>
    <w:rsid w:val="00411B20"/>
    <w:rsid w:val="00411C8B"/>
    <w:rsid w:val="00412562"/>
    <w:rsid w:val="0041258C"/>
    <w:rsid w:val="0041394C"/>
    <w:rsid w:val="0041427E"/>
    <w:rsid w:val="004145CF"/>
    <w:rsid w:val="0041473F"/>
    <w:rsid w:val="00414A26"/>
    <w:rsid w:val="004150EC"/>
    <w:rsid w:val="00415AA0"/>
    <w:rsid w:val="00415EEC"/>
    <w:rsid w:val="00416180"/>
    <w:rsid w:val="00416A06"/>
    <w:rsid w:val="00420A13"/>
    <w:rsid w:val="00420D03"/>
    <w:rsid w:val="00420FB2"/>
    <w:rsid w:val="004214FB"/>
    <w:rsid w:val="004215F2"/>
    <w:rsid w:val="00422006"/>
    <w:rsid w:val="004224ED"/>
    <w:rsid w:val="00422996"/>
    <w:rsid w:val="0042315D"/>
    <w:rsid w:val="0042354C"/>
    <w:rsid w:val="00423DA1"/>
    <w:rsid w:val="00423F17"/>
    <w:rsid w:val="00424926"/>
    <w:rsid w:val="00424A04"/>
    <w:rsid w:val="00424A1B"/>
    <w:rsid w:val="00424C20"/>
    <w:rsid w:val="00425039"/>
    <w:rsid w:val="004253B3"/>
    <w:rsid w:val="00425D28"/>
    <w:rsid w:val="0042617D"/>
    <w:rsid w:val="004267A9"/>
    <w:rsid w:val="004267DA"/>
    <w:rsid w:val="00426927"/>
    <w:rsid w:val="00426A80"/>
    <w:rsid w:val="00426D09"/>
    <w:rsid w:val="00426E81"/>
    <w:rsid w:val="0042716B"/>
    <w:rsid w:val="00427249"/>
    <w:rsid w:val="00427451"/>
    <w:rsid w:val="00427578"/>
    <w:rsid w:val="00427988"/>
    <w:rsid w:val="00427A88"/>
    <w:rsid w:val="00427EFD"/>
    <w:rsid w:val="00430088"/>
    <w:rsid w:val="00430260"/>
    <w:rsid w:val="0043027F"/>
    <w:rsid w:val="00430634"/>
    <w:rsid w:val="004306EB"/>
    <w:rsid w:val="0043073F"/>
    <w:rsid w:val="00430AD9"/>
    <w:rsid w:val="00430B87"/>
    <w:rsid w:val="00430FB1"/>
    <w:rsid w:val="00431B4E"/>
    <w:rsid w:val="00432248"/>
    <w:rsid w:val="004322F9"/>
    <w:rsid w:val="00433337"/>
    <w:rsid w:val="00433419"/>
    <w:rsid w:val="004334D3"/>
    <w:rsid w:val="00433B80"/>
    <w:rsid w:val="0043405E"/>
    <w:rsid w:val="0043591A"/>
    <w:rsid w:val="0043596A"/>
    <w:rsid w:val="00435C6A"/>
    <w:rsid w:val="00435E7A"/>
    <w:rsid w:val="00435F45"/>
    <w:rsid w:val="004360AC"/>
    <w:rsid w:val="004365EE"/>
    <w:rsid w:val="00436618"/>
    <w:rsid w:val="00436CA8"/>
    <w:rsid w:val="00436DB3"/>
    <w:rsid w:val="00436E9F"/>
    <w:rsid w:val="00436FA8"/>
    <w:rsid w:val="004372A9"/>
    <w:rsid w:val="00437F20"/>
    <w:rsid w:val="0044004C"/>
    <w:rsid w:val="004406B9"/>
    <w:rsid w:val="0044148C"/>
    <w:rsid w:val="004418F6"/>
    <w:rsid w:val="00441A09"/>
    <w:rsid w:val="00441C20"/>
    <w:rsid w:val="00442CEC"/>
    <w:rsid w:val="00442E0A"/>
    <w:rsid w:val="00443071"/>
    <w:rsid w:val="00443261"/>
    <w:rsid w:val="00443A69"/>
    <w:rsid w:val="00443D0F"/>
    <w:rsid w:val="00444131"/>
    <w:rsid w:val="004441B8"/>
    <w:rsid w:val="00444613"/>
    <w:rsid w:val="004449E6"/>
    <w:rsid w:val="00444C82"/>
    <w:rsid w:val="00444DE8"/>
    <w:rsid w:val="00444FF1"/>
    <w:rsid w:val="00445238"/>
    <w:rsid w:val="0044524C"/>
    <w:rsid w:val="00445543"/>
    <w:rsid w:val="00445892"/>
    <w:rsid w:val="004458FB"/>
    <w:rsid w:val="00446549"/>
    <w:rsid w:val="00446591"/>
    <w:rsid w:val="004466D5"/>
    <w:rsid w:val="00446CFC"/>
    <w:rsid w:val="0044753C"/>
    <w:rsid w:val="00447857"/>
    <w:rsid w:val="00447E0C"/>
    <w:rsid w:val="0045050B"/>
    <w:rsid w:val="00450DFA"/>
    <w:rsid w:val="00450F62"/>
    <w:rsid w:val="00451571"/>
    <w:rsid w:val="0045169E"/>
    <w:rsid w:val="0045191B"/>
    <w:rsid w:val="00451D26"/>
    <w:rsid w:val="00452220"/>
    <w:rsid w:val="00452224"/>
    <w:rsid w:val="0045222C"/>
    <w:rsid w:val="00452439"/>
    <w:rsid w:val="00452634"/>
    <w:rsid w:val="00452F31"/>
    <w:rsid w:val="00453B02"/>
    <w:rsid w:val="00453E6A"/>
    <w:rsid w:val="0045435D"/>
    <w:rsid w:val="004546DA"/>
    <w:rsid w:val="0045503C"/>
    <w:rsid w:val="00455109"/>
    <w:rsid w:val="00455F33"/>
    <w:rsid w:val="00456D56"/>
    <w:rsid w:val="0045714D"/>
    <w:rsid w:val="004571F5"/>
    <w:rsid w:val="00457368"/>
    <w:rsid w:val="004575AF"/>
    <w:rsid w:val="004575BB"/>
    <w:rsid w:val="00457651"/>
    <w:rsid w:val="004577C8"/>
    <w:rsid w:val="00460001"/>
    <w:rsid w:val="004600C4"/>
    <w:rsid w:val="00460329"/>
    <w:rsid w:val="004604AB"/>
    <w:rsid w:val="00460959"/>
    <w:rsid w:val="004609F7"/>
    <w:rsid w:val="00460A9A"/>
    <w:rsid w:val="00461803"/>
    <w:rsid w:val="00461C51"/>
    <w:rsid w:val="00461F61"/>
    <w:rsid w:val="004620E3"/>
    <w:rsid w:val="00462842"/>
    <w:rsid w:val="00462B07"/>
    <w:rsid w:val="0046309F"/>
    <w:rsid w:val="00463AA1"/>
    <w:rsid w:val="00464019"/>
    <w:rsid w:val="004642CC"/>
    <w:rsid w:val="0046450F"/>
    <w:rsid w:val="00464932"/>
    <w:rsid w:val="00464A91"/>
    <w:rsid w:val="00464B29"/>
    <w:rsid w:val="00464F70"/>
    <w:rsid w:val="00465665"/>
    <w:rsid w:val="00465789"/>
    <w:rsid w:val="004658A0"/>
    <w:rsid w:val="00465E17"/>
    <w:rsid w:val="004660A0"/>
    <w:rsid w:val="00466315"/>
    <w:rsid w:val="004663DC"/>
    <w:rsid w:val="00466926"/>
    <w:rsid w:val="00466948"/>
    <w:rsid w:val="00467157"/>
    <w:rsid w:val="004679C1"/>
    <w:rsid w:val="00467A50"/>
    <w:rsid w:val="00467B5E"/>
    <w:rsid w:val="00467B6A"/>
    <w:rsid w:val="00467C09"/>
    <w:rsid w:val="00467E8B"/>
    <w:rsid w:val="00470410"/>
    <w:rsid w:val="0047041A"/>
    <w:rsid w:val="004706D1"/>
    <w:rsid w:val="004708BB"/>
    <w:rsid w:val="00470ABB"/>
    <w:rsid w:val="00470FDB"/>
    <w:rsid w:val="004717E4"/>
    <w:rsid w:val="0047194B"/>
    <w:rsid w:val="00471DB4"/>
    <w:rsid w:val="00471FE6"/>
    <w:rsid w:val="00472FD6"/>
    <w:rsid w:val="00473390"/>
    <w:rsid w:val="0047360A"/>
    <w:rsid w:val="00473867"/>
    <w:rsid w:val="00473B1E"/>
    <w:rsid w:val="00474140"/>
    <w:rsid w:val="0047414E"/>
    <w:rsid w:val="00474BE0"/>
    <w:rsid w:val="0047525D"/>
    <w:rsid w:val="0047555D"/>
    <w:rsid w:val="0047556E"/>
    <w:rsid w:val="00475AD3"/>
    <w:rsid w:val="00475DCE"/>
    <w:rsid w:val="00475EA2"/>
    <w:rsid w:val="004766DB"/>
    <w:rsid w:val="004766F6"/>
    <w:rsid w:val="00476789"/>
    <w:rsid w:val="00476A9C"/>
    <w:rsid w:val="00476AC5"/>
    <w:rsid w:val="00476B15"/>
    <w:rsid w:val="00476C79"/>
    <w:rsid w:val="00477229"/>
    <w:rsid w:val="004776AF"/>
    <w:rsid w:val="004776D2"/>
    <w:rsid w:val="0047770F"/>
    <w:rsid w:val="00477A59"/>
    <w:rsid w:val="00477B8A"/>
    <w:rsid w:val="00477B8F"/>
    <w:rsid w:val="00477D38"/>
    <w:rsid w:val="00480066"/>
    <w:rsid w:val="004801B7"/>
    <w:rsid w:val="004804CA"/>
    <w:rsid w:val="0048058B"/>
    <w:rsid w:val="004806A0"/>
    <w:rsid w:val="00481DCD"/>
    <w:rsid w:val="00481FF1"/>
    <w:rsid w:val="0048225B"/>
    <w:rsid w:val="00482531"/>
    <w:rsid w:val="004827E9"/>
    <w:rsid w:val="004835BB"/>
    <w:rsid w:val="004836D7"/>
    <w:rsid w:val="00483722"/>
    <w:rsid w:val="00483820"/>
    <w:rsid w:val="00484373"/>
    <w:rsid w:val="0048458E"/>
    <w:rsid w:val="00484947"/>
    <w:rsid w:val="00484B61"/>
    <w:rsid w:val="00484D38"/>
    <w:rsid w:val="00484E50"/>
    <w:rsid w:val="0048512D"/>
    <w:rsid w:val="00485274"/>
    <w:rsid w:val="00485DF1"/>
    <w:rsid w:val="00485FC3"/>
    <w:rsid w:val="0048633E"/>
    <w:rsid w:val="004867BB"/>
    <w:rsid w:val="00486A9E"/>
    <w:rsid w:val="00486F06"/>
    <w:rsid w:val="0048731B"/>
    <w:rsid w:val="00487394"/>
    <w:rsid w:val="00487618"/>
    <w:rsid w:val="00487971"/>
    <w:rsid w:val="00487AE4"/>
    <w:rsid w:val="00490016"/>
    <w:rsid w:val="00490207"/>
    <w:rsid w:val="0049064A"/>
    <w:rsid w:val="004906A6"/>
    <w:rsid w:val="004915F4"/>
    <w:rsid w:val="00491D93"/>
    <w:rsid w:val="0049290D"/>
    <w:rsid w:val="00492BC9"/>
    <w:rsid w:val="00492C59"/>
    <w:rsid w:val="00493129"/>
    <w:rsid w:val="0049349C"/>
    <w:rsid w:val="00493BB6"/>
    <w:rsid w:val="00494091"/>
    <w:rsid w:val="00494110"/>
    <w:rsid w:val="00494491"/>
    <w:rsid w:val="00494A2C"/>
    <w:rsid w:val="00494C6A"/>
    <w:rsid w:val="00494DD0"/>
    <w:rsid w:val="004950FA"/>
    <w:rsid w:val="00495BA7"/>
    <w:rsid w:val="00495CCD"/>
    <w:rsid w:val="004962D8"/>
    <w:rsid w:val="00496572"/>
    <w:rsid w:val="004968BD"/>
    <w:rsid w:val="004974CA"/>
    <w:rsid w:val="004974D1"/>
    <w:rsid w:val="00497696"/>
    <w:rsid w:val="004976F1"/>
    <w:rsid w:val="0049793E"/>
    <w:rsid w:val="00497D18"/>
    <w:rsid w:val="004A00D7"/>
    <w:rsid w:val="004A0411"/>
    <w:rsid w:val="004A0C13"/>
    <w:rsid w:val="004A18DD"/>
    <w:rsid w:val="004A1A28"/>
    <w:rsid w:val="004A1C2B"/>
    <w:rsid w:val="004A1C43"/>
    <w:rsid w:val="004A1D6D"/>
    <w:rsid w:val="004A1F41"/>
    <w:rsid w:val="004A20F2"/>
    <w:rsid w:val="004A258E"/>
    <w:rsid w:val="004A27A9"/>
    <w:rsid w:val="004A2EBB"/>
    <w:rsid w:val="004A31CF"/>
    <w:rsid w:val="004A346B"/>
    <w:rsid w:val="004A349D"/>
    <w:rsid w:val="004A383F"/>
    <w:rsid w:val="004A386B"/>
    <w:rsid w:val="004A38B0"/>
    <w:rsid w:val="004A3945"/>
    <w:rsid w:val="004A3D70"/>
    <w:rsid w:val="004A4062"/>
    <w:rsid w:val="004A40A8"/>
    <w:rsid w:val="004A4772"/>
    <w:rsid w:val="004A5000"/>
    <w:rsid w:val="004A505C"/>
    <w:rsid w:val="004A53FB"/>
    <w:rsid w:val="004A5429"/>
    <w:rsid w:val="004A5AFE"/>
    <w:rsid w:val="004A6380"/>
    <w:rsid w:val="004A6622"/>
    <w:rsid w:val="004A6F16"/>
    <w:rsid w:val="004A702C"/>
    <w:rsid w:val="004A711B"/>
    <w:rsid w:val="004A79CF"/>
    <w:rsid w:val="004A7D4E"/>
    <w:rsid w:val="004B0874"/>
    <w:rsid w:val="004B0B41"/>
    <w:rsid w:val="004B0B67"/>
    <w:rsid w:val="004B0C1F"/>
    <w:rsid w:val="004B1DAC"/>
    <w:rsid w:val="004B1F43"/>
    <w:rsid w:val="004B2AAC"/>
    <w:rsid w:val="004B320C"/>
    <w:rsid w:val="004B3B8C"/>
    <w:rsid w:val="004B4016"/>
    <w:rsid w:val="004B4073"/>
    <w:rsid w:val="004B447B"/>
    <w:rsid w:val="004B4987"/>
    <w:rsid w:val="004B4A4B"/>
    <w:rsid w:val="004B4AAE"/>
    <w:rsid w:val="004B4C9C"/>
    <w:rsid w:val="004B535B"/>
    <w:rsid w:val="004B53AE"/>
    <w:rsid w:val="004B5544"/>
    <w:rsid w:val="004B5744"/>
    <w:rsid w:val="004B5B84"/>
    <w:rsid w:val="004B609F"/>
    <w:rsid w:val="004B6399"/>
    <w:rsid w:val="004B6AD0"/>
    <w:rsid w:val="004B7019"/>
    <w:rsid w:val="004B70D7"/>
    <w:rsid w:val="004B753F"/>
    <w:rsid w:val="004B7D4E"/>
    <w:rsid w:val="004C0BFB"/>
    <w:rsid w:val="004C0E33"/>
    <w:rsid w:val="004C119C"/>
    <w:rsid w:val="004C1B82"/>
    <w:rsid w:val="004C22A3"/>
    <w:rsid w:val="004C25EA"/>
    <w:rsid w:val="004C28B5"/>
    <w:rsid w:val="004C2914"/>
    <w:rsid w:val="004C2E4D"/>
    <w:rsid w:val="004C2FC1"/>
    <w:rsid w:val="004C36AA"/>
    <w:rsid w:val="004C3973"/>
    <w:rsid w:val="004C3C8B"/>
    <w:rsid w:val="004C4325"/>
    <w:rsid w:val="004C466E"/>
    <w:rsid w:val="004C4AA9"/>
    <w:rsid w:val="004C50FF"/>
    <w:rsid w:val="004C5442"/>
    <w:rsid w:val="004C55BA"/>
    <w:rsid w:val="004C5679"/>
    <w:rsid w:val="004C599D"/>
    <w:rsid w:val="004C5BE7"/>
    <w:rsid w:val="004C5E83"/>
    <w:rsid w:val="004C5FBF"/>
    <w:rsid w:val="004C6670"/>
    <w:rsid w:val="004C6D6A"/>
    <w:rsid w:val="004C7F39"/>
    <w:rsid w:val="004D0C51"/>
    <w:rsid w:val="004D0DBB"/>
    <w:rsid w:val="004D107C"/>
    <w:rsid w:val="004D1507"/>
    <w:rsid w:val="004D19CD"/>
    <w:rsid w:val="004D1CD6"/>
    <w:rsid w:val="004D1DC1"/>
    <w:rsid w:val="004D2B0E"/>
    <w:rsid w:val="004D2DDD"/>
    <w:rsid w:val="004D2DDF"/>
    <w:rsid w:val="004D3411"/>
    <w:rsid w:val="004D42C5"/>
    <w:rsid w:val="004D46DE"/>
    <w:rsid w:val="004D4801"/>
    <w:rsid w:val="004D4835"/>
    <w:rsid w:val="004D48DE"/>
    <w:rsid w:val="004D4912"/>
    <w:rsid w:val="004D4C0C"/>
    <w:rsid w:val="004D4F1D"/>
    <w:rsid w:val="004D5171"/>
    <w:rsid w:val="004D5407"/>
    <w:rsid w:val="004D54C5"/>
    <w:rsid w:val="004D5A55"/>
    <w:rsid w:val="004D5E6B"/>
    <w:rsid w:val="004D66D6"/>
    <w:rsid w:val="004D67D9"/>
    <w:rsid w:val="004D6A37"/>
    <w:rsid w:val="004D6E88"/>
    <w:rsid w:val="004D7994"/>
    <w:rsid w:val="004D7AEB"/>
    <w:rsid w:val="004D7D55"/>
    <w:rsid w:val="004D7E17"/>
    <w:rsid w:val="004E0162"/>
    <w:rsid w:val="004E0217"/>
    <w:rsid w:val="004E064F"/>
    <w:rsid w:val="004E08F5"/>
    <w:rsid w:val="004E0E34"/>
    <w:rsid w:val="004E0FFB"/>
    <w:rsid w:val="004E15D6"/>
    <w:rsid w:val="004E16AE"/>
    <w:rsid w:val="004E1B52"/>
    <w:rsid w:val="004E1BF7"/>
    <w:rsid w:val="004E1D41"/>
    <w:rsid w:val="004E1F25"/>
    <w:rsid w:val="004E2068"/>
    <w:rsid w:val="004E289C"/>
    <w:rsid w:val="004E2D3D"/>
    <w:rsid w:val="004E3310"/>
    <w:rsid w:val="004E3673"/>
    <w:rsid w:val="004E3900"/>
    <w:rsid w:val="004E3912"/>
    <w:rsid w:val="004E3AA6"/>
    <w:rsid w:val="004E3CCE"/>
    <w:rsid w:val="004E3F02"/>
    <w:rsid w:val="004E3F3D"/>
    <w:rsid w:val="004E4416"/>
    <w:rsid w:val="004E5430"/>
    <w:rsid w:val="004E59CF"/>
    <w:rsid w:val="004E63A9"/>
    <w:rsid w:val="004E7CD3"/>
    <w:rsid w:val="004F0028"/>
    <w:rsid w:val="004F00B8"/>
    <w:rsid w:val="004F01D6"/>
    <w:rsid w:val="004F07CD"/>
    <w:rsid w:val="004F07D7"/>
    <w:rsid w:val="004F0B07"/>
    <w:rsid w:val="004F0EED"/>
    <w:rsid w:val="004F1103"/>
    <w:rsid w:val="004F1238"/>
    <w:rsid w:val="004F15AE"/>
    <w:rsid w:val="004F1B16"/>
    <w:rsid w:val="004F1BB2"/>
    <w:rsid w:val="004F236E"/>
    <w:rsid w:val="004F2433"/>
    <w:rsid w:val="004F26E0"/>
    <w:rsid w:val="004F2A73"/>
    <w:rsid w:val="004F2E2F"/>
    <w:rsid w:val="004F37E7"/>
    <w:rsid w:val="004F40ED"/>
    <w:rsid w:val="004F47AF"/>
    <w:rsid w:val="004F491B"/>
    <w:rsid w:val="004F4A27"/>
    <w:rsid w:val="004F4ACF"/>
    <w:rsid w:val="004F5197"/>
    <w:rsid w:val="004F5318"/>
    <w:rsid w:val="004F574E"/>
    <w:rsid w:val="004F6038"/>
    <w:rsid w:val="004F6E28"/>
    <w:rsid w:val="004F6EF0"/>
    <w:rsid w:val="004F7241"/>
    <w:rsid w:val="004F7AE4"/>
    <w:rsid w:val="004F7F50"/>
    <w:rsid w:val="0050056B"/>
    <w:rsid w:val="0050065A"/>
    <w:rsid w:val="0050104B"/>
    <w:rsid w:val="0050115A"/>
    <w:rsid w:val="00501F90"/>
    <w:rsid w:val="005021F1"/>
    <w:rsid w:val="005027F5"/>
    <w:rsid w:val="005031AA"/>
    <w:rsid w:val="005032EC"/>
    <w:rsid w:val="005032F8"/>
    <w:rsid w:val="00503DB6"/>
    <w:rsid w:val="00504023"/>
    <w:rsid w:val="005042A7"/>
    <w:rsid w:val="0050472A"/>
    <w:rsid w:val="00504A04"/>
    <w:rsid w:val="00504A42"/>
    <w:rsid w:val="00504B2D"/>
    <w:rsid w:val="00504D5B"/>
    <w:rsid w:val="00505621"/>
    <w:rsid w:val="00505870"/>
    <w:rsid w:val="00506151"/>
    <w:rsid w:val="00506232"/>
    <w:rsid w:val="00506DDC"/>
    <w:rsid w:val="0050700B"/>
    <w:rsid w:val="0050741D"/>
    <w:rsid w:val="00507978"/>
    <w:rsid w:val="00507A08"/>
    <w:rsid w:val="00507C07"/>
    <w:rsid w:val="005109F6"/>
    <w:rsid w:val="00510C09"/>
    <w:rsid w:val="00510E40"/>
    <w:rsid w:val="005112FE"/>
    <w:rsid w:val="00511476"/>
    <w:rsid w:val="00511935"/>
    <w:rsid w:val="0051199C"/>
    <w:rsid w:val="00511AD4"/>
    <w:rsid w:val="0051234D"/>
    <w:rsid w:val="00512BEA"/>
    <w:rsid w:val="00512EB1"/>
    <w:rsid w:val="0051306C"/>
    <w:rsid w:val="00513CB1"/>
    <w:rsid w:val="00513F20"/>
    <w:rsid w:val="00514221"/>
    <w:rsid w:val="0051489D"/>
    <w:rsid w:val="00514A38"/>
    <w:rsid w:val="00515497"/>
    <w:rsid w:val="00515634"/>
    <w:rsid w:val="00515A30"/>
    <w:rsid w:val="0051638D"/>
    <w:rsid w:val="00516912"/>
    <w:rsid w:val="00516AE3"/>
    <w:rsid w:val="00516B72"/>
    <w:rsid w:val="00516C56"/>
    <w:rsid w:val="005172AF"/>
    <w:rsid w:val="00517C90"/>
    <w:rsid w:val="00517DB3"/>
    <w:rsid w:val="00517DE3"/>
    <w:rsid w:val="005201C0"/>
    <w:rsid w:val="00520FF5"/>
    <w:rsid w:val="005210E7"/>
    <w:rsid w:val="00521869"/>
    <w:rsid w:val="00521BEE"/>
    <w:rsid w:val="005224A1"/>
    <w:rsid w:val="005227FB"/>
    <w:rsid w:val="00522956"/>
    <w:rsid w:val="005238FF"/>
    <w:rsid w:val="00523EE8"/>
    <w:rsid w:val="00523FB0"/>
    <w:rsid w:val="00524090"/>
    <w:rsid w:val="005240E0"/>
    <w:rsid w:val="005243A9"/>
    <w:rsid w:val="00525150"/>
    <w:rsid w:val="00525671"/>
    <w:rsid w:val="00526591"/>
    <w:rsid w:val="005268D5"/>
    <w:rsid w:val="005269B8"/>
    <w:rsid w:val="00527278"/>
    <w:rsid w:val="00527295"/>
    <w:rsid w:val="0052761F"/>
    <w:rsid w:val="0052772B"/>
    <w:rsid w:val="00527B43"/>
    <w:rsid w:val="00527B5E"/>
    <w:rsid w:val="00527E70"/>
    <w:rsid w:val="00527F8E"/>
    <w:rsid w:val="005301B6"/>
    <w:rsid w:val="00530ABB"/>
    <w:rsid w:val="00530BF6"/>
    <w:rsid w:val="00530D20"/>
    <w:rsid w:val="00530D5A"/>
    <w:rsid w:val="00531102"/>
    <w:rsid w:val="0053143E"/>
    <w:rsid w:val="00531B3B"/>
    <w:rsid w:val="00531BC0"/>
    <w:rsid w:val="00531D71"/>
    <w:rsid w:val="0053283D"/>
    <w:rsid w:val="0053290A"/>
    <w:rsid w:val="00532B8D"/>
    <w:rsid w:val="00532DA2"/>
    <w:rsid w:val="00533518"/>
    <w:rsid w:val="00533781"/>
    <w:rsid w:val="00533AA6"/>
    <w:rsid w:val="00533C8B"/>
    <w:rsid w:val="00533F0C"/>
    <w:rsid w:val="005344A1"/>
    <w:rsid w:val="0053468B"/>
    <w:rsid w:val="00534E6B"/>
    <w:rsid w:val="0053537A"/>
    <w:rsid w:val="005358D4"/>
    <w:rsid w:val="00535942"/>
    <w:rsid w:val="00536494"/>
    <w:rsid w:val="0053703A"/>
    <w:rsid w:val="00537249"/>
    <w:rsid w:val="00537252"/>
    <w:rsid w:val="00537420"/>
    <w:rsid w:val="00537507"/>
    <w:rsid w:val="00537C72"/>
    <w:rsid w:val="0054005C"/>
    <w:rsid w:val="0054014B"/>
    <w:rsid w:val="00540150"/>
    <w:rsid w:val="00540650"/>
    <w:rsid w:val="00540904"/>
    <w:rsid w:val="00540D3B"/>
    <w:rsid w:val="00541227"/>
    <w:rsid w:val="005419A2"/>
    <w:rsid w:val="00542448"/>
    <w:rsid w:val="00542483"/>
    <w:rsid w:val="0054263A"/>
    <w:rsid w:val="00542DC5"/>
    <w:rsid w:val="00542DDE"/>
    <w:rsid w:val="005434D0"/>
    <w:rsid w:val="005436DE"/>
    <w:rsid w:val="005439DC"/>
    <w:rsid w:val="00543F27"/>
    <w:rsid w:val="00543F8A"/>
    <w:rsid w:val="005440DD"/>
    <w:rsid w:val="0054432E"/>
    <w:rsid w:val="00544A65"/>
    <w:rsid w:val="00544D6B"/>
    <w:rsid w:val="00545982"/>
    <w:rsid w:val="00545F36"/>
    <w:rsid w:val="005461D0"/>
    <w:rsid w:val="005461F3"/>
    <w:rsid w:val="00546251"/>
    <w:rsid w:val="00546724"/>
    <w:rsid w:val="00547423"/>
    <w:rsid w:val="00547741"/>
    <w:rsid w:val="005477C8"/>
    <w:rsid w:val="005477E5"/>
    <w:rsid w:val="0054798E"/>
    <w:rsid w:val="00547DE7"/>
    <w:rsid w:val="00550004"/>
    <w:rsid w:val="005504E8"/>
    <w:rsid w:val="00550830"/>
    <w:rsid w:val="00550B0F"/>
    <w:rsid w:val="00551173"/>
    <w:rsid w:val="005513A5"/>
    <w:rsid w:val="0055198D"/>
    <w:rsid w:val="005519DA"/>
    <w:rsid w:val="00551A32"/>
    <w:rsid w:val="00551C88"/>
    <w:rsid w:val="00551EF7"/>
    <w:rsid w:val="00551FA6"/>
    <w:rsid w:val="005520AC"/>
    <w:rsid w:val="00552877"/>
    <w:rsid w:val="00552891"/>
    <w:rsid w:val="005528B2"/>
    <w:rsid w:val="00552A88"/>
    <w:rsid w:val="00552E23"/>
    <w:rsid w:val="0055359C"/>
    <w:rsid w:val="005538FB"/>
    <w:rsid w:val="00553CA0"/>
    <w:rsid w:val="00553CDA"/>
    <w:rsid w:val="00553DF7"/>
    <w:rsid w:val="00553E04"/>
    <w:rsid w:val="0055468E"/>
    <w:rsid w:val="00554A81"/>
    <w:rsid w:val="00554DC4"/>
    <w:rsid w:val="00555025"/>
    <w:rsid w:val="0055542C"/>
    <w:rsid w:val="005560B3"/>
    <w:rsid w:val="005566F8"/>
    <w:rsid w:val="0055674F"/>
    <w:rsid w:val="0055691B"/>
    <w:rsid w:val="0055703E"/>
    <w:rsid w:val="0055753B"/>
    <w:rsid w:val="00557EA7"/>
    <w:rsid w:val="0056008D"/>
    <w:rsid w:val="0056014B"/>
    <w:rsid w:val="005601BA"/>
    <w:rsid w:val="005603FD"/>
    <w:rsid w:val="00560A09"/>
    <w:rsid w:val="00560A34"/>
    <w:rsid w:val="00560A46"/>
    <w:rsid w:val="00560CAE"/>
    <w:rsid w:val="00560F05"/>
    <w:rsid w:val="00560F8B"/>
    <w:rsid w:val="00561568"/>
    <w:rsid w:val="00561CFD"/>
    <w:rsid w:val="00562063"/>
    <w:rsid w:val="005620B6"/>
    <w:rsid w:val="00562444"/>
    <w:rsid w:val="00562537"/>
    <w:rsid w:val="00562603"/>
    <w:rsid w:val="00562613"/>
    <w:rsid w:val="00562D74"/>
    <w:rsid w:val="00562DA0"/>
    <w:rsid w:val="00562E80"/>
    <w:rsid w:val="0056339A"/>
    <w:rsid w:val="00563476"/>
    <w:rsid w:val="00563A0E"/>
    <w:rsid w:val="00563C85"/>
    <w:rsid w:val="00563FEA"/>
    <w:rsid w:val="0056481E"/>
    <w:rsid w:val="005648A6"/>
    <w:rsid w:val="00564CE7"/>
    <w:rsid w:val="005650A6"/>
    <w:rsid w:val="005651E5"/>
    <w:rsid w:val="00565316"/>
    <w:rsid w:val="00565585"/>
    <w:rsid w:val="00565776"/>
    <w:rsid w:val="00565BF3"/>
    <w:rsid w:val="00565F35"/>
    <w:rsid w:val="0056658C"/>
    <w:rsid w:val="00567691"/>
    <w:rsid w:val="00567821"/>
    <w:rsid w:val="00567CEE"/>
    <w:rsid w:val="00571404"/>
    <w:rsid w:val="005714DD"/>
    <w:rsid w:val="0057202F"/>
    <w:rsid w:val="00572698"/>
    <w:rsid w:val="005730C2"/>
    <w:rsid w:val="005734D6"/>
    <w:rsid w:val="00573600"/>
    <w:rsid w:val="005738CB"/>
    <w:rsid w:val="00574364"/>
    <w:rsid w:val="00574520"/>
    <w:rsid w:val="0057478D"/>
    <w:rsid w:val="005750C1"/>
    <w:rsid w:val="00575118"/>
    <w:rsid w:val="00575715"/>
    <w:rsid w:val="005759C8"/>
    <w:rsid w:val="00575B06"/>
    <w:rsid w:val="00575B37"/>
    <w:rsid w:val="00575BB7"/>
    <w:rsid w:val="00576352"/>
    <w:rsid w:val="005767BB"/>
    <w:rsid w:val="00576861"/>
    <w:rsid w:val="00576992"/>
    <w:rsid w:val="00576BEA"/>
    <w:rsid w:val="00576C5D"/>
    <w:rsid w:val="00576EC9"/>
    <w:rsid w:val="00576FCD"/>
    <w:rsid w:val="00577130"/>
    <w:rsid w:val="005776F3"/>
    <w:rsid w:val="0057783E"/>
    <w:rsid w:val="00580878"/>
    <w:rsid w:val="00580BF7"/>
    <w:rsid w:val="005813EA"/>
    <w:rsid w:val="005813FF"/>
    <w:rsid w:val="00581760"/>
    <w:rsid w:val="00581858"/>
    <w:rsid w:val="00581FE3"/>
    <w:rsid w:val="0058286F"/>
    <w:rsid w:val="005828B8"/>
    <w:rsid w:val="00582B82"/>
    <w:rsid w:val="005832CB"/>
    <w:rsid w:val="005838CF"/>
    <w:rsid w:val="00583A09"/>
    <w:rsid w:val="00583B01"/>
    <w:rsid w:val="0058488E"/>
    <w:rsid w:val="00585394"/>
    <w:rsid w:val="00585856"/>
    <w:rsid w:val="005858D1"/>
    <w:rsid w:val="0058614B"/>
    <w:rsid w:val="0058625C"/>
    <w:rsid w:val="005865E7"/>
    <w:rsid w:val="005868CF"/>
    <w:rsid w:val="0058694C"/>
    <w:rsid w:val="00586B80"/>
    <w:rsid w:val="00586C5D"/>
    <w:rsid w:val="005873E1"/>
    <w:rsid w:val="00587829"/>
    <w:rsid w:val="00587992"/>
    <w:rsid w:val="00587EF3"/>
    <w:rsid w:val="005907A6"/>
    <w:rsid w:val="00590BAB"/>
    <w:rsid w:val="00591101"/>
    <w:rsid w:val="00591363"/>
    <w:rsid w:val="00591BF7"/>
    <w:rsid w:val="00591C97"/>
    <w:rsid w:val="005925EA"/>
    <w:rsid w:val="00592ADD"/>
    <w:rsid w:val="00592D6C"/>
    <w:rsid w:val="00593E30"/>
    <w:rsid w:val="0059406A"/>
    <w:rsid w:val="00594080"/>
    <w:rsid w:val="0059423D"/>
    <w:rsid w:val="0059426A"/>
    <w:rsid w:val="00595BED"/>
    <w:rsid w:val="00596F71"/>
    <w:rsid w:val="00596FD8"/>
    <w:rsid w:val="00597125"/>
    <w:rsid w:val="00597355"/>
    <w:rsid w:val="005974BC"/>
    <w:rsid w:val="005975AA"/>
    <w:rsid w:val="0059774B"/>
    <w:rsid w:val="00597EE9"/>
    <w:rsid w:val="005A0762"/>
    <w:rsid w:val="005A0BA2"/>
    <w:rsid w:val="005A0DED"/>
    <w:rsid w:val="005A1968"/>
    <w:rsid w:val="005A1BB2"/>
    <w:rsid w:val="005A1D71"/>
    <w:rsid w:val="005A1E0B"/>
    <w:rsid w:val="005A2400"/>
    <w:rsid w:val="005A2402"/>
    <w:rsid w:val="005A248C"/>
    <w:rsid w:val="005A2B46"/>
    <w:rsid w:val="005A2B72"/>
    <w:rsid w:val="005A2F00"/>
    <w:rsid w:val="005A348F"/>
    <w:rsid w:val="005A34C3"/>
    <w:rsid w:val="005A3C3C"/>
    <w:rsid w:val="005A3D30"/>
    <w:rsid w:val="005A3E0C"/>
    <w:rsid w:val="005A4117"/>
    <w:rsid w:val="005A4A7B"/>
    <w:rsid w:val="005A5387"/>
    <w:rsid w:val="005A56E5"/>
    <w:rsid w:val="005A5B31"/>
    <w:rsid w:val="005A5C74"/>
    <w:rsid w:val="005A6103"/>
    <w:rsid w:val="005A6137"/>
    <w:rsid w:val="005A6A00"/>
    <w:rsid w:val="005A6C91"/>
    <w:rsid w:val="005A6E1F"/>
    <w:rsid w:val="005A7065"/>
    <w:rsid w:val="005A752A"/>
    <w:rsid w:val="005A7AFC"/>
    <w:rsid w:val="005A7D0C"/>
    <w:rsid w:val="005A7E50"/>
    <w:rsid w:val="005B03D9"/>
    <w:rsid w:val="005B03E7"/>
    <w:rsid w:val="005B0591"/>
    <w:rsid w:val="005B0757"/>
    <w:rsid w:val="005B0841"/>
    <w:rsid w:val="005B0AA3"/>
    <w:rsid w:val="005B114A"/>
    <w:rsid w:val="005B1396"/>
    <w:rsid w:val="005B1A41"/>
    <w:rsid w:val="005B1D46"/>
    <w:rsid w:val="005B23DA"/>
    <w:rsid w:val="005B2CBA"/>
    <w:rsid w:val="005B2D3F"/>
    <w:rsid w:val="005B3444"/>
    <w:rsid w:val="005B368B"/>
    <w:rsid w:val="005B36CD"/>
    <w:rsid w:val="005B3D3B"/>
    <w:rsid w:val="005B3FD2"/>
    <w:rsid w:val="005B4098"/>
    <w:rsid w:val="005B4110"/>
    <w:rsid w:val="005B42DB"/>
    <w:rsid w:val="005B4322"/>
    <w:rsid w:val="005B449D"/>
    <w:rsid w:val="005B44E4"/>
    <w:rsid w:val="005B4906"/>
    <w:rsid w:val="005B4B9F"/>
    <w:rsid w:val="005B4DE3"/>
    <w:rsid w:val="005B514E"/>
    <w:rsid w:val="005B560A"/>
    <w:rsid w:val="005B58B2"/>
    <w:rsid w:val="005B628E"/>
    <w:rsid w:val="005B68E4"/>
    <w:rsid w:val="005B6EFC"/>
    <w:rsid w:val="005B7279"/>
    <w:rsid w:val="005B79CA"/>
    <w:rsid w:val="005B7F0D"/>
    <w:rsid w:val="005C023A"/>
    <w:rsid w:val="005C02E9"/>
    <w:rsid w:val="005C02F9"/>
    <w:rsid w:val="005C0539"/>
    <w:rsid w:val="005C0575"/>
    <w:rsid w:val="005C069C"/>
    <w:rsid w:val="005C0CB4"/>
    <w:rsid w:val="005C1226"/>
    <w:rsid w:val="005C1254"/>
    <w:rsid w:val="005C1273"/>
    <w:rsid w:val="005C1A82"/>
    <w:rsid w:val="005C1FAE"/>
    <w:rsid w:val="005C2388"/>
    <w:rsid w:val="005C28F1"/>
    <w:rsid w:val="005C2CAC"/>
    <w:rsid w:val="005C2EB8"/>
    <w:rsid w:val="005C2FAB"/>
    <w:rsid w:val="005C2FC7"/>
    <w:rsid w:val="005C32C5"/>
    <w:rsid w:val="005C3BB5"/>
    <w:rsid w:val="005C4410"/>
    <w:rsid w:val="005C49AA"/>
    <w:rsid w:val="005C4AC6"/>
    <w:rsid w:val="005C4DDE"/>
    <w:rsid w:val="005C53ED"/>
    <w:rsid w:val="005C55F5"/>
    <w:rsid w:val="005C5AE1"/>
    <w:rsid w:val="005C5CF0"/>
    <w:rsid w:val="005C6215"/>
    <w:rsid w:val="005C6BFF"/>
    <w:rsid w:val="005C6CC4"/>
    <w:rsid w:val="005C716A"/>
    <w:rsid w:val="005C7CD5"/>
    <w:rsid w:val="005C7D0E"/>
    <w:rsid w:val="005C7FD5"/>
    <w:rsid w:val="005D0994"/>
    <w:rsid w:val="005D0AC0"/>
    <w:rsid w:val="005D0B52"/>
    <w:rsid w:val="005D0B94"/>
    <w:rsid w:val="005D0BCF"/>
    <w:rsid w:val="005D107A"/>
    <w:rsid w:val="005D10ED"/>
    <w:rsid w:val="005D122F"/>
    <w:rsid w:val="005D1302"/>
    <w:rsid w:val="005D1B1E"/>
    <w:rsid w:val="005D2391"/>
    <w:rsid w:val="005D3119"/>
    <w:rsid w:val="005D3800"/>
    <w:rsid w:val="005D3E1A"/>
    <w:rsid w:val="005D4553"/>
    <w:rsid w:val="005D45CE"/>
    <w:rsid w:val="005D49E1"/>
    <w:rsid w:val="005D4AC2"/>
    <w:rsid w:val="005D4C70"/>
    <w:rsid w:val="005D4EF0"/>
    <w:rsid w:val="005D50E9"/>
    <w:rsid w:val="005D53B0"/>
    <w:rsid w:val="005D5F2B"/>
    <w:rsid w:val="005D6352"/>
    <w:rsid w:val="005D63D9"/>
    <w:rsid w:val="005D65A6"/>
    <w:rsid w:val="005D6651"/>
    <w:rsid w:val="005D66AE"/>
    <w:rsid w:val="005D6D0B"/>
    <w:rsid w:val="005D7034"/>
    <w:rsid w:val="005D73C2"/>
    <w:rsid w:val="005D7719"/>
    <w:rsid w:val="005D7FB1"/>
    <w:rsid w:val="005E005C"/>
    <w:rsid w:val="005E02EE"/>
    <w:rsid w:val="005E08F8"/>
    <w:rsid w:val="005E0B26"/>
    <w:rsid w:val="005E0C22"/>
    <w:rsid w:val="005E0FAE"/>
    <w:rsid w:val="005E0FCE"/>
    <w:rsid w:val="005E1BEE"/>
    <w:rsid w:val="005E2071"/>
    <w:rsid w:val="005E28CB"/>
    <w:rsid w:val="005E28E7"/>
    <w:rsid w:val="005E2B20"/>
    <w:rsid w:val="005E39AE"/>
    <w:rsid w:val="005E3BAC"/>
    <w:rsid w:val="005E3C60"/>
    <w:rsid w:val="005E3D95"/>
    <w:rsid w:val="005E3F2F"/>
    <w:rsid w:val="005E3FC1"/>
    <w:rsid w:val="005E41AA"/>
    <w:rsid w:val="005E421D"/>
    <w:rsid w:val="005E4595"/>
    <w:rsid w:val="005E5362"/>
    <w:rsid w:val="005E5918"/>
    <w:rsid w:val="005E67B8"/>
    <w:rsid w:val="005E67DA"/>
    <w:rsid w:val="005E6C26"/>
    <w:rsid w:val="005E6C98"/>
    <w:rsid w:val="005E6E81"/>
    <w:rsid w:val="005E70C0"/>
    <w:rsid w:val="005E72A8"/>
    <w:rsid w:val="005E765F"/>
    <w:rsid w:val="005E76A9"/>
    <w:rsid w:val="005E76B7"/>
    <w:rsid w:val="005E7A6F"/>
    <w:rsid w:val="005F01CB"/>
    <w:rsid w:val="005F0E49"/>
    <w:rsid w:val="005F0FE9"/>
    <w:rsid w:val="005F1264"/>
    <w:rsid w:val="005F208A"/>
    <w:rsid w:val="005F20D2"/>
    <w:rsid w:val="005F2913"/>
    <w:rsid w:val="005F2962"/>
    <w:rsid w:val="005F2EEE"/>
    <w:rsid w:val="005F300B"/>
    <w:rsid w:val="005F34A8"/>
    <w:rsid w:val="005F354D"/>
    <w:rsid w:val="005F364A"/>
    <w:rsid w:val="005F3B36"/>
    <w:rsid w:val="005F3CB4"/>
    <w:rsid w:val="005F3ED7"/>
    <w:rsid w:val="005F3F20"/>
    <w:rsid w:val="005F4392"/>
    <w:rsid w:val="005F4453"/>
    <w:rsid w:val="005F4694"/>
    <w:rsid w:val="005F4774"/>
    <w:rsid w:val="005F47A6"/>
    <w:rsid w:val="005F4A4E"/>
    <w:rsid w:val="005F4B02"/>
    <w:rsid w:val="005F4BFC"/>
    <w:rsid w:val="005F4E85"/>
    <w:rsid w:val="005F4FA8"/>
    <w:rsid w:val="005F5559"/>
    <w:rsid w:val="005F582D"/>
    <w:rsid w:val="005F58C0"/>
    <w:rsid w:val="005F5B10"/>
    <w:rsid w:val="005F5BF9"/>
    <w:rsid w:val="005F6844"/>
    <w:rsid w:val="0060009A"/>
    <w:rsid w:val="006003CA"/>
    <w:rsid w:val="006006C5"/>
    <w:rsid w:val="00600C53"/>
    <w:rsid w:val="00600D41"/>
    <w:rsid w:val="00601023"/>
    <w:rsid w:val="0060140B"/>
    <w:rsid w:val="00601E4B"/>
    <w:rsid w:val="0060293D"/>
    <w:rsid w:val="00602C1E"/>
    <w:rsid w:val="00602FF8"/>
    <w:rsid w:val="00603265"/>
    <w:rsid w:val="006033D7"/>
    <w:rsid w:val="00603CFD"/>
    <w:rsid w:val="006043B1"/>
    <w:rsid w:val="00604405"/>
    <w:rsid w:val="00604BA5"/>
    <w:rsid w:val="00604C02"/>
    <w:rsid w:val="00604C3D"/>
    <w:rsid w:val="00604C52"/>
    <w:rsid w:val="00605128"/>
    <w:rsid w:val="00605148"/>
    <w:rsid w:val="0060535F"/>
    <w:rsid w:val="00605520"/>
    <w:rsid w:val="006057CD"/>
    <w:rsid w:val="00605A3A"/>
    <w:rsid w:val="00605EFB"/>
    <w:rsid w:val="00606636"/>
    <w:rsid w:val="00606948"/>
    <w:rsid w:val="00606BD4"/>
    <w:rsid w:val="00606DFD"/>
    <w:rsid w:val="0060703B"/>
    <w:rsid w:val="00607737"/>
    <w:rsid w:val="00607C10"/>
    <w:rsid w:val="006111D4"/>
    <w:rsid w:val="00611F4C"/>
    <w:rsid w:val="00612301"/>
    <w:rsid w:val="00612392"/>
    <w:rsid w:val="00612433"/>
    <w:rsid w:val="00612948"/>
    <w:rsid w:val="00612EC1"/>
    <w:rsid w:val="006132F7"/>
    <w:rsid w:val="006133D9"/>
    <w:rsid w:val="00613712"/>
    <w:rsid w:val="006139AC"/>
    <w:rsid w:val="00613A14"/>
    <w:rsid w:val="00613B71"/>
    <w:rsid w:val="00613F72"/>
    <w:rsid w:val="00614184"/>
    <w:rsid w:val="006141D0"/>
    <w:rsid w:val="00614716"/>
    <w:rsid w:val="006154B8"/>
    <w:rsid w:val="00615625"/>
    <w:rsid w:val="00615642"/>
    <w:rsid w:val="006156BF"/>
    <w:rsid w:val="006157AA"/>
    <w:rsid w:val="00615853"/>
    <w:rsid w:val="00615C76"/>
    <w:rsid w:val="006168A7"/>
    <w:rsid w:val="00616E2E"/>
    <w:rsid w:val="0061707F"/>
    <w:rsid w:val="006177A6"/>
    <w:rsid w:val="00617A8C"/>
    <w:rsid w:val="00617AB7"/>
    <w:rsid w:val="00617B35"/>
    <w:rsid w:val="00617E2B"/>
    <w:rsid w:val="0062053B"/>
    <w:rsid w:val="00620B0A"/>
    <w:rsid w:val="0062193A"/>
    <w:rsid w:val="00621CF8"/>
    <w:rsid w:val="00622AF9"/>
    <w:rsid w:val="00622D32"/>
    <w:rsid w:val="006230E3"/>
    <w:rsid w:val="00623843"/>
    <w:rsid w:val="006239D0"/>
    <w:rsid w:val="00623B55"/>
    <w:rsid w:val="00623B64"/>
    <w:rsid w:val="00623C8A"/>
    <w:rsid w:val="00623DE0"/>
    <w:rsid w:val="0062473C"/>
    <w:rsid w:val="00624C1D"/>
    <w:rsid w:val="00625300"/>
    <w:rsid w:val="0062596F"/>
    <w:rsid w:val="00625FD5"/>
    <w:rsid w:val="0062605D"/>
    <w:rsid w:val="00626682"/>
    <w:rsid w:val="006275D3"/>
    <w:rsid w:val="00630237"/>
    <w:rsid w:val="006307CB"/>
    <w:rsid w:val="00630B74"/>
    <w:rsid w:val="006310A5"/>
    <w:rsid w:val="00631619"/>
    <w:rsid w:val="006319BF"/>
    <w:rsid w:val="00631D60"/>
    <w:rsid w:val="0063231A"/>
    <w:rsid w:val="00632B06"/>
    <w:rsid w:val="00632E58"/>
    <w:rsid w:val="00632E90"/>
    <w:rsid w:val="00632F0B"/>
    <w:rsid w:val="0063336D"/>
    <w:rsid w:val="00633A89"/>
    <w:rsid w:val="00633B84"/>
    <w:rsid w:val="00634096"/>
    <w:rsid w:val="0063433E"/>
    <w:rsid w:val="006345CF"/>
    <w:rsid w:val="006345D0"/>
    <w:rsid w:val="00634A78"/>
    <w:rsid w:val="00635166"/>
    <w:rsid w:val="006358E9"/>
    <w:rsid w:val="00635D24"/>
    <w:rsid w:val="0063635F"/>
    <w:rsid w:val="00636650"/>
    <w:rsid w:val="0063678B"/>
    <w:rsid w:val="00636F44"/>
    <w:rsid w:val="0063777C"/>
    <w:rsid w:val="006379A8"/>
    <w:rsid w:val="00637C11"/>
    <w:rsid w:val="00637F68"/>
    <w:rsid w:val="00640471"/>
    <w:rsid w:val="0064072B"/>
    <w:rsid w:val="00640B57"/>
    <w:rsid w:val="00640E36"/>
    <w:rsid w:val="006414D7"/>
    <w:rsid w:val="0064230A"/>
    <w:rsid w:val="00642312"/>
    <w:rsid w:val="00642327"/>
    <w:rsid w:val="00642536"/>
    <w:rsid w:val="006430EA"/>
    <w:rsid w:val="0064365E"/>
    <w:rsid w:val="00643A55"/>
    <w:rsid w:val="00644295"/>
    <w:rsid w:val="00644300"/>
    <w:rsid w:val="0064436E"/>
    <w:rsid w:val="006444F0"/>
    <w:rsid w:val="00644D33"/>
    <w:rsid w:val="00644E76"/>
    <w:rsid w:val="00645113"/>
    <w:rsid w:val="00645B07"/>
    <w:rsid w:val="00645C99"/>
    <w:rsid w:val="00646205"/>
    <w:rsid w:val="0064643E"/>
    <w:rsid w:val="00646838"/>
    <w:rsid w:val="00646BC0"/>
    <w:rsid w:val="00646D57"/>
    <w:rsid w:val="00647261"/>
    <w:rsid w:val="00647371"/>
    <w:rsid w:val="006474ED"/>
    <w:rsid w:val="00647A10"/>
    <w:rsid w:val="00647BF5"/>
    <w:rsid w:val="00647C84"/>
    <w:rsid w:val="0065035E"/>
    <w:rsid w:val="0065057D"/>
    <w:rsid w:val="00650F04"/>
    <w:rsid w:val="00651385"/>
    <w:rsid w:val="00651542"/>
    <w:rsid w:val="00651759"/>
    <w:rsid w:val="00651855"/>
    <w:rsid w:val="0065245E"/>
    <w:rsid w:val="00652675"/>
    <w:rsid w:val="006529C2"/>
    <w:rsid w:val="00652A48"/>
    <w:rsid w:val="00653608"/>
    <w:rsid w:val="00653907"/>
    <w:rsid w:val="00653A74"/>
    <w:rsid w:val="00654061"/>
    <w:rsid w:val="00654307"/>
    <w:rsid w:val="006549B7"/>
    <w:rsid w:val="006549B8"/>
    <w:rsid w:val="006552A1"/>
    <w:rsid w:val="0065547B"/>
    <w:rsid w:val="0065598B"/>
    <w:rsid w:val="00655A94"/>
    <w:rsid w:val="00655B30"/>
    <w:rsid w:val="00655CDB"/>
    <w:rsid w:val="0065707F"/>
    <w:rsid w:val="00657966"/>
    <w:rsid w:val="00657977"/>
    <w:rsid w:val="0066024C"/>
    <w:rsid w:val="00660704"/>
    <w:rsid w:val="00660FDA"/>
    <w:rsid w:val="006616D0"/>
    <w:rsid w:val="00661C89"/>
    <w:rsid w:val="00661EBB"/>
    <w:rsid w:val="00661F94"/>
    <w:rsid w:val="006625B8"/>
    <w:rsid w:val="00662738"/>
    <w:rsid w:val="006633AF"/>
    <w:rsid w:val="006633F1"/>
    <w:rsid w:val="00663832"/>
    <w:rsid w:val="00663B4B"/>
    <w:rsid w:val="00664595"/>
    <w:rsid w:val="00665106"/>
    <w:rsid w:val="006651C0"/>
    <w:rsid w:val="00665444"/>
    <w:rsid w:val="006655BB"/>
    <w:rsid w:val="00666044"/>
    <w:rsid w:val="00666565"/>
    <w:rsid w:val="00666C9B"/>
    <w:rsid w:val="006675F0"/>
    <w:rsid w:val="006702B1"/>
    <w:rsid w:val="00670405"/>
    <w:rsid w:val="006704F7"/>
    <w:rsid w:val="0067095E"/>
    <w:rsid w:val="00670B15"/>
    <w:rsid w:val="00670CC4"/>
    <w:rsid w:val="00671093"/>
    <w:rsid w:val="006716C6"/>
    <w:rsid w:val="00671A28"/>
    <w:rsid w:val="00671A8E"/>
    <w:rsid w:val="00671B51"/>
    <w:rsid w:val="00671BE8"/>
    <w:rsid w:val="00671DAC"/>
    <w:rsid w:val="00671DBB"/>
    <w:rsid w:val="0067223F"/>
    <w:rsid w:val="00672467"/>
    <w:rsid w:val="006725C8"/>
    <w:rsid w:val="00672746"/>
    <w:rsid w:val="006729F0"/>
    <w:rsid w:val="00672E31"/>
    <w:rsid w:val="006733A0"/>
    <w:rsid w:val="006734A9"/>
    <w:rsid w:val="006734DC"/>
    <w:rsid w:val="00673A83"/>
    <w:rsid w:val="00674753"/>
    <w:rsid w:val="0067496A"/>
    <w:rsid w:val="00674DE2"/>
    <w:rsid w:val="00674FD1"/>
    <w:rsid w:val="00675226"/>
    <w:rsid w:val="006756E9"/>
    <w:rsid w:val="00675A72"/>
    <w:rsid w:val="006760F7"/>
    <w:rsid w:val="00676259"/>
    <w:rsid w:val="006769C3"/>
    <w:rsid w:val="00676B8A"/>
    <w:rsid w:val="00677322"/>
    <w:rsid w:val="00677398"/>
    <w:rsid w:val="00677F41"/>
    <w:rsid w:val="00677FE3"/>
    <w:rsid w:val="00680482"/>
    <w:rsid w:val="00680489"/>
    <w:rsid w:val="00680575"/>
    <w:rsid w:val="00680725"/>
    <w:rsid w:val="00680EDA"/>
    <w:rsid w:val="00680FD3"/>
    <w:rsid w:val="00681836"/>
    <w:rsid w:val="006818E4"/>
    <w:rsid w:val="00681971"/>
    <w:rsid w:val="00681C58"/>
    <w:rsid w:val="00682139"/>
    <w:rsid w:val="006821E0"/>
    <w:rsid w:val="006822EE"/>
    <w:rsid w:val="0068234C"/>
    <w:rsid w:val="006823E0"/>
    <w:rsid w:val="0068254B"/>
    <w:rsid w:val="0068300E"/>
    <w:rsid w:val="0068334D"/>
    <w:rsid w:val="00683B73"/>
    <w:rsid w:val="00684231"/>
    <w:rsid w:val="00684D9B"/>
    <w:rsid w:val="00685992"/>
    <w:rsid w:val="00686742"/>
    <w:rsid w:val="006867A7"/>
    <w:rsid w:val="00686812"/>
    <w:rsid w:val="00686CB9"/>
    <w:rsid w:val="00686DF8"/>
    <w:rsid w:val="00690563"/>
    <w:rsid w:val="00690F37"/>
    <w:rsid w:val="0069155E"/>
    <w:rsid w:val="006919EA"/>
    <w:rsid w:val="00691C83"/>
    <w:rsid w:val="00691DB5"/>
    <w:rsid w:val="00692619"/>
    <w:rsid w:val="00692B3B"/>
    <w:rsid w:val="00693360"/>
    <w:rsid w:val="00693516"/>
    <w:rsid w:val="0069433A"/>
    <w:rsid w:val="006946E9"/>
    <w:rsid w:val="00694EA2"/>
    <w:rsid w:val="006950E9"/>
    <w:rsid w:val="0069555D"/>
    <w:rsid w:val="0069583D"/>
    <w:rsid w:val="00695911"/>
    <w:rsid w:val="0069649D"/>
    <w:rsid w:val="006966B2"/>
    <w:rsid w:val="00696902"/>
    <w:rsid w:val="00696DD1"/>
    <w:rsid w:val="00696DE7"/>
    <w:rsid w:val="0069715C"/>
    <w:rsid w:val="006974EE"/>
    <w:rsid w:val="00697993"/>
    <w:rsid w:val="00697E09"/>
    <w:rsid w:val="006A01E6"/>
    <w:rsid w:val="006A0205"/>
    <w:rsid w:val="006A0408"/>
    <w:rsid w:val="006A0608"/>
    <w:rsid w:val="006A075A"/>
    <w:rsid w:val="006A0ADC"/>
    <w:rsid w:val="006A0B06"/>
    <w:rsid w:val="006A0C81"/>
    <w:rsid w:val="006A0D6B"/>
    <w:rsid w:val="006A105D"/>
    <w:rsid w:val="006A1144"/>
    <w:rsid w:val="006A1212"/>
    <w:rsid w:val="006A1A83"/>
    <w:rsid w:val="006A1D2C"/>
    <w:rsid w:val="006A2ADC"/>
    <w:rsid w:val="006A2BB3"/>
    <w:rsid w:val="006A2C4A"/>
    <w:rsid w:val="006A2D48"/>
    <w:rsid w:val="006A2E0D"/>
    <w:rsid w:val="006A33E7"/>
    <w:rsid w:val="006A35DD"/>
    <w:rsid w:val="006A3720"/>
    <w:rsid w:val="006A45FF"/>
    <w:rsid w:val="006A4C88"/>
    <w:rsid w:val="006A4D25"/>
    <w:rsid w:val="006A4EC6"/>
    <w:rsid w:val="006A5286"/>
    <w:rsid w:val="006A5548"/>
    <w:rsid w:val="006A5693"/>
    <w:rsid w:val="006A5756"/>
    <w:rsid w:val="006A5796"/>
    <w:rsid w:val="006A6A6A"/>
    <w:rsid w:val="006A7000"/>
    <w:rsid w:val="006A7624"/>
    <w:rsid w:val="006A76D4"/>
    <w:rsid w:val="006B0337"/>
    <w:rsid w:val="006B05B5"/>
    <w:rsid w:val="006B0667"/>
    <w:rsid w:val="006B08C0"/>
    <w:rsid w:val="006B0997"/>
    <w:rsid w:val="006B0FC9"/>
    <w:rsid w:val="006B1173"/>
    <w:rsid w:val="006B1FD6"/>
    <w:rsid w:val="006B22CB"/>
    <w:rsid w:val="006B23A9"/>
    <w:rsid w:val="006B29D0"/>
    <w:rsid w:val="006B2A97"/>
    <w:rsid w:val="006B33E1"/>
    <w:rsid w:val="006B3709"/>
    <w:rsid w:val="006B3816"/>
    <w:rsid w:val="006B3E41"/>
    <w:rsid w:val="006B44A7"/>
    <w:rsid w:val="006B4FED"/>
    <w:rsid w:val="006B512A"/>
    <w:rsid w:val="006B54A8"/>
    <w:rsid w:val="006B5649"/>
    <w:rsid w:val="006B5A54"/>
    <w:rsid w:val="006B61D7"/>
    <w:rsid w:val="006B6438"/>
    <w:rsid w:val="006B65F2"/>
    <w:rsid w:val="006B6862"/>
    <w:rsid w:val="006B6877"/>
    <w:rsid w:val="006B6DE3"/>
    <w:rsid w:val="006B6F10"/>
    <w:rsid w:val="006B7099"/>
    <w:rsid w:val="006B7349"/>
    <w:rsid w:val="006C002F"/>
    <w:rsid w:val="006C00FD"/>
    <w:rsid w:val="006C027F"/>
    <w:rsid w:val="006C06AF"/>
    <w:rsid w:val="006C18A9"/>
    <w:rsid w:val="006C24CB"/>
    <w:rsid w:val="006C2798"/>
    <w:rsid w:val="006C279E"/>
    <w:rsid w:val="006C2922"/>
    <w:rsid w:val="006C2A86"/>
    <w:rsid w:val="006C2D00"/>
    <w:rsid w:val="006C30CE"/>
    <w:rsid w:val="006C34D1"/>
    <w:rsid w:val="006C37A5"/>
    <w:rsid w:val="006C3935"/>
    <w:rsid w:val="006C3BF7"/>
    <w:rsid w:val="006C3DD9"/>
    <w:rsid w:val="006C3E6A"/>
    <w:rsid w:val="006C4BDA"/>
    <w:rsid w:val="006C4F52"/>
    <w:rsid w:val="006C5332"/>
    <w:rsid w:val="006C54D6"/>
    <w:rsid w:val="006C658C"/>
    <w:rsid w:val="006C7686"/>
    <w:rsid w:val="006C7E94"/>
    <w:rsid w:val="006D0394"/>
    <w:rsid w:val="006D0456"/>
    <w:rsid w:val="006D0CDB"/>
    <w:rsid w:val="006D0D62"/>
    <w:rsid w:val="006D0F74"/>
    <w:rsid w:val="006D163A"/>
    <w:rsid w:val="006D1731"/>
    <w:rsid w:val="006D175C"/>
    <w:rsid w:val="006D1C41"/>
    <w:rsid w:val="006D1D35"/>
    <w:rsid w:val="006D1D9F"/>
    <w:rsid w:val="006D27B8"/>
    <w:rsid w:val="006D321A"/>
    <w:rsid w:val="006D3265"/>
    <w:rsid w:val="006D343B"/>
    <w:rsid w:val="006D3A85"/>
    <w:rsid w:val="006D4422"/>
    <w:rsid w:val="006D45B0"/>
    <w:rsid w:val="006D4A13"/>
    <w:rsid w:val="006D4CAD"/>
    <w:rsid w:val="006D5181"/>
    <w:rsid w:val="006D56A8"/>
    <w:rsid w:val="006D5B00"/>
    <w:rsid w:val="006D5BF7"/>
    <w:rsid w:val="006D60C0"/>
    <w:rsid w:val="006D62A5"/>
    <w:rsid w:val="006D6A3A"/>
    <w:rsid w:val="006D6CAC"/>
    <w:rsid w:val="006D6CAD"/>
    <w:rsid w:val="006D71C0"/>
    <w:rsid w:val="006E020C"/>
    <w:rsid w:val="006E0372"/>
    <w:rsid w:val="006E0433"/>
    <w:rsid w:val="006E0E6A"/>
    <w:rsid w:val="006E12E5"/>
    <w:rsid w:val="006E1459"/>
    <w:rsid w:val="006E1501"/>
    <w:rsid w:val="006E1A3F"/>
    <w:rsid w:val="006E1AB7"/>
    <w:rsid w:val="006E2725"/>
    <w:rsid w:val="006E2C68"/>
    <w:rsid w:val="006E358C"/>
    <w:rsid w:val="006E35FB"/>
    <w:rsid w:val="006E367B"/>
    <w:rsid w:val="006E3FE1"/>
    <w:rsid w:val="006E4208"/>
    <w:rsid w:val="006E4969"/>
    <w:rsid w:val="006E4AB2"/>
    <w:rsid w:val="006E4CE1"/>
    <w:rsid w:val="006E4F9F"/>
    <w:rsid w:val="006E5010"/>
    <w:rsid w:val="006E5E77"/>
    <w:rsid w:val="006E65E7"/>
    <w:rsid w:val="006E682C"/>
    <w:rsid w:val="006E6BFF"/>
    <w:rsid w:val="006E6FE4"/>
    <w:rsid w:val="006E70B9"/>
    <w:rsid w:val="006E7B10"/>
    <w:rsid w:val="006E7CE2"/>
    <w:rsid w:val="006E7F67"/>
    <w:rsid w:val="006F0083"/>
    <w:rsid w:val="006F016E"/>
    <w:rsid w:val="006F03AD"/>
    <w:rsid w:val="006F0627"/>
    <w:rsid w:val="006F19AB"/>
    <w:rsid w:val="006F1B7D"/>
    <w:rsid w:val="006F1E1D"/>
    <w:rsid w:val="006F22F7"/>
    <w:rsid w:val="006F2D8B"/>
    <w:rsid w:val="006F2FBB"/>
    <w:rsid w:val="006F302C"/>
    <w:rsid w:val="006F308D"/>
    <w:rsid w:val="006F3261"/>
    <w:rsid w:val="006F3C1A"/>
    <w:rsid w:val="006F3F34"/>
    <w:rsid w:val="006F3F71"/>
    <w:rsid w:val="006F40E0"/>
    <w:rsid w:val="006F4412"/>
    <w:rsid w:val="006F44BB"/>
    <w:rsid w:val="006F55AE"/>
    <w:rsid w:val="006F59FC"/>
    <w:rsid w:val="006F5B07"/>
    <w:rsid w:val="006F64FC"/>
    <w:rsid w:val="006F673B"/>
    <w:rsid w:val="006F69C6"/>
    <w:rsid w:val="006F69E8"/>
    <w:rsid w:val="006F6D5F"/>
    <w:rsid w:val="006F6F1B"/>
    <w:rsid w:val="006F7027"/>
    <w:rsid w:val="006F75E8"/>
    <w:rsid w:val="006F773C"/>
    <w:rsid w:val="006F78E9"/>
    <w:rsid w:val="0070073B"/>
    <w:rsid w:val="00700B13"/>
    <w:rsid w:val="00700DBD"/>
    <w:rsid w:val="00700DC8"/>
    <w:rsid w:val="007015EA"/>
    <w:rsid w:val="0070183B"/>
    <w:rsid w:val="007018D7"/>
    <w:rsid w:val="00701918"/>
    <w:rsid w:val="00701F23"/>
    <w:rsid w:val="00702160"/>
    <w:rsid w:val="007022FA"/>
    <w:rsid w:val="00702540"/>
    <w:rsid w:val="00702CFD"/>
    <w:rsid w:val="0070316A"/>
    <w:rsid w:val="00703BA8"/>
    <w:rsid w:val="00703BF5"/>
    <w:rsid w:val="00703D11"/>
    <w:rsid w:val="00703D42"/>
    <w:rsid w:val="00704094"/>
    <w:rsid w:val="0070423C"/>
    <w:rsid w:val="00704930"/>
    <w:rsid w:val="00704DBA"/>
    <w:rsid w:val="007058B4"/>
    <w:rsid w:val="00705AA0"/>
    <w:rsid w:val="00705F7F"/>
    <w:rsid w:val="00706835"/>
    <w:rsid w:val="0070684A"/>
    <w:rsid w:val="007069E7"/>
    <w:rsid w:val="00706CAF"/>
    <w:rsid w:val="00707CC8"/>
    <w:rsid w:val="00710681"/>
    <w:rsid w:val="00710962"/>
    <w:rsid w:val="00710E29"/>
    <w:rsid w:val="00710EE4"/>
    <w:rsid w:val="0071116F"/>
    <w:rsid w:val="00711189"/>
    <w:rsid w:val="007112A1"/>
    <w:rsid w:val="00711493"/>
    <w:rsid w:val="007115B9"/>
    <w:rsid w:val="0071219C"/>
    <w:rsid w:val="0071289E"/>
    <w:rsid w:val="00712B87"/>
    <w:rsid w:val="007134EC"/>
    <w:rsid w:val="007136C0"/>
    <w:rsid w:val="00713845"/>
    <w:rsid w:val="0071388B"/>
    <w:rsid w:val="0071390A"/>
    <w:rsid w:val="00713EF0"/>
    <w:rsid w:val="00713FF2"/>
    <w:rsid w:val="0071465C"/>
    <w:rsid w:val="00715136"/>
    <w:rsid w:val="007151B5"/>
    <w:rsid w:val="0071581C"/>
    <w:rsid w:val="00715A87"/>
    <w:rsid w:val="00715EEE"/>
    <w:rsid w:val="00716AC7"/>
    <w:rsid w:val="00716EF1"/>
    <w:rsid w:val="00716F82"/>
    <w:rsid w:val="007170A5"/>
    <w:rsid w:val="007171A5"/>
    <w:rsid w:val="007171F1"/>
    <w:rsid w:val="00717206"/>
    <w:rsid w:val="007174C4"/>
    <w:rsid w:val="00717731"/>
    <w:rsid w:val="00717E78"/>
    <w:rsid w:val="00717F3F"/>
    <w:rsid w:val="00720A40"/>
    <w:rsid w:val="00720ABB"/>
    <w:rsid w:val="00720D59"/>
    <w:rsid w:val="00720E00"/>
    <w:rsid w:val="00720FB0"/>
    <w:rsid w:val="007212DF"/>
    <w:rsid w:val="00721342"/>
    <w:rsid w:val="007218AE"/>
    <w:rsid w:val="00722674"/>
    <w:rsid w:val="00722DC3"/>
    <w:rsid w:val="00722DE3"/>
    <w:rsid w:val="00723361"/>
    <w:rsid w:val="0072346E"/>
    <w:rsid w:val="00723A2E"/>
    <w:rsid w:val="00723D17"/>
    <w:rsid w:val="00723D54"/>
    <w:rsid w:val="00723DFE"/>
    <w:rsid w:val="0072424D"/>
    <w:rsid w:val="00724732"/>
    <w:rsid w:val="00724B49"/>
    <w:rsid w:val="00724BB8"/>
    <w:rsid w:val="00724F2D"/>
    <w:rsid w:val="00724F3A"/>
    <w:rsid w:val="00724F59"/>
    <w:rsid w:val="0072529B"/>
    <w:rsid w:val="007256E4"/>
    <w:rsid w:val="007259B5"/>
    <w:rsid w:val="00725D30"/>
    <w:rsid w:val="007260F1"/>
    <w:rsid w:val="0072680D"/>
    <w:rsid w:val="00726BAD"/>
    <w:rsid w:val="00726C59"/>
    <w:rsid w:val="0072766D"/>
    <w:rsid w:val="00727699"/>
    <w:rsid w:val="00727CE2"/>
    <w:rsid w:val="00730499"/>
    <w:rsid w:val="00730753"/>
    <w:rsid w:val="0073091B"/>
    <w:rsid w:val="00730C82"/>
    <w:rsid w:val="00730D7A"/>
    <w:rsid w:val="0073110C"/>
    <w:rsid w:val="00731168"/>
    <w:rsid w:val="00731A7D"/>
    <w:rsid w:val="00731D19"/>
    <w:rsid w:val="00731E98"/>
    <w:rsid w:val="00732079"/>
    <w:rsid w:val="00732087"/>
    <w:rsid w:val="007323DF"/>
    <w:rsid w:val="00732863"/>
    <w:rsid w:val="007328A4"/>
    <w:rsid w:val="00732A2F"/>
    <w:rsid w:val="00732A86"/>
    <w:rsid w:val="00732CF1"/>
    <w:rsid w:val="00732E0D"/>
    <w:rsid w:val="00733617"/>
    <w:rsid w:val="00734223"/>
    <w:rsid w:val="00734E33"/>
    <w:rsid w:val="00735582"/>
    <w:rsid w:val="00735A3B"/>
    <w:rsid w:val="00735F3A"/>
    <w:rsid w:val="00735FDD"/>
    <w:rsid w:val="00736192"/>
    <w:rsid w:val="007361BB"/>
    <w:rsid w:val="0073682D"/>
    <w:rsid w:val="007369EC"/>
    <w:rsid w:val="007371D3"/>
    <w:rsid w:val="007371F8"/>
    <w:rsid w:val="0073721C"/>
    <w:rsid w:val="00737408"/>
    <w:rsid w:val="007374E5"/>
    <w:rsid w:val="007379E8"/>
    <w:rsid w:val="00737A7A"/>
    <w:rsid w:val="00737C06"/>
    <w:rsid w:val="00737C7D"/>
    <w:rsid w:val="0074042E"/>
    <w:rsid w:val="007405C7"/>
    <w:rsid w:val="00740815"/>
    <w:rsid w:val="00740881"/>
    <w:rsid w:val="00740F1E"/>
    <w:rsid w:val="007410CE"/>
    <w:rsid w:val="0074117B"/>
    <w:rsid w:val="007417DC"/>
    <w:rsid w:val="00741D93"/>
    <w:rsid w:val="00742138"/>
    <w:rsid w:val="00742153"/>
    <w:rsid w:val="007421B1"/>
    <w:rsid w:val="00742648"/>
    <w:rsid w:val="007426C5"/>
    <w:rsid w:val="00742E27"/>
    <w:rsid w:val="00744578"/>
    <w:rsid w:val="007467B1"/>
    <w:rsid w:val="00746823"/>
    <w:rsid w:val="00746AFD"/>
    <w:rsid w:val="00746D39"/>
    <w:rsid w:val="00746F14"/>
    <w:rsid w:val="00747592"/>
    <w:rsid w:val="0074770D"/>
    <w:rsid w:val="00747A61"/>
    <w:rsid w:val="00747D04"/>
    <w:rsid w:val="00750CCA"/>
    <w:rsid w:val="00750DD9"/>
    <w:rsid w:val="007510FD"/>
    <w:rsid w:val="00751219"/>
    <w:rsid w:val="0075173A"/>
    <w:rsid w:val="007518BF"/>
    <w:rsid w:val="00751B10"/>
    <w:rsid w:val="00751D55"/>
    <w:rsid w:val="00752334"/>
    <w:rsid w:val="00752AB0"/>
    <w:rsid w:val="00752B61"/>
    <w:rsid w:val="00752B8B"/>
    <w:rsid w:val="00752B94"/>
    <w:rsid w:val="00753095"/>
    <w:rsid w:val="007531CA"/>
    <w:rsid w:val="0075347B"/>
    <w:rsid w:val="00753A52"/>
    <w:rsid w:val="00753AC3"/>
    <w:rsid w:val="00753D11"/>
    <w:rsid w:val="00754551"/>
    <w:rsid w:val="00754A0E"/>
    <w:rsid w:val="00755303"/>
    <w:rsid w:val="00755349"/>
    <w:rsid w:val="007555B0"/>
    <w:rsid w:val="00755667"/>
    <w:rsid w:val="00755921"/>
    <w:rsid w:val="007560F3"/>
    <w:rsid w:val="0075668C"/>
    <w:rsid w:val="00756BDD"/>
    <w:rsid w:val="00756D0E"/>
    <w:rsid w:val="0075732A"/>
    <w:rsid w:val="0075738E"/>
    <w:rsid w:val="00757A0A"/>
    <w:rsid w:val="007602E7"/>
    <w:rsid w:val="0076075C"/>
    <w:rsid w:val="0076092B"/>
    <w:rsid w:val="0076187C"/>
    <w:rsid w:val="00761D6D"/>
    <w:rsid w:val="00761FBD"/>
    <w:rsid w:val="007620B7"/>
    <w:rsid w:val="00762642"/>
    <w:rsid w:val="00762920"/>
    <w:rsid w:val="00762B8D"/>
    <w:rsid w:val="00762F8F"/>
    <w:rsid w:val="0076391D"/>
    <w:rsid w:val="00763A69"/>
    <w:rsid w:val="007640AF"/>
    <w:rsid w:val="00764159"/>
    <w:rsid w:val="007641CB"/>
    <w:rsid w:val="00764565"/>
    <w:rsid w:val="007648F4"/>
    <w:rsid w:val="00764958"/>
    <w:rsid w:val="00764CEB"/>
    <w:rsid w:val="00765D22"/>
    <w:rsid w:val="00765E00"/>
    <w:rsid w:val="007660DE"/>
    <w:rsid w:val="00766295"/>
    <w:rsid w:val="0076681A"/>
    <w:rsid w:val="00766953"/>
    <w:rsid w:val="00766DC5"/>
    <w:rsid w:val="00766DCE"/>
    <w:rsid w:val="00767079"/>
    <w:rsid w:val="007674FA"/>
    <w:rsid w:val="007676C4"/>
    <w:rsid w:val="00767A8B"/>
    <w:rsid w:val="00767B07"/>
    <w:rsid w:val="00767E13"/>
    <w:rsid w:val="0077012A"/>
    <w:rsid w:val="007704EB"/>
    <w:rsid w:val="007705C8"/>
    <w:rsid w:val="00770A55"/>
    <w:rsid w:val="00771C2E"/>
    <w:rsid w:val="00771DED"/>
    <w:rsid w:val="0077321C"/>
    <w:rsid w:val="007736DF"/>
    <w:rsid w:val="00773C5A"/>
    <w:rsid w:val="00773FCD"/>
    <w:rsid w:val="0077461C"/>
    <w:rsid w:val="00775146"/>
    <w:rsid w:val="00775511"/>
    <w:rsid w:val="00776ED2"/>
    <w:rsid w:val="00777300"/>
    <w:rsid w:val="007773AE"/>
    <w:rsid w:val="007778C7"/>
    <w:rsid w:val="00777B1A"/>
    <w:rsid w:val="00780635"/>
    <w:rsid w:val="00780AA6"/>
    <w:rsid w:val="00780C11"/>
    <w:rsid w:val="00780E8F"/>
    <w:rsid w:val="00781A72"/>
    <w:rsid w:val="00781C79"/>
    <w:rsid w:val="0078212E"/>
    <w:rsid w:val="00782185"/>
    <w:rsid w:val="00783414"/>
    <w:rsid w:val="00783E41"/>
    <w:rsid w:val="00784980"/>
    <w:rsid w:val="00784A28"/>
    <w:rsid w:val="0078515B"/>
    <w:rsid w:val="007857F9"/>
    <w:rsid w:val="007858E0"/>
    <w:rsid w:val="00785B1D"/>
    <w:rsid w:val="00785B5E"/>
    <w:rsid w:val="00785F7F"/>
    <w:rsid w:val="007860A8"/>
    <w:rsid w:val="007863A4"/>
    <w:rsid w:val="00786837"/>
    <w:rsid w:val="00786A78"/>
    <w:rsid w:val="00786ACB"/>
    <w:rsid w:val="007874A1"/>
    <w:rsid w:val="00787545"/>
    <w:rsid w:val="00787D27"/>
    <w:rsid w:val="00787EE9"/>
    <w:rsid w:val="007908A3"/>
    <w:rsid w:val="00790B62"/>
    <w:rsid w:val="00790C7A"/>
    <w:rsid w:val="00790DEB"/>
    <w:rsid w:val="00790FAB"/>
    <w:rsid w:val="007913A9"/>
    <w:rsid w:val="00791DC1"/>
    <w:rsid w:val="007920D8"/>
    <w:rsid w:val="007924FC"/>
    <w:rsid w:val="00792B1D"/>
    <w:rsid w:val="00793537"/>
    <w:rsid w:val="007938FF"/>
    <w:rsid w:val="00794752"/>
    <w:rsid w:val="007947BB"/>
    <w:rsid w:val="00794AFE"/>
    <w:rsid w:val="00794F35"/>
    <w:rsid w:val="00794F79"/>
    <w:rsid w:val="00794FAE"/>
    <w:rsid w:val="007951F6"/>
    <w:rsid w:val="007957CA"/>
    <w:rsid w:val="007961C1"/>
    <w:rsid w:val="00796DD3"/>
    <w:rsid w:val="00796E71"/>
    <w:rsid w:val="007973E9"/>
    <w:rsid w:val="0079760E"/>
    <w:rsid w:val="007979B4"/>
    <w:rsid w:val="00797A95"/>
    <w:rsid w:val="00797D92"/>
    <w:rsid w:val="007A015D"/>
    <w:rsid w:val="007A01EE"/>
    <w:rsid w:val="007A042D"/>
    <w:rsid w:val="007A0540"/>
    <w:rsid w:val="007A0F93"/>
    <w:rsid w:val="007A11BE"/>
    <w:rsid w:val="007A160B"/>
    <w:rsid w:val="007A16B7"/>
    <w:rsid w:val="007A174A"/>
    <w:rsid w:val="007A1C6C"/>
    <w:rsid w:val="007A210C"/>
    <w:rsid w:val="007A2271"/>
    <w:rsid w:val="007A2771"/>
    <w:rsid w:val="007A2AE0"/>
    <w:rsid w:val="007A2E3E"/>
    <w:rsid w:val="007A3166"/>
    <w:rsid w:val="007A32EC"/>
    <w:rsid w:val="007A34D9"/>
    <w:rsid w:val="007A3AEA"/>
    <w:rsid w:val="007A3BE8"/>
    <w:rsid w:val="007A3CEB"/>
    <w:rsid w:val="007A3D62"/>
    <w:rsid w:val="007A3E58"/>
    <w:rsid w:val="007A45C1"/>
    <w:rsid w:val="007A4B52"/>
    <w:rsid w:val="007A4BA2"/>
    <w:rsid w:val="007A4E0A"/>
    <w:rsid w:val="007A504C"/>
    <w:rsid w:val="007A50A0"/>
    <w:rsid w:val="007A52F9"/>
    <w:rsid w:val="007A55F1"/>
    <w:rsid w:val="007A5814"/>
    <w:rsid w:val="007A61FF"/>
    <w:rsid w:val="007A6746"/>
    <w:rsid w:val="007A6B4D"/>
    <w:rsid w:val="007A7C7D"/>
    <w:rsid w:val="007B00DF"/>
    <w:rsid w:val="007B0949"/>
    <w:rsid w:val="007B0D09"/>
    <w:rsid w:val="007B0ED7"/>
    <w:rsid w:val="007B11A9"/>
    <w:rsid w:val="007B11D2"/>
    <w:rsid w:val="007B12E6"/>
    <w:rsid w:val="007B13FE"/>
    <w:rsid w:val="007B1AFC"/>
    <w:rsid w:val="007B1E07"/>
    <w:rsid w:val="007B1E82"/>
    <w:rsid w:val="007B23C0"/>
    <w:rsid w:val="007B246E"/>
    <w:rsid w:val="007B2706"/>
    <w:rsid w:val="007B285B"/>
    <w:rsid w:val="007B2FA8"/>
    <w:rsid w:val="007B3104"/>
    <w:rsid w:val="007B3277"/>
    <w:rsid w:val="007B3510"/>
    <w:rsid w:val="007B3700"/>
    <w:rsid w:val="007B395D"/>
    <w:rsid w:val="007B3C0F"/>
    <w:rsid w:val="007B3DB3"/>
    <w:rsid w:val="007B4759"/>
    <w:rsid w:val="007B4913"/>
    <w:rsid w:val="007B508C"/>
    <w:rsid w:val="007B5BFD"/>
    <w:rsid w:val="007B5D67"/>
    <w:rsid w:val="007B5E1D"/>
    <w:rsid w:val="007B6029"/>
    <w:rsid w:val="007B6513"/>
    <w:rsid w:val="007B6C8A"/>
    <w:rsid w:val="007B71C9"/>
    <w:rsid w:val="007B7367"/>
    <w:rsid w:val="007B7F82"/>
    <w:rsid w:val="007C005B"/>
    <w:rsid w:val="007C0786"/>
    <w:rsid w:val="007C099E"/>
    <w:rsid w:val="007C0B5F"/>
    <w:rsid w:val="007C0C04"/>
    <w:rsid w:val="007C2009"/>
    <w:rsid w:val="007C21AE"/>
    <w:rsid w:val="007C23A2"/>
    <w:rsid w:val="007C310C"/>
    <w:rsid w:val="007C315D"/>
    <w:rsid w:val="007C3323"/>
    <w:rsid w:val="007C3347"/>
    <w:rsid w:val="007C3687"/>
    <w:rsid w:val="007C396E"/>
    <w:rsid w:val="007C3B6C"/>
    <w:rsid w:val="007C3E2B"/>
    <w:rsid w:val="007C3FDC"/>
    <w:rsid w:val="007C48B3"/>
    <w:rsid w:val="007C4BEB"/>
    <w:rsid w:val="007C4C9C"/>
    <w:rsid w:val="007C508B"/>
    <w:rsid w:val="007C538A"/>
    <w:rsid w:val="007C679D"/>
    <w:rsid w:val="007C69A2"/>
    <w:rsid w:val="007C69B9"/>
    <w:rsid w:val="007C6EF2"/>
    <w:rsid w:val="007C7785"/>
    <w:rsid w:val="007C7BCE"/>
    <w:rsid w:val="007C7FA8"/>
    <w:rsid w:val="007C7FB9"/>
    <w:rsid w:val="007D0811"/>
    <w:rsid w:val="007D0BD8"/>
    <w:rsid w:val="007D0E8F"/>
    <w:rsid w:val="007D1340"/>
    <w:rsid w:val="007D19C1"/>
    <w:rsid w:val="007D2038"/>
    <w:rsid w:val="007D24B0"/>
    <w:rsid w:val="007D2579"/>
    <w:rsid w:val="007D2733"/>
    <w:rsid w:val="007D29ED"/>
    <w:rsid w:val="007D2F96"/>
    <w:rsid w:val="007D325A"/>
    <w:rsid w:val="007D328D"/>
    <w:rsid w:val="007D3DA4"/>
    <w:rsid w:val="007D4550"/>
    <w:rsid w:val="007D4B73"/>
    <w:rsid w:val="007D5531"/>
    <w:rsid w:val="007D5AC6"/>
    <w:rsid w:val="007D5C03"/>
    <w:rsid w:val="007D5EF8"/>
    <w:rsid w:val="007D5F65"/>
    <w:rsid w:val="007D5FEE"/>
    <w:rsid w:val="007D6233"/>
    <w:rsid w:val="007D69E5"/>
    <w:rsid w:val="007D6E10"/>
    <w:rsid w:val="007D73ED"/>
    <w:rsid w:val="007D7BE5"/>
    <w:rsid w:val="007E0046"/>
    <w:rsid w:val="007E08E1"/>
    <w:rsid w:val="007E0D3B"/>
    <w:rsid w:val="007E1220"/>
    <w:rsid w:val="007E1271"/>
    <w:rsid w:val="007E17E9"/>
    <w:rsid w:val="007E19CF"/>
    <w:rsid w:val="007E258E"/>
    <w:rsid w:val="007E29CC"/>
    <w:rsid w:val="007E2C0B"/>
    <w:rsid w:val="007E2CCC"/>
    <w:rsid w:val="007E34E0"/>
    <w:rsid w:val="007E3774"/>
    <w:rsid w:val="007E3B0D"/>
    <w:rsid w:val="007E43F2"/>
    <w:rsid w:val="007E45F6"/>
    <w:rsid w:val="007E4B35"/>
    <w:rsid w:val="007E5124"/>
    <w:rsid w:val="007E5391"/>
    <w:rsid w:val="007E5538"/>
    <w:rsid w:val="007E5544"/>
    <w:rsid w:val="007E57CA"/>
    <w:rsid w:val="007E5E46"/>
    <w:rsid w:val="007E68D1"/>
    <w:rsid w:val="007E6CEF"/>
    <w:rsid w:val="007E6EA5"/>
    <w:rsid w:val="007E719C"/>
    <w:rsid w:val="007E734E"/>
    <w:rsid w:val="007E75A3"/>
    <w:rsid w:val="007E76DA"/>
    <w:rsid w:val="007F0083"/>
    <w:rsid w:val="007F02AE"/>
    <w:rsid w:val="007F02DD"/>
    <w:rsid w:val="007F080F"/>
    <w:rsid w:val="007F0B64"/>
    <w:rsid w:val="007F0DB1"/>
    <w:rsid w:val="007F0EAC"/>
    <w:rsid w:val="007F106C"/>
    <w:rsid w:val="007F11D8"/>
    <w:rsid w:val="007F154A"/>
    <w:rsid w:val="007F1A46"/>
    <w:rsid w:val="007F1AD7"/>
    <w:rsid w:val="007F1BC5"/>
    <w:rsid w:val="007F1C01"/>
    <w:rsid w:val="007F1F19"/>
    <w:rsid w:val="007F1FE4"/>
    <w:rsid w:val="007F28BD"/>
    <w:rsid w:val="007F298D"/>
    <w:rsid w:val="007F30CD"/>
    <w:rsid w:val="007F3709"/>
    <w:rsid w:val="007F41BE"/>
    <w:rsid w:val="007F42A4"/>
    <w:rsid w:val="007F4DDC"/>
    <w:rsid w:val="007F5257"/>
    <w:rsid w:val="007F57C2"/>
    <w:rsid w:val="007F5816"/>
    <w:rsid w:val="007F5A6E"/>
    <w:rsid w:val="007F5B2E"/>
    <w:rsid w:val="007F5D6E"/>
    <w:rsid w:val="007F613F"/>
    <w:rsid w:val="007F6DC8"/>
    <w:rsid w:val="007F7099"/>
    <w:rsid w:val="007F737F"/>
    <w:rsid w:val="007F78EC"/>
    <w:rsid w:val="007F7D74"/>
    <w:rsid w:val="00800029"/>
    <w:rsid w:val="008001C9"/>
    <w:rsid w:val="008005F2"/>
    <w:rsid w:val="00800C5F"/>
    <w:rsid w:val="00800CBC"/>
    <w:rsid w:val="00800E39"/>
    <w:rsid w:val="00800ED5"/>
    <w:rsid w:val="0080139F"/>
    <w:rsid w:val="008015D9"/>
    <w:rsid w:val="00801728"/>
    <w:rsid w:val="008017A0"/>
    <w:rsid w:val="00801896"/>
    <w:rsid w:val="008018D2"/>
    <w:rsid w:val="00801B6C"/>
    <w:rsid w:val="008021B7"/>
    <w:rsid w:val="00802217"/>
    <w:rsid w:val="008022C9"/>
    <w:rsid w:val="008026DC"/>
    <w:rsid w:val="0080299E"/>
    <w:rsid w:val="00802BD3"/>
    <w:rsid w:val="00802FA5"/>
    <w:rsid w:val="008032E0"/>
    <w:rsid w:val="008039CA"/>
    <w:rsid w:val="00803CBE"/>
    <w:rsid w:val="0080437C"/>
    <w:rsid w:val="008043C1"/>
    <w:rsid w:val="008045E4"/>
    <w:rsid w:val="00804637"/>
    <w:rsid w:val="008047F5"/>
    <w:rsid w:val="0080498B"/>
    <w:rsid w:val="00804CEE"/>
    <w:rsid w:val="00805856"/>
    <w:rsid w:val="00805ACC"/>
    <w:rsid w:val="00805C32"/>
    <w:rsid w:val="00805DD5"/>
    <w:rsid w:val="00805F0C"/>
    <w:rsid w:val="00806561"/>
    <w:rsid w:val="00807643"/>
    <w:rsid w:val="008078D1"/>
    <w:rsid w:val="00807B32"/>
    <w:rsid w:val="00807C17"/>
    <w:rsid w:val="00810329"/>
    <w:rsid w:val="008105D3"/>
    <w:rsid w:val="00811029"/>
    <w:rsid w:val="008116D1"/>
    <w:rsid w:val="00811702"/>
    <w:rsid w:val="00811842"/>
    <w:rsid w:val="0081184B"/>
    <w:rsid w:val="00811857"/>
    <w:rsid w:val="008127DB"/>
    <w:rsid w:val="008130CC"/>
    <w:rsid w:val="00813495"/>
    <w:rsid w:val="0081361B"/>
    <w:rsid w:val="00814A56"/>
    <w:rsid w:val="00814D1B"/>
    <w:rsid w:val="00815142"/>
    <w:rsid w:val="008153CC"/>
    <w:rsid w:val="00815B54"/>
    <w:rsid w:val="0081648D"/>
    <w:rsid w:val="00816CF6"/>
    <w:rsid w:val="0081703A"/>
    <w:rsid w:val="0081729A"/>
    <w:rsid w:val="00817627"/>
    <w:rsid w:val="00817C1C"/>
    <w:rsid w:val="00817CB8"/>
    <w:rsid w:val="00817E2E"/>
    <w:rsid w:val="00820692"/>
    <w:rsid w:val="0082085B"/>
    <w:rsid w:val="00820D5D"/>
    <w:rsid w:val="00821120"/>
    <w:rsid w:val="00821159"/>
    <w:rsid w:val="008216BE"/>
    <w:rsid w:val="00821824"/>
    <w:rsid w:val="00821DB1"/>
    <w:rsid w:val="00821EE3"/>
    <w:rsid w:val="00822069"/>
    <w:rsid w:val="0082226E"/>
    <w:rsid w:val="00822E56"/>
    <w:rsid w:val="00822F36"/>
    <w:rsid w:val="008234C1"/>
    <w:rsid w:val="00823533"/>
    <w:rsid w:val="0082356F"/>
    <w:rsid w:val="008235B5"/>
    <w:rsid w:val="008237D6"/>
    <w:rsid w:val="00823851"/>
    <w:rsid w:val="0082387C"/>
    <w:rsid w:val="00823C60"/>
    <w:rsid w:val="00823D79"/>
    <w:rsid w:val="008245F2"/>
    <w:rsid w:val="0082468F"/>
    <w:rsid w:val="00824709"/>
    <w:rsid w:val="00824BA4"/>
    <w:rsid w:val="0082514C"/>
    <w:rsid w:val="00825D31"/>
    <w:rsid w:val="00825E49"/>
    <w:rsid w:val="00825F55"/>
    <w:rsid w:val="00825F71"/>
    <w:rsid w:val="00826882"/>
    <w:rsid w:val="00826F6C"/>
    <w:rsid w:val="008270C5"/>
    <w:rsid w:val="00827387"/>
    <w:rsid w:val="00827E29"/>
    <w:rsid w:val="00830665"/>
    <w:rsid w:val="00830E1D"/>
    <w:rsid w:val="0083173B"/>
    <w:rsid w:val="008317E6"/>
    <w:rsid w:val="00831BAC"/>
    <w:rsid w:val="008323BB"/>
    <w:rsid w:val="00832646"/>
    <w:rsid w:val="00832849"/>
    <w:rsid w:val="00832BA7"/>
    <w:rsid w:val="00832BF1"/>
    <w:rsid w:val="00832F3C"/>
    <w:rsid w:val="0083309B"/>
    <w:rsid w:val="008332F5"/>
    <w:rsid w:val="00833AE5"/>
    <w:rsid w:val="00833AE9"/>
    <w:rsid w:val="00833C8A"/>
    <w:rsid w:val="00833E90"/>
    <w:rsid w:val="0083413B"/>
    <w:rsid w:val="00834A99"/>
    <w:rsid w:val="00834F9F"/>
    <w:rsid w:val="0083518E"/>
    <w:rsid w:val="00835273"/>
    <w:rsid w:val="008356DB"/>
    <w:rsid w:val="0083578C"/>
    <w:rsid w:val="008358B2"/>
    <w:rsid w:val="00836068"/>
    <w:rsid w:val="00836B1A"/>
    <w:rsid w:val="00836D58"/>
    <w:rsid w:val="00837003"/>
    <w:rsid w:val="008373FC"/>
    <w:rsid w:val="008377D6"/>
    <w:rsid w:val="00837802"/>
    <w:rsid w:val="00837A7B"/>
    <w:rsid w:val="00837B39"/>
    <w:rsid w:val="00837F19"/>
    <w:rsid w:val="008400E9"/>
    <w:rsid w:val="008404BB"/>
    <w:rsid w:val="008408C5"/>
    <w:rsid w:val="00840985"/>
    <w:rsid w:val="00840EAE"/>
    <w:rsid w:val="008411BD"/>
    <w:rsid w:val="0084141D"/>
    <w:rsid w:val="00841549"/>
    <w:rsid w:val="0084224B"/>
    <w:rsid w:val="008426CB"/>
    <w:rsid w:val="008428DE"/>
    <w:rsid w:val="00842B9A"/>
    <w:rsid w:val="00842E00"/>
    <w:rsid w:val="00843905"/>
    <w:rsid w:val="00844129"/>
    <w:rsid w:val="0084498A"/>
    <w:rsid w:val="008449F2"/>
    <w:rsid w:val="00844C86"/>
    <w:rsid w:val="00845484"/>
    <w:rsid w:val="0084564C"/>
    <w:rsid w:val="0084597A"/>
    <w:rsid w:val="00845A42"/>
    <w:rsid w:val="00845B08"/>
    <w:rsid w:val="00845EC4"/>
    <w:rsid w:val="0084622A"/>
    <w:rsid w:val="0084684A"/>
    <w:rsid w:val="008469D4"/>
    <w:rsid w:val="00846ADD"/>
    <w:rsid w:val="00847445"/>
    <w:rsid w:val="008479AF"/>
    <w:rsid w:val="00847EBF"/>
    <w:rsid w:val="00850CD0"/>
    <w:rsid w:val="00850E12"/>
    <w:rsid w:val="00851675"/>
    <w:rsid w:val="008518CA"/>
    <w:rsid w:val="0085254B"/>
    <w:rsid w:val="00853003"/>
    <w:rsid w:val="00853266"/>
    <w:rsid w:val="0085493C"/>
    <w:rsid w:val="008549E0"/>
    <w:rsid w:val="00854D14"/>
    <w:rsid w:val="00854F1B"/>
    <w:rsid w:val="008552BC"/>
    <w:rsid w:val="00855511"/>
    <w:rsid w:val="00855830"/>
    <w:rsid w:val="008558BF"/>
    <w:rsid w:val="00856704"/>
    <w:rsid w:val="00856B1D"/>
    <w:rsid w:val="00856BAE"/>
    <w:rsid w:val="00857ACC"/>
    <w:rsid w:val="00860562"/>
    <w:rsid w:val="00860596"/>
    <w:rsid w:val="00860AE2"/>
    <w:rsid w:val="00860B7E"/>
    <w:rsid w:val="00860D33"/>
    <w:rsid w:val="00861197"/>
    <w:rsid w:val="008616B8"/>
    <w:rsid w:val="008622D0"/>
    <w:rsid w:val="00862902"/>
    <w:rsid w:val="0086309C"/>
    <w:rsid w:val="0086309E"/>
    <w:rsid w:val="00863107"/>
    <w:rsid w:val="00863319"/>
    <w:rsid w:val="00863504"/>
    <w:rsid w:val="00863C74"/>
    <w:rsid w:val="00863E5B"/>
    <w:rsid w:val="00863E93"/>
    <w:rsid w:val="00863EB6"/>
    <w:rsid w:val="008642E3"/>
    <w:rsid w:val="008644C6"/>
    <w:rsid w:val="008645E3"/>
    <w:rsid w:val="00864B40"/>
    <w:rsid w:val="00865036"/>
    <w:rsid w:val="00865679"/>
    <w:rsid w:val="0086574D"/>
    <w:rsid w:val="00865DBA"/>
    <w:rsid w:val="00866246"/>
    <w:rsid w:val="008664F5"/>
    <w:rsid w:val="0086743F"/>
    <w:rsid w:val="00867567"/>
    <w:rsid w:val="00867A36"/>
    <w:rsid w:val="00867ECE"/>
    <w:rsid w:val="008703B4"/>
    <w:rsid w:val="008703B8"/>
    <w:rsid w:val="008708AF"/>
    <w:rsid w:val="00870CDE"/>
    <w:rsid w:val="008711BC"/>
    <w:rsid w:val="008716E6"/>
    <w:rsid w:val="00871BF1"/>
    <w:rsid w:val="00871FC1"/>
    <w:rsid w:val="00871FC8"/>
    <w:rsid w:val="00872141"/>
    <w:rsid w:val="00872383"/>
    <w:rsid w:val="008726E0"/>
    <w:rsid w:val="00872773"/>
    <w:rsid w:val="00872AE7"/>
    <w:rsid w:val="00872BCC"/>
    <w:rsid w:val="00872BD6"/>
    <w:rsid w:val="00872CFA"/>
    <w:rsid w:val="00872F00"/>
    <w:rsid w:val="008733CF"/>
    <w:rsid w:val="00873601"/>
    <w:rsid w:val="00873C25"/>
    <w:rsid w:val="00873ED7"/>
    <w:rsid w:val="0087437C"/>
    <w:rsid w:val="008748D9"/>
    <w:rsid w:val="00874A16"/>
    <w:rsid w:val="00874AA3"/>
    <w:rsid w:val="0087526D"/>
    <w:rsid w:val="0087564F"/>
    <w:rsid w:val="00875D7E"/>
    <w:rsid w:val="0087647B"/>
    <w:rsid w:val="00876EF3"/>
    <w:rsid w:val="008774B7"/>
    <w:rsid w:val="0087752C"/>
    <w:rsid w:val="008776D7"/>
    <w:rsid w:val="00877B49"/>
    <w:rsid w:val="00877DF2"/>
    <w:rsid w:val="0088007A"/>
    <w:rsid w:val="0088059C"/>
    <w:rsid w:val="00880685"/>
    <w:rsid w:val="008806D1"/>
    <w:rsid w:val="00880B68"/>
    <w:rsid w:val="00881431"/>
    <w:rsid w:val="0088154D"/>
    <w:rsid w:val="00881552"/>
    <w:rsid w:val="0088175E"/>
    <w:rsid w:val="008822F6"/>
    <w:rsid w:val="0088237A"/>
    <w:rsid w:val="00882574"/>
    <w:rsid w:val="00882CFA"/>
    <w:rsid w:val="00882D4E"/>
    <w:rsid w:val="00883829"/>
    <w:rsid w:val="008839F1"/>
    <w:rsid w:val="0088415F"/>
    <w:rsid w:val="008849BB"/>
    <w:rsid w:val="00884A7A"/>
    <w:rsid w:val="0088513E"/>
    <w:rsid w:val="008851FB"/>
    <w:rsid w:val="0088597B"/>
    <w:rsid w:val="00885EBB"/>
    <w:rsid w:val="00885F64"/>
    <w:rsid w:val="008861D4"/>
    <w:rsid w:val="0088629F"/>
    <w:rsid w:val="008870C3"/>
    <w:rsid w:val="008878F1"/>
    <w:rsid w:val="00887934"/>
    <w:rsid w:val="008879DD"/>
    <w:rsid w:val="00887A78"/>
    <w:rsid w:val="00887DE1"/>
    <w:rsid w:val="00890124"/>
    <w:rsid w:val="00890404"/>
    <w:rsid w:val="008909D6"/>
    <w:rsid w:val="00890A22"/>
    <w:rsid w:val="00890A55"/>
    <w:rsid w:val="00891C41"/>
    <w:rsid w:val="00891D29"/>
    <w:rsid w:val="00891D76"/>
    <w:rsid w:val="00891F61"/>
    <w:rsid w:val="00891F8F"/>
    <w:rsid w:val="00892137"/>
    <w:rsid w:val="00892323"/>
    <w:rsid w:val="0089282B"/>
    <w:rsid w:val="00892838"/>
    <w:rsid w:val="00892967"/>
    <w:rsid w:val="008929D7"/>
    <w:rsid w:val="00892A06"/>
    <w:rsid w:val="008933F4"/>
    <w:rsid w:val="0089355D"/>
    <w:rsid w:val="008935F3"/>
    <w:rsid w:val="008937BF"/>
    <w:rsid w:val="00893949"/>
    <w:rsid w:val="00893990"/>
    <w:rsid w:val="00893BAB"/>
    <w:rsid w:val="00893EB8"/>
    <w:rsid w:val="00893FAD"/>
    <w:rsid w:val="00893FC9"/>
    <w:rsid w:val="008943D5"/>
    <w:rsid w:val="0089472F"/>
    <w:rsid w:val="00894884"/>
    <w:rsid w:val="00894AC1"/>
    <w:rsid w:val="00894C4A"/>
    <w:rsid w:val="008951A0"/>
    <w:rsid w:val="00895778"/>
    <w:rsid w:val="0089582F"/>
    <w:rsid w:val="0089591C"/>
    <w:rsid w:val="00896467"/>
    <w:rsid w:val="00897159"/>
    <w:rsid w:val="008974C0"/>
    <w:rsid w:val="0089755E"/>
    <w:rsid w:val="008977F1"/>
    <w:rsid w:val="00897AFA"/>
    <w:rsid w:val="00897E36"/>
    <w:rsid w:val="00897F01"/>
    <w:rsid w:val="008A00B5"/>
    <w:rsid w:val="008A03C7"/>
    <w:rsid w:val="008A0C78"/>
    <w:rsid w:val="008A1171"/>
    <w:rsid w:val="008A1325"/>
    <w:rsid w:val="008A1726"/>
    <w:rsid w:val="008A19D1"/>
    <w:rsid w:val="008A2485"/>
    <w:rsid w:val="008A24A1"/>
    <w:rsid w:val="008A24F0"/>
    <w:rsid w:val="008A2BAC"/>
    <w:rsid w:val="008A2BBE"/>
    <w:rsid w:val="008A300E"/>
    <w:rsid w:val="008A3132"/>
    <w:rsid w:val="008A325F"/>
    <w:rsid w:val="008A34E1"/>
    <w:rsid w:val="008A35F4"/>
    <w:rsid w:val="008A3937"/>
    <w:rsid w:val="008A40EF"/>
    <w:rsid w:val="008A41C5"/>
    <w:rsid w:val="008A4556"/>
    <w:rsid w:val="008A4843"/>
    <w:rsid w:val="008A4B30"/>
    <w:rsid w:val="008A4ED1"/>
    <w:rsid w:val="008A57C8"/>
    <w:rsid w:val="008A610D"/>
    <w:rsid w:val="008A623A"/>
    <w:rsid w:val="008A631E"/>
    <w:rsid w:val="008A6696"/>
    <w:rsid w:val="008A6AED"/>
    <w:rsid w:val="008A6E6E"/>
    <w:rsid w:val="008A70E0"/>
    <w:rsid w:val="008A73A5"/>
    <w:rsid w:val="008A76C4"/>
    <w:rsid w:val="008B04AB"/>
    <w:rsid w:val="008B0559"/>
    <w:rsid w:val="008B05BF"/>
    <w:rsid w:val="008B0C6F"/>
    <w:rsid w:val="008B0E99"/>
    <w:rsid w:val="008B0E9E"/>
    <w:rsid w:val="008B168E"/>
    <w:rsid w:val="008B1D95"/>
    <w:rsid w:val="008B20BB"/>
    <w:rsid w:val="008B2324"/>
    <w:rsid w:val="008B2760"/>
    <w:rsid w:val="008B2DD8"/>
    <w:rsid w:val="008B2EA6"/>
    <w:rsid w:val="008B310A"/>
    <w:rsid w:val="008B380C"/>
    <w:rsid w:val="008B3E89"/>
    <w:rsid w:val="008B4384"/>
    <w:rsid w:val="008B4DF0"/>
    <w:rsid w:val="008B50FE"/>
    <w:rsid w:val="008B5593"/>
    <w:rsid w:val="008B5610"/>
    <w:rsid w:val="008B5ED7"/>
    <w:rsid w:val="008B61FF"/>
    <w:rsid w:val="008B6B17"/>
    <w:rsid w:val="008B6CF8"/>
    <w:rsid w:val="008B7072"/>
    <w:rsid w:val="008B73D6"/>
    <w:rsid w:val="008B741A"/>
    <w:rsid w:val="008B7462"/>
    <w:rsid w:val="008B786B"/>
    <w:rsid w:val="008B7939"/>
    <w:rsid w:val="008B7A58"/>
    <w:rsid w:val="008B7B2C"/>
    <w:rsid w:val="008C01D7"/>
    <w:rsid w:val="008C08CA"/>
    <w:rsid w:val="008C0B36"/>
    <w:rsid w:val="008C16A6"/>
    <w:rsid w:val="008C1935"/>
    <w:rsid w:val="008C1DE2"/>
    <w:rsid w:val="008C1E92"/>
    <w:rsid w:val="008C21C8"/>
    <w:rsid w:val="008C2D5E"/>
    <w:rsid w:val="008C2E99"/>
    <w:rsid w:val="008C3701"/>
    <w:rsid w:val="008C370A"/>
    <w:rsid w:val="008C3B2B"/>
    <w:rsid w:val="008C4356"/>
    <w:rsid w:val="008C48E9"/>
    <w:rsid w:val="008C522B"/>
    <w:rsid w:val="008C5A1E"/>
    <w:rsid w:val="008C5F11"/>
    <w:rsid w:val="008C6279"/>
    <w:rsid w:val="008C639F"/>
    <w:rsid w:val="008C65FD"/>
    <w:rsid w:val="008C6CAE"/>
    <w:rsid w:val="008C708D"/>
    <w:rsid w:val="008C71B0"/>
    <w:rsid w:val="008C736A"/>
    <w:rsid w:val="008C74AE"/>
    <w:rsid w:val="008C7CDD"/>
    <w:rsid w:val="008C7F71"/>
    <w:rsid w:val="008D0323"/>
    <w:rsid w:val="008D0527"/>
    <w:rsid w:val="008D0F47"/>
    <w:rsid w:val="008D1043"/>
    <w:rsid w:val="008D18E2"/>
    <w:rsid w:val="008D195A"/>
    <w:rsid w:val="008D1D3B"/>
    <w:rsid w:val="008D26CE"/>
    <w:rsid w:val="008D28B5"/>
    <w:rsid w:val="008D2DE5"/>
    <w:rsid w:val="008D2F0E"/>
    <w:rsid w:val="008D300C"/>
    <w:rsid w:val="008D39A3"/>
    <w:rsid w:val="008D3B00"/>
    <w:rsid w:val="008D3DC4"/>
    <w:rsid w:val="008D3E0C"/>
    <w:rsid w:val="008D42C5"/>
    <w:rsid w:val="008D4AEF"/>
    <w:rsid w:val="008D4D64"/>
    <w:rsid w:val="008D4F0F"/>
    <w:rsid w:val="008D4F78"/>
    <w:rsid w:val="008D509E"/>
    <w:rsid w:val="008D538B"/>
    <w:rsid w:val="008D560D"/>
    <w:rsid w:val="008D5804"/>
    <w:rsid w:val="008D5C58"/>
    <w:rsid w:val="008D5F13"/>
    <w:rsid w:val="008D5F6D"/>
    <w:rsid w:val="008D61B7"/>
    <w:rsid w:val="008D6BCE"/>
    <w:rsid w:val="008D6EE6"/>
    <w:rsid w:val="008D700C"/>
    <w:rsid w:val="008D7154"/>
    <w:rsid w:val="008D798D"/>
    <w:rsid w:val="008D7D4A"/>
    <w:rsid w:val="008D7E3B"/>
    <w:rsid w:val="008D7F06"/>
    <w:rsid w:val="008E047D"/>
    <w:rsid w:val="008E05F6"/>
    <w:rsid w:val="008E1651"/>
    <w:rsid w:val="008E16E9"/>
    <w:rsid w:val="008E1DC1"/>
    <w:rsid w:val="008E1E89"/>
    <w:rsid w:val="008E24E8"/>
    <w:rsid w:val="008E255A"/>
    <w:rsid w:val="008E2DB1"/>
    <w:rsid w:val="008E3BD7"/>
    <w:rsid w:val="008E3C38"/>
    <w:rsid w:val="008E3EE8"/>
    <w:rsid w:val="008E405A"/>
    <w:rsid w:val="008E44A8"/>
    <w:rsid w:val="008E4802"/>
    <w:rsid w:val="008E4B77"/>
    <w:rsid w:val="008E4F61"/>
    <w:rsid w:val="008E5513"/>
    <w:rsid w:val="008E5CE9"/>
    <w:rsid w:val="008E5DF6"/>
    <w:rsid w:val="008E6268"/>
    <w:rsid w:val="008E6CD8"/>
    <w:rsid w:val="008F05DF"/>
    <w:rsid w:val="008F0882"/>
    <w:rsid w:val="008F0DFE"/>
    <w:rsid w:val="008F0E8D"/>
    <w:rsid w:val="008F1460"/>
    <w:rsid w:val="008F15D7"/>
    <w:rsid w:val="008F1917"/>
    <w:rsid w:val="008F296C"/>
    <w:rsid w:val="008F2DF8"/>
    <w:rsid w:val="008F34A4"/>
    <w:rsid w:val="008F358B"/>
    <w:rsid w:val="008F374F"/>
    <w:rsid w:val="008F37B5"/>
    <w:rsid w:val="008F3DA9"/>
    <w:rsid w:val="008F4153"/>
    <w:rsid w:val="008F49D1"/>
    <w:rsid w:val="008F4A33"/>
    <w:rsid w:val="008F4C7B"/>
    <w:rsid w:val="008F4F84"/>
    <w:rsid w:val="008F50D6"/>
    <w:rsid w:val="008F5493"/>
    <w:rsid w:val="008F5522"/>
    <w:rsid w:val="008F5684"/>
    <w:rsid w:val="008F57B6"/>
    <w:rsid w:val="008F6472"/>
    <w:rsid w:val="008F6B8D"/>
    <w:rsid w:val="008F6CE2"/>
    <w:rsid w:val="008F6CE7"/>
    <w:rsid w:val="008F741B"/>
    <w:rsid w:val="008F7983"/>
    <w:rsid w:val="008F7B02"/>
    <w:rsid w:val="008F7BFE"/>
    <w:rsid w:val="008F7DB9"/>
    <w:rsid w:val="008F7E87"/>
    <w:rsid w:val="00901083"/>
    <w:rsid w:val="00901A54"/>
    <w:rsid w:val="0090237B"/>
    <w:rsid w:val="00902484"/>
    <w:rsid w:val="009025A1"/>
    <w:rsid w:val="009026BB"/>
    <w:rsid w:val="009027EE"/>
    <w:rsid w:val="0090288E"/>
    <w:rsid w:val="0090292A"/>
    <w:rsid w:val="009029DE"/>
    <w:rsid w:val="00902B6C"/>
    <w:rsid w:val="00902C8B"/>
    <w:rsid w:val="00902F3C"/>
    <w:rsid w:val="00903381"/>
    <w:rsid w:val="009033FA"/>
    <w:rsid w:val="009037CE"/>
    <w:rsid w:val="009038EA"/>
    <w:rsid w:val="009041DF"/>
    <w:rsid w:val="009043D6"/>
    <w:rsid w:val="009046FB"/>
    <w:rsid w:val="00904DAF"/>
    <w:rsid w:val="00905B62"/>
    <w:rsid w:val="0090623B"/>
    <w:rsid w:val="00906766"/>
    <w:rsid w:val="00906AF0"/>
    <w:rsid w:val="00906FDA"/>
    <w:rsid w:val="00907431"/>
    <w:rsid w:val="009075C0"/>
    <w:rsid w:val="00907778"/>
    <w:rsid w:val="00907C03"/>
    <w:rsid w:val="00907D6E"/>
    <w:rsid w:val="00907ECC"/>
    <w:rsid w:val="00910435"/>
    <w:rsid w:val="00910C8D"/>
    <w:rsid w:val="00910D4C"/>
    <w:rsid w:val="009115DA"/>
    <w:rsid w:val="00911A92"/>
    <w:rsid w:val="00911EC0"/>
    <w:rsid w:val="0091233F"/>
    <w:rsid w:val="009125EA"/>
    <w:rsid w:val="009127FE"/>
    <w:rsid w:val="00912F23"/>
    <w:rsid w:val="0091301D"/>
    <w:rsid w:val="0091364E"/>
    <w:rsid w:val="00913769"/>
    <w:rsid w:val="00913867"/>
    <w:rsid w:val="00913B92"/>
    <w:rsid w:val="00913D51"/>
    <w:rsid w:val="00913DD8"/>
    <w:rsid w:val="00913FA8"/>
    <w:rsid w:val="00914031"/>
    <w:rsid w:val="0091438A"/>
    <w:rsid w:val="00914572"/>
    <w:rsid w:val="00914649"/>
    <w:rsid w:val="009149A5"/>
    <w:rsid w:val="00914A1A"/>
    <w:rsid w:val="00914EAD"/>
    <w:rsid w:val="0091582B"/>
    <w:rsid w:val="009159BB"/>
    <w:rsid w:val="00915B5F"/>
    <w:rsid w:val="00915B80"/>
    <w:rsid w:val="00915FD8"/>
    <w:rsid w:val="0091601A"/>
    <w:rsid w:val="0091621B"/>
    <w:rsid w:val="00916836"/>
    <w:rsid w:val="0091694F"/>
    <w:rsid w:val="00916A90"/>
    <w:rsid w:val="00916B2B"/>
    <w:rsid w:val="009172CE"/>
    <w:rsid w:val="0091754D"/>
    <w:rsid w:val="009176AA"/>
    <w:rsid w:val="00917755"/>
    <w:rsid w:val="0091783B"/>
    <w:rsid w:val="009203AA"/>
    <w:rsid w:val="009205F7"/>
    <w:rsid w:val="00920627"/>
    <w:rsid w:val="0092077B"/>
    <w:rsid w:val="0092084C"/>
    <w:rsid w:val="00921316"/>
    <w:rsid w:val="00921CCD"/>
    <w:rsid w:val="00922CB1"/>
    <w:rsid w:val="00922E86"/>
    <w:rsid w:val="009235AA"/>
    <w:rsid w:val="0092360A"/>
    <w:rsid w:val="00923729"/>
    <w:rsid w:val="00923F51"/>
    <w:rsid w:val="009240AC"/>
    <w:rsid w:val="009243CD"/>
    <w:rsid w:val="00924EC0"/>
    <w:rsid w:val="00924FAB"/>
    <w:rsid w:val="009257BD"/>
    <w:rsid w:val="009257D8"/>
    <w:rsid w:val="00925C83"/>
    <w:rsid w:val="00925D78"/>
    <w:rsid w:val="00925DD1"/>
    <w:rsid w:val="00925E11"/>
    <w:rsid w:val="00925FB5"/>
    <w:rsid w:val="00926BDC"/>
    <w:rsid w:val="00926CF9"/>
    <w:rsid w:val="00926D0D"/>
    <w:rsid w:val="00927115"/>
    <w:rsid w:val="00927165"/>
    <w:rsid w:val="009271EA"/>
    <w:rsid w:val="00927AE5"/>
    <w:rsid w:val="00927CE8"/>
    <w:rsid w:val="00927E99"/>
    <w:rsid w:val="009304F4"/>
    <w:rsid w:val="0093059F"/>
    <w:rsid w:val="00931163"/>
    <w:rsid w:val="00931836"/>
    <w:rsid w:val="00931D3B"/>
    <w:rsid w:val="009321FB"/>
    <w:rsid w:val="0093284B"/>
    <w:rsid w:val="00932A30"/>
    <w:rsid w:val="00932A7D"/>
    <w:rsid w:val="00933147"/>
    <w:rsid w:val="0093329B"/>
    <w:rsid w:val="00933AAF"/>
    <w:rsid w:val="00933C4B"/>
    <w:rsid w:val="00933ECA"/>
    <w:rsid w:val="00933F93"/>
    <w:rsid w:val="009347A1"/>
    <w:rsid w:val="00935501"/>
    <w:rsid w:val="009361CE"/>
    <w:rsid w:val="00936334"/>
    <w:rsid w:val="009368F9"/>
    <w:rsid w:val="00936D9D"/>
    <w:rsid w:val="009377EF"/>
    <w:rsid w:val="00937C85"/>
    <w:rsid w:val="0094012C"/>
    <w:rsid w:val="00940372"/>
    <w:rsid w:val="0094059C"/>
    <w:rsid w:val="009405A0"/>
    <w:rsid w:val="00940735"/>
    <w:rsid w:val="009412F4"/>
    <w:rsid w:val="00941E31"/>
    <w:rsid w:val="0094246E"/>
    <w:rsid w:val="009427B1"/>
    <w:rsid w:val="00942C68"/>
    <w:rsid w:val="00942E99"/>
    <w:rsid w:val="00943A72"/>
    <w:rsid w:val="009441D9"/>
    <w:rsid w:val="0094438B"/>
    <w:rsid w:val="0094472C"/>
    <w:rsid w:val="00944A72"/>
    <w:rsid w:val="00944F46"/>
    <w:rsid w:val="0094503C"/>
    <w:rsid w:val="009451E7"/>
    <w:rsid w:val="00945282"/>
    <w:rsid w:val="00945383"/>
    <w:rsid w:val="00946AB0"/>
    <w:rsid w:val="00946EA3"/>
    <w:rsid w:val="00947202"/>
    <w:rsid w:val="00947D24"/>
    <w:rsid w:val="00947E3A"/>
    <w:rsid w:val="0095003B"/>
    <w:rsid w:val="009508FE"/>
    <w:rsid w:val="00950EF5"/>
    <w:rsid w:val="00951285"/>
    <w:rsid w:val="0095169F"/>
    <w:rsid w:val="009516BB"/>
    <w:rsid w:val="009519F8"/>
    <w:rsid w:val="00951D82"/>
    <w:rsid w:val="00952ACB"/>
    <w:rsid w:val="00952D83"/>
    <w:rsid w:val="00952E14"/>
    <w:rsid w:val="00953789"/>
    <w:rsid w:val="009538DC"/>
    <w:rsid w:val="00953E30"/>
    <w:rsid w:val="00953E64"/>
    <w:rsid w:val="00954099"/>
    <w:rsid w:val="009547CF"/>
    <w:rsid w:val="00954BA2"/>
    <w:rsid w:val="0095558C"/>
    <w:rsid w:val="00955906"/>
    <w:rsid w:val="00955C10"/>
    <w:rsid w:val="009561DA"/>
    <w:rsid w:val="00956CC2"/>
    <w:rsid w:val="009575F1"/>
    <w:rsid w:val="00957777"/>
    <w:rsid w:val="00957A31"/>
    <w:rsid w:val="00957C9E"/>
    <w:rsid w:val="00960476"/>
    <w:rsid w:val="0096088E"/>
    <w:rsid w:val="00961115"/>
    <w:rsid w:val="00961539"/>
    <w:rsid w:val="00961826"/>
    <w:rsid w:val="00962062"/>
    <w:rsid w:val="00962724"/>
    <w:rsid w:val="00962B5A"/>
    <w:rsid w:val="009631C5"/>
    <w:rsid w:val="00963567"/>
    <w:rsid w:val="0096373A"/>
    <w:rsid w:val="00963913"/>
    <w:rsid w:val="00963924"/>
    <w:rsid w:val="00963F8D"/>
    <w:rsid w:val="00964381"/>
    <w:rsid w:val="00964CC9"/>
    <w:rsid w:val="0096563D"/>
    <w:rsid w:val="009656C8"/>
    <w:rsid w:val="009656F3"/>
    <w:rsid w:val="00965E69"/>
    <w:rsid w:val="00966427"/>
    <w:rsid w:val="00966F87"/>
    <w:rsid w:val="009670CF"/>
    <w:rsid w:val="009678EA"/>
    <w:rsid w:val="00967A59"/>
    <w:rsid w:val="00967B11"/>
    <w:rsid w:val="00967BE8"/>
    <w:rsid w:val="00967C31"/>
    <w:rsid w:val="009700D3"/>
    <w:rsid w:val="009707D0"/>
    <w:rsid w:val="009707F7"/>
    <w:rsid w:val="00970AEB"/>
    <w:rsid w:val="009710E8"/>
    <w:rsid w:val="00971DC4"/>
    <w:rsid w:val="009721D7"/>
    <w:rsid w:val="009725AC"/>
    <w:rsid w:val="00972B71"/>
    <w:rsid w:val="00972DB0"/>
    <w:rsid w:val="00973EBC"/>
    <w:rsid w:val="00973FCF"/>
    <w:rsid w:val="00974BB3"/>
    <w:rsid w:val="00974CA5"/>
    <w:rsid w:val="00974E8E"/>
    <w:rsid w:val="0097557C"/>
    <w:rsid w:val="00975CDA"/>
    <w:rsid w:val="00975CF8"/>
    <w:rsid w:val="00975FA9"/>
    <w:rsid w:val="009761B1"/>
    <w:rsid w:val="009764A2"/>
    <w:rsid w:val="00977010"/>
    <w:rsid w:val="0097733D"/>
    <w:rsid w:val="00977F2B"/>
    <w:rsid w:val="009801B5"/>
    <w:rsid w:val="009802D8"/>
    <w:rsid w:val="009806CD"/>
    <w:rsid w:val="009806F9"/>
    <w:rsid w:val="0098073F"/>
    <w:rsid w:val="00980E05"/>
    <w:rsid w:val="00980FA3"/>
    <w:rsid w:val="009810A3"/>
    <w:rsid w:val="0098134A"/>
    <w:rsid w:val="009817E4"/>
    <w:rsid w:val="00981955"/>
    <w:rsid w:val="00981A44"/>
    <w:rsid w:val="00981C04"/>
    <w:rsid w:val="00981E12"/>
    <w:rsid w:val="00981E34"/>
    <w:rsid w:val="0098224B"/>
    <w:rsid w:val="00982681"/>
    <w:rsid w:val="00982DD9"/>
    <w:rsid w:val="0098334E"/>
    <w:rsid w:val="00983434"/>
    <w:rsid w:val="009834BB"/>
    <w:rsid w:val="00983874"/>
    <w:rsid w:val="00983C0F"/>
    <w:rsid w:val="00983CB9"/>
    <w:rsid w:val="00984A20"/>
    <w:rsid w:val="00984D9E"/>
    <w:rsid w:val="00984FEE"/>
    <w:rsid w:val="009850F0"/>
    <w:rsid w:val="00985324"/>
    <w:rsid w:val="0098583A"/>
    <w:rsid w:val="00985906"/>
    <w:rsid w:val="00985A19"/>
    <w:rsid w:val="00985E06"/>
    <w:rsid w:val="00986E09"/>
    <w:rsid w:val="00986F0D"/>
    <w:rsid w:val="00986F61"/>
    <w:rsid w:val="009874F8"/>
    <w:rsid w:val="00987555"/>
    <w:rsid w:val="0098784B"/>
    <w:rsid w:val="00987E38"/>
    <w:rsid w:val="009900D3"/>
    <w:rsid w:val="0099032C"/>
    <w:rsid w:val="00990413"/>
    <w:rsid w:val="0099053F"/>
    <w:rsid w:val="00990735"/>
    <w:rsid w:val="00990BE4"/>
    <w:rsid w:val="00991119"/>
    <w:rsid w:val="00991766"/>
    <w:rsid w:val="00991DC9"/>
    <w:rsid w:val="0099225C"/>
    <w:rsid w:val="00992293"/>
    <w:rsid w:val="009927EA"/>
    <w:rsid w:val="00993A4D"/>
    <w:rsid w:val="00993B84"/>
    <w:rsid w:val="00993BF0"/>
    <w:rsid w:val="00993C4F"/>
    <w:rsid w:val="00993E4B"/>
    <w:rsid w:val="00994E84"/>
    <w:rsid w:val="00994F21"/>
    <w:rsid w:val="00995515"/>
    <w:rsid w:val="0099561A"/>
    <w:rsid w:val="009957C2"/>
    <w:rsid w:val="00995CA0"/>
    <w:rsid w:val="0099612D"/>
    <w:rsid w:val="009964DD"/>
    <w:rsid w:val="00996ACB"/>
    <w:rsid w:val="00996BD7"/>
    <w:rsid w:val="00996DDC"/>
    <w:rsid w:val="00996F64"/>
    <w:rsid w:val="00996FC2"/>
    <w:rsid w:val="00997BFC"/>
    <w:rsid w:val="009A015C"/>
    <w:rsid w:val="009A026D"/>
    <w:rsid w:val="009A03B7"/>
    <w:rsid w:val="009A09C8"/>
    <w:rsid w:val="009A09F0"/>
    <w:rsid w:val="009A0AA7"/>
    <w:rsid w:val="009A1744"/>
    <w:rsid w:val="009A199A"/>
    <w:rsid w:val="009A1A01"/>
    <w:rsid w:val="009A27B4"/>
    <w:rsid w:val="009A2AEB"/>
    <w:rsid w:val="009A2D19"/>
    <w:rsid w:val="009A3153"/>
    <w:rsid w:val="009A3157"/>
    <w:rsid w:val="009A34E0"/>
    <w:rsid w:val="009A365D"/>
    <w:rsid w:val="009A386A"/>
    <w:rsid w:val="009A4174"/>
    <w:rsid w:val="009A4E7C"/>
    <w:rsid w:val="009A5153"/>
    <w:rsid w:val="009A515F"/>
    <w:rsid w:val="009A5900"/>
    <w:rsid w:val="009A5DDE"/>
    <w:rsid w:val="009A6283"/>
    <w:rsid w:val="009A644D"/>
    <w:rsid w:val="009A6709"/>
    <w:rsid w:val="009A68AC"/>
    <w:rsid w:val="009A6B45"/>
    <w:rsid w:val="009A6EF2"/>
    <w:rsid w:val="009A7264"/>
    <w:rsid w:val="009A7270"/>
    <w:rsid w:val="009A72AF"/>
    <w:rsid w:val="009A7635"/>
    <w:rsid w:val="009A7761"/>
    <w:rsid w:val="009A7EE3"/>
    <w:rsid w:val="009B0700"/>
    <w:rsid w:val="009B0A1A"/>
    <w:rsid w:val="009B1164"/>
    <w:rsid w:val="009B13B3"/>
    <w:rsid w:val="009B1481"/>
    <w:rsid w:val="009B1DC1"/>
    <w:rsid w:val="009B2004"/>
    <w:rsid w:val="009B2297"/>
    <w:rsid w:val="009B2982"/>
    <w:rsid w:val="009B2B70"/>
    <w:rsid w:val="009B2E73"/>
    <w:rsid w:val="009B3004"/>
    <w:rsid w:val="009B31C4"/>
    <w:rsid w:val="009B3D1D"/>
    <w:rsid w:val="009B4004"/>
    <w:rsid w:val="009B42B9"/>
    <w:rsid w:val="009B46A1"/>
    <w:rsid w:val="009B4969"/>
    <w:rsid w:val="009B5082"/>
    <w:rsid w:val="009B5117"/>
    <w:rsid w:val="009B5789"/>
    <w:rsid w:val="009B579D"/>
    <w:rsid w:val="009B58E1"/>
    <w:rsid w:val="009B5946"/>
    <w:rsid w:val="009B5B88"/>
    <w:rsid w:val="009B5BD1"/>
    <w:rsid w:val="009B5E96"/>
    <w:rsid w:val="009B62AB"/>
    <w:rsid w:val="009B6488"/>
    <w:rsid w:val="009B67AE"/>
    <w:rsid w:val="009B6BFD"/>
    <w:rsid w:val="009B6CC1"/>
    <w:rsid w:val="009B6F71"/>
    <w:rsid w:val="009B7656"/>
    <w:rsid w:val="009B76D1"/>
    <w:rsid w:val="009B7D7F"/>
    <w:rsid w:val="009B7FB4"/>
    <w:rsid w:val="009C033C"/>
    <w:rsid w:val="009C0529"/>
    <w:rsid w:val="009C118D"/>
    <w:rsid w:val="009C1384"/>
    <w:rsid w:val="009C16A2"/>
    <w:rsid w:val="009C16DA"/>
    <w:rsid w:val="009C1F75"/>
    <w:rsid w:val="009C28DE"/>
    <w:rsid w:val="009C300E"/>
    <w:rsid w:val="009C3484"/>
    <w:rsid w:val="009C3771"/>
    <w:rsid w:val="009C38EC"/>
    <w:rsid w:val="009C3CEB"/>
    <w:rsid w:val="009C3F3D"/>
    <w:rsid w:val="009C4216"/>
    <w:rsid w:val="009C4353"/>
    <w:rsid w:val="009C47BB"/>
    <w:rsid w:val="009C5BED"/>
    <w:rsid w:val="009C61BD"/>
    <w:rsid w:val="009C6D7A"/>
    <w:rsid w:val="009C7548"/>
    <w:rsid w:val="009C78E1"/>
    <w:rsid w:val="009C79DB"/>
    <w:rsid w:val="009D01D3"/>
    <w:rsid w:val="009D0819"/>
    <w:rsid w:val="009D087F"/>
    <w:rsid w:val="009D08DC"/>
    <w:rsid w:val="009D0F65"/>
    <w:rsid w:val="009D0FC5"/>
    <w:rsid w:val="009D127D"/>
    <w:rsid w:val="009D16E9"/>
    <w:rsid w:val="009D1D36"/>
    <w:rsid w:val="009D22E5"/>
    <w:rsid w:val="009D2538"/>
    <w:rsid w:val="009D268E"/>
    <w:rsid w:val="009D2866"/>
    <w:rsid w:val="009D29F4"/>
    <w:rsid w:val="009D2F5A"/>
    <w:rsid w:val="009D2FA7"/>
    <w:rsid w:val="009D3024"/>
    <w:rsid w:val="009D35C1"/>
    <w:rsid w:val="009D3946"/>
    <w:rsid w:val="009D3B23"/>
    <w:rsid w:val="009D3BEE"/>
    <w:rsid w:val="009D3FDD"/>
    <w:rsid w:val="009D406E"/>
    <w:rsid w:val="009D4071"/>
    <w:rsid w:val="009D45D1"/>
    <w:rsid w:val="009D4A95"/>
    <w:rsid w:val="009D4B90"/>
    <w:rsid w:val="009D4D3E"/>
    <w:rsid w:val="009D5287"/>
    <w:rsid w:val="009D551A"/>
    <w:rsid w:val="009D5F22"/>
    <w:rsid w:val="009D5F4A"/>
    <w:rsid w:val="009D6020"/>
    <w:rsid w:val="009D60B4"/>
    <w:rsid w:val="009D6137"/>
    <w:rsid w:val="009D6542"/>
    <w:rsid w:val="009D6E00"/>
    <w:rsid w:val="009D6F41"/>
    <w:rsid w:val="009D768B"/>
    <w:rsid w:val="009D7C51"/>
    <w:rsid w:val="009D7DE6"/>
    <w:rsid w:val="009E02FA"/>
    <w:rsid w:val="009E0DCF"/>
    <w:rsid w:val="009E1125"/>
    <w:rsid w:val="009E20A6"/>
    <w:rsid w:val="009E266A"/>
    <w:rsid w:val="009E3133"/>
    <w:rsid w:val="009E3348"/>
    <w:rsid w:val="009E3CF9"/>
    <w:rsid w:val="009E406C"/>
    <w:rsid w:val="009E4149"/>
    <w:rsid w:val="009E44DB"/>
    <w:rsid w:val="009E454B"/>
    <w:rsid w:val="009E4681"/>
    <w:rsid w:val="009E46BF"/>
    <w:rsid w:val="009E46FF"/>
    <w:rsid w:val="009E48D1"/>
    <w:rsid w:val="009E4AC2"/>
    <w:rsid w:val="009E4D7D"/>
    <w:rsid w:val="009E508C"/>
    <w:rsid w:val="009E5278"/>
    <w:rsid w:val="009E5545"/>
    <w:rsid w:val="009E5930"/>
    <w:rsid w:val="009E61B6"/>
    <w:rsid w:val="009E64A8"/>
    <w:rsid w:val="009E6B7A"/>
    <w:rsid w:val="009E6EE5"/>
    <w:rsid w:val="009E6F2A"/>
    <w:rsid w:val="009E731A"/>
    <w:rsid w:val="009E7616"/>
    <w:rsid w:val="009E7C82"/>
    <w:rsid w:val="009E7E1E"/>
    <w:rsid w:val="009F0386"/>
    <w:rsid w:val="009F0493"/>
    <w:rsid w:val="009F04B5"/>
    <w:rsid w:val="009F057B"/>
    <w:rsid w:val="009F08D9"/>
    <w:rsid w:val="009F0C72"/>
    <w:rsid w:val="009F0CA9"/>
    <w:rsid w:val="009F0E10"/>
    <w:rsid w:val="009F1116"/>
    <w:rsid w:val="009F170C"/>
    <w:rsid w:val="009F1A1C"/>
    <w:rsid w:val="009F1C36"/>
    <w:rsid w:val="009F1E57"/>
    <w:rsid w:val="009F1FCE"/>
    <w:rsid w:val="009F251A"/>
    <w:rsid w:val="009F27E5"/>
    <w:rsid w:val="009F2E8B"/>
    <w:rsid w:val="009F3016"/>
    <w:rsid w:val="009F35B8"/>
    <w:rsid w:val="009F3DAA"/>
    <w:rsid w:val="009F454D"/>
    <w:rsid w:val="009F47D5"/>
    <w:rsid w:val="009F483C"/>
    <w:rsid w:val="009F52E0"/>
    <w:rsid w:val="009F5943"/>
    <w:rsid w:val="009F5BE4"/>
    <w:rsid w:val="009F6932"/>
    <w:rsid w:val="009F6FD8"/>
    <w:rsid w:val="009F700F"/>
    <w:rsid w:val="009F761F"/>
    <w:rsid w:val="009F7D19"/>
    <w:rsid w:val="00A01733"/>
    <w:rsid w:val="00A0177D"/>
    <w:rsid w:val="00A0189C"/>
    <w:rsid w:val="00A01F97"/>
    <w:rsid w:val="00A0295E"/>
    <w:rsid w:val="00A02CC2"/>
    <w:rsid w:val="00A0309B"/>
    <w:rsid w:val="00A033CD"/>
    <w:rsid w:val="00A0349F"/>
    <w:rsid w:val="00A034A1"/>
    <w:rsid w:val="00A041AD"/>
    <w:rsid w:val="00A0435C"/>
    <w:rsid w:val="00A0445F"/>
    <w:rsid w:val="00A04D39"/>
    <w:rsid w:val="00A04E97"/>
    <w:rsid w:val="00A04F14"/>
    <w:rsid w:val="00A051C1"/>
    <w:rsid w:val="00A05572"/>
    <w:rsid w:val="00A05B5B"/>
    <w:rsid w:val="00A05E30"/>
    <w:rsid w:val="00A06283"/>
    <w:rsid w:val="00A062CF"/>
    <w:rsid w:val="00A06E88"/>
    <w:rsid w:val="00A06F7F"/>
    <w:rsid w:val="00A07113"/>
    <w:rsid w:val="00A07307"/>
    <w:rsid w:val="00A07455"/>
    <w:rsid w:val="00A07872"/>
    <w:rsid w:val="00A07F49"/>
    <w:rsid w:val="00A10259"/>
    <w:rsid w:val="00A1092E"/>
    <w:rsid w:val="00A10A7E"/>
    <w:rsid w:val="00A1100D"/>
    <w:rsid w:val="00A11B71"/>
    <w:rsid w:val="00A11C0C"/>
    <w:rsid w:val="00A11E63"/>
    <w:rsid w:val="00A12A14"/>
    <w:rsid w:val="00A12E3C"/>
    <w:rsid w:val="00A131F6"/>
    <w:rsid w:val="00A1362D"/>
    <w:rsid w:val="00A13A3F"/>
    <w:rsid w:val="00A13E14"/>
    <w:rsid w:val="00A1431C"/>
    <w:rsid w:val="00A147F9"/>
    <w:rsid w:val="00A148DB"/>
    <w:rsid w:val="00A149FE"/>
    <w:rsid w:val="00A14DC9"/>
    <w:rsid w:val="00A14DE4"/>
    <w:rsid w:val="00A1573D"/>
    <w:rsid w:val="00A1574F"/>
    <w:rsid w:val="00A15756"/>
    <w:rsid w:val="00A157D8"/>
    <w:rsid w:val="00A1598E"/>
    <w:rsid w:val="00A159F4"/>
    <w:rsid w:val="00A15F52"/>
    <w:rsid w:val="00A161BF"/>
    <w:rsid w:val="00A16235"/>
    <w:rsid w:val="00A16712"/>
    <w:rsid w:val="00A1689E"/>
    <w:rsid w:val="00A16C20"/>
    <w:rsid w:val="00A16E5F"/>
    <w:rsid w:val="00A16E9C"/>
    <w:rsid w:val="00A17B35"/>
    <w:rsid w:val="00A17CB1"/>
    <w:rsid w:val="00A17E53"/>
    <w:rsid w:val="00A2039C"/>
    <w:rsid w:val="00A20997"/>
    <w:rsid w:val="00A20BAA"/>
    <w:rsid w:val="00A20E4B"/>
    <w:rsid w:val="00A21091"/>
    <w:rsid w:val="00A2132D"/>
    <w:rsid w:val="00A2156E"/>
    <w:rsid w:val="00A216A0"/>
    <w:rsid w:val="00A21D56"/>
    <w:rsid w:val="00A21F76"/>
    <w:rsid w:val="00A223A8"/>
    <w:rsid w:val="00A2241E"/>
    <w:rsid w:val="00A224E9"/>
    <w:rsid w:val="00A22B58"/>
    <w:rsid w:val="00A23010"/>
    <w:rsid w:val="00A23081"/>
    <w:rsid w:val="00A23813"/>
    <w:rsid w:val="00A23A67"/>
    <w:rsid w:val="00A23E59"/>
    <w:rsid w:val="00A24748"/>
    <w:rsid w:val="00A250E7"/>
    <w:rsid w:val="00A25D7E"/>
    <w:rsid w:val="00A2642D"/>
    <w:rsid w:val="00A26A9B"/>
    <w:rsid w:val="00A26E61"/>
    <w:rsid w:val="00A26F8B"/>
    <w:rsid w:val="00A272D9"/>
    <w:rsid w:val="00A277D7"/>
    <w:rsid w:val="00A278A0"/>
    <w:rsid w:val="00A2792C"/>
    <w:rsid w:val="00A27C8A"/>
    <w:rsid w:val="00A30049"/>
    <w:rsid w:val="00A30375"/>
    <w:rsid w:val="00A30C5C"/>
    <w:rsid w:val="00A30D86"/>
    <w:rsid w:val="00A30EB9"/>
    <w:rsid w:val="00A30FF6"/>
    <w:rsid w:val="00A3109D"/>
    <w:rsid w:val="00A31D9E"/>
    <w:rsid w:val="00A320BA"/>
    <w:rsid w:val="00A32466"/>
    <w:rsid w:val="00A324CB"/>
    <w:rsid w:val="00A32C9F"/>
    <w:rsid w:val="00A3305C"/>
    <w:rsid w:val="00A3324B"/>
    <w:rsid w:val="00A33460"/>
    <w:rsid w:val="00A33CC5"/>
    <w:rsid w:val="00A34372"/>
    <w:rsid w:val="00A346E2"/>
    <w:rsid w:val="00A347F4"/>
    <w:rsid w:val="00A34B0B"/>
    <w:rsid w:val="00A34D2C"/>
    <w:rsid w:val="00A34F99"/>
    <w:rsid w:val="00A35143"/>
    <w:rsid w:val="00A358CB"/>
    <w:rsid w:val="00A35AB0"/>
    <w:rsid w:val="00A35CE5"/>
    <w:rsid w:val="00A35E4A"/>
    <w:rsid w:val="00A3611A"/>
    <w:rsid w:val="00A36372"/>
    <w:rsid w:val="00A3673B"/>
    <w:rsid w:val="00A367AE"/>
    <w:rsid w:val="00A36C26"/>
    <w:rsid w:val="00A36CFD"/>
    <w:rsid w:val="00A37331"/>
    <w:rsid w:val="00A37B18"/>
    <w:rsid w:val="00A37B6D"/>
    <w:rsid w:val="00A40535"/>
    <w:rsid w:val="00A408BB"/>
    <w:rsid w:val="00A4126B"/>
    <w:rsid w:val="00A414F6"/>
    <w:rsid w:val="00A4170F"/>
    <w:rsid w:val="00A41CDF"/>
    <w:rsid w:val="00A41FED"/>
    <w:rsid w:val="00A427CA"/>
    <w:rsid w:val="00A428AD"/>
    <w:rsid w:val="00A42C0B"/>
    <w:rsid w:val="00A430A8"/>
    <w:rsid w:val="00A4338E"/>
    <w:rsid w:val="00A434E5"/>
    <w:rsid w:val="00A43726"/>
    <w:rsid w:val="00A4488E"/>
    <w:rsid w:val="00A44BCE"/>
    <w:rsid w:val="00A44DC6"/>
    <w:rsid w:val="00A45026"/>
    <w:rsid w:val="00A4510E"/>
    <w:rsid w:val="00A458BF"/>
    <w:rsid w:val="00A45C8B"/>
    <w:rsid w:val="00A45F63"/>
    <w:rsid w:val="00A46245"/>
    <w:rsid w:val="00A46610"/>
    <w:rsid w:val="00A467A9"/>
    <w:rsid w:val="00A468D5"/>
    <w:rsid w:val="00A46C2D"/>
    <w:rsid w:val="00A46CE5"/>
    <w:rsid w:val="00A476BA"/>
    <w:rsid w:val="00A47B83"/>
    <w:rsid w:val="00A47FF7"/>
    <w:rsid w:val="00A503C4"/>
    <w:rsid w:val="00A50E95"/>
    <w:rsid w:val="00A514EE"/>
    <w:rsid w:val="00A51803"/>
    <w:rsid w:val="00A5180D"/>
    <w:rsid w:val="00A51B2E"/>
    <w:rsid w:val="00A52073"/>
    <w:rsid w:val="00A5216A"/>
    <w:rsid w:val="00A52383"/>
    <w:rsid w:val="00A52695"/>
    <w:rsid w:val="00A526A8"/>
    <w:rsid w:val="00A52C7A"/>
    <w:rsid w:val="00A53174"/>
    <w:rsid w:val="00A531E2"/>
    <w:rsid w:val="00A535E3"/>
    <w:rsid w:val="00A535E5"/>
    <w:rsid w:val="00A5379D"/>
    <w:rsid w:val="00A537AC"/>
    <w:rsid w:val="00A5385F"/>
    <w:rsid w:val="00A53BFA"/>
    <w:rsid w:val="00A53C1F"/>
    <w:rsid w:val="00A53CA3"/>
    <w:rsid w:val="00A53F38"/>
    <w:rsid w:val="00A541A1"/>
    <w:rsid w:val="00A54419"/>
    <w:rsid w:val="00A54B04"/>
    <w:rsid w:val="00A54EFB"/>
    <w:rsid w:val="00A552BB"/>
    <w:rsid w:val="00A554E1"/>
    <w:rsid w:val="00A55E47"/>
    <w:rsid w:val="00A56121"/>
    <w:rsid w:val="00A56695"/>
    <w:rsid w:val="00A56845"/>
    <w:rsid w:val="00A56FC9"/>
    <w:rsid w:val="00A571CD"/>
    <w:rsid w:val="00A5725B"/>
    <w:rsid w:val="00A57571"/>
    <w:rsid w:val="00A609F6"/>
    <w:rsid w:val="00A613DC"/>
    <w:rsid w:val="00A6157E"/>
    <w:rsid w:val="00A6203A"/>
    <w:rsid w:val="00A620A0"/>
    <w:rsid w:val="00A628CF"/>
    <w:rsid w:val="00A630C4"/>
    <w:rsid w:val="00A63515"/>
    <w:rsid w:val="00A63A3B"/>
    <w:rsid w:val="00A63B05"/>
    <w:rsid w:val="00A63DDB"/>
    <w:rsid w:val="00A64018"/>
    <w:rsid w:val="00A640C4"/>
    <w:rsid w:val="00A6457E"/>
    <w:rsid w:val="00A64AEB"/>
    <w:rsid w:val="00A64C38"/>
    <w:rsid w:val="00A64C78"/>
    <w:rsid w:val="00A64CDD"/>
    <w:rsid w:val="00A65296"/>
    <w:rsid w:val="00A6573D"/>
    <w:rsid w:val="00A65AE8"/>
    <w:rsid w:val="00A65FF3"/>
    <w:rsid w:val="00A66749"/>
    <w:rsid w:val="00A66916"/>
    <w:rsid w:val="00A66ACD"/>
    <w:rsid w:val="00A67007"/>
    <w:rsid w:val="00A67183"/>
    <w:rsid w:val="00A67486"/>
    <w:rsid w:val="00A67BBE"/>
    <w:rsid w:val="00A7010D"/>
    <w:rsid w:val="00A708CA"/>
    <w:rsid w:val="00A7097C"/>
    <w:rsid w:val="00A709BE"/>
    <w:rsid w:val="00A70C12"/>
    <w:rsid w:val="00A71939"/>
    <w:rsid w:val="00A71977"/>
    <w:rsid w:val="00A71B55"/>
    <w:rsid w:val="00A71B63"/>
    <w:rsid w:val="00A726E0"/>
    <w:rsid w:val="00A72B55"/>
    <w:rsid w:val="00A72DCD"/>
    <w:rsid w:val="00A72F05"/>
    <w:rsid w:val="00A732DC"/>
    <w:rsid w:val="00A7337F"/>
    <w:rsid w:val="00A733FA"/>
    <w:rsid w:val="00A7366E"/>
    <w:rsid w:val="00A738E6"/>
    <w:rsid w:val="00A7394B"/>
    <w:rsid w:val="00A740B2"/>
    <w:rsid w:val="00A74897"/>
    <w:rsid w:val="00A748BF"/>
    <w:rsid w:val="00A748D8"/>
    <w:rsid w:val="00A74BAA"/>
    <w:rsid w:val="00A74CCD"/>
    <w:rsid w:val="00A74D20"/>
    <w:rsid w:val="00A74DEA"/>
    <w:rsid w:val="00A74F34"/>
    <w:rsid w:val="00A75302"/>
    <w:rsid w:val="00A754EA"/>
    <w:rsid w:val="00A7552B"/>
    <w:rsid w:val="00A75820"/>
    <w:rsid w:val="00A75B1F"/>
    <w:rsid w:val="00A75C76"/>
    <w:rsid w:val="00A75CFD"/>
    <w:rsid w:val="00A75F9F"/>
    <w:rsid w:val="00A76710"/>
    <w:rsid w:val="00A77107"/>
    <w:rsid w:val="00A77502"/>
    <w:rsid w:val="00A77CEE"/>
    <w:rsid w:val="00A77ED8"/>
    <w:rsid w:val="00A77F77"/>
    <w:rsid w:val="00A77F99"/>
    <w:rsid w:val="00A80344"/>
    <w:rsid w:val="00A80345"/>
    <w:rsid w:val="00A80C98"/>
    <w:rsid w:val="00A81121"/>
    <w:rsid w:val="00A811D4"/>
    <w:rsid w:val="00A817DD"/>
    <w:rsid w:val="00A819B1"/>
    <w:rsid w:val="00A81CF5"/>
    <w:rsid w:val="00A81E4B"/>
    <w:rsid w:val="00A8218C"/>
    <w:rsid w:val="00A8226B"/>
    <w:rsid w:val="00A826F3"/>
    <w:rsid w:val="00A82C7C"/>
    <w:rsid w:val="00A82DDB"/>
    <w:rsid w:val="00A834FA"/>
    <w:rsid w:val="00A84152"/>
    <w:rsid w:val="00A84297"/>
    <w:rsid w:val="00A84801"/>
    <w:rsid w:val="00A84B8A"/>
    <w:rsid w:val="00A84D5E"/>
    <w:rsid w:val="00A84DF6"/>
    <w:rsid w:val="00A84F4E"/>
    <w:rsid w:val="00A85D2C"/>
    <w:rsid w:val="00A862B8"/>
    <w:rsid w:val="00A86612"/>
    <w:rsid w:val="00A86C61"/>
    <w:rsid w:val="00A86FE0"/>
    <w:rsid w:val="00A877A8"/>
    <w:rsid w:val="00A87CE4"/>
    <w:rsid w:val="00A9010C"/>
    <w:rsid w:val="00A90161"/>
    <w:rsid w:val="00A901B4"/>
    <w:rsid w:val="00A90247"/>
    <w:rsid w:val="00A908AF"/>
    <w:rsid w:val="00A916E6"/>
    <w:rsid w:val="00A91D71"/>
    <w:rsid w:val="00A92498"/>
    <w:rsid w:val="00A92686"/>
    <w:rsid w:val="00A927C8"/>
    <w:rsid w:val="00A92890"/>
    <w:rsid w:val="00A92AB7"/>
    <w:rsid w:val="00A93AFF"/>
    <w:rsid w:val="00A93E0A"/>
    <w:rsid w:val="00A9419B"/>
    <w:rsid w:val="00A9450D"/>
    <w:rsid w:val="00A94708"/>
    <w:rsid w:val="00A94851"/>
    <w:rsid w:val="00A95919"/>
    <w:rsid w:val="00A95C14"/>
    <w:rsid w:val="00A95C36"/>
    <w:rsid w:val="00A95E86"/>
    <w:rsid w:val="00A96270"/>
    <w:rsid w:val="00A96B1E"/>
    <w:rsid w:val="00A96D2A"/>
    <w:rsid w:val="00A97181"/>
    <w:rsid w:val="00A97879"/>
    <w:rsid w:val="00A97AFA"/>
    <w:rsid w:val="00A97B85"/>
    <w:rsid w:val="00A97D82"/>
    <w:rsid w:val="00A97E78"/>
    <w:rsid w:val="00AA09CE"/>
    <w:rsid w:val="00AA0ABD"/>
    <w:rsid w:val="00AA0C66"/>
    <w:rsid w:val="00AA0DC9"/>
    <w:rsid w:val="00AA0DFF"/>
    <w:rsid w:val="00AA105B"/>
    <w:rsid w:val="00AA13CF"/>
    <w:rsid w:val="00AA18D5"/>
    <w:rsid w:val="00AA2424"/>
    <w:rsid w:val="00AA2998"/>
    <w:rsid w:val="00AA2C4F"/>
    <w:rsid w:val="00AA2FF2"/>
    <w:rsid w:val="00AA33B4"/>
    <w:rsid w:val="00AA367F"/>
    <w:rsid w:val="00AA3822"/>
    <w:rsid w:val="00AA3C30"/>
    <w:rsid w:val="00AA401A"/>
    <w:rsid w:val="00AA4496"/>
    <w:rsid w:val="00AA4981"/>
    <w:rsid w:val="00AA4D2A"/>
    <w:rsid w:val="00AA54A7"/>
    <w:rsid w:val="00AA5547"/>
    <w:rsid w:val="00AA5964"/>
    <w:rsid w:val="00AA598C"/>
    <w:rsid w:val="00AA60A1"/>
    <w:rsid w:val="00AA768E"/>
    <w:rsid w:val="00AA77F6"/>
    <w:rsid w:val="00AA7B45"/>
    <w:rsid w:val="00AA7F47"/>
    <w:rsid w:val="00AB049D"/>
    <w:rsid w:val="00AB0574"/>
    <w:rsid w:val="00AB0AFA"/>
    <w:rsid w:val="00AB0B04"/>
    <w:rsid w:val="00AB0C2C"/>
    <w:rsid w:val="00AB1A3C"/>
    <w:rsid w:val="00AB1E83"/>
    <w:rsid w:val="00AB2045"/>
    <w:rsid w:val="00AB228E"/>
    <w:rsid w:val="00AB2C4E"/>
    <w:rsid w:val="00AB3237"/>
    <w:rsid w:val="00AB3392"/>
    <w:rsid w:val="00AB351F"/>
    <w:rsid w:val="00AB3BA0"/>
    <w:rsid w:val="00AB3C0C"/>
    <w:rsid w:val="00AB3C55"/>
    <w:rsid w:val="00AB3F44"/>
    <w:rsid w:val="00AB4064"/>
    <w:rsid w:val="00AB407B"/>
    <w:rsid w:val="00AB45C4"/>
    <w:rsid w:val="00AB48FE"/>
    <w:rsid w:val="00AB491B"/>
    <w:rsid w:val="00AB4AA7"/>
    <w:rsid w:val="00AB4AFD"/>
    <w:rsid w:val="00AB52B9"/>
    <w:rsid w:val="00AB53D4"/>
    <w:rsid w:val="00AB5709"/>
    <w:rsid w:val="00AB68D4"/>
    <w:rsid w:val="00AB6CA9"/>
    <w:rsid w:val="00AB6EA6"/>
    <w:rsid w:val="00AB7337"/>
    <w:rsid w:val="00AC0332"/>
    <w:rsid w:val="00AC05FB"/>
    <w:rsid w:val="00AC0BEB"/>
    <w:rsid w:val="00AC0E06"/>
    <w:rsid w:val="00AC0F2D"/>
    <w:rsid w:val="00AC12C9"/>
    <w:rsid w:val="00AC14C8"/>
    <w:rsid w:val="00AC161C"/>
    <w:rsid w:val="00AC19BE"/>
    <w:rsid w:val="00AC1ED2"/>
    <w:rsid w:val="00AC1F59"/>
    <w:rsid w:val="00AC2167"/>
    <w:rsid w:val="00AC2B6B"/>
    <w:rsid w:val="00AC324C"/>
    <w:rsid w:val="00AC32F2"/>
    <w:rsid w:val="00AC41A4"/>
    <w:rsid w:val="00AC43F1"/>
    <w:rsid w:val="00AC4CD9"/>
    <w:rsid w:val="00AC4DF7"/>
    <w:rsid w:val="00AC5873"/>
    <w:rsid w:val="00AC5FA9"/>
    <w:rsid w:val="00AC60AF"/>
    <w:rsid w:val="00AC674E"/>
    <w:rsid w:val="00AC67B0"/>
    <w:rsid w:val="00AC6BE0"/>
    <w:rsid w:val="00AC724D"/>
    <w:rsid w:val="00AC7526"/>
    <w:rsid w:val="00AC7DF3"/>
    <w:rsid w:val="00AC7E2E"/>
    <w:rsid w:val="00AD03AA"/>
    <w:rsid w:val="00AD0790"/>
    <w:rsid w:val="00AD0C83"/>
    <w:rsid w:val="00AD1635"/>
    <w:rsid w:val="00AD177F"/>
    <w:rsid w:val="00AD1809"/>
    <w:rsid w:val="00AD1928"/>
    <w:rsid w:val="00AD195D"/>
    <w:rsid w:val="00AD1DEE"/>
    <w:rsid w:val="00AD226D"/>
    <w:rsid w:val="00AD27FA"/>
    <w:rsid w:val="00AD2BFB"/>
    <w:rsid w:val="00AD3041"/>
    <w:rsid w:val="00AD39CC"/>
    <w:rsid w:val="00AD39F6"/>
    <w:rsid w:val="00AD3E43"/>
    <w:rsid w:val="00AD436B"/>
    <w:rsid w:val="00AD4389"/>
    <w:rsid w:val="00AD43C4"/>
    <w:rsid w:val="00AD4508"/>
    <w:rsid w:val="00AD45CC"/>
    <w:rsid w:val="00AD470E"/>
    <w:rsid w:val="00AD4748"/>
    <w:rsid w:val="00AD506D"/>
    <w:rsid w:val="00AD507A"/>
    <w:rsid w:val="00AD5E58"/>
    <w:rsid w:val="00AD63BF"/>
    <w:rsid w:val="00AD6985"/>
    <w:rsid w:val="00AD6B44"/>
    <w:rsid w:val="00AD6BDE"/>
    <w:rsid w:val="00AD6E16"/>
    <w:rsid w:val="00AD7056"/>
    <w:rsid w:val="00AD74F0"/>
    <w:rsid w:val="00AD7FDB"/>
    <w:rsid w:val="00AE03A5"/>
    <w:rsid w:val="00AE05AE"/>
    <w:rsid w:val="00AE0A77"/>
    <w:rsid w:val="00AE0F0F"/>
    <w:rsid w:val="00AE1394"/>
    <w:rsid w:val="00AE2034"/>
    <w:rsid w:val="00AE261C"/>
    <w:rsid w:val="00AE262E"/>
    <w:rsid w:val="00AE3945"/>
    <w:rsid w:val="00AE3C9E"/>
    <w:rsid w:val="00AE3DB7"/>
    <w:rsid w:val="00AE3F6D"/>
    <w:rsid w:val="00AE43B6"/>
    <w:rsid w:val="00AE5158"/>
    <w:rsid w:val="00AE5DA5"/>
    <w:rsid w:val="00AE602F"/>
    <w:rsid w:val="00AE6CA7"/>
    <w:rsid w:val="00AE6CE6"/>
    <w:rsid w:val="00AE70C4"/>
    <w:rsid w:val="00AE7CCB"/>
    <w:rsid w:val="00AF02D6"/>
    <w:rsid w:val="00AF038D"/>
    <w:rsid w:val="00AF089D"/>
    <w:rsid w:val="00AF12A9"/>
    <w:rsid w:val="00AF16E8"/>
    <w:rsid w:val="00AF1CBD"/>
    <w:rsid w:val="00AF2453"/>
    <w:rsid w:val="00AF253F"/>
    <w:rsid w:val="00AF29EB"/>
    <w:rsid w:val="00AF2A19"/>
    <w:rsid w:val="00AF2A6C"/>
    <w:rsid w:val="00AF2B7E"/>
    <w:rsid w:val="00AF32A8"/>
    <w:rsid w:val="00AF37BB"/>
    <w:rsid w:val="00AF3868"/>
    <w:rsid w:val="00AF4083"/>
    <w:rsid w:val="00AF40CE"/>
    <w:rsid w:val="00AF4991"/>
    <w:rsid w:val="00AF4CE7"/>
    <w:rsid w:val="00AF56CD"/>
    <w:rsid w:val="00AF6243"/>
    <w:rsid w:val="00AF627A"/>
    <w:rsid w:val="00AF67D8"/>
    <w:rsid w:val="00AF69F3"/>
    <w:rsid w:val="00AF6D0B"/>
    <w:rsid w:val="00AF7286"/>
    <w:rsid w:val="00AF740C"/>
    <w:rsid w:val="00AF79EE"/>
    <w:rsid w:val="00AF7B4E"/>
    <w:rsid w:val="00AF7FE0"/>
    <w:rsid w:val="00B00114"/>
    <w:rsid w:val="00B003CC"/>
    <w:rsid w:val="00B003FD"/>
    <w:rsid w:val="00B007A7"/>
    <w:rsid w:val="00B010CB"/>
    <w:rsid w:val="00B012D0"/>
    <w:rsid w:val="00B01A60"/>
    <w:rsid w:val="00B01D4A"/>
    <w:rsid w:val="00B01DB3"/>
    <w:rsid w:val="00B01F10"/>
    <w:rsid w:val="00B02096"/>
    <w:rsid w:val="00B0218E"/>
    <w:rsid w:val="00B022D7"/>
    <w:rsid w:val="00B025C8"/>
    <w:rsid w:val="00B02754"/>
    <w:rsid w:val="00B02AF5"/>
    <w:rsid w:val="00B02ED6"/>
    <w:rsid w:val="00B033C8"/>
    <w:rsid w:val="00B03471"/>
    <w:rsid w:val="00B03712"/>
    <w:rsid w:val="00B03A86"/>
    <w:rsid w:val="00B03E2A"/>
    <w:rsid w:val="00B041FC"/>
    <w:rsid w:val="00B04299"/>
    <w:rsid w:val="00B04336"/>
    <w:rsid w:val="00B04421"/>
    <w:rsid w:val="00B044B2"/>
    <w:rsid w:val="00B050C7"/>
    <w:rsid w:val="00B0544D"/>
    <w:rsid w:val="00B05738"/>
    <w:rsid w:val="00B057C8"/>
    <w:rsid w:val="00B05962"/>
    <w:rsid w:val="00B05EAC"/>
    <w:rsid w:val="00B062A2"/>
    <w:rsid w:val="00B06378"/>
    <w:rsid w:val="00B065B0"/>
    <w:rsid w:val="00B065BC"/>
    <w:rsid w:val="00B06BF5"/>
    <w:rsid w:val="00B07806"/>
    <w:rsid w:val="00B079AF"/>
    <w:rsid w:val="00B07BFB"/>
    <w:rsid w:val="00B07DD0"/>
    <w:rsid w:val="00B07E69"/>
    <w:rsid w:val="00B07E78"/>
    <w:rsid w:val="00B102C0"/>
    <w:rsid w:val="00B102EF"/>
    <w:rsid w:val="00B10AE0"/>
    <w:rsid w:val="00B110CC"/>
    <w:rsid w:val="00B11CFF"/>
    <w:rsid w:val="00B1227C"/>
    <w:rsid w:val="00B1239B"/>
    <w:rsid w:val="00B123CB"/>
    <w:rsid w:val="00B12833"/>
    <w:rsid w:val="00B12DC7"/>
    <w:rsid w:val="00B12F54"/>
    <w:rsid w:val="00B134A3"/>
    <w:rsid w:val="00B13623"/>
    <w:rsid w:val="00B136B8"/>
    <w:rsid w:val="00B136BB"/>
    <w:rsid w:val="00B13A99"/>
    <w:rsid w:val="00B13CFA"/>
    <w:rsid w:val="00B13DA7"/>
    <w:rsid w:val="00B13E9E"/>
    <w:rsid w:val="00B1450A"/>
    <w:rsid w:val="00B14654"/>
    <w:rsid w:val="00B14A2C"/>
    <w:rsid w:val="00B14A39"/>
    <w:rsid w:val="00B14B0B"/>
    <w:rsid w:val="00B14F35"/>
    <w:rsid w:val="00B15123"/>
    <w:rsid w:val="00B151FB"/>
    <w:rsid w:val="00B154C2"/>
    <w:rsid w:val="00B1561F"/>
    <w:rsid w:val="00B15CFF"/>
    <w:rsid w:val="00B15DCD"/>
    <w:rsid w:val="00B15E08"/>
    <w:rsid w:val="00B16059"/>
    <w:rsid w:val="00B16726"/>
    <w:rsid w:val="00B173D3"/>
    <w:rsid w:val="00B17589"/>
    <w:rsid w:val="00B20695"/>
    <w:rsid w:val="00B20D82"/>
    <w:rsid w:val="00B2139B"/>
    <w:rsid w:val="00B21452"/>
    <w:rsid w:val="00B2175C"/>
    <w:rsid w:val="00B21A8A"/>
    <w:rsid w:val="00B21ADD"/>
    <w:rsid w:val="00B21AFF"/>
    <w:rsid w:val="00B21CAB"/>
    <w:rsid w:val="00B21F03"/>
    <w:rsid w:val="00B2201A"/>
    <w:rsid w:val="00B2223C"/>
    <w:rsid w:val="00B224B7"/>
    <w:rsid w:val="00B23825"/>
    <w:rsid w:val="00B2394E"/>
    <w:rsid w:val="00B23D34"/>
    <w:rsid w:val="00B240A1"/>
    <w:rsid w:val="00B24902"/>
    <w:rsid w:val="00B249B8"/>
    <w:rsid w:val="00B24CC6"/>
    <w:rsid w:val="00B24E31"/>
    <w:rsid w:val="00B256B8"/>
    <w:rsid w:val="00B258E7"/>
    <w:rsid w:val="00B2593F"/>
    <w:rsid w:val="00B25A03"/>
    <w:rsid w:val="00B25F05"/>
    <w:rsid w:val="00B25FC5"/>
    <w:rsid w:val="00B2645E"/>
    <w:rsid w:val="00B26BB4"/>
    <w:rsid w:val="00B26DCC"/>
    <w:rsid w:val="00B26DE3"/>
    <w:rsid w:val="00B26EF5"/>
    <w:rsid w:val="00B26FF7"/>
    <w:rsid w:val="00B27118"/>
    <w:rsid w:val="00B27849"/>
    <w:rsid w:val="00B27C5C"/>
    <w:rsid w:val="00B3002F"/>
    <w:rsid w:val="00B30D51"/>
    <w:rsid w:val="00B3227B"/>
    <w:rsid w:val="00B32295"/>
    <w:rsid w:val="00B322EC"/>
    <w:rsid w:val="00B32565"/>
    <w:rsid w:val="00B3296F"/>
    <w:rsid w:val="00B32A18"/>
    <w:rsid w:val="00B32BA7"/>
    <w:rsid w:val="00B32D99"/>
    <w:rsid w:val="00B32EF0"/>
    <w:rsid w:val="00B33070"/>
    <w:rsid w:val="00B332A5"/>
    <w:rsid w:val="00B33A6D"/>
    <w:rsid w:val="00B33C14"/>
    <w:rsid w:val="00B33C54"/>
    <w:rsid w:val="00B33E7A"/>
    <w:rsid w:val="00B33EC8"/>
    <w:rsid w:val="00B3445B"/>
    <w:rsid w:val="00B34636"/>
    <w:rsid w:val="00B34C84"/>
    <w:rsid w:val="00B35734"/>
    <w:rsid w:val="00B35BEC"/>
    <w:rsid w:val="00B35E66"/>
    <w:rsid w:val="00B35F8B"/>
    <w:rsid w:val="00B37409"/>
    <w:rsid w:val="00B374BB"/>
    <w:rsid w:val="00B37982"/>
    <w:rsid w:val="00B37D23"/>
    <w:rsid w:val="00B40048"/>
    <w:rsid w:val="00B40450"/>
    <w:rsid w:val="00B40AB6"/>
    <w:rsid w:val="00B40AD9"/>
    <w:rsid w:val="00B40D53"/>
    <w:rsid w:val="00B414D5"/>
    <w:rsid w:val="00B41590"/>
    <w:rsid w:val="00B415C5"/>
    <w:rsid w:val="00B416F5"/>
    <w:rsid w:val="00B4174C"/>
    <w:rsid w:val="00B41964"/>
    <w:rsid w:val="00B41A2C"/>
    <w:rsid w:val="00B42420"/>
    <w:rsid w:val="00B432A6"/>
    <w:rsid w:val="00B4337E"/>
    <w:rsid w:val="00B433EE"/>
    <w:rsid w:val="00B4363C"/>
    <w:rsid w:val="00B437B3"/>
    <w:rsid w:val="00B437BC"/>
    <w:rsid w:val="00B43808"/>
    <w:rsid w:val="00B439C6"/>
    <w:rsid w:val="00B43C31"/>
    <w:rsid w:val="00B442F5"/>
    <w:rsid w:val="00B4491A"/>
    <w:rsid w:val="00B449DA"/>
    <w:rsid w:val="00B4503F"/>
    <w:rsid w:val="00B45104"/>
    <w:rsid w:val="00B4510C"/>
    <w:rsid w:val="00B452DB"/>
    <w:rsid w:val="00B45AD7"/>
    <w:rsid w:val="00B45ADC"/>
    <w:rsid w:val="00B46700"/>
    <w:rsid w:val="00B469F1"/>
    <w:rsid w:val="00B46B39"/>
    <w:rsid w:val="00B47054"/>
    <w:rsid w:val="00B471AE"/>
    <w:rsid w:val="00B47375"/>
    <w:rsid w:val="00B4769A"/>
    <w:rsid w:val="00B4791E"/>
    <w:rsid w:val="00B47C06"/>
    <w:rsid w:val="00B500DF"/>
    <w:rsid w:val="00B503AA"/>
    <w:rsid w:val="00B511E7"/>
    <w:rsid w:val="00B51697"/>
    <w:rsid w:val="00B516BF"/>
    <w:rsid w:val="00B518B1"/>
    <w:rsid w:val="00B51BFA"/>
    <w:rsid w:val="00B523F7"/>
    <w:rsid w:val="00B524B1"/>
    <w:rsid w:val="00B525B0"/>
    <w:rsid w:val="00B528F0"/>
    <w:rsid w:val="00B52C42"/>
    <w:rsid w:val="00B52E58"/>
    <w:rsid w:val="00B52FE8"/>
    <w:rsid w:val="00B53388"/>
    <w:rsid w:val="00B535CC"/>
    <w:rsid w:val="00B53D5B"/>
    <w:rsid w:val="00B53E3A"/>
    <w:rsid w:val="00B54886"/>
    <w:rsid w:val="00B54E9C"/>
    <w:rsid w:val="00B5512E"/>
    <w:rsid w:val="00B554D2"/>
    <w:rsid w:val="00B55647"/>
    <w:rsid w:val="00B557CA"/>
    <w:rsid w:val="00B55854"/>
    <w:rsid w:val="00B55A46"/>
    <w:rsid w:val="00B55A60"/>
    <w:rsid w:val="00B55ACF"/>
    <w:rsid w:val="00B563F4"/>
    <w:rsid w:val="00B5685C"/>
    <w:rsid w:val="00B56A3C"/>
    <w:rsid w:val="00B56BA9"/>
    <w:rsid w:val="00B56E33"/>
    <w:rsid w:val="00B5706E"/>
    <w:rsid w:val="00B57506"/>
    <w:rsid w:val="00B57525"/>
    <w:rsid w:val="00B577BD"/>
    <w:rsid w:val="00B57D02"/>
    <w:rsid w:val="00B60147"/>
    <w:rsid w:val="00B6025A"/>
    <w:rsid w:val="00B60545"/>
    <w:rsid w:val="00B609DD"/>
    <w:rsid w:val="00B60ABD"/>
    <w:rsid w:val="00B60CB2"/>
    <w:rsid w:val="00B60CB6"/>
    <w:rsid w:val="00B60D8B"/>
    <w:rsid w:val="00B6298C"/>
    <w:rsid w:val="00B62B5D"/>
    <w:rsid w:val="00B62E7D"/>
    <w:rsid w:val="00B62ED3"/>
    <w:rsid w:val="00B62F33"/>
    <w:rsid w:val="00B62F68"/>
    <w:rsid w:val="00B62FC1"/>
    <w:rsid w:val="00B63B5C"/>
    <w:rsid w:val="00B643A1"/>
    <w:rsid w:val="00B64460"/>
    <w:rsid w:val="00B64627"/>
    <w:rsid w:val="00B65A20"/>
    <w:rsid w:val="00B66472"/>
    <w:rsid w:val="00B66573"/>
    <w:rsid w:val="00B66908"/>
    <w:rsid w:val="00B66D67"/>
    <w:rsid w:val="00B66DA9"/>
    <w:rsid w:val="00B66F9F"/>
    <w:rsid w:val="00B67400"/>
    <w:rsid w:val="00B677F5"/>
    <w:rsid w:val="00B679AF"/>
    <w:rsid w:val="00B679EA"/>
    <w:rsid w:val="00B67A8B"/>
    <w:rsid w:val="00B71C99"/>
    <w:rsid w:val="00B7266A"/>
    <w:rsid w:val="00B72697"/>
    <w:rsid w:val="00B72E01"/>
    <w:rsid w:val="00B7312D"/>
    <w:rsid w:val="00B731EB"/>
    <w:rsid w:val="00B73233"/>
    <w:rsid w:val="00B73319"/>
    <w:rsid w:val="00B73883"/>
    <w:rsid w:val="00B73ADD"/>
    <w:rsid w:val="00B73B9C"/>
    <w:rsid w:val="00B73E44"/>
    <w:rsid w:val="00B74209"/>
    <w:rsid w:val="00B745DF"/>
    <w:rsid w:val="00B7472C"/>
    <w:rsid w:val="00B749FF"/>
    <w:rsid w:val="00B74C13"/>
    <w:rsid w:val="00B751E4"/>
    <w:rsid w:val="00B75517"/>
    <w:rsid w:val="00B755B4"/>
    <w:rsid w:val="00B75A8B"/>
    <w:rsid w:val="00B76318"/>
    <w:rsid w:val="00B76907"/>
    <w:rsid w:val="00B77350"/>
    <w:rsid w:val="00B77810"/>
    <w:rsid w:val="00B80001"/>
    <w:rsid w:val="00B805BA"/>
    <w:rsid w:val="00B80693"/>
    <w:rsid w:val="00B81260"/>
    <w:rsid w:val="00B82895"/>
    <w:rsid w:val="00B82ABF"/>
    <w:rsid w:val="00B82E62"/>
    <w:rsid w:val="00B835A7"/>
    <w:rsid w:val="00B83804"/>
    <w:rsid w:val="00B83C24"/>
    <w:rsid w:val="00B83C26"/>
    <w:rsid w:val="00B84712"/>
    <w:rsid w:val="00B84BA3"/>
    <w:rsid w:val="00B85288"/>
    <w:rsid w:val="00B8541A"/>
    <w:rsid w:val="00B8564D"/>
    <w:rsid w:val="00B856AB"/>
    <w:rsid w:val="00B860B8"/>
    <w:rsid w:val="00B86B9C"/>
    <w:rsid w:val="00B87679"/>
    <w:rsid w:val="00B878CB"/>
    <w:rsid w:val="00B878DA"/>
    <w:rsid w:val="00B87CC4"/>
    <w:rsid w:val="00B91425"/>
    <w:rsid w:val="00B91ABA"/>
    <w:rsid w:val="00B91AE9"/>
    <w:rsid w:val="00B91E70"/>
    <w:rsid w:val="00B91EFA"/>
    <w:rsid w:val="00B91F23"/>
    <w:rsid w:val="00B92643"/>
    <w:rsid w:val="00B927FD"/>
    <w:rsid w:val="00B92EF1"/>
    <w:rsid w:val="00B9369F"/>
    <w:rsid w:val="00B93839"/>
    <w:rsid w:val="00B93D42"/>
    <w:rsid w:val="00B940DD"/>
    <w:rsid w:val="00B94438"/>
    <w:rsid w:val="00B94DE0"/>
    <w:rsid w:val="00B9520B"/>
    <w:rsid w:val="00B9596D"/>
    <w:rsid w:val="00B95EC9"/>
    <w:rsid w:val="00B96717"/>
    <w:rsid w:val="00B96903"/>
    <w:rsid w:val="00B977BF"/>
    <w:rsid w:val="00B97A67"/>
    <w:rsid w:val="00BA02D2"/>
    <w:rsid w:val="00BA0422"/>
    <w:rsid w:val="00BA0EF4"/>
    <w:rsid w:val="00BA1879"/>
    <w:rsid w:val="00BA213C"/>
    <w:rsid w:val="00BA32B6"/>
    <w:rsid w:val="00BA344C"/>
    <w:rsid w:val="00BA3BB8"/>
    <w:rsid w:val="00BA3F15"/>
    <w:rsid w:val="00BA484B"/>
    <w:rsid w:val="00BA536C"/>
    <w:rsid w:val="00BA53F4"/>
    <w:rsid w:val="00BA5C83"/>
    <w:rsid w:val="00BA5CE5"/>
    <w:rsid w:val="00BA60FB"/>
    <w:rsid w:val="00BA67AB"/>
    <w:rsid w:val="00BA69F5"/>
    <w:rsid w:val="00BA6E6B"/>
    <w:rsid w:val="00BA724F"/>
    <w:rsid w:val="00BA73D5"/>
    <w:rsid w:val="00BA74ED"/>
    <w:rsid w:val="00BB03C1"/>
    <w:rsid w:val="00BB03C5"/>
    <w:rsid w:val="00BB05EC"/>
    <w:rsid w:val="00BB09A4"/>
    <w:rsid w:val="00BB0B31"/>
    <w:rsid w:val="00BB0C41"/>
    <w:rsid w:val="00BB0DF8"/>
    <w:rsid w:val="00BB1B21"/>
    <w:rsid w:val="00BB1C90"/>
    <w:rsid w:val="00BB1DEC"/>
    <w:rsid w:val="00BB2CCF"/>
    <w:rsid w:val="00BB2CE6"/>
    <w:rsid w:val="00BB333A"/>
    <w:rsid w:val="00BB36A6"/>
    <w:rsid w:val="00BB3879"/>
    <w:rsid w:val="00BB39BB"/>
    <w:rsid w:val="00BB48E6"/>
    <w:rsid w:val="00BB4AF2"/>
    <w:rsid w:val="00BB57FD"/>
    <w:rsid w:val="00BB5BD6"/>
    <w:rsid w:val="00BB5F75"/>
    <w:rsid w:val="00BB7E91"/>
    <w:rsid w:val="00BB7FCF"/>
    <w:rsid w:val="00BC0357"/>
    <w:rsid w:val="00BC0360"/>
    <w:rsid w:val="00BC0824"/>
    <w:rsid w:val="00BC094C"/>
    <w:rsid w:val="00BC0A68"/>
    <w:rsid w:val="00BC0CFD"/>
    <w:rsid w:val="00BC1968"/>
    <w:rsid w:val="00BC1B73"/>
    <w:rsid w:val="00BC30A9"/>
    <w:rsid w:val="00BC3AF1"/>
    <w:rsid w:val="00BC3D71"/>
    <w:rsid w:val="00BC3E05"/>
    <w:rsid w:val="00BC4169"/>
    <w:rsid w:val="00BC4792"/>
    <w:rsid w:val="00BC4899"/>
    <w:rsid w:val="00BC4F0A"/>
    <w:rsid w:val="00BC4F48"/>
    <w:rsid w:val="00BC5AFA"/>
    <w:rsid w:val="00BC5CA8"/>
    <w:rsid w:val="00BC628E"/>
    <w:rsid w:val="00BC6751"/>
    <w:rsid w:val="00BD1B65"/>
    <w:rsid w:val="00BD1BA5"/>
    <w:rsid w:val="00BD1BDC"/>
    <w:rsid w:val="00BD1DA4"/>
    <w:rsid w:val="00BD1EC4"/>
    <w:rsid w:val="00BD1ED8"/>
    <w:rsid w:val="00BD2134"/>
    <w:rsid w:val="00BD22C4"/>
    <w:rsid w:val="00BD2856"/>
    <w:rsid w:val="00BD299C"/>
    <w:rsid w:val="00BD30B0"/>
    <w:rsid w:val="00BD3274"/>
    <w:rsid w:val="00BD3B28"/>
    <w:rsid w:val="00BD3B89"/>
    <w:rsid w:val="00BD3BC5"/>
    <w:rsid w:val="00BD4C52"/>
    <w:rsid w:val="00BD4ECC"/>
    <w:rsid w:val="00BD58C5"/>
    <w:rsid w:val="00BD5903"/>
    <w:rsid w:val="00BD6081"/>
    <w:rsid w:val="00BD60CB"/>
    <w:rsid w:val="00BD6653"/>
    <w:rsid w:val="00BD673D"/>
    <w:rsid w:val="00BD6FA8"/>
    <w:rsid w:val="00BD7139"/>
    <w:rsid w:val="00BD76C4"/>
    <w:rsid w:val="00BE01D6"/>
    <w:rsid w:val="00BE022B"/>
    <w:rsid w:val="00BE06AC"/>
    <w:rsid w:val="00BE06C5"/>
    <w:rsid w:val="00BE0C2B"/>
    <w:rsid w:val="00BE13D7"/>
    <w:rsid w:val="00BE1831"/>
    <w:rsid w:val="00BE1B4B"/>
    <w:rsid w:val="00BE1EB6"/>
    <w:rsid w:val="00BE20F2"/>
    <w:rsid w:val="00BE2787"/>
    <w:rsid w:val="00BE284E"/>
    <w:rsid w:val="00BE2BCE"/>
    <w:rsid w:val="00BE2F29"/>
    <w:rsid w:val="00BE34A3"/>
    <w:rsid w:val="00BE37B3"/>
    <w:rsid w:val="00BE3A9E"/>
    <w:rsid w:val="00BE3AA7"/>
    <w:rsid w:val="00BE3BA4"/>
    <w:rsid w:val="00BE3E60"/>
    <w:rsid w:val="00BE3E6D"/>
    <w:rsid w:val="00BE3FE3"/>
    <w:rsid w:val="00BE40D9"/>
    <w:rsid w:val="00BE44BF"/>
    <w:rsid w:val="00BE4D1A"/>
    <w:rsid w:val="00BE4E33"/>
    <w:rsid w:val="00BE58D3"/>
    <w:rsid w:val="00BE5D7D"/>
    <w:rsid w:val="00BE65E7"/>
    <w:rsid w:val="00BE66FC"/>
    <w:rsid w:val="00BE7835"/>
    <w:rsid w:val="00BF0197"/>
    <w:rsid w:val="00BF021F"/>
    <w:rsid w:val="00BF0F05"/>
    <w:rsid w:val="00BF11A1"/>
    <w:rsid w:val="00BF1782"/>
    <w:rsid w:val="00BF1B18"/>
    <w:rsid w:val="00BF216F"/>
    <w:rsid w:val="00BF2466"/>
    <w:rsid w:val="00BF2595"/>
    <w:rsid w:val="00BF2DE3"/>
    <w:rsid w:val="00BF3354"/>
    <w:rsid w:val="00BF34AB"/>
    <w:rsid w:val="00BF3876"/>
    <w:rsid w:val="00BF3FCE"/>
    <w:rsid w:val="00BF45E3"/>
    <w:rsid w:val="00BF4B21"/>
    <w:rsid w:val="00BF4D8A"/>
    <w:rsid w:val="00BF4F9D"/>
    <w:rsid w:val="00BF5964"/>
    <w:rsid w:val="00BF5BDE"/>
    <w:rsid w:val="00BF612B"/>
    <w:rsid w:val="00BF617B"/>
    <w:rsid w:val="00BF61BB"/>
    <w:rsid w:val="00BF657B"/>
    <w:rsid w:val="00BF6580"/>
    <w:rsid w:val="00BF66D8"/>
    <w:rsid w:val="00BF7834"/>
    <w:rsid w:val="00C003FD"/>
    <w:rsid w:val="00C0049C"/>
    <w:rsid w:val="00C00B6C"/>
    <w:rsid w:val="00C00D9D"/>
    <w:rsid w:val="00C018E1"/>
    <w:rsid w:val="00C01A51"/>
    <w:rsid w:val="00C01A80"/>
    <w:rsid w:val="00C022E5"/>
    <w:rsid w:val="00C027D9"/>
    <w:rsid w:val="00C02E6E"/>
    <w:rsid w:val="00C032BC"/>
    <w:rsid w:val="00C0335A"/>
    <w:rsid w:val="00C037EF"/>
    <w:rsid w:val="00C038A8"/>
    <w:rsid w:val="00C0390B"/>
    <w:rsid w:val="00C03914"/>
    <w:rsid w:val="00C0397E"/>
    <w:rsid w:val="00C03CF1"/>
    <w:rsid w:val="00C04B3B"/>
    <w:rsid w:val="00C04C2E"/>
    <w:rsid w:val="00C04CF7"/>
    <w:rsid w:val="00C04E59"/>
    <w:rsid w:val="00C05125"/>
    <w:rsid w:val="00C0534A"/>
    <w:rsid w:val="00C0582D"/>
    <w:rsid w:val="00C065FA"/>
    <w:rsid w:val="00C06B10"/>
    <w:rsid w:val="00C06BCA"/>
    <w:rsid w:val="00C06D90"/>
    <w:rsid w:val="00C06FC3"/>
    <w:rsid w:val="00C07E52"/>
    <w:rsid w:val="00C10765"/>
    <w:rsid w:val="00C109CE"/>
    <w:rsid w:val="00C10E5B"/>
    <w:rsid w:val="00C116AE"/>
    <w:rsid w:val="00C11B18"/>
    <w:rsid w:val="00C11E27"/>
    <w:rsid w:val="00C1203D"/>
    <w:rsid w:val="00C12946"/>
    <w:rsid w:val="00C12AB1"/>
    <w:rsid w:val="00C13099"/>
    <w:rsid w:val="00C137B1"/>
    <w:rsid w:val="00C139F0"/>
    <w:rsid w:val="00C13E0C"/>
    <w:rsid w:val="00C146F9"/>
    <w:rsid w:val="00C148D7"/>
    <w:rsid w:val="00C15020"/>
    <w:rsid w:val="00C1537A"/>
    <w:rsid w:val="00C156BB"/>
    <w:rsid w:val="00C15758"/>
    <w:rsid w:val="00C1592E"/>
    <w:rsid w:val="00C16114"/>
    <w:rsid w:val="00C1622E"/>
    <w:rsid w:val="00C163F1"/>
    <w:rsid w:val="00C16687"/>
    <w:rsid w:val="00C167FF"/>
    <w:rsid w:val="00C169EA"/>
    <w:rsid w:val="00C16F68"/>
    <w:rsid w:val="00C170CA"/>
    <w:rsid w:val="00C17312"/>
    <w:rsid w:val="00C17B68"/>
    <w:rsid w:val="00C17E7A"/>
    <w:rsid w:val="00C2024A"/>
    <w:rsid w:val="00C2030E"/>
    <w:rsid w:val="00C20FF0"/>
    <w:rsid w:val="00C21128"/>
    <w:rsid w:val="00C22697"/>
    <w:rsid w:val="00C22744"/>
    <w:rsid w:val="00C22837"/>
    <w:rsid w:val="00C22BC5"/>
    <w:rsid w:val="00C22E91"/>
    <w:rsid w:val="00C23490"/>
    <w:rsid w:val="00C23A0F"/>
    <w:rsid w:val="00C24731"/>
    <w:rsid w:val="00C24847"/>
    <w:rsid w:val="00C248BF"/>
    <w:rsid w:val="00C24D78"/>
    <w:rsid w:val="00C250BF"/>
    <w:rsid w:val="00C25402"/>
    <w:rsid w:val="00C25628"/>
    <w:rsid w:val="00C256B0"/>
    <w:rsid w:val="00C25A1C"/>
    <w:rsid w:val="00C260E8"/>
    <w:rsid w:val="00C26267"/>
    <w:rsid w:val="00C2668D"/>
    <w:rsid w:val="00C26692"/>
    <w:rsid w:val="00C26860"/>
    <w:rsid w:val="00C26B42"/>
    <w:rsid w:val="00C26B96"/>
    <w:rsid w:val="00C27593"/>
    <w:rsid w:val="00C279BF"/>
    <w:rsid w:val="00C27E81"/>
    <w:rsid w:val="00C30462"/>
    <w:rsid w:val="00C3078C"/>
    <w:rsid w:val="00C308E4"/>
    <w:rsid w:val="00C30DE4"/>
    <w:rsid w:val="00C30FD4"/>
    <w:rsid w:val="00C31242"/>
    <w:rsid w:val="00C312AB"/>
    <w:rsid w:val="00C31B5C"/>
    <w:rsid w:val="00C31FEB"/>
    <w:rsid w:val="00C3275E"/>
    <w:rsid w:val="00C32EBE"/>
    <w:rsid w:val="00C32F96"/>
    <w:rsid w:val="00C3309A"/>
    <w:rsid w:val="00C33215"/>
    <w:rsid w:val="00C33224"/>
    <w:rsid w:val="00C335A7"/>
    <w:rsid w:val="00C33C18"/>
    <w:rsid w:val="00C34040"/>
    <w:rsid w:val="00C34306"/>
    <w:rsid w:val="00C34638"/>
    <w:rsid w:val="00C3480E"/>
    <w:rsid w:val="00C349FD"/>
    <w:rsid w:val="00C3560E"/>
    <w:rsid w:val="00C35D72"/>
    <w:rsid w:val="00C35E1C"/>
    <w:rsid w:val="00C3643D"/>
    <w:rsid w:val="00C36448"/>
    <w:rsid w:val="00C367E0"/>
    <w:rsid w:val="00C368CB"/>
    <w:rsid w:val="00C36AAD"/>
    <w:rsid w:val="00C377D8"/>
    <w:rsid w:val="00C37BFA"/>
    <w:rsid w:val="00C40759"/>
    <w:rsid w:val="00C410B5"/>
    <w:rsid w:val="00C41124"/>
    <w:rsid w:val="00C41168"/>
    <w:rsid w:val="00C411C1"/>
    <w:rsid w:val="00C4152B"/>
    <w:rsid w:val="00C4155C"/>
    <w:rsid w:val="00C41AAA"/>
    <w:rsid w:val="00C423DB"/>
    <w:rsid w:val="00C426EF"/>
    <w:rsid w:val="00C42E15"/>
    <w:rsid w:val="00C42EA5"/>
    <w:rsid w:val="00C43A08"/>
    <w:rsid w:val="00C43B74"/>
    <w:rsid w:val="00C441C2"/>
    <w:rsid w:val="00C44211"/>
    <w:rsid w:val="00C45352"/>
    <w:rsid w:val="00C456CB"/>
    <w:rsid w:val="00C456FB"/>
    <w:rsid w:val="00C45E19"/>
    <w:rsid w:val="00C46A61"/>
    <w:rsid w:val="00C46BBD"/>
    <w:rsid w:val="00C4734B"/>
    <w:rsid w:val="00C4761A"/>
    <w:rsid w:val="00C5039E"/>
    <w:rsid w:val="00C50512"/>
    <w:rsid w:val="00C509C6"/>
    <w:rsid w:val="00C50F19"/>
    <w:rsid w:val="00C511CE"/>
    <w:rsid w:val="00C51316"/>
    <w:rsid w:val="00C51333"/>
    <w:rsid w:val="00C52C23"/>
    <w:rsid w:val="00C52E50"/>
    <w:rsid w:val="00C52ED7"/>
    <w:rsid w:val="00C5304B"/>
    <w:rsid w:val="00C531B7"/>
    <w:rsid w:val="00C531B8"/>
    <w:rsid w:val="00C534FE"/>
    <w:rsid w:val="00C53763"/>
    <w:rsid w:val="00C53AE8"/>
    <w:rsid w:val="00C544A2"/>
    <w:rsid w:val="00C545FD"/>
    <w:rsid w:val="00C547B4"/>
    <w:rsid w:val="00C55064"/>
    <w:rsid w:val="00C552F3"/>
    <w:rsid w:val="00C556C1"/>
    <w:rsid w:val="00C556C5"/>
    <w:rsid w:val="00C5571E"/>
    <w:rsid w:val="00C557BB"/>
    <w:rsid w:val="00C5596E"/>
    <w:rsid w:val="00C55D51"/>
    <w:rsid w:val="00C56263"/>
    <w:rsid w:val="00C563FB"/>
    <w:rsid w:val="00C56E7A"/>
    <w:rsid w:val="00C56F77"/>
    <w:rsid w:val="00C57269"/>
    <w:rsid w:val="00C572A4"/>
    <w:rsid w:val="00C57759"/>
    <w:rsid w:val="00C57802"/>
    <w:rsid w:val="00C57A77"/>
    <w:rsid w:val="00C57E56"/>
    <w:rsid w:val="00C6052B"/>
    <w:rsid w:val="00C607F9"/>
    <w:rsid w:val="00C60A2F"/>
    <w:rsid w:val="00C60C52"/>
    <w:rsid w:val="00C61270"/>
    <w:rsid w:val="00C6128F"/>
    <w:rsid w:val="00C61778"/>
    <w:rsid w:val="00C61790"/>
    <w:rsid w:val="00C618AA"/>
    <w:rsid w:val="00C6190D"/>
    <w:rsid w:val="00C61A0D"/>
    <w:rsid w:val="00C61A77"/>
    <w:rsid w:val="00C62163"/>
    <w:rsid w:val="00C62425"/>
    <w:rsid w:val="00C62604"/>
    <w:rsid w:val="00C62A25"/>
    <w:rsid w:val="00C63CB2"/>
    <w:rsid w:val="00C63CD9"/>
    <w:rsid w:val="00C640CE"/>
    <w:rsid w:val="00C641A9"/>
    <w:rsid w:val="00C646DB"/>
    <w:rsid w:val="00C646E4"/>
    <w:rsid w:val="00C64F57"/>
    <w:rsid w:val="00C65412"/>
    <w:rsid w:val="00C65C9B"/>
    <w:rsid w:val="00C662D4"/>
    <w:rsid w:val="00C663DD"/>
    <w:rsid w:val="00C66507"/>
    <w:rsid w:val="00C66C68"/>
    <w:rsid w:val="00C67336"/>
    <w:rsid w:val="00C67494"/>
    <w:rsid w:val="00C679E5"/>
    <w:rsid w:val="00C67D12"/>
    <w:rsid w:val="00C702AD"/>
    <w:rsid w:val="00C70463"/>
    <w:rsid w:val="00C70CF1"/>
    <w:rsid w:val="00C7135B"/>
    <w:rsid w:val="00C71F70"/>
    <w:rsid w:val="00C72AD1"/>
    <w:rsid w:val="00C733AD"/>
    <w:rsid w:val="00C73772"/>
    <w:rsid w:val="00C73895"/>
    <w:rsid w:val="00C74044"/>
    <w:rsid w:val="00C74708"/>
    <w:rsid w:val="00C74A04"/>
    <w:rsid w:val="00C74C6C"/>
    <w:rsid w:val="00C75E9A"/>
    <w:rsid w:val="00C76523"/>
    <w:rsid w:val="00C76B3D"/>
    <w:rsid w:val="00C7735E"/>
    <w:rsid w:val="00C7774C"/>
    <w:rsid w:val="00C77757"/>
    <w:rsid w:val="00C778F8"/>
    <w:rsid w:val="00C77D59"/>
    <w:rsid w:val="00C77E1F"/>
    <w:rsid w:val="00C800A0"/>
    <w:rsid w:val="00C80987"/>
    <w:rsid w:val="00C80A1F"/>
    <w:rsid w:val="00C80BAF"/>
    <w:rsid w:val="00C80DA3"/>
    <w:rsid w:val="00C8122D"/>
    <w:rsid w:val="00C81423"/>
    <w:rsid w:val="00C815E6"/>
    <w:rsid w:val="00C8190C"/>
    <w:rsid w:val="00C819B4"/>
    <w:rsid w:val="00C828BB"/>
    <w:rsid w:val="00C82C35"/>
    <w:rsid w:val="00C82F25"/>
    <w:rsid w:val="00C83133"/>
    <w:rsid w:val="00C83D76"/>
    <w:rsid w:val="00C84A39"/>
    <w:rsid w:val="00C850C6"/>
    <w:rsid w:val="00C85480"/>
    <w:rsid w:val="00C8548F"/>
    <w:rsid w:val="00C857E9"/>
    <w:rsid w:val="00C86C07"/>
    <w:rsid w:val="00C87662"/>
    <w:rsid w:val="00C90045"/>
    <w:rsid w:val="00C90305"/>
    <w:rsid w:val="00C9047A"/>
    <w:rsid w:val="00C9061A"/>
    <w:rsid w:val="00C90873"/>
    <w:rsid w:val="00C90CEA"/>
    <w:rsid w:val="00C90DDA"/>
    <w:rsid w:val="00C90FE8"/>
    <w:rsid w:val="00C9133A"/>
    <w:rsid w:val="00C914A0"/>
    <w:rsid w:val="00C91557"/>
    <w:rsid w:val="00C91604"/>
    <w:rsid w:val="00C91B70"/>
    <w:rsid w:val="00C92506"/>
    <w:rsid w:val="00C92920"/>
    <w:rsid w:val="00C92B95"/>
    <w:rsid w:val="00C933E6"/>
    <w:rsid w:val="00C93EA4"/>
    <w:rsid w:val="00C93FFD"/>
    <w:rsid w:val="00C9425F"/>
    <w:rsid w:val="00C9437E"/>
    <w:rsid w:val="00C944DC"/>
    <w:rsid w:val="00C94553"/>
    <w:rsid w:val="00C94E18"/>
    <w:rsid w:val="00C94EF3"/>
    <w:rsid w:val="00C952F4"/>
    <w:rsid w:val="00C9543B"/>
    <w:rsid w:val="00C95766"/>
    <w:rsid w:val="00C957F1"/>
    <w:rsid w:val="00C95E46"/>
    <w:rsid w:val="00C969AE"/>
    <w:rsid w:val="00C96B50"/>
    <w:rsid w:val="00C96C15"/>
    <w:rsid w:val="00C96C6E"/>
    <w:rsid w:val="00C96F22"/>
    <w:rsid w:val="00C970B1"/>
    <w:rsid w:val="00C974E7"/>
    <w:rsid w:val="00C9755D"/>
    <w:rsid w:val="00C97AF3"/>
    <w:rsid w:val="00CA00F7"/>
    <w:rsid w:val="00CA065D"/>
    <w:rsid w:val="00CA0BE1"/>
    <w:rsid w:val="00CA0F64"/>
    <w:rsid w:val="00CA11D9"/>
    <w:rsid w:val="00CA1A20"/>
    <w:rsid w:val="00CA210A"/>
    <w:rsid w:val="00CA2802"/>
    <w:rsid w:val="00CA2D38"/>
    <w:rsid w:val="00CA2EE1"/>
    <w:rsid w:val="00CA316C"/>
    <w:rsid w:val="00CA31EB"/>
    <w:rsid w:val="00CA34FA"/>
    <w:rsid w:val="00CA3544"/>
    <w:rsid w:val="00CA37EC"/>
    <w:rsid w:val="00CA384E"/>
    <w:rsid w:val="00CA38D0"/>
    <w:rsid w:val="00CA3F29"/>
    <w:rsid w:val="00CA4883"/>
    <w:rsid w:val="00CA4975"/>
    <w:rsid w:val="00CA4A34"/>
    <w:rsid w:val="00CA5068"/>
    <w:rsid w:val="00CA5CAA"/>
    <w:rsid w:val="00CA64CF"/>
    <w:rsid w:val="00CA65CB"/>
    <w:rsid w:val="00CA66E3"/>
    <w:rsid w:val="00CA6A14"/>
    <w:rsid w:val="00CA769F"/>
    <w:rsid w:val="00CA77F5"/>
    <w:rsid w:val="00CB0280"/>
    <w:rsid w:val="00CB081F"/>
    <w:rsid w:val="00CB0E57"/>
    <w:rsid w:val="00CB1058"/>
    <w:rsid w:val="00CB13EA"/>
    <w:rsid w:val="00CB1F27"/>
    <w:rsid w:val="00CB24FD"/>
    <w:rsid w:val="00CB2ACA"/>
    <w:rsid w:val="00CB2FDB"/>
    <w:rsid w:val="00CB3095"/>
    <w:rsid w:val="00CB335E"/>
    <w:rsid w:val="00CB36CC"/>
    <w:rsid w:val="00CB38F6"/>
    <w:rsid w:val="00CB3965"/>
    <w:rsid w:val="00CB414C"/>
    <w:rsid w:val="00CB48F4"/>
    <w:rsid w:val="00CB4DDD"/>
    <w:rsid w:val="00CB56A7"/>
    <w:rsid w:val="00CB59A4"/>
    <w:rsid w:val="00CB5D5B"/>
    <w:rsid w:val="00CB5E4F"/>
    <w:rsid w:val="00CB5F5F"/>
    <w:rsid w:val="00CB6A42"/>
    <w:rsid w:val="00CB6F5D"/>
    <w:rsid w:val="00CB710B"/>
    <w:rsid w:val="00CB7187"/>
    <w:rsid w:val="00CB71E8"/>
    <w:rsid w:val="00CB72BB"/>
    <w:rsid w:val="00CB7465"/>
    <w:rsid w:val="00CB7615"/>
    <w:rsid w:val="00CB7D89"/>
    <w:rsid w:val="00CC09B2"/>
    <w:rsid w:val="00CC0B56"/>
    <w:rsid w:val="00CC17AC"/>
    <w:rsid w:val="00CC1910"/>
    <w:rsid w:val="00CC2358"/>
    <w:rsid w:val="00CC236C"/>
    <w:rsid w:val="00CC29E7"/>
    <w:rsid w:val="00CC2C3E"/>
    <w:rsid w:val="00CC3891"/>
    <w:rsid w:val="00CC38A5"/>
    <w:rsid w:val="00CC3AD9"/>
    <w:rsid w:val="00CC3F9D"/>
    <w:rsid w:val="00CC428F"/>
    <w:rsid w:val="00CC4907"/>
    <w:rsid w:val="00CC63F6"/>
    <w:rsid w:val="00CC6622"/>
    <w:rsid w:val="00CC6931"/>
    <w:rsid w:val="00CC69AE"/>
    <w:rsid w:val="00CC6C5D"/>
    <w:rsid w:val="00CC7607"/>
    <w:rsid w:val="00CC770A"/>
    <w:rsid w:val="00CC7723"/>
    <w:rsid w:val="00CC78AD"/>
    <w:rsid w:val="00CC7925"/>
    <w:rsid w:val="00CC7A58"/>
    <w:rsid w:val="00CC7B61"/>
    <w:rsid w:val="00CC7B6E"/>
    <w:rsid w:val="00CC7CB7"/>
    <w:rsid w:val="00CC7F1C"/>
    <w:rsid w:val="00CD0C14"/>
    <w:rsid w:val="00CD0D2A"/>
    <w:rsid w:val="00CD0EE6"/>
    <w:rsid w:val="00CD1199"/>
    <w:rsid w:val="00CD145E"/>
    <w:rsid w:val="00CD1D79"/>
    <w:rsid w:val="00CD21CE"/>
    <w:rsid w:val="00CD2610"/>
    <w:rsid w:val="00CD2720"/>
    <w:rsid w:val="00CD27ED"/>
    <w:rsid w:val="00CD2ACF"/>
    <w:rsid w:val="00CD2B3C"/>
    <w:rsid w:val="00CD2FC5"/>
    <w:rsid w:val="00CD3067"/>
    <w:rsid w:val="00CD3081"/>
    <w:rsid w:val="00CD30C1"/>
    <w:rsid w:val="00CD31D6"/>
    <w:rsid w:val="00CD32D1"/>
    <w:rsid w:val="00CD346A"/>
    <w:rsid w:val="00CD3A99"/>
    <w:rsid w:val="00CD441E"/>
    <w:rsid w:val="00CD4788"/>
    <w:rsid w:val="00CD4E95"/>
    <w:rsid w:val="00CD4F24"/>
    <w:rsid w:val="00CD5045"/>
    <w:rsid w:val="00CD518B"/>
    <w:rsid w:val="00CD531B"/>
    <w:rsid w:val="00CD554F"/>
    <w:rsid w:val="00CD58C8"/>
    <w:rsid w:val="00CD5CD3"/>
    <w:rsid w:val="00CD6436"/>
    <w:rsid w:val="00CD6827"/>
    <w:rsid w:val="00CD70DB"/>
    <w:rsid w:val="00CD75DC"/>
    <w:rsid w:val="00CD798C"/>
    <w:rsid w:val="00CD7EC4"/>
    <w:rsid w:val="00CD7F4E"/>
    <w:rsid w:val="00CE0020"/>
    <w:rsid w:val="00CE037E"/>
    <w:rsid w:val="00CE0681"/>
    <w:rsid w:val="00CE0B0F"/>
    <w:rsid w:val="00CE0BEB"/>
    <w:rsid w:val="00CE0CEF"/>
    <w:rsid w:val="00CE0F18"/>
    <w:rsid w:val="00CE126B"/>
    <w:rsid w:val="00CE1271"/>
    <w:rsid w:val="00CE12F1"/>
    <w:rsid w:val="00CE17F8"/>
    <w:rsid w:val="00CE1CF0"/>
    <w:rsid w:val="00CE2BAE"/>
    <w:rsid w:val="00CE312F"/>
    <w:rsid w:val="00CE352C"/>
    <w:rsid w:val="00CE3760"/>
    <w:rsid w:val="00CE3BE0"/>
    <w:rsid w:val="00CE4456"/>
    <w:rsid w:val="00CE45BB"/>
    <w:rsid w:val="00CE48DE"/>
    <w:rsid w:val="00CE5006"/>
    <w:rsid w:val="00CE53A7"/>
    <w:rsid w:val="00CE5BD3"/>
    <w:rsid w:val="00CE6094"/>
    <w:rsid w:val="00CE60CE"/>
    <w:rsid w:val="00CE676B"/>
    <w:rsid w:val="00CE6B17"/>
    <w:rsid w:val="00CE7184"/>
    <w:rsid w:val="00CE7822"/>
    <w:rsid w:val="00CE7A45"/>
    <w:rsid w:val="00CE7C19"/>
    <w:rsid w:val="00CE7EB0"/>
    <w:rsid w:val="00CE7F4B"/>
    <w:rsid w:val="00CF0127"/>
    <w:rsid w:val="00CF02C7"/>
    <w:rsid w:val="00CF08AA"/>
    <w:rsid w:val="00CF0972"/>
    <w:rsid w:val="00CF0AB8"/>
    <w:rsid w:val="00CF1143"/>
    <w:rsid w:val="00CF117E"/>
    <w:rsid w:val="00CF1326"/>
    <w:rsid w:val="00CF1388"/>
    <w:rsid w:val="00CF1919"/>
    <w:rsid w:val="00CF193D"/>
    <w:rsid w:val="00CF1DD3"/>
    <w:rsid w:val="00CF1E31"/>
    <w:rsid w:val="00CF22E9"/>
    <w:rsid w:val="00CF2810"/>
    <w:rsid w:val="00CF330E"/>
    <w:rsid w:val="00CF34A5"/>
    <w:rsid w:val="00CF462D"/>
    <w:rsid w:val="00CF47DA"/>
    <w:rsid w:val="00CF4956"/>
    <w:rsid w:val="00CF4A03"/>
    <w:rsid w:val="00CF5145"/>
    <w:rsid w:val="00CF540C"/>
    <w:rsid w:val="00CF587B"/>
    <w:rsid w:val="00CF5934"/>
    <w:rsid w:val="00CF6024"/>
    <w:rsid w:val="00CF6249"/>
    <w:rsid w:val="00CF66D0"/>
    <w:rsid w:val="00CF687B"/>
    <w:rsid w:val="00CF689F"/>
    <w:rsid w:val="00CF6940"/>
    <w:rsid w:val="00CF6AC3"/>
    <w:rsid w:val="00CF6C67"/>
    <w:rsid w:val="00CF6CB0"/>
    <w:rsid w:val="00CF6F20"/>
    <w:rsid w:val="00CF7105"/>
    <w:rsid w:val="00CF76E4"/>
    <w:rsid w:val="00CF77D0"/>
    <w:rsid w:val="00CF789D"/>
    <w:rsid w:val="00CF7B89"/>
    <w:rsid w:val="00D00732"/>
    <w:rsid w:val="00D007D9"/>
    <w:rsid w:val="00D00AC7"/>
    <w:rsid w:val="00D00B88"/>
    <w:rsid w:val="00D00DFC"/>
    <w:rsid w:val="00D00F48"/>
    <w:rsid w:val="00D01018"/>
    <w:rsid w:val="00D01076"/>
    <w:rsid w:val="00D0156C"/>
    <w:rsid w:val="00D019E4"/>
    <w:rsid w:val="00D01AEF"/>
    <w:rsid w:val="00D029EE"/>
    <w:rsid w:val="00D02A66"/>
    <w:rsid w:val="00D02CA1"/>
    <w:rsid w:val="00D02E6F"/>
    <w:rsid w:val="00D02EA9"/>
    <w:rsid w:val="00D03230"/>
    <w:rsid w:val="00D03B92"/>
    <w:rsid w:val="00D0451C"/>
    <w:rsid w:val="00D04BD4"/>
    <w:rsid w:val="00D05065"/>
    <w:rsid w:val="00D05559"/>
    <w:rsid w:val="00D05615"/>
    <w:rsid w:val="00D05670"/>
    <w:rsid w:val="00D0583E"/>
    <w:rsid w:val="00D05A06"/>
    <w:rsid w:val="00D05AE2"/>
    <w:rsid w:val="00D06D37"/>
    <w:rsid w:val="00D07117"/>
    <w:rsid w:val="00D07AC2"/>
    <w:rsid w:val="00D07D79"/>
    <w:rsid w:val="00D10A5E"/>
    <w:rsid w:val="00D10C71"/>
    <w:rsid w:val="00D10FE2"/>
    <w:rsid w:val="00D110D7"/>
    <w:rsid w:val="00D11869"/>
    <w:rsid w:val="00D11B46"/>
    <w:rsid w:val="00D11ED9"/>
    <w:rsid w:val="00D1247C"/>
    <w:rsid w:val="00D129A2"/>
    <w:rsid w:val="00D13D0B"/>
    <w:rsid w:val="00D14572"/>
    <w:rsid w:val="00D145D7"/>
    <w:rsid w:val="00D148B9"/>
    <w:rsid w:val="00D14B76"/>
    <w:rsid w:val="00D15254"/>
    <w:rsid w:val="00D15410"/>
    <w:rsid w:val="00D15459"/>
    <w:rsid w:val="00D15710"/>
    <w:rsid w:val="00D15E66"/>
    <w:rsid w:val="00D16098"/>
    <w:rsid w:val="00D16D10"/>
    <w:rsid w:val="00D17004"/>
    <w:rsid w:val="00D1710D"/>
    <w:rsid w:val="00D173DB"/>
    <w:rsid w:val="00D175C9"/>
    <w:rsid w:val="00D17A8B"/>
    <w:rsid w:val="00D17CBF"/>
    <w:rsid w:val="00D17D09"/>
    <w:rsid w:val="00D2075E"/>
    <w:rsid w:val="00D20C14"/>
    <w:rsid w:val="00D20E45"/>
    <w:rsid w:val="00D2135F"/>
    <w:rsid w:val="00D218DB"/>
    <w:rsid w:val="00D21E18"/>
    <w:rsid w:val="00D2208B"/>
    <w:rsid w:val="00D22093"/>
    <w:rsid w:val="00D224B4"/>
    <w:rsid w:val="00D22954"/>
    <w:rsid w:val="00D22DCD"/>
    <w:rsid w:val="00D23360"/>
    <w:rsid w:val="00D2369E"/>
    <w:rsid w:val="00D2398D"/>
    <w:rsid w:val="00D23CC3"/>
    <w:rsid w:val="00D245B3"/>
    <w:rsid w:val="00D248FD"/>
    <w:rsid w:val="00D25513"/>
    <w:rsid w:val="00D25517"/>
    <w:rsid w:val="00D2587C"/>
    <w:rsid w:val="00D262C0"/>
    <w:rsid w:val="00D26552"/>
    <w:rsid w:val="00D26672"/>
    <w:rsid w:val="00D2668A"/>
    <w:rsid w:val="00D266E7"/>
    <w:rsid w:val="00D276BD"/>
    <w:rsid w:val="00D303A4"/>
    <w:rsid w:val="00D30BC5"/>
    <w:rsid w:val="00D30FB4"/>
    <w:rsid w:val="00D31435"/>
    <w:rsid w:val="00D31952"/>
    <w:rsid w:val="00D31CDE"/>
    <w:rsid w:val="00D31FDB"/>
    <w:rsid w:val="00D322AB"/>
    <w:rsid w:val="00D32FE4"/>
    <w:rsid w:val="00D3391A"/>
    <w:rsid w:val="00D347AC"/>
    <w:rsid w:val="00D34A2B"/>
    <w:rsid w:val="00D3509B"/>
    <w:rsid w:val="00D353B5"/>
    <w:rsid w:val="00D35DBF"/>
    <w:rsid w:val="00D35EA8"/>
    <w:rsid w:val="00D35EB9"/>
    <w:rsid w:val="00D3632B"/>
    <w:rsid w:val="00D36567"/>
    <w:rsid w:val="00D3669E"/>
    <w:rsid w:val="00D366C1"/>
    <w:rsid w:val="00D36804"/>
    <w:rsid w:val="00D36A76"/>
    <w:rsid w:val="00D36B22"/>
    <w:rsid w:val="00D36DD7"/>
    <w:rsid w:val="00D36F1F"/>
    <w:rsid w:val="00D37093"/>
    <w:rsid w:val="00D37739"/>
    <w:rsid w:val="00D3795D"/>
    <w:rsid w:val="00D37A05"/>
    <w:rsid w:val="00D37D9E"/>
    <w:rsid w:val="00D40A49"/>
    <w:rsid w:val="00D41670"/>
    <w:rsid w:val="00D421BC"/>
    <w:rsid w:val="00D424B6"/>
    <w:rsid w:val="00D428D2"/>
    <w:rsid w:val="00D43427"/>
    <w:rsid w:val="00D43439"/>
    <w:rsid w:val="00D4379D"/>
    <w:rsid w:val="00D438E0"/>
    <w:rsid w:val="00D43B03"/>
    <w:rsid w:val="00D43F93"/>
    <w:rsid w:val="00D44278"/>
    <w:rsid w:val="00D444DA"/>
    <w:rsid w:val="00D44861"/>
    <w:rsid w:val="00D44A91"/>
    <w:rsid w:val="00D44DBE"/>
    <w:rsid w:val="00D450CC"/>
    <w:rsid w:val="00D457C6"/>
    <w:rsid w:val="00D45BE0"/>
    <w:rsid w:val="00D45E11"/>
    <w:rsid w:val="00D46971"/>
    <w:rsid w:val="00D46A0F"/>
    <w:rsid w:val="00D46A71"/>
    <w:rsid w:val="00D46A84"/>
    <w:rsid w:val="00D47734"/>
    <w:rsid w:val="00D47742"/>
    <w:rsid w:val="00D47FBE"/>
    <w:rsid w:val="00D5002C"/>
    <w:rsid w:val="00D50D2E"/>
    <w:rsid w:val="00D50E82"/>
    <w:rsid w:val="00D5128F"/>
    <w:rsid w:val="00D512D9"/>
    <w:rsid w:val="00D5159E"/>
    <w:rsid w:val="00D51958"/>
    <w:rsid w:val="00D519A6"/>
    <w:rsid w:val="00D51E1C"/>
    <w:rsid w:val="00D52A92"/>
    <w:rsid w:val="00D52CDF"/>
    <w:rsid w:val="00D52D92"/>
    <w:rsid w:val="00D53433"/>
    <w:rsid w:val="00D535D4"/>
    <w:rsid w:val="00D53773"/>
    <w:rsid w:val="00D5381E"/>
    <w:rsid w:val="00D53B82"/>
    <w:rsid w:val="00D53C37"/>
    <w:rsid w:val="00D54147"/>
    <w:rsid w:val="00D5430E"/>
    <w:rsid w:val="00D549FF"/>
    <w:rsid w:val="00D54B33"/>
    <w:rsid w:val="00D54F22"/>
    <w:rsid w:val="00D553D8"/>
    <w:rsid w:val="00D5546C"/>
    <w:rsid w:val="00D55523"/>
    <w:rsid w:val="00D5554A"/>
    <w:rsid w:val="00D5570B"/>
    <w:rsid w:val="00D5600E"/>
    <w:rsid w:val="00D56196"/>
    <w:rsid w:val="00D562DD"/>
    <w:rsid w:val="00D568E3"/>
    <w:rsid w:val="00D56DE0"/>
    <w:rsid w:val="00D572F0"/>
    <w:rsid w:val="00D578C3"/>
    <w:rsid w:val="00D57963"/>
    <w:rsid w:val="00D57C62"/>
    <w:rsid w:val="00D57FCD"/>
    <w:rsid w:val="00D600BD"/>
    <w:rsid w:val="00D60206"/>
    <w:rsid w:val="00D602E7"/>
    <w:rsid w:val="00D60719"/>
    <w:rsid w:val="00D60891"/>
    <w:rsid w:val="00D609FB"/>
    <w:rsid w:val="00D60F71"/>
    <w:rsid w:val="00D61064"/>
    <w:rsid w:val="00D61863"/>
    <w:rsid w:val="00D61B73"/>
    <w:rsid w:val="00D61E84"/>
    <w:rsid w:val="00D622C0"/>
    <w:rsid w:val="00D62C59"/>
    <w:rsid w:val="00D62C6E"/>
    <w:rsid w:val="00D63131"/>
    <w:rsid w:val="00D63273"/>
    <w:rsid w:val="00D637FE"/>
    <w:rsid w:val="00D63EC4"/>
    <w:rsid w:val="00D64139"/>
    <w:rsid w:val="00D6438E"/>
    <w:rsid w:val="00D65692"/>
    <w:rsid w:val="00D65713"/>
    <w:rsid w:val="00D65B73"/>
    <w:rsid w:val="00D65B96"/>
    <w:rsid w:val="00D65C3C"/>
    <w:rsid w:val="00D65C5E"/>
    <w:rsid w:val="00D65DEF"/>
    <w:rsid w:val="00D65EBF"/>
    <w:rsid w:val="00D6659D"/>
    <w:rsid w:val="00D667DC"/>
    <w:rsid w:val="00D670D2"/>
    <w:rsid w:val="00D67391"/>
    <w:rsid w:val="00D67720"/>
    <w:rsid w:val="00D67A5A"/>
    <w:rsid w:val="00D67BDA"/>
    <w:rsid w:val="00D67C3F"/>
    <w:rsid w:val="00D70137"/>
    <w:rsid w:val="00D7034F"/>
    <w:rsid w:val="00D706F2"/>
    <w:rsid w:val="00D70A16"/>
    <w:rsid w:val="00D70A7D"/>
    <w:rsid w:val="00D70BF7"/>
    <w:rsid w:val="00D70C39"/>
    <w:rsid w:val="00D70EAD"/>
    <w:rsid w:val="00D7191F"/>
    <w:rsid w:val="00D71F44"/>
    <w:rsid w:val="00D72134"/>
    <w:rsid w:val="00D721AC"/>
    <w:rsid w:val="00D7231C"/>
    <w:rsid w:val="00D723A4"/>
    <w:rsid w:val="00D7340B"/>
    <w:rsid w:val="00D735F7"/>
    <w:rsid w:val="00D7374E"/>
    <w:rsid w:val="00D73824"/>
    <w:rsid w:val="00D73B57"/>
    <w:rsid w:val="00D73CD1"/>
    <w:rsid w:val="00D744E6"/>
    <w:rsid w:val="00D74AB4"/>
    <w:rsid w:val="00D75164"/>
    <w:rsid w:val="00D75317"/>
    <w:rsid w:val="00D762F2"/>
    <w:rsid w:val="00D764C5"/>
    <w:rsid w:val="00D76548"/>
    <w:rsid w:val="00D76563"/>
    <w:rsid w:val="00D76762"/>
    <w:rsid w:val="00D76C01"/>
    <w:rsid w:val="00D77078"/>
    <w:rsid w:val="00D77173"/>
    <w:rsid w:val="00D77679"/>
    <w:rsid w:val="00D7785B"/>
    <w:rsid w:val="00D77C85"/>
    <w:rsid w:val="00D80923"/>
    <w:rsid w:val="00D80B96"/>
    <w:rsid w:val="00D80C8B"/>
    <w:rsid w:val="00D81118"/>
    <w:rsid w:val="00D81158"/>
    <w:rsid w:val="00D81274"/>
    <w:rsid w:val="00D815D7"/>
    <w:rsid w:val="00D818B5"/>
    <w:rsid w:val="00D818EA"/>
    <w:rsid w:val="00D81EEA"/>
    <w:rsid w:val="00D82089"/>
    <w:rsid w:val="00D82126"/>
    <w:rsid w:val="00D831E1"/>
    <w:rsid w:val="00D831F2"/>
    <w:rsid w:val="00D8349E"/>
    <w:rsid w:val="00D838CC"/>
    <w:rsid w:val="00D83A20"/>
    <w:rsid w:val="00D83AF4"/>
    <w:rsid w:val="00D84176"/>
    <w:rsid w:val="00D8465A"/>
    <w:rsid w:val="00D84831"/>
    <w:rsid w:val="00D8499E"/>
    <w:rsid w:val="00D84A94"/>
    <w:rsid w:val="00D84C2C"/>
    <w:rsid w:val="00D85536"/>
    <w:rsid w:val="00D85FDE"/>
    <w:rsid w:val="00D86A00"/>
    <w:rsid w:val="00D87483"/>
    <w:rsid w:val="00D875EC"/>
    <w:rsid w:val="00D87D8F"/>
    <w:rsid w:val="00D87E8D"/>
    <w:rsid w:val="00D90653"/>
    <w:rsid w:val="00D90FB5"/>
    <w:rsid w:val="00D91E75"/>
    <w:rsid w:val="00D91F2F"/>
    <w:rsid w:val="00D920CF"/>
    <w:rsid w:val="00D92140"/>
    <w:rsid w:val="00D92171"/>
    <w:rsid w:val="00D9245D"/>
    <w:rsid w:val="00D92725"/>
    <w:rsid w:val="00D927A5"/>
    <w:rsid w:val="00D928D2"/>
    <w:rsid w:val="00D92FEA"/>
    <w:rsid w:val="00D93012"/>
    <w:rsid w:val="00D93259"/>
    <w:rsid w:val="00D93926"/>
    <w:rsid w:val="00D93B1C"/>
    <w:rsid w:val="00D94051"/>
    <w:rsid w:val="00D9438F"/>
    <w:rsid w:val="00D9444E"/>
    <w:rsid w:val="00D94482"/>
    <w:rsid w:val="00D9597F"/>
    <w:rsid w:val="00D96539"/>
    <w:rsid w:val="00D965D6"/>
    <w:rsid w:val="00D96B9E"/>
    <w:rsid w:val="00D96F4C"/>
    <w:rsid w:val="00D972E3"/>
    <w:rsid w:val="00D97624"/>
    <w:rsid w:val="00D97B01"/>
    <w:rsid w:val="00D97D42"/>
    <w:rsid w:val="00DA053C"/>
    <w:rsid w:val="00DA0626"/>
    <w:rsid w:val="00DA0698"/>
    <w:rsid w:val="00DA0938"/>
    <w:rsid w:val="00DA10CF"/>
    <w:rsid w:val="00DA110C"/>
    <w:rsid w:val="00DA1166"/>
    <w:rsid w:val="00DA1617"/>
    <w:rsid w:val="00DA1F32"/>
    <w:rsid w:val="00DA2B0D"/>
    <w:rsid w:val="00DA2C6D"/>
    <w:rsid w:val="00DA2F8D"/>
    <w:rsid w:val="00DA31AB"/>
    <w:rsid w:val="00DA3418"/>
    <w:rsid w:val="00DA3470"/>
    <w:rsid w:val="00DA3E47"/>
    <w:rsid w:val="00DA4352"/>
    <w:rsid w:val="00DA4581"/>
    <w:rsid w:val="00DA47BD"/>
    <w:rsid w:val="00DA5224"/>
    <w:rsid w:val="00DA5535"/>
    <w:rsid w:val="00DA5953"/>
    <w:rsid w:val="00DA5BC6"/>
    <w:rsid w:val="00DA5C0E"/>
    <w:rsid w:val="00DA5F8C"/>
    <w:rsid w:val="00DA61E4"/>
    <w:rsid w:val="00DA6378"/>
    <w:rsid w:val="00DA6531"/>
    <w:rsid w:val="00DA65A6"/>
    <w:rsid w:val="00DA687C"/>
    <w:rsid w:val="00DA6F17"/>
    <w:rsid w:val="00DA71E5"/>
    <w:rsid w:val="00DA744A"/>
    <w:rsid w:val="00DA7854"/>
    <w:rsid w:val="00DB009B"/>
    <w:rsid w:val="00DB0155"/>
    <w:rsid w:val="00DB0A1A"/>
    <w:rsid w:val="00DB0E9A"/>
    <w:rsid w:val="00DB1DDA"/>
    <w:rsid w:val="00DB1F2A"/>
    <w:rsid w:val="00DB2061"/>
    <w:rsid w:val="00DB2692"/>
    <w:rsid w:val="00DB2E91"/>
    <w:rsid w:val="00DB31A3"/>
    <w:rsid w:val="00DB3648"/>
    <w:rsid w:val="00DB3720"/>
    <w:rsid w:val="00DB39CF"/>
    <w:rsid w:val="00DB3DF1"/>
    <w:rsid w:val="00DB4932"/>
    <w:rsid w:val="00DB59A7"/>
    <w:rsid w:val="00DB5D11"/>
    <w:rsid w:val="00DB6145"/>
    <w:rsid w:val="00DB6E54"/>
    <w:rsid w:val="00DB716A"/>
    <w:rsid w:val="00DB7488"/>
    <w:rsid w:val="00DB766D"/>
    <w:rsid w:val="00DB7723"/>
    <w:rsid w:val="00DC0A83"/>
    <w:rsid w:val="00DC0D0E"/>
    <w:rsid w:val="00DC0F16"/>
    <w:rsid w:val="00DC11BA"/>
    <w:rsid w:val="00DC1FCD"/>
    <w:rsid w:val="00DC20A3"/>
    <w:rsid w:val="00DC2157"/>
    <w:rsid w:val="00DC25A5"/>
    <w:rsid w:val="00DC2762"/>
    <w:rsid w:val="00DC2903"/>
    <w:rsid w:val="00DC2A9E"/>
    <w:rsid w:val="00DC2B37"/>
    <w:rsid w:val="00DC2E56"/>
    <w:rsid w:val="00DC2E8B"/>
    <w:rsid w:val="00DC2FA5"/>
    <w:rsid w:val="00DC3296"/>
    <w:rsid w:val="00DC3BE0"/>
    <w:rsid w:val="00DC40AE"/>
    <w:rsid w:val="00DC4475"/>
    <w:rsid w:val="00DC4735"/>
    <w:rsid w:val="00DC4E4D"/>
    <w:rsid w:val="00DC5AB8"/>
    <w:rsid w:val="00DC5B40"/>
    <w:rsid w:val="00DC5D09"/>
    <w:rsid w:val="00DC6ED2"/>
    <w:rsid w:val="00DC6EDA"/>
    <w:rsid w:val="00DC72CA"/>
    <w:rsid w:val="00DC7548"/>
    <w:rsid w:val="00DC7AA3"/>
    <w:rsid w:val="00DC7F62"/>
    <w:rsid w:val="00DD020C"/>
    <w:rsid w:val="00DD07CB"/>
    <w:rsid w:val="00DD0846"/>
    <w:rsid w:val="00DD10A9"/>
    <w:rsid w:val="00DD116A"/>
    <w:rsid w:val="00DD1C52"/>
    <w:rsid w:val="00DD20F7"/>
    <w:rsid w:val="00DD2418"/>
    <w:rsid w:val="00DD2BEE"/>
    <w:rsid w:val="00DD312F"/>
    <w:rsid w:val="00DD3865"/>
    <w:rsid w:val="00DD3A8C"/>
    <w:rsid w:val="00DD3BF6"/>
    <w:rsid w:val="00DD3DD8"/>
    <w:rsid w:val="00DD3E0C"/>
    <w:rsid w:val="00DD3F48"/>
    <w:rsid w:val="00DD41E1"/>
    <w:rsid w:val="00DD4567"/>
    <w:rsid w:val="00DD460A"/>
    <w:rsid w:val="00DD461C"/>
    <w:rsid w:val="00DD464F"/>
    <w:rsid w:val="00DD46BF"/>
    <w:rsid w:val="00DD480B"/>
    <w:rsid w:val="00DD4AC6"/>
    <w:rsid w:val="00DD4BAF"/>
    <w:rsid w:val="00DD4EFF"/>
    <w:rsid w:val="00DD4F6D"/>
    <w:rsid w:val="00DD6149"/>
    <w:rsid w:val="00DD74B5"/>
    <w:rsid w:val="00DD75E2"/>
    <w:rsid w:val="00DE0150"/>
    <w:rsid w:val="00DE071D"/>
    <w:rsid w:val="00DE0BAE"/>
    <w:rsid w:val="00DE20B6"/>
    <w:rsid w:val="00DE2557"/>
    <w:rsid w:val="00DE2DB2"/>
    <w:rsid w:val="00DE2EE2"/>
    <w:rsid w:val="00DE2F16"/>
    <w:rsid w:val="00DE3156"/>
    <w:rsid w:val="00DE3A33"/>
    <w:rsid w:val="00DE3ADE"/>
    <w:rsid w:val="00DE3D19"/>
    <w:rsid w:val="00DE4284"/>
    <w:rsid w:val="00DE428C"/>
    <w:rsid w:val="00DE45F5"/>
    <w:rsid w:val="00DE4CFB"/>
    <w:rsid w:val="00DE51DB"/>
    <w:rsid w:val="00DE5A39"/>
    <w:rsid w:val="00DE64D1"/>
    <w:rsid w:val="00DE652A"/>
    <w:rsid w:val="00DE6B28"/>
    <w:rsid w:val="00DE6BDA"/>
    <w:rsid w:val="00DE6C8F"/>
    <w:rsid w:val="00DE6FAE"/>
    <w:rsid w:val="00DE716F"/>
    <w:rsid w:val="00DE72A6"/>
    <w:rsid w:val="00DE7E67"/>
    <w:rsid w:val="00DF0024"/>
    <w:rsid w:val="00DF0197"/>
    <w:rsid w:val="00DF0284"/>
    <w:rsid w:val="00DF07E4"/>
    <w:rsid w:val="00DF0FEF"/>
    <w:rsid w:val="00DF1A9E"/>
    <w:rsid w:val="00DF1EE5"/>
    <w:rsid w:val="00DF21E1"/>
    <w:rsid w:val="00DF2243"/>
    <w:rsid w:val="00DF24EB"/>
    <w:rsid w:val="00DF2731"/>
    <w:rsid w:val="00DF2D14"/>
    <w:rsid w:val="00DF2D46"/>
    <w:rsid w:val="00DF37C7"/>
    <w:rsid w:val="00DF3DFF"/>
    <w:rsid w:val="00DF44BE"/>
    <w:rsid w:val="00DF4579"/>
    <w:rsid w:val="00DF498E"/>
    <w:rsid w:val="00DF53CB"/>
    <w:rsid w:val="00DF5690"/>
    <w:rsid w:val="00DF57E1"/>
    <w:rsid w:val="00DF5BD2"/>
    <w:rsid w:val="00DF5C49"/>
    <w:rsid w:val="00DF5C65"/>
    <w:rsid w:val="00DF5E40"/>
    <w:rsid w:val="00DF5EBA"/>
    <w:rsid w:val="00DF5F7E"/>
    <w:rsid w:val="00DF61B7"/>
    <w:rsid w:val="00DF6468"/>
    <w:rsid w:val="00DF6475"/>
    <w:rsid w:val="00DF6580"/>
    <w:rsid w:val="00DF6B6C"/>
    <w:rsid w:val="00DF6F94"/>
    <w:rsid w:val="00DF746E"/>
    <w:rsid w:val="00DF7589"/>
    <w:rsid w:val="00DF7851"/>
    <w:rsid w:val="00DF7E6C"/>
    <w:rsid w:val="00E002B5"/>
    <w:rsid w:val="00E0046F"/>
    <w:rsid w:val="00E00514"/>
    <w:rsid w:val="00E00AD1"/>
    <w:rsid w:val="00E00D0C"/>
    <w:rsid w:val="00E01397"/>
    <w:rsid w:val="00E01CE0"/>
    <w:rsid w:val="00E0234F"/>
    <w:rsid w:val="00E0236E"/>
    <w:rsid w:val="00E023A7"/>
    <w:rsid w:val="00E025AE"/>
    <w:rsid w:val="00E02C12"/>
    <w:rsid w:val="00E03132"/>
    <w:rsid w:val="00E0317A"/>
    <w:rsid w:val="00E0393A"/>
    <w:rsid w:val="00E03A52"/>
    <w:rsid w:val="00E03EF6"/>
    <w:rsid w:val="00E04CC5"/>
    <w:rsid w:val="00E04F9A"/>
    <w:rsid w:val="00E0504A"/>
    <w:rsid w:val="00E0507E"/>
    <w:rsid w:val="00E05178"/>
    <w:rsid w:val="00E0537E"/>
    <w:rsid w:val="00E05613"/>
    <w:rsid w:val="00E05CAA"/>
    <w:rsid w:val="00E05EED"/>
    <w:rsid w:val="00E060B1"/>
    <w:rsid w:val="00E06781"/>
    <w:rsid w:val="00E0683B"/>
    <w:rsid w:val="00E06ADA"/>
    <w:rsid w:val="00E0714B"/>
    <w:rsid w:val="00E07778"/>
    <w:rsid w:val="00E07784"/>
    <w:rsid w:val="00E07B62"/>
    <w:rsid w:val="00E07CD1"/>
    <w:rsid w:val="00E1026B"/>
    <w:rsid w:val="00E10886"/>
    <w:rsid w:val="00E10A0D"/>
    <w:rsid w:val="00E10D9D"/>
    <w:rsid w:val="00E10FB8"/>
    <w:rsid w:val="00E110EF"/>
    <w:rsid w:val="00E11689"/>
    <w:rsid w:val="00E117E7"/>
    <w:rsid w:val="00E118BE"/>
    <w:rsid w:val="00E118C9"/>
    <w:rsid w:val="00E11A16"/>
    <w:rsid w:val="00E11A99"/>
    <w:rsid w:val="00E11FE9"/>
    <w:rsid w:val="00E12028"/>
    <w:rsid w:val="00E12089"/>
    <w:rsid w:val="00E12324"/>
    <w:rsid w:val="00E1256A"/>
    <w:rsid w:val="00E12AA7"/>
    <w:rsid w:val="00E1341E"/>
    <w:rsid w:val="00E13463"/>
    <w:rsid w:val="00E13CFC"/>
    <w:rsid w:val="00E1454D"/>
    <w:rsid w:val="00E15545"/>
    <w:rsid w:val="00E1562B"/>
    <w:rsid w:val="00E15665"/>
    <w:rsid w:val="00E156ED"/>
    <w:rsid w:val="00E1638C"/>
    <w:rsid w:val="00E16867"/>
    <w:rsid w:val="00E16B63"/>
    <w:rsid w:val="00E16C19"/>
    <w:rsid w:val="00E16C2E"/>
    <w:rsid w:val="00E16E7E"/>
    <w:rsid w:val="00E17518"/>
    <w:rsid w:val="00E175B9"/>
    <w:rsid w:val="00E17C21"/>
    <w:rsid w:val="00E207B5"/>
    <w:rsid w:val="00E20C6D"/>
    <w:rsid w:val="00E217D6"/>
    <w:rsid w:val="00E217DC"/>
    <w:rsid w:val="00E21A65"/>
    <w:rsid w:val="00E21F60"/>
    <w:rsid w:val="00E22286"/>
    <w:rsid w:val="00E22A1F"/>
    <w:rsid w:val="00E238F1"/>
    <w:rsid w:val="00E24510"/>
    <w:rsid w:val="00E24A8B"/>
    <w:rsid w:val="00E2500F"/>
    <w:rsid w:val="00E25405"/>
    <w:rsid w:val="00E256E6"/>
    <w:rsid w:val="00E25858"/>
    <w:rsid w:val="00E262CF"/>
    <w:rsid w:val="00E26356"/>
    <w:rsid w:val="00E27102"/>
    <w:rsid w:val="00E2731D"/>
    <w:rsid w:val="00E27553"/>
    <w:rsid w:val="00E276F7"/>
    <w:rsid w:val="00E27869"/>
    <w:rsid w:val="00E2799A"/>
    <w:rsid w:val="00E279D0"/>
    <w:rsid w:val="00E27CEC"/>
    <w:rsid w:val="00E3046F"/>
    <w:rsid w:val="00E306E8"/>
    <w:rsid w:val="00E308DA"/>
    <w:rsid w:val="00E30B58"/>
    <w:rsid w:val="00E31210"/>
    <w:rsid w:val="00E31B21"/>
    <w:rsid w:val="00E32853"/>
    <w:rsid w:val="00E32D0F"/>
    <w:rsid w:val="00E33025"/>
    <w:rsid w:val="00E3329F"/>
    <w:rsid w:val="00E336C6"/>
    <w:rsid w:val="00E33BAF"/>
    <w:rsid w:val="00E33D86"/>
    <w:rsid w:val="00E346B2"/>
    <w:rsid w:val="00E347D5"/>
    <w:rsid w:val="00E3496F"/>
    <w:rsid w:val="00E34BF8"/>
    <w:rsid w:val="00E354BF"/>
    <w:rsid w:val="00E35BEB"/>
    <w:rsid w:val="00E35E36"/>
    <w:rsid w:val="00E36117"/>
    <w:rsid w:val="00E36235"/>
    <w:rsid w:val="00E362C2"/>
    <w:rsid w:val="00E362E8"/>
    <w:rsid w:val="00E3666F"/>
    <w:rsid w:val="00E367CF"/>
    <w:rsid w:val="00E369C7"/>
    <w:rsid w:val="00E374EA"/>
    <w:rsid w:val="00E401FA"/>
    <w:rsid w:val="00E40200"/>
    <w:rsid w:val="00E40D4C"/>
    <w:rsid w:val="00E40F9C"/>
    <w:rsid w:val="00E41D87"/>
    <w:rsid w:val="00E4233F"/>
    <w:rsid w:val="00E4283D"/>
    <w:rsid w:val="00E43644"/>
    <w:rsid w:val="00E437E3"/>
    <w:rsid w:val="00E43837"/>
    <w:rsid w:val="00E43B9A"/>
    <w:rsid w:val="00E44877"/>
    <w:rsid w:val="00E452A6"/>
    <w:rsid w:val="00E45E49"/>
    <w:rsid w:val="00E462C9"/>
    <w:rsid w:val="00E46C41"/>
    <w:rsid w:val="00E47C80"/>
    <w:rsid w:val="00E47FC2"/>
    <w:rsid w:val="00E50250"/>
    <w:rsid w:val="00E505DC"/>
    <w:rsid w:val="00E5181A"/>
    <w:rsid w:val="00E51D6C"/>
    <w:rsid w:val="00E51DBC"/>
    <w:rsid w:val="00E524A0"/>
    <w:rsid w:val="00E5254B"/>
    <w:rsid w:val="00E52627"/>
    <w:rsid w:val="00E52D07"/>
    <w:rsid w:val="00E53344"/>
    <w:rsid w:val="00E533ED"/>
    <w:rsid w:val="00E539B4"/>
    <w:rsid w:val="00E53BE9"/>
    <w:rsid w:val="00E53CEA"/>
    <w:rsid w:val="00E53DB2"/>
    <w:rsid w:val="00E53E04"/>
    <w:rsid w:val="00E53F61"/>
    <w:rsid w:val="00E54972"/>
    <w:rsid w:val="00E54C8E"/>
    <w:rsid w:val="00E54DA0"/>
    <w:rsid w:val="00E54DC4"/>
    <w:rsid w:val="00E55CF2"/>
    <w:rsid w:val="00E55EDA"/>
    <w:rsid w:val="00E56265"/>
    <w:rsid w:val="00E5662C"/>
    <w:rsid w:val="00E56BAC"/>
    <w:rsid w:val="00E56BE6"/>
    <w:rsid w:val="00E56DB6"/>
    <w:rsid w:val="00E57505"/>
    <w:rsid w:val="00E5750C"/>
    <w:rsid w:val="00E57677"/>
    <w:rsid w:val="00E577CA"/>
    <w:rsid w:val="00E605B1"/>
    <w:rsid w:val="00E605E3"/>
    <w:rsid w:val="00E60865"/>
    <w:rsid w:val="00E609EF"/>
    <w:rsid w:val="00E60E91"/>
    <w:rsid w:val="00E60FAF"/>
    <w:rsid w:val="00E60FBC"/>
    <w:rsid w:val="00E6182A"/>
    <w:rsid w:val="00E61C6A"/>
    <w:rsid w:val="00E61EDE"/>
    <w:rsid w:val="00E622C1"/>
    <w:rsid w:val="00E623B9"/>
    <w:rsid w:val="00E62491"/>
    <w:rsid w:val="00E634FC"/>
    <w:rsid w:val="00E63517"/>
    <w:rsid w:val="00E636D4"/>
    <w:rsid w:val="00E63709"/>
    <w:rsid w:val="00E63C7D"/>
    <w:rsid w:val="00E64096"/>
    <w:rsid w:val="00E645C1"/>
    <w:rsid w:val="00E648DC"/>
    <w:rsid w:val="00E6496B"/>
    <w:rsid w:val="00E649CD"/>
    <w:rsid w:val="00E656DC"/>
    <w:rsid w:val="00E658C4"/>
    <w:rsid w:val="00E6593A"/>
    <w:rsid w:val="00E65FB0"/>
    <w:rsid w:val="00E65FB8"/>
    <w:rsid w:val="00E66A5A"/>
    <w:rsid w:val="00E66A87"/>
    <w:rsid w:val="00E66AA4"/>
    <w:rsid w:val="00E66B19"/>
    <w:rsid w:val="00E66FFA"/>
    <w:rsid w:val="00E67871"/>
    <w:rsid w:val="00E67C39"/>
    <w:rsid w:val="00E67EDF"/>
    <w:rsid w:val="00E70168"/>
    <w:rsid w:val="00E71564"/>
    <w:rsid w:val="00E716D1"/>
    <w:rsid w:val="00E717D5"/>
    <w:rsid w:val="00E71911"/>
    <w:rsid w:val="00E71E97"/>
    <w:rsid w:val="00E72093"/>
    <w:rsid w:val="00E721B8"/>
    <w:rsid w:val="00E72328"/>
    <w:rsid w:val="00E7252E"/>
    <w:rsid w:val="00E72741"/>
    <w:rsid w:val="00E72AC1"/>
    <w:rsid w:val="00E7308E"/>
    <w:rsid w:val="00E73B47"/>
    <w:rsid w:val="00E73C86"/>
    <w:rsid w:val="00E73CB4"/>
    <w:rsid w:val="00E7432A"/>
    <w:rsid w:val="00E74E63"/>
    <w:rsid w:val="00E756BE"/>
    <w:rsid w:val="00E7574E"/>
    <w:rsid w:val="00E76753"/>
    <w:rsid w:val="00E76A15"/>
    <w:rsid w:val="00E76A3C"/>
    <w:rsid w:val="00E76A7A"/>
    <w:rsid w:val="00E76AE1"/>
    <w:rsid w:val="00E7711C"/>
    <w:rsid w:val="00E772D3"/>
    <w:rsid w:val="00E77496"/>
    <w:rsid w:val="00E775C3"/>
    <w:rsid w:val="00E77B99"/>
    <w:rsid w:val="00E77F7A"/>
    <w:rsid w:val="00E8036F"/>
    <w:rsid w:val="00E809DB"/>
    <w:rsid w:val="00E80CAC"/>
    <w:rsid w:val="00E80E92"/>
    <w:rsid w:val="00E81585"/>
    <w:rsid w:val="00E81CE8"/>
    <w:rsid w:val="00E81E86"/>
    <w:rsid w:val="00E81F63"/>
    <w:rsid w:val="00E82202"/>
    <w:rsid w:val="00E822E6"/>
    <w:rsid w:val="00E8286B"/>
    <w:rsid w:val="00E82CE7"/>
    <w:rsid w:val="00E8304E"/>
    <w:rsid w:val="00E830B3"/>
    <w:rsid w:val="00E83312"/>
    <w:rsid w:val="00E833FB"/>
    <w:rsid w:val="00E8395F"/>
    <w:rsid w:val="00E83B71"/>
    <w:rsid w:val="00E8432B"/>
    <w:rsid w:val="00E85C1E"/>
    <w:rsid w:val="00E85DFD"/>
    <w:rsid w:val="00E86429"/>
    <w:rsid w:val="00E86682"/>
    <w:rsid w:val="00E866C1"/>
    <w:rsid w:val="00E86E73"/>
    <w:rsid w:val="00E86E82"/>
    <w:rsid w:val="00E86FB1"/>
    <w:rsid w:val="00E87005"/>
    <w:rsid w:val="00E871CB"/>
    <w:rsid w:val="00E872BD"/>
    <w:rsid w:val="00E87844"/>
    <w:rsid w:val="00E907D5"/>
    <w:rsid w:val="00E90916"/>
    <w:rsid w:val="00E90AB8"/>
    <w:rsid w:val="00E90F20"/>
    <w:rsid w:val="00E915EA"/>
    <w:rsid w:val="00E92362"/>
    <w:rsid w:val="00E92700"/>
    <w:rsid w:val="00E92722"/>
    <w:rsid w:val="00E9297F"/>
    <w:rsid w:val="00E92BC1"/>
    <w:rsid w:val="00E93386"/>
    <w:rsid w:val="00E9345F"/>
    <w:rsid w:val="00E9366F"/>
    <w:rsid w:val="00E93735"/>
    <w:rsid w:val="00E93780"/>
    <w:rsid w:val="00E93E2F"/>
    <w:rsid w:val="00E940BB"/>
    <w:rsid w:val="00E94361"/>
    <w:rsid w:val="00E943AB"/>
    <w:rsid w:val="00E94E8E"/>
    <w:rsid w:val="00E9519A"/>
    <w:rsid w:val="00E954DE"/>
    <w:rsid w:val="00E95679"/>
    <w:rsid w:val="00E9589A"/>
    <w:rsid w:val="00E95AF8"/>
    <w:rsid w:val="00E96095"/>
    <w:rsid w:val="00E960BD"/>
    <w:rsid w:val="00E965D8"/>
    <w:rsid w:val="00E96BF2"/>
    <w:rsid w:val="00E96F47"/>
    <w:rsid w:val="00E96F70"/>
    <w:rsid w:val="00EA036C"/>
    <w:rsid w:val="00EA0455"/>
    <w:rsid w:val="00EA0725"/>
    <w:rsid w:val="00EA0E4A"/>
    <w:rsid w:val="00EA0EAD"/>
    <w:rsid w:val="00EA1076"/>
    <w:rsid w:val="00EA1137"/>
    <w:rsid w:val="00EA147C"/>
    <w:rsid w:val="00EA1514"/>
    <w:rsid w:val="00EA1A3A"/>
    <w:rsid w:val="00EA2008"/>
    <w:rsid w:val="00EA277B"/>
    <w:rsid w:val="00EA28DC"/>
    <w:rsid w:val="00EA2972"/>
    <w:rsid w:val="00EA2F3E"/>
    <w:rsid w:val="00EA3795"/>
    <w:rsid w:val="00EA382A"/>
    <w:rsid w:val="00EA392D"/>
    <w:rsid w:val="00EA3B12"/>
    <w:rsid w:val="00EA402D"/>
    <w:rsid w:val="00EA41EE"/>
    <w:rsid w:val="00EA44CD"/>
    <w:rsid w:val="00EA49EE"/>
    <w:rsid w:val="00EA4CCC"/>
    <w:rsid w:val="00EA4E27"/>
    <w:rsid w:val="00EA53AB"/>
    <w:rsid w:val="00EA562D"/>
    <w:rsid w:val="00EA594F"/>
    <w:rsid w:val="00EA5BB5"/>
    <w:rsid w:val="00EA5CE4"/>
    <w:rsid w:val="00EA64D6"/>
    <w:rsid w:val="00EA6BE1"/>
    <w:rsid w:val="00EA6C31"/>
    <w:rsid w:val="00EA6D44"/>
    <w:rsid w:val="00EA7002"/>
    <w:rsid w:val="00EA756E"/>
    <w:rsid w:val="00EB0423"/>
    <w:rsid w:val="00EB0745"/>
    <w:rsid w:val="00EB08A3"/>
    <w:rsid w:val="00EB0DE2"/>
    <w:rsid w:val="00EB0ED6"/>
    <w:rsid w:val="00EB1139"/>
    <w:rsid w:val="00EB119D"/>
    <w:rsid w:val="00EB1988"/>
    <w:rsid w:val="00EB1CD4"/>
    <w:rsid w:val="00EB1DC8"/>
    <w:rsid w:val="00EB21B4"/>
    <w:rsid w:val="00EB2644"/>
    <w:rsid w:val="00EB2A53"/>
    <w:rsid w:val="00EB373D"/>
    <w:rsid w:val="00EB3B3E"/>
    <w:rsid w:val="00EB3E6E"/>
    <w:rsid w:val="00EB3F02"/>
    <w:rsid w:val="00EB3F56"/>
    <w:rsid w:val="00EB430C"/>
    <w:rsid w:val="00EB46F1"/>
    <w:rsid w:val="00EB4CAE"/>
    <w:rsid w:val="00EB58D8"/>
    <w:rsid w:val="00EB5C01"/>
    <w:rsid w:val="00EB5D28"/>
    <w:rsid w:val="00EB6451"/>
    <w:rsid w:val="00EB67ED"/>
    <w:rsid w:val="00EB6BC6"/>
    <w:rsid w:val="00EB6BE6"/>
    <w:rsid w:val="00EB6C63"/>
    <w:rsid w:val="00EB6D61"/>
    <w:rsid w:val="00EB7303"/>
    <w:rsid w:val="00EB7313"/>
    <w:rsid w:val="00EB7892"/>
    <w:rsid w:val="00EC05C3"/>
    <w:rsid w:val="00EC06BB"/>
    <w:rsid w:val="00EC06DD"/>
    <w:rsid w:val="00EC0855"/>
    <w:rsid w:val="00EC08DD"/>
    <w:rsid w:val="00EC0D0E"/>
    <w:rsid w:val="00EC1001"/>
    <w:rsid w:val="00EC14AB"/>
    <w:rsid w:val="00EC14E6"/>
    <w:rsid w:val="00EC15C3"/>
    <w:rsid w:val="00EC19F6"/>
    <w:rsid w:val="00EC1EE1"/>
    <w:rsid w:val="00EC2333"/>
    <w:rsid w:val="00EC2753"/>
    <w:rsid w:val="00EC284C"/>
    <w:rsid w:val="00EC3081"/>
    <w:rsid w:val="00EC32A2"/>
    <w:rsid w:val="00EC3B16"/>
    <w:rsid w:val="00EC4407"/>
    <w:rsid w:val="00EC4E5C"/>
    <w:rsid w:val="00EC50DD"/>
    <w:rsid w:val="00EC52C0"/>
    <w:rsid w:val="00EC594F"/>
    <w:rsid w:val="00EC5F73"/>
    <w:rsid w:val="00EC6625"/>
    <w:rsid w:val="00EC6A15"/>
    <w:rsid w:val="00EC6E40"/>
    <w:rsid w:val="00EC76B8"/>
    <w:rsid w:val="00EC7AC3"/>
    <w:rsid w:val="00ED0092"/>
    <w:rsid w:val="00ED00F5"/>
    <w:rsid w:val="00ED044F"/>
    <w:rsid w:val="00ED060B"/>
    <w:rsid w:val="00ED1025"/>
    <w:rsid w:val="00ED14DE"/>
    <w:rsid w:val="00ED164D"/>
    <w:rsid w:val="00ED19CA"/>
    <w:rsid w:val="00ED1D56"/>
    <w:rsid w:val="00ED1FE8"/>
    <w:rsid w:val="00ED22EE"/>
    <w:rsid w:val="00ED2650"/>
    <w:rsid w:val="00ED26C1"/>
    <w:rsid w:val="00ED2702"/>
    <w:rsid w:val="00ED27F5"/>
    <w:rsid w:val="00ED2859"/>
    <w:rsid w:val="00ED2ABD"/>
    <w:rsid w:val="00ED2B0B"/>
    <w:rsid w:val="00ED2B6F"/>
    <w:rsid w:val="00ED2BD9"/>
    <w:rsid w:val="00ED2E04"/>
    <w:rsid w:val="00ED30E7"/>
    <w:rsid w:val="00ED31AB"/>
    <w:rsid w:val="00ED3652"/>
    <w:rsid w:val="00ED49A0"/>
    <w:rsid w:val="00ED4C44"/>
    <w:rsid w:val="00ED4F9E"/>
    <w:rsid w:val="00ED5450"/>
    <w:rsid w:val="00ED5650"/>
    <w:rsid w:val="00ED5CE7"/>
    <w:rsid w:val="00ED61BF"/>
    <w:rsid w:val="00ED61E1"/>
    <w:rsid w:val="00ED6AD4"/>
    <w:rsid w:val="00ED6F6F"/>
    <w:rsid w:val="00ED774C"/>
    <w:rsid w:val="00ED7788"/>
    <w:rsid w:val="00ED7AA3"/>
    <w:rsid w:val="00ED7D60"/>
    <w:rsid w:val="00ED7E5F"/>
    <w:rsid w:val="00EE09B8"/>
    <w:rsid w:val="00EE0CB4"/>
    <w:rsid w:val="00EE0EDA"/>
    <w:rsid w:val="00EE0EE2"/>
    <w:rsid w:val="00EE157B"/>
    <w:rsid w:val="00EE1632"/>
    <w:rsid w:val="00EE1AEC"/>
    <w:rsid w:val="00EE1E81"/>
    <w:rsid w:val="00EE1ECC"/>
    <w:rsid w:val="00EE2424"/>
    <w:rsid w:val="00EE2777"/>
    <w:rsid w:val="00EE27AA"/>
    <w:rsid w:val="00EE28A8"/>
    <w:rsid w:val="00EE2A00"/>
    <w:rsid w:val="00EE2FEA"/>
    <w:rsid w:val="00EE3F8F"/>
    <w:rsid w:val="00EE3FEE"/>
    <w:rsid w:val="00EE4D0B"/>
    <w:rsid w:val="00EE4D35"/>
    <w:rsid w:val="00EE4E2D"/>
    <w:rsid w:val="00EE4FCA"/>
    <w:rsid w:val="00EE526B"/>
    <w:rsid w:val="00EE5DF2"/>
    <w:rsid w:val="00EE61FC"/>
    <w:rsid w:val="00EE688C"/>
    <w:rsid w:val="00EE6C3D"/>
    <w:rsid w:val="00EE7246"/>
    <w:rsid w:val="00EE751A"/>
    <w:rsid w:val="00EE7AAC"/>
    <w:rsid w:val="00EE7D3F"/>
    <w:rsid w:val="00EE7EAA"/>
    <w:rsid w:val="00EF0267"/>
    <w:rsid w:val="00EF09ED"/>
    <w:rsid w:val="00EF10FD"/>
    <w:rsid w:val="00EF182C"/>
    <w:rsid w:val="00EF1903"/>
    <w:rsid w:val="00EF1BB3"/>
    <w:rsid w:val="00EF1DF2"/>
    <w:rsid w:val="00EF238B"/>
    <w:rsid w:val="00EF2876"/>
    <w:rsid w:val="00EF29DC"/>
    <w:rsid w:val="00EF2A53"/>
    <w:rsid w:val="00EF3609"/>
    <w:rsid w:val="00EF36DD"/>
    <w:rsid w:val="00EF38EF"/>
    <w:rsid w:val="00EF3BA4"/>
    <w:rsid w:val="00EF3BBD"/>
    <w:rsid w:val="00EF43AD"/>
    <w:rsid w:val="00EF536E"/>
    <w:rsid w:val="00EF5868"/>
    <w:rsid w:val="00EF5C70"/>
    <w:rsid w:val="00EF5D39"/>
    <w:rsid w:val="00EF6208"/>
    <w:rsid w:val="00EF726D"/>
    <w:rsid w:val="00EF750B"/>
    <w:rsid w:val="00EF75E1"/>
    <w:rsid w:val="00F00BBF"/>
    <w:rsid w:val="00F01238"/>
    <w:rsid w:val="00F01522"/>
    <w:rsid w:val="00F01B16"/>
    <w:rsid w:val="00F01BEE"/>
    <w:rsid w:val="00F022A2"/>
    <w:rsid w:val="00F028CA"/>
    <w:rsid w:val="00F02AA2"/>
    <w:rsid w:val="00F02B00"/>
    <w:rsid w:val="00F02C1C"/>
    <w:rsid w:val="00F03045"/>
    <w:rsid w:val="00F030AB"/>
    <w:rsid w:val="00F03764"/>
    <w:rsid w:val="00F03A34"/>
    <w:rsid w:val="00F03B3A"/>
    <w:rsid w:val="00F03C1F"/>
    <w:rsid w:val="00F04021"/>
    <w:rsid w:val="00F04D66"/>
    <w:rsid w:val="00F0512F"/>
    <w:rsid w:val="00F053A8"/>
    <w:rsid w:val="00F053B9"/>
    <w:rsid w:val="00F05838"/>
    <w:rsid w:val="00F058F7"/>
    <w:rsid w:val="00F05C2C"/>
    <w:rsid w:val="00F05D1E"/>
    <w:rsid w:val="00F05D98"/>
    <w:rsid w:val="00F0601D"/>
    <w:rsid w:val="00F066F9"/>
    <w:rsid w:val="00F06814"/>
    <w:rsid w:val="00F06CFC"/>
    <w:rsid w:val="00F06D07"/>
    <w:rsid w:val="00F077B5"/>
    <w:rsid w:val="00F102FB"/>
    <w:rsid w:val="00F10904"/>
    <w:rsid w:val="00F11259"/>
    <w:rsid w:val="00F1162D"/>
    <w:rsid w:val="00F118B9"/>
    <w:rsid w:val="00F119B3"/>
    <w:rsid w:val="00F11D45"/>
    <w:rsid w:val="00F12AD5"/>
    <w:rsid w:val="00F12DBA"/>
    <w:rsid w:val="00F13C39"/>
    <w:rsid w:val="00F13EF9"/>
    <w:rsid w:val="00F1498E"/>
    <w:rsid w:val="00F14E7C"/>
    <w:rsid w:val="00F150FC"/>
    <w:rsid w:val="00F15638"/>
    <w:rsid w:val="00F15797"/>
    <w:rsid w:val="00F15A3E"/>
    <w:rsid w:val="00F15B11"/>
    <w:rsid w:val="00F15BDD"/>
    <w:rsid w:val="00F15D7B"/>
    <w:rsid w:val="00F16033"/>
    <w:rsid w:val="00F16357"/>
    <w:rsid w:val="00F1661E"/>
    <w:rsid w:val="00F167CC"/>
    <w:rsid w:val="00F173E2"/>
    <w:rsid w:val="00F1748C"/>
    <w:rsid w:val="00F175C7"/>
    <w:rsid w:val="00F17C4C"/>
    <w:rsid w:val="00F17F36"/>
    <w:rsid w:val="00F2030F"/>
    <w:rsid w:val="00F2071E"/>
    <w:rsid w:val="00F208A7"/>
    <w:rsid w:val="00F20BA2"/>
    <w:rsid w:val="00F2101B"/>
    <w:rsid w:val="00F21602"/>
    <w:rsid w:val="00F216F0"/>
    <w:rsid w:val="00F217AB"/>
    <w:rsid w:val="00F21CA3"/>
    <w:rsid w:val="00F21D20"/>
    <w:rsid w:val="00F224DA"/>
    <w:rsid w:val="00F2287B"/>
    <w:rsid w:val="00F22C9D"/>
    <w:rsid w:val="00F22E23"/>
    <w:rsid w:val="00F2332B"/>
    <w:rsid w:val="00F2399C"/>
    <w:rsid w:val="00F23A82"/>
    <w:rsid w:val="00F23AE7"/>
    <w:rsid w:val="00F23C6D"/>
    <w:rsid w:val="00F23E41"/>
    <w:rsid w:val="00F24468"/>
    <w:rsid w:val="00F24510"/>
    <w:rsid w:val="00F24636"/>
    <w:rsid w:val="00F248E5"/>
    <w:rsid w:val="00F2534A"/>
    <w:rsid w:val="00F255E0"/>
    <w:rsid w:val="00F25E83"/>
    <w:rsid w:val="00F26189"/>
    <w:rsid w:val="00F264E9"/>
    <w:rsid w:val="00F26566"/>
    <w:rsid w:val="00F26862"/>
    <w:rsid w:val="00F27307"/>
    <w:rsid w:val="00F27331"/>
    <w:rsid w:val="00F27746"/>
    <w:rsid w:val="00F2798B"/>
    <w:rsid w:val="00F27DB0"/>
    <w:rsid w:val="00F27FBD"/>
    <w:rsid w:val="00F30A5C"/>
    <w:rsid w:val="00F312DA"/>
    <w:rsid w:val="00F322FD"/>
    <w:rsid w:val="00F3246E"/>
    <w:rsid w:val="00F32623"/>
    <w:rsid w:val="00F32645"/>
    <w:rsid w:val="00F32813"/>
    <w:rsid w:val="00F33008"/>
    <w:rsid w:val="00F330FC"/>
    <w:rsid w:val="00F339BB"/>
    <w:rsid w:val="00F34D53"/>
    <w:rsid w:val="00F35506"/>
    <w:rsid w:val="00F35E3E"/>
    <w:rsid w:val="00F36601"/>
    <w:rsid w:val="00F36B84"/>
    <w:rsid w:val="00F36E65"/>
    <w:rsid w:val="00F37089"/>
    <w:rsid w:val="00F373E0"/>
    <w:rsid w:val="00F37F4E"/>
    <w:rsid w:val="00F40022"/>
    <w:rsid w:val="00F4060A"/>
    <w:rsid w:val="00F40DAD"/>
    <w:rsid w:val="00F412F4"/>
    <w:rsid w:val="00F4130F"/>
    <w:rsid w:val="00F41463"/>
    <w:rsid w:val="00F41828"/>
    <w:rsid w:val="00F41C2D"/>
    <w:rsid w:val="00F4205C"/>
    <w:rsid w:val="00F42144"/>
    <w:rsid w:val="00F424FA"/>
    <w:rsid w:val="00F42EF4"/>
    <w:rsid w:val="00F433EA"/>
    <w:rsid w:val="00F43847"/>
    <w:rsid w:val="00F43B4E"/>
    <w:rsid w:val="00F44067"/>
    <w:rsid w:val="00F4413B"/>
    <w:rsid w:val="00F443B3"/>
    <w:rsid w:val="00F4444C"/>
    <w:rsid w:val="00F4479A"/>
    <w:rsid w:val="00F45456"/>
    <w:rsid w:val="00F454FF"/>
    <w:rsid w:val="00F45C35"/>
    <w:rsid w:val="00F45F89"/>
    <w:rsid w:val="00F46180"/>
    <w:rsid w:val="00F4648E"/>
    <w:rsid w:val="00F464B5"/>
    <w:rsid w:val="00F46B70"/>
    <w:rsid w:val="00F46D17"/>
    <w:rsid w:val="00F46D33"/>
    <w:rsid w:val="00F46F8D"/>
    <w:rsid w:val="00F473C6"/>
    <w:rsid w:val="00F474B5"/>
    <w:rsid w:val="00F474E2"/>
    <w:rsid w:val="00F479CE"/>
    <w:rsid w:val="00F479DB"/>
    <w:rsid w:val="00F47F9B"/>
    <w:rsid w:val="00F503CC"/>
    <w:rsid w:val="00F5040F"/>
    <w:rsid w:val="00F50412"/>
    <w:rsid w:val="00F5052A"/>
    <w:rsid w:val="00F50677"/>
    <w:rsid w:val="00F506F0"/>
    <w:rsid w:val="00F50D4F"/>
    <w:rsid w:val="00F50DDB"/>
    <w:rsid w:val="00F512D6"/>
    <w:rsid w:val="00F51527"/>
    <w:rsid w:val="00F51ABE"/>
    <w:rsid w:val="00F51E41"/>
    <w:rsid w:val="00F51ECD"/>
    <w:rsid w:val="00F53051"/>
    <w:rsid w:val="00F530CE"/>
    <w:rsid w:val="00F53648"/>
    <w:rsid w:val="00F53BF3"/>
    <w:rsid w:val="00F53D80"/>
    <w:rsid w:val="00F541BA"/>
    <w:rsid w:val="00F54370"/>
    <w:rsid w:val="00F545F4"/>
    <w:rsid w:val="00F5469D"/>
    <w:rsid w:val="00F54A62"/>
    <w:rsid w:val="00F5501C"/>
    <w:rsid w:val="00F55823"/>
    <w:rsid w:val="00F55ABB"/>
    <w:rsid w:val="00F55FA1"/>
    <w:rsid w:val="00F56228"/>
    <w:rsid w:val="00F56E5E"/>
    <w:rsid w:val="00F57567"/>
    <w:rsid w:val="00F57655"/>
    <w:rsid w:val="00F57A81"/>
    <w:rsid w:val="00F57B94"/>
    <w:rsid w:val="00F57F3F"/>
    <w:rsid w:val="00F601EC"/>
    <w:rsid w:val="00F6045D"/>
    <w:rsid w:val="00F6072C"/>
    <w:rsid w:val="00F60754"/>
    <w:rsid w:val="00F60DC8"/>
    <w:rsid w:val="00F610AE"/>
    <w:rsid w:val="00F611F2"/>
    <w:rsid w:val="00F61A33"/>
    <w:rsid w:val="00F61C67"/>
    <w:rsid w:val="00F62191"/>
    <w:rsid w:val="00F624D1"/>
    <w:rsid w:val="00F62A92"/>
    <w:rsid w:val="00F63076"/>
    <w:rsid w:val="00F632FD"/>
    <w:rsid w:val="00F6382F"/>
    <w:rsid w:val="00F63C73"/>
    <w:rsid w:val="00F63DC7"/>
    <w:rsid w:val="00F64AC1"/>
    <w:rsid w:val="00F64C7C"/>
    <w:rsid w:val="00F64CAB"/>
    <w:rsid w:val="00F651A5"/>
    <w:rsid w:val="00F65784"/>
    <w:rsid w:val="00F65CF3"/>
    <w:rsid w:val="00F6623D"/>
    <w:rsid w:val="00F663A8"/>
    <w:rsid w:val="00F67510"/>
    <w:rsid w:val="00F70ACD"/>
    <w:rsid w:val="00F70B92"/>
    <w:rsid w:val="00F71096"/>
    <w:rsid w:val="00F716E2"/>
    <w:rsid w:val="00F7172F"/>
    <w:rsid w:val="00F7189D"/>
    <w:rsid w:val="00F718DE"/>
    <w:rsid w:val="00F71BF9"/>
    <w:rsid w:val="00F71CD1"/>
    <w:rsid w:val="00F721B8"/>
    <w:rsid w:val="00F73381"/>
    <w:rsid w:val="00F73AAE"/>
    <w:rsid w:val="00F7425E"/>
    <w:rsid w:val="00F744D6"/>
    <w:rsid w:val="00F74A1C"/>
    <w:rsid w:val="00F74E59"/>
    <w:rsid w:val="00F7512F"/>
    <w:rsid w:val="00F75381"/>
    <w:rsid w:val="00F753BC"/>
    <w:rsid w:val="00F755FF"/>
    <w:rsid w:val="00F75F31"/>
    <w:rsid w:val="00F765A6"/>
    <w:rsid w:val="00F76A7F"/>
    <w:rsid w:val="00F76B43"/>
    <w:rsid w:val="00F76D10"/>
    <w:rsid w:val="00F776E1"/>
    <w:rsid w:val="00F7778B"/>
    <w:rsid w:val="00F80049"/>
    <w:rsid w:val="00F805A3"/>
    <w:rsid w:val="00F80687"/>
    <w:rsid w:val="00F807A2"/>
    <w:rsid w:val="00F80875"/>
    <w:rsid w:val="00F808E6"/>
    <w:rsid w:val="00F80BE8"/>
    <w:rsid w:val="00F811D1"/>
    <w:rsid w:val="00F8136F"/>
    <w:rsid w:val="00F81C7A"/>
    <w:rsid w:val="00F81D84"/>
    <w:rsid w:val="00F81FED"/>
    <w:rsid w:val="00F8217F"/>
    <w:rsid w:val="00F8234F"/>
    <w:rsid w:val="00F82467"/>
    <w:rsid w:val="00F825C3"/>
    <w:rsid w:val="00F8260F"/>
    <w:rsid w:val="00F82E75"/>
    <w:rsid w:val="00F82FED"/>
    <w:rsid w:val="00F83300"/>
    <w:rsid w:val="00F837DF"/>
    <w:rsid w:val="00F83853"/>
    <w:rsid w:val="00F84179"/>
    <w:rsid w:val="00F84297"/>
    <w:rsid w:val="00F844CF"/>
    <w:rsid w:val="00F849CB"/>
    <w:rsid w:val="00F8506F"/>
    <w:rsid w:val="00F853E7"/>
    <w:rsid w:val="00F858EB"/>
    <w:rsid w:val="00F85CE3"/>
    <w:rsid w:val="00F86826"/>
    <w:rsid w:val="00F86D2A"/>
    <w:rsid w:val="00F86DFA"/>
    <w:rsid w:val="00F86F4A"/>
    <w:rsid w:val="00F86F8E"/>
    <w:rsid w:val="00F90265"/>
    <w:rsid w:val="00F9090E"/>
    <w:rsid w:val="00F911E0"/>
    <w:rsid w:val="00F91215"/>
    <w:rsid w:val="00F914CD"/>
    <w:rsid w:val="00F91BB6"/>
    <w:rsid w:val="00F92DD5"/>
    <w:rsid w:val="00F93989"/>
    <w:rsid w:val="00F93E66"/>
    <w:rsid w:val="00F94628"/>
    <w:rsid w:val="00F95063"/>
    <w:rsid w:val="00F951C4"/>
    <w:rsid w:val="00F95268"/>
    <w:rsid w:val="00F952DA"/>
    <w:rsid w:val="00F952EE"/>
    <w:rsid w:val="00F957D2"/>
    <w:rsid w:val="00F95CB8"/>
    <w:rsid w:val="00F967CC"/>
    <w:rsid w:val="00F9754B"/>
    <w:rsid w:val="00F97729"/>
    <w:rsid w:val="00F97A0B"/>
    <w:rsid w:val="00F97D26"/>
    <w:rsid w:val="00FA1252"/>
    <w:rsid w:val="00FA133B"/>
    <w:rsid w:val="00FA2212"/>
    <w:rsid w:val="00FA28FD"/>
    <w:rsid w:val="00FA2C73"/>
    <w:rsid w:val="00FA2F13"/>
    <w:rsid w:val="00FA34B8"/>
    <w:rsid w:val="00FA34CE"/>
    <w:rsid w:val="00FA3530"/>
    <w:rsid w:val="00FA376A"/>
    <w:rsid w:val="00FA3C60"/>
    <w:rsid w:val="00FA3CB8"/>
    <w:rsid w:val="00FA4B98"/>
    <w:rsid w:val="00FA5429"/>
    <w:rsid w:val="00FA5B5B"/>
    <w:rsid w:val="00FA5C5F"/>
    <w:rsid w:val="00FA5E14"/>
    <w:rsid w:val="00FA5E71"/>
    <w:rsid w:val="00FA5FF0"/>
    <w:rsid w:val="00FA6080"/>
    <w:rsid w:val="00FA6179"/>
    <w:rsid w:val="00FA63C8"/>
    <w:rsid w:val="00FA66E4"/>
    <w:rsid w:val="00FA6864"/>
    <w:rsid w:val="00FA6DB7"/>
    <w:rsid w:val="00FA7369"/>
    <w:rsid w:val="00FA75B0"/>
    <w:rsid w:val="00FA75D1"/>
    <w:rsid w:val="00FA77B9"/>
    <w:rsid w:val="00FA78FD"/>
    <w:rsid w:val="00FA7F8C"/>
    <w:rsid w:val="00FB0098"/>
    <w:rsid w:val="00FB0483"/>
    <w:rsid w:val="00FB04D2"/>
    <w:rsid w:val="00FB0612"/>
    <w:rsid w:val="00FB06E8"/>
    <w:rsid w:val="00FB0811"/>
    <w:rsid w:val="00FB0A00"/>
    <w:rsid w:val="00FB0AAA"/>
    <w:rsid w:val="00FB12F4"/>
    <w:rsid w:val="00FB1493"/>
    <w:rsid w:val="00FB167C"/>
    <w:rsid w:val="00FB1802"/>
    <w:rsid w:val="00FB1A39"/>
    <w:rsid w:val="00FB1B2A"/>
    <w:rsid w:val="00FB1C35"/>
    <w:rsid w:val="00FB1C43"/>
    <w:rsid w:val="00FB1D7C"/>
    <w:rsid w:val="00FB1E17"/>
    <w:rsid w:val="00FB1ED0"/>
    <w:rsid w:val="00FB1FEA"/>
    <w:rsid w:val="00FB2695"/>
    <w:rsid w:val="00FB2826"/>
    <w:rsid w:val="00FB2882"/>
    <w:rsid w:val="00FB29B8"/>
    <w:rsid w:val="00FB2D3A"/>
    <w:rsid w:val="00FB31CE"/>
    <w:rsid w:val="00FB340E"/>
    <w:rsid w:val="00FB39D6"/>
    <w:rsid w:val="00FB3BCE"/>
    <w:rsid w:val="00FB3C79"/>
    <w:rsid w:val="00FB41AA"/>
    <w:rsid w:val="00FB45A0"/>
    <w:rsid w:val="00FB486D"/>
    <w:rsid w:val="00FB4FC2"/>
    <w:rsid w:val="00FB50CD"/>
    <w:rsid w:val="00FB57E9"/>
    <w:rsid w:val="00FB5887"/>
    <w:rsid w:val="00FB5DC5"/>
    <w:rsid w:val="00FB5E58"/>
    <w:rsid w:val="00FB68C4"/>
    <w:rsid w:val="00FB7308"/>
    <w:rsid w:val="00FB7AC8"/>
    <w:rsid w:val="00FB7B1B"/>
    <w:rsid w:val="00FB7ECB"/>
    <w:rsid w:val="00FB7F6F"/>
    <w:rsid w:val="00FC0A27"/>
    <w:rsid w:val="00FC1000"/>
    <w:rsid w:val="00FC1631"/>
    <w:rsid w:val="00FC16F0"/>
    <w:rsid w:val="00FC185B"/>
    <w:rsid w:val="00FC1BB2"/>
    <w:rsid w:val="00FC295D"/>
    <w:rsid w:val="00FC3909"/>
    <w:rsid w:val="00FC443B"/>
    <w:rsid w:val="00FC4741"/>
    <w:rsid w:val="00FC484C"/>
    <w:rsid w:val="00FC496D"/>
    <w:rsid w:val="00FC4EAF"/>
    <w:rsid w:val="00FC4FDE"/>
    <w:rsid w:val="00FC527C"/>
    <w:rsid w:val="00FC56E5"/>
    <w:rsid w:val="00FC6231"/>
    <w:rsid w:val="00FC6445"/>
    <w:rsid w:val="00FC686B"/>
    <w:rsid w:val="00FC6FF5"/>
    <w:rsid w:val="00FC75E1"/>
    <w:rsid w:val="00FC75F5"/>
    <w:rsid w:val="00FC785D"/>
    <w:rsid w:val="00FC7A0C"/>
    <w:rsid w:val="00FC7A93"/>
    <w:rsid w:val="00FC7E40"/>
    <w:rsid w:val="00FC7FC2"/>
    <w:rsid w:val="00FD0A83"/>
    <w:rsid w:val="00FD13CE"/>
    <w:rsid w:val="00FD13E0"/>
    <w:rsid w:val="00FD14F1"/>
    <w:rsid w:val="00FD184E"/>
    <w:rsid w:val="00FD1876"/>
    <w:rsid w:val="00FD2285"/>
    <w:rsid w:val="00FD2363"/>
    <w:rsid w:val="00FD2C50"/>
    <w:rsid w:val="00FD3403"/>
    <w:rsid w:val="00FD35EA"/>
    <w:rsid w:val="00FD3DD6"/>
    <w:rsid w:val="00FD41F3"/>
    <w:rsid w:val="00FD4BB1"/>
    <w:rsid w:val="00FD4F33"/>
    <w:rsid w:val="00FD5A46"/>
    <w:rsid w:val="00FD5CB6"/>
    <w:rsid w:val="00FD6507"/>
    <w:rsid w:val="00FD6D32"/>
    <w:rsid w:val="00FD6E9D"/>
    <w:rsid w:val="00FD7035"/>
    <w:rsid w:val="00FD7102"/>
    <w:rsid w:val="00FD7739"/>
    <w:rsid w:val="00FE0A15"/>
    <w:rsid w:val="00FE0D2E"/>
    <w:rsid w:val="00FE0FA1"/>
    <w:rsid w:val="00FE105E"/>
    <w:rsid w:val="00FE1136"/>
    <w:rsid w:val="00FE117B"/>
    <w:rsid w:val="00FE1595"/>
    <w:rsid w:val="00FE1718"/>
    <w:rsid w:val="00FE179E"/>
    <w:rsid w:val="00FE184A"/>
    <w:rsid w:val="00FE1B59"/>
    <w:rsid w:val="00FE208D"/>
    <w:rsid w:val="00FE2760"/>
    <w:rsid w:val="00FE2CF2"/>
    <w:rsid w:val="00FE3A91"/>
    <w:rsid w:val="00FE3CD9"/>
    <w:rsid w:val="00FE4314"/>
    <w:rsid w:val="00FE44BA"/>
    <w:rsid w:val="00FE4DBA"/>
    <w:rsid w:val="00FE544D"/>
    <w:rsid w:val="00FE570F"/>
    <w:rsid w:val="00FE5843"/>
    <w:rsid w:val="00FE6235"/>
    <w:rsid w:val="00FE6883"/>
    <w:rsid w:val="00FE6A6E"/>
    <w:rsid w:val="00FE7621"/>
    <w:rsid w:val="00FE76A1"/>
    <w:rsid w:val="00FE7BB3"/>
    <w:rsid w:val="00FE7CEE"/>
    <w:rsid w:val="00FF017A"/>
    <w:rsid w:val="00FF0264"/>
    <w:rsid w:val="00FF038C"/>
    <w:rsid w:val="00FF05A4"/>
    <w:rsid w:val="00FF09BB"/>
    <w:rsid w:val="00FF1108"/>
    <w:rsid w:val="00FF1461"/>
    <w:rsid w:val="00FF162F"/>
    <w:rsid w:val="00FF1936"/>
    <w:rsid w:val="00FF1D89"/>
    <w:rsid w:val="00FF1E13"/>
    <w:rsid w:val="00FF1E6F"/>
    <w:rsid w:val="00FF23C0"/>
    <w:rsid w:val="00FF33A1"/>
    <w:rsid w:val="00FF36C1"/>
    <w:rsid w:val="00FF3920"/>
    <w:rsid w:val="00FF393C"/>
    <w:rsid w:val="00FF3C3B"/>
    <w:rsid w:val="00FF42C0"/>
    <w:rsid w:val="00FF4F7C"/>
    <w:rsid w:val="00FF50B4"/>
    <w:rsid w:val="00FF53EC"/>
    <w:rsid w:val="00FF554D"/>
    <w:rsid w:val="00FF572E"/>
    <w:rsid w:val="00FF60A0"/>
    <w:rsid w:val="00FF6382"/>
    <w:rsid w:val="00FF63D1"/>
    <w:rsid w:val="00FF6447"/>
    <w:rsid w:val="00FF64CE"/>
    <w:rsid w:val="00FF6D61"/>
    <w:rsid w:val="00FF7699"/>
    <w:rsid w:val="0174349F"/>
    <w:rsid w:val="02CB4A92"/>
    <w:rsid w:val="031608C0"/>
    <w:rsid w:val="034675D0"/>
    <w:rsid w:val="034902E8"/>
    <w:rsid w:val="041C6FC4"/>
    <w:rsid w:val="0575454E"/>
    <w:rsid w:val="066839F3"/>
    <w:rsid w:val="0B554854"/>
    <w:rsid w:val="0B7A0303"/>
    <w:rsid w:val="0B8B007F"/>
    <w:rsid w:val="0CA25E95"/>
    <w:rsid w:val="0DFC36AD"/>
    <w:rsid w:val="0E043C75"/>
    <w:rsid w:val="0E100F06"/>
    <w:rsid w:val="0E8F2C8D"/>
    <w:rsid w:val="0F7C3A18"/>
    <w:rsid w:val="0F9549B6"/>
    <w:rsid w:val="0FF40680"/>
    <w:rsid w:val="106D2276"/>
    <w:rsid w:val="14265C62"/>
    <w:rsid w:val="14333EC9"/>
    <w:rsid w:val="155451AA"/>
    <w:rsid w:val="15552914"/>
    <w:rsid w:val="15E1443D"/>
    <w:rsid w:val="162B4B2F"/>
    <w:rsid w:val="167F1268"/>
    <w:rsid w:val="176756C6"/>
    <w:rsid w:val="17954365"/>
    <w:rsid w:val="18042F94"/>
    <w:rsid w:val="19411A03"/>
    <w:rsid w:val="19F57352"/>
    <w:rsid w:val="1A007F48"/>
    <w:rsid w:val="1A10776C"/>
    <w:rsid w:val="1ADE2976"/>
    <w:rsid w:val="1B622997"/>
    <w:rsid w:val="1BA905B1"/>
    <w:rsid w:val="1C084047"/>
    <w:rsid w:val="1C702A36"/>
    <w:rsid w:val="1D1A76AB"/>
    <w:rsid w:val="1D9236E6"/>
    <w:rsid w:val="1DDF18E3"/>
    <w:rsid w:val="1E673822"/>
    <w:rsid w:val="1EAE09F3"/>
    <w:rsid w:val="1F14192D"/>
    <w:rsid w:val="1FFD4C97"/>
    <w:rsid w:val="200827DE"/>
    <w:rsid w:val="2020770C"/>
    <w:rsid w:val="211535CB"/>
    <w:rsid w:val="212A0BE3"/>
    <w:rsid w:val="212C3E51"/>
    <w:rsid w:val="22274D44"/>
    <w:rsid w:val="224E5D7E"/>
    <w:rsid w:val="22EF5136"/>
    <w:rsid w:val="24CD6DA6"/>
    <w:rsid w:val="24CE59D6"/>
    <w:rsid w:val="2506265F"/>
    <w:rsid w:val="25E73C68"/>
    <w:rsid w:val="260706D6"/>
    <w:rsid w:val="27457A1B"/>
    <w:rsid w:val="27D03788"/>
    <w:rsid w:val="29B25F64"/>
    <w:rsid w:val="2A083DD6"/>
    <w:rsid w:val="2A1B5985"/>
    <w:rsid w:val="2BD4747E"/>
    <w:rsid w:val="2CE0279E"/>
    <w:rsid w:val="2DDF7C50"/>
    <w:rsid w:val="2E092640"/>
    <w:rsid w:val="2E9524A7"/>
    <w:rsid w:val="2F5F232A"/>
    <w:rsid w:val="2F830261"/>
    <w:rsid w:val="2F944666"/>
    <w:rsid w:val="2FC052B7"/>
    <w:rsid w:val="308A51E0"/>
    <w:rsid w:val="30F723AE"/>
    <w:rsid w:val="320830A0"/>
    <w:rsid w:val="3218353A"/>
    <w:rsid w:val="323C082B"/>
    <w:rsid w:val="341F00B6"/>
    <w:rsid w:val="358608BB"/>
    <w:rsid w:val="36BB3856"/>
    <w:rsid w:val="36CA4985"/>
    <w:rsid w:val="377338A1"/>
    <w:rsid w:val="391B682D"/>
    <w:rsid w:val="39661179"/>
    <w:rsid w:val="3A285A1B"/>
    <w:rsid w:val="3CC93ACC"/>
    <w:rsid w:val="3CF03A6F"/>
    <w:rsid w:val="3D71285F"/>
    <w:rsid w:val="3D9D1F07"/>
    <w:rsid w:val="3E573E64"/>
    <w:rsid w:val="3EEC1A99"/>
    <w:rsid w:val="3EF4406E"/>
    <w:rsid w:val="3F865972"/>
    <w:rsid w:val="410C7118"/>
    <w:rsid w:val="4250579A"/>
    <w:rsid w:val="42CC7BA3"/>
    <w:rsid w:val="430810B7"/>
    <w:rsid w:val="433826DF"/>
    <w:rsid w:val="43D61CCF"/>
    <w:rsid w:val="477F4C5C"/>
    <w:rsid w:val="48566E51"/>
    <w:rsid w:val="48654CB2"/>
    <w:rsid w:val="4A572335"/>
    <w:rsid w:val="4AD056CA"/>
    <w:rsid w:val="4C244E56"/>
    <w:rsid w:val="4E540FF7"/>
    <w:rsid w:val="4EA32775"/>
    <w:rsid w:val="4EB81DB3"/>
    <w:rsid w:val="4ED2683D"/>
    <w:rsid w:val="4F7335D4"/>
    <w:rsid w:val="50477F78"/>
    <w:rsid w:val="50B51DC8"/>
    <w:rsid w:val="5183569C"/>
    <w:rsid w:val="51E85654"/>
    <w:rsid w:val="537779EB"/>
    <w:rsid w:val="540E32DE"/>
    <w:rsid w:val="54AC654E"/>
    <w:rsid w:val="5505747D"/>
    <w:rsid w:val="57004BFE"/>
    <w:rsid w:val="57EC54E9"/>
    <w:rsid w:val="588B0E82"/>
    <w:rsid w:val="58DD7423"/>
    <w:rsid w:val="59511F66"/>
    <w:rsid w:val="597D7C36"/>
    <w:rsid w:val="598F6E8B"/>
    <w:rsid w:val="5AAC584A"/>
    <w:rsid w:val="5AB67D0C"/>
    <w:rsid w:val="5B262FFF"/>
    <w:rsid w:val="5B6606D2"/>
    <w:rsid w:val="5BF62AB6"/>
    <w:rsid w:val="5BF97742"/>
    <w:rsid w:val="5D4F371B"/>
    <w:rsid w:val="5DA053AB"/>
    <w:rsid w:val="5DBB371D"/>
    <w:rsid w:val="5F8C786F"/>
    <w:rsid w:val="60AE4D5F"/>
    <w:rsid w:val="61824E9C"/>
    <w:rsid w:val="61927263"/>
    <w:rsid w:val="61D65677"/>
    <w:rsid w:val="640E1898"/>
    <w:rsid w:val="64FF4F06"/>
    <w:rsid w:val="65DD0843"/>
    <w:rsid w:val="66476177"/>
    <w:rsid w:val="66A820EC"/>
    <w:rsid w:val="674B6276"/>
    <w:rsid w:val="67A448EE"/>
    <w:rsid w:val="680F52F2"/>
    <w:rsid w:val="699346EC"/>
    <w:rsid w:val="6AF93CAF"/>
    <w:rsid w:val="6B2879FE"/>
    <w:rsid w:val="6B4B024C"/>
    <w:rsid w:val="6B75060B"/>
    <w:rsid w:val="6BF63127"/>
    <w:rsid w:val="6C2D6C9C"/>
    <w:rsid w:val="6D0317B3"/>
    <w:rsid w:val="6DBB76BC"/>
    <w:rsid w:val="6F154668"/>
    <w:rsid w:val="6F4F5F57"/>
    <w:rsid w:val="6F617319"/>
    <w:rsid w:val="6F857F00"/>
    <w:rsid w:val="6FB72056"/>
    <w:rsid w:val="6FF173C5"/>
    <w:rsid w:val="70145506"/>
    <w:rsid w:val="70292238"/>
    <w:rsid w:val="70473489"/>
    <w:rsid w:val="7170379C"/>
    <w:rsid w:val="7190152E"/>
    <w:rsid w:val="71A0522F"/>
    <w:rsid w:val="71A30B93"/>
    <w:rsid w:val="72AA6425"/>
    <w:rsid w:val="73F100BA"/>
    <w:rsid w:val="73FF5B1D"/>
    <w:rsid w:val="74B674FE"/>
    <w:rsid w:val="751003F6"/>
    <w:rsid w:val="754C32EF"/>
    <w:rsid w:val="7564266B"/>
    <w:rsid w:val="758347F4"/>
    <w:rsid w:val="75B53D66"/>
    <w:rsid w:val="75F74224"/>
    <w:rsid w:val="764D48C1"/>
    <w:rsid w:val="769159E6"/>
    <w:rsid w:val="77507311"/>
    <w:rsid w:val="77A975C3"/>
    <w:rsid w:val="77BA7EBD"/>
    <w:rsid w:val="77BC7F2D"/>
    <w:rsid w:val="77FA49F9"/>
    <w:rsid w:val="7A41363F"/>
    <w:rsid w:val="7B253193"/>
    <w:rsid w:val="7B4F4ED4"/>
    <w:rsid w:val="7D493FD8"/>
    <w:rsid w:val="7DC3064F"/>
    <w:rsid w:val="7E10366D"/>
    <w:rsid w:val="7EDFACE3"/>
    <w:rsid w:val="7EFB3A49"/>
    <w:rsid w:val="7F8A37EF"/>
    <w:rsid w:val="7FCF5D3B"/>
    <w:rsid w:val="7FEC39ED"/>
    <w:rsid w:val="EFFD1FF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99" w:name="heading 7"/>
    <w:lsdException w:qFormat="1" w:uiPriority="99" w:name="heading 8"/>
    <w:lsdException w:qFormat="1" w:uiPriority="9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unhideWhenUsed="0" w:uiPriority="0" w:semiHidden="0" w:name="toc 3"/>
    <w:lsdException w:uiPriority="39" w:name="toc 4"/>
    <w:lsdException w:uiPriority="39" w:name="toc 5"/>
    <w:lsdException w:uiPriority="39" w:name="toc 6"/>
    <w:lsdException w:uiPriority="39" w:name="toc 7"/>
    <w:lsdException w:uiPriority="39" w:name="toc 8"/>
    <w:lsdException w:uiPriority="39" w:name="toc 9"/>
    <w:lsdException w:unhideWhenUsed="0" w:uiPriority="0" w:semiHidden="0" w:name="Normal Indent"/>
    <w:lsdException w:uiPriority="99" w:name="footnote text"/>
    <w:lsdException w:qFormat="1" w:uiPriority="99" w:semiHidden="0" w:name="annotation text"/>
    <w:lsdException w:qFormat="1" w:uiPriority="0" w:semiHidden="0" w:name="header"/>
    <w:lsdException w:qFormat="1" w:unhideWhenUsed="0" w:uiPriority="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qFormat="1" w:uiPriority="0" w:semiHidden="0" w:name="annotation reference"/>
    <w:lsdException w:uiPriority="99" w:name="line number"/>
    <w:lsdException w:qFormat="1" w:unhideWhenUsed="0" w:uiPriority="0" w:semiHidden="0" w:name="page number"/>
    <w:lsdException w:qFormat="1" w:uiPriority="99" w:name="endnote reference"/>
    <w:lsdException w:qFormat="1" w:uiPriority="99" w:name="endnote text"/>
    <w:lsdException w:uiPriority="99" w:name="table of authorities"/>
    <w:lsdException w:uiPriority="99" w:name="macro"/>
    <w:lsdException w:uiPriority="99" w:name="toa heading"/>
    <w:lsdException w:qFormat="1" w:uiPriority="0" w:name="List"/>
    <w:lsdException w:uiPriority="99" w:name="List Bullet"/>
    <w:lsdException w:uiPriority="99" w:name="List Number"/>
    <w:lsdException w:qFormat="1" w:uiPriority="0" w:name="List 2"/>
    <w:lsdException w:qFormat="1" w:uiPriority="99" w:name="List 3"/>
    <w:lsdException w:uiPriority="99" w:name="List 4"/>
    <w:lsdException w:uiPriority="99" w:name="List 5"/>
    <w:lsdException w:uiPriority="99" w:name="List Bullet 2"/>
    <w:lsdException w:uiPriority="99" w:name="List Bullet 3"/>
    <w:lsdException w:uiPriority="99" w:name="List Bullet 4"/>
    <w:lsdException w:qFormat="1"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0" w:semiHidden="0" w:name="Body Text"/>
    <w:lsdException w:qFormat="1"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iPriority="99" w:name="Date"/>
    <w:lsdException w:unhideWhenUsed="0" w:uiPriority="0" w:semiHidden="0" w:name="Body Text First Indent"/>
    <w:lsdException w:qFormat="1" w:uiPriority="99" w:semiHidden="0" w:name="Body Text First Indent 2"/>
    <w:lsdException w:qFormat="1" w:uiPriority="0" w:name="Note Heading"/>
    <w:lsdException w:qFormat="1" w:uiPriority="99" w:semiHidden="0" w:name="Body Text 2"/>
    <w:lsdException w:qFormat="1" w:uiPriority="0" w:name="Body Text 3"/>
    <w:lsdException w:unhideWhenUsed="0" w:uiPriority="0" w:semiHidden="0" w:name="Body Text Indent 2"/>
    <w:lsdException w:qFormat="1" w:uiPriority="0" w:name="Body Text Indent 3"/>
    <w:lsdException w:qFormat="1" w:uiPriority="0" w:semiHidden="0" w:name="Block Text"/>
    <w:lsdException w:qFormat="1" w:uiPriority="99" w:semiHidden="0" w:name="Hyperlink"/>
    <w:lsdException w:qFormat="1" w:uiPriority="99" w:name="FollowedHyperlink"/>
    <w:lsdException w:qFormat="1" w:unhideWhenUsed="0" w:uiPriority="0" w:semiHidden="0" w:name="Strong"/>
    <w:lsdException w:qFormat="1" w:unhideWhenUsed="0" w:uiPriority="20" w:semiHidden="0" w:name="Emphasis"/>
    <w:lsdException w:qFormat="1" w:uiPriority="0" w:name="Document Map"/>
    <w:lsdException w:qFormat="1"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name="HTML Preformatted"/>
    <w:lsdException w:uiPriority="99" w:name="HTML Sample"/>
    <w:lsdException w:qFormat="1" w:uiPriority="0" w:name="HTML Typewriter"/>
    <w:lsdException w:uiPriority="99" w:name="HTML Variable"/>
    <w:lsdException w:qFormat="1" w:uiPriority="99" w:name="Normal Table"/>
    <w:lsdException w:qFormat="1"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qFormat="1" w:uiPriority="0" w:name="Table Grid 1"/>
    <w:lsdException w:uiPriority="99" w:name="Table Grid 2"/>
    <w:lsdException w:uiPriority="99" w:name="Table Grid 3"/>
    <w:lsdException w:uiPriority="99" w:name="Table Grid 4"/>
    <w:lsdException w:uiPriority="99" w:name="Table Grid 5"/>
    <w:lsdException w:qFormat="1" w:uiPriority="0"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qFormat="1" w:uiPriority="0"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640" w:firstLineChars="200"/>
      <w:jc w:val="both"/>
    </w:pPr>
    <w:rPr>
      <w:rFonts w:ascii="Times New Roman" w:hAnsi="Times New Roman" w:eastAsia="宋体" w:cs="Times New Roman"/>
      <w:kern w:val="2"/>
      <w:sz w:val="24"/>
      <w:szCs w:val="24"/>
      <w:lang w:val="en-US" w:eastAsia="zh-CN" w:bidi="ar-SA"/>
    </w:rPr>
  </w:style>
  <w:style w:type="paragraph" w:styleId="2">
    <w:name w:val="heading 1"/>
    <w:basedOn w:val="1"/>
    <w:next w:val="1"/>
    <w:link w:val="28"/>
    <w:qFormat/>
    <w:uiPriority w:val="0"/>
    <w:pPr>
      <w:keepNext/>
      <w:keepLines/>
      <w:spacing w:before="340" w:after="330" w:line="578" w:lineRule="auto"/>
      <w:outlineLvl w:val="0"/>
    </w:pPr>
    <w:rPr>
      <w:b/>
      <w:bCs/>
      <w:kern w:val="44"/>
      <w:sz w:val="44"/>
      <w:szCs w:val="44"/>
    </w:rPr>
  </w:style>
  <w:style w:type="paragraph" w:styleId="3">
    <w:name w:val="heading 2"/>
    <w:basedOn w:val="1"/>
    <w:next w:val="1"/>
    <w:link w:val="29"/>
    <w:unhideWhenUsed/>
    <w:qFormat/>
    <w:uiPriority w:val="0"/>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30"/>
    <w:unhideWhenUsed/>
    <w:qFormat/>
    <w:uiPriority w:val="0"/>
    <w:pPr>
      <w:keepNext/>
      <w:keepLines/>
      <w:spacing w:before="260" w:after="260" w:line="416" w:lineRule="atLeast"/>
      <w:ind w:firstLine="425" w:firstLineChars="177"/>
      <w:outlineLvl w:val="2"/>
    </w:pPr>
    <w:rPr>
      <w:rFonts w:ascii="宋体" w:hAnsi="宋体" w:cs="宋体"/>
      <w:sz w:val="32"/>
      <w:szCs w:val="32"/>
    </w:rPr>
  </w:style>
  <w:style w:type="paragraph" w:styleId="5">
    <w:name w:val="heading 4"/>
    <w:basedOn w:val="1"/>
    <w:next w:val="1"/>
    <w:link w:val="31"/>
    <w:unhideWhenUsed/>
    <w:qFormat/>
    <w:uiPriority w:val="0"/>
    <w:pPr>
      <w:keepNext/>
      <w:keepLines/>
      <w:spacing w:after="200" w:line="500" w:lineRule="exact"/>
      <w:outlineLvl w:val="3"/>
    </w:pPr>
    <w:rPr>
      <w:rFonts w:eastAsia="宋体" w:asciiTheme="majorAscii" w:hAnsiTheme="majorAscii" w:cstheme="majorBidi"/>
      <w:b/>
      <w:bCs/>
      <w:szCs w:val="28"/>
    </w:rPr>
  </w:style>
  <w:style w:type="paragraph" w:styleId="6">
    <w:name w:val="heading 5"/>
    <w:basedOn w:val="1"/>
    <w:next w:val="1"/>
    <w:link w:val="32"/>
    <w:semiHidden/>
    <w:unhideWhenUsed/>
    <w:qFormat/>
    <w:uiPriority w:val="0"/>
    <w:pPr>
      <w:keepNext/>
      <w:keepLines/>
      <w:widowControl/>
      <w:spacing w:before="280" w:after="290" w:line="372" w:lineRule="auto"/>
      <w:ind w:firstLine="425" w:firstLineChars="177"/>
      <w:outlineLvl w:val="4"/>
    </w:pPr>
    <w:rPr>
      <w:color w:val="000000"/>
      <w:kern w:val="0"/>
      <w:sz w:val="28"/>
      <w:szCs w:val="28"/>
    </w:rPr>
  </w:style>
  <w:style w:type="paragraph" w:styleId="7">
    <w:name w:val="heading 6"/>
    <w:basedOn w:val="1"/>
    <w:next w:val="1"/>
    <w:link w:val="33"/>
    <w:semiHidden/>
    <w:unhideWhenUsed/>
    <w:qFormat/>
    <w:uiPriority w:val="0"/>
    <w:pPr>
      <w:keepNext/>
      <w:keepLines/>
      <w:widowControl/>
      <w:spacing w:before="240" w:after="64" w:line="316" w:lineRule="auto"/>
      <w:ind w:firstLine="425" w:firstLineChars="177"/>
      <w:outlineLvl w:val="5"/>
    </w:pPr>
    <w:rPr>
      <w:rFonts w:ascii="Arial" w:hAnsi="Arial" w:eastAsia="黑体"/>
      <w:color w:val="000000"/>
      <w:kern w:val="0"/>
      <w:sz w:val="24"/>
    </w:rPr>
  </w:style>
  <w:style w:type="paragraph" w:styleId="8">
    <w:name w:val="heading 7"/>
    <w:basedOn w:val="2"/>
    <w:next w:val="1"/>
    <w:link w:val="34"/>
    <w:semiHidden/>
    <w:unhideWhenUsed/>
    <w:qFormat/>
    <w:uiPriority w:val="99"/>
    <w:pPr>
      <w:widowControl/>
      <w:spacing w:before="240" w:after="64" w:line="316" w:lineRule="auto"/>
      <w:ind w:firstLine="425" w:firstLineChars="177"/>
      <w:outlineLvl w:val="6"/>
    </w:pPr>
    <w:rPr>
      <w:color w:val="000000"/>
      <w:kern w:val="0"/>
      <w:sz w:val="24"/>
      <w:szCs w:val="24"/>
    </w:rPr>
  </w:style>
  <w:style w:type="paragraph" w:styleId="9">
    <w:name w:val="heading 8"/>
    <w:basedOn w:val="2"/>
    <w:next w:val="1"/>
    <w:link w:val="35"/>
    <w:semiHidden/>
    <w:unhideWhenUsed/>
    <w:qFormat/>
    <w:uiPriority w:val="99"/>
    <w:pPr>
      <w:widowControl/>
      <w:spacing w:before="240" w:after="64" w:line="316" w:lineRule="auto"/>
      <w:ind w:firstLine="425" w:firstLineChars="177"/>
      <w:outlineLvl w:val="7"/>
    </w:pPr>
    <w:rPr>
      <w:rFonts w:ascii="Arial" w:hAnsi="Arial" w:eastAsia="黑体"/>
      <w:b w:val="0"/>
      <w:bCs w:val="0"/>
      <w:color w:val="000000"/>
      <w:kern w:val="0"/>
      <w:sz w:val="24"/>
      <w:szCs w:val="24"/>
    </w:rPr>
  </w:style>
  <w:style w:type="paragraph" w:styleId="10">
    <w:name w:val="heading 9"/>
    <w:basedOn w:val="2"/>
    <w:next w:val="1"/>
    <w:link w:val="36"/>
    <w:semiHidden/>
    <w:unhideWhenUsed/>
    <w:qFormat/>
    <w:uiPriority w:val="99"/>
    <w:pPr>
      <w:widowControl/>
      <w:spacing w:beforeLines="50" w:after="64" w:line="400" w:lineRule="exact"/>
      <w:ind w:firstLine="425" w:firstLineChars="177"/>
      <w:jc w:val="center"/>
      <w:outlineLvl w:val="8"/>
    </w:pPr>
    <w:rPr>
      <w:b w:val="0"/>
      <w:bCs w:val="0"/>
      <w:color w:val="000000"/>
      <w:kern w:val="0"/>
      <w:sz w:val="24"/>
      <w:szCs w:val="21"/>
    </w:rPr>
  </w:style>
  <w:style w:type="character" w:default="1" w:styleId="22">
    <w:name w:val="Default Paragraph Font"/>
    <w:semiHidden/>
    <w:unhideWhenUsed/>
    <w:qFormat/>
    <w:uiPriority w:val="1"/>
  </w:style>
  <w:style w:type="table" w:default="1" w:styleId="20">
    <w:name w:val="Normal Table"/>
    <w:semiHidden/>
    <w:unhideWhenUsed/>
    <w:qFormat/>
    <w:uiPriority w:val="99"/>
    <w:tblPr>
      <w:tblCellMar>
        <w:top w:w="0" w:type="dxa"/>
        <w:left w:w="108" w:type="dxa"/>
        <w:bottom w:w="0" w:type="dxa"/>
        <w:right w:w="108" w:type="dxa"/>
      </w:tblCellMar>
    </w:tblPr>
  </w:style>
  <w:style w:type="paragraph" w:styleId="11">
    <w:name w:val="annotation text"/>
    <w:basedOn w:val="1"/>
    <w:unhideWhenUsed/>
    <w:qFormat/>
    <w:uiPriority w:val="99"/>
    <w:pPr>
      <w:jc w:val="left"/>
    </w:pPr>
  </w:style>
  <w:style w:type="paragraph" w:styleId="12">
    <w:name w:val="Body Text"/>
    <w:basedOn w:val="1"/>
    <w:unhideWhenUsed/>
    <w:qFormat/>
    <w:uiPriority w:val="0"/>
    <w:pPr>
      <w:spacing w:after="120"/>
    </w:pPr>
  </w:style>
  <w:style w:type="paragraph" w:styleId="13">
    <w:name w:val="Body Text Indent"/>
    <w:basedOn w:val="1"/>
    <w:unhideWhenUsed/>
    <w:qFormat/>
    <w:uiPriority w:val="0"/>
    <w:pPr>
      <w:spacing w:after="120" w:afterLines="0"/>
      <w:ind w:left="420" w:leftChars="200"/>
    </w:pPr>
  </w:style>
  <w:style w:type="paragraph" w:styleId="14">
    <w:name w:val="footer"/>
    <w:basedOn w:val="1"/>
    <w:semiHidden/>
    <w:qFormat/>
    <w:uiPriority w:val="0"/>
    <w:pPr>
      <w:tabs>
        <w:tab w:val="center" w:pos="4153"/>
        <w:tab w:val="right" w:pos="8306"/>
      </w:tabs>
      <w:snapToGrid w:val="0"/>
      <w:jc w:val="left"/>
    </w:pPr>
    <w:rPr>
      <w:sz w:val="18"/>
      <w:szCs w:val="18"/>
    </w:rPr>
  </w:style>
  <w:style w:type="paragraph" w:styleId="15">
    <w:name w:val="toc 1"/>
    <w:basedOn w:val="1"/>
    <w:next w:val="1"/>
    <w:unhideWhenUsed/>
    <w:qFormat/>
    <w:uiPriority w:val="39"/>
  </w:style>
  <w:style w:type="paragraph" w:styleId="16">
    <w:name w:val="toc 2"/>
    <w:basedOn w:val="1"/>
    <w:next w:val="1"/>
    <w:unhideWhenUsed/>
    <w:qFormat/>
    <w:uiPriority w:val="39"/>
    <w:pPr>
      <w:ind w:left="420" w:leftChars="200"/>
    </w:pPr>
  </w:style>
  <w:style w:type="paragraph" w:styleId="17">
    <w:name w:val="Message Header"/>
    <w:basedOn w:val="1"/>
    <w:qFormat/>
    <w:uiPriority w:val="0"/>
    <w:pPr>
      <w:keepLines/>
      <w:widowControl/>
      <w:spacing w:after="40" w:line="140" w:lineRule="atLeast"/>
      <w:ind w:left="360"/>
      <w:jc w:val="left"/>
    </w:pPr>
    <w:rPr>
      <w:rFonts w:ascii="Garamond" w:hAnsi="Garamond"/>
      <w:spacing w:val="-5"/>
      <w:kern w:val="0"/>
      <w:szCs w:val="20"/>
    </w:rPr>
  </w:style>
  <w:style w:type="paragraph" w:styleId="18">
    <w:name w:val="Normal (Web)"/>
    <w:basedOn w:val="1"/>
    <w:qFormat/>
    <w:uiPriority w:val="0"/>
    <w:pPr>
      <w:spacing w:before="0" w:beforeAutospacing="1" w:after="0" w:afterAutospacing="1"/>
      <w:ind w:left="0" w:right="0"/>
      <w:jc w:val="left"/>
    </w:pPr>
    <w:rPr>
      <w:kern w:val="0"/>
      <w:sz w:val="24"/>
      <w:lang w:val="en-US" w:eastAsia="zh-CN" w:bidi="ar"/>
    </w:rPr>
  </w:style>
  <w:style w:type="paragraph" w:styleId="19">
    <w:name w:val="Body Text First Indent 2"/>
    <w:basedOn w:val="13"/>
    <w:unhideWhenUsed/>
    <w:qFormat/>
    <w:uiPriority w:val="99"/>
    <w:pPr>
      <w:ind w:leftChars="200" w:firstLine="420" w:firstLineChars="200"/>
    </w:pPr>
  </w:style>
  <w:style w:type="table" w:styleId="21">
    <w:name w:val="Table Grid"/>
    <w:basedOn w:val="2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3">
    <w:name w:val="Normal (Web)1"/>
    <w:next w:val="24"/>
    <w:qFormat/>
    <w:uiPriority w:val="0"/>
    <w:pPr>
      <w:jc w:val="both"/>
    </w:pPr>
    <w:rPr>
      <w:rFonts w:ascii="宋体" w:hAnsi="Times New Roman" w:eastAsia="宋体" w:cs="Times New Roman"/>
      <w:kern w:val="2"/>
      <w:sz w:val="24"/>
      <w:szCs w:val="21"/>
      <w:lang w:val="en-US" w:eastAsia="zh-CN" w:bidi="ar-SA"/>
    </w:rPr>
  </w:style>
  <w:style w:type="paragraph" w:customStyle="1" w:styleId="24">
    <w:name w:val="Date1"/>
    <w:basedOn w:val="2"/>
    <w:next w:val="1"/>
    <w:qFormat/>
    <w:uiPriority w:val="99"/>
    <w:pPr>
      <w:keepNext w:val="0"/>
      <w:keepLines w:val="0"/>
      <w:adjustRightInd w:val="0"/>
      <w:spacing w:before="0" w:after="0" w:line="500" w:lineRule="atLeast"/>
      <w:ind w:firstLine="425" w:firstLineChars="177"/>
      <w:outlineLvl w:val="9"/>
    </w:pPr>
    <w:rPr>
      <w:b w:val="0"/>
      <w:bCs w:val="0"/>
      <w:kern w:val="2"/>
      <w:sz w:val="24"/>
      <w:szCs w:val="20"/>
    </w:rPr>
  </w:style>
  <w:style w:type="paragraph" w:customStyle="1" w:styleId="25">
    <w:name w:val="f【正文】"/>
    <w:basedOn w:val="1"/>
    <w:link w:val="26"/>
    <w:qFormat/>
    <w:uiPriority w:val="0"/>
    <w:pPr>
      <w:widowControl/>
      <w:adjustRightInd w:val="0"/>
      <w:snapToGrid w:val="0"/>
      <w:spacing w:line="360" w:lineRule="auto"/>
      <w:ind w:firstLine="200" w:firstLineChars="200"/>
    </w:pPr>
    <w:rPr>
      <w:rFonts w:cstheme="minorBidi"/>
    </w:rPr>
  </w:style>
  <w:style w:type="character" w:customStyle="1" w:styleId="26">
    <w:name w:val="【正文】 Char"/>
    <w:basedOn w:val="22"/>
    <w:link w:val="25"/>
    <w:qFormat/>
    <w:locked/>
    <w:uiPriority w:val="0"/>
    <w:rPr>
      <w:rFonts w:ascii="Times New Roman" w:hAnsi="Times New Roman" w:eastAsia="宋体" w:cstheme="minorBidi"/>
      <w:kern w:val="2"/>
      <w:sz w:val="24"/>
      <w:szCs w:val="24"/>
    </w:rPr>
  </w:style>
  <w:style w:type="paragraph" w:customStyle="1" w:styleId="27">
    <w:name w:val="f-表头"/>
    <w:basedOn w:val="1"/>
    <w:next w:val="1"/>
    <w:link w:val="37"/>
    <w:qFormat/>
    <w:uiPriority w:val="0"/>
    <w:pPr>
      <w:adjustRightInd w:val="0"/>
      <w:jc w:val="center"/>
    </w:pPr>
    <w:rPr>
      <w:b/>
      <w:kern w:val="0"/>
      <w:sz w:val="21"/>
      <w:szCs w:val="20"/>
    </w:rPr>
  </w:style>
  <w:style w:type="character" w:customStyle="1" w:styleId="28">
    <w:name w:val="标题 1 字符"/>
    <w:basedOn w:val="22"/>
    <w:link w:val="2"/>
    <w:qFormat/>
    <w:uiPriority w:val="0"/>
    <w:rPr>
      <w:rFonts w:ascii="Times New Roman" w:hAnsi="Times New Roman" w:eastAsia="宋体" w:cs="Times New Roman"/>
      <w:b/>
      <w:bCs/>
      <w:kern w:val="44"/>
      <w:sz w:val="44"/>
      <w:szCs w:val="44"/>
    </w:rPr>
  </w:style>
  <w:style w:type="character" w:customStyle="1" w:styleId="29">
    <w:name w:val="标题 2 字符"/>
    <w:basedOn w:val="22"/>
    <w:link w:val="3"/>
    <w:qFormat/>
    <w:uiPriority w:val="0"/>
    <w:rPr>
      <w:rFonts w:asciiTheme="majorHAnsi" w:hAnsiTheme="majorHAnsi" w:eastAsiaTheme="majorEastAsia" w:cstheme="majorBidi"/>
      <w:b/>
      <w:bCs/>
      <w:sz w:val="32"/>
      <w:szCs w:val="32"/>
    </w:rPr>
  </w:style>
  <w:style w:type="character" w:customStyle="1" w:styleId="30">
    <w:name w:val="标题 3 字符"/>
    <w:basedOn w:val="22"/>
    <w:link w:val="4"/>
    <w:qFormat/>
    <w:uiPriority w:val="0"/>
    <w:rPr>
      <w:rFonts w:ascii="宋体" w:hAnsi="宋体" w:eastAsia="宋体" w:cs="宋体"/>
      <w:sz w:val="32"/>
      <w:szCs w:val="32"/>
    </w:rPr>
  </w:style>
  <w:style w:type="character" w:customStyle="1" w:styleId="31">
    <w:name w:val="标题 4 字符"/>
    <w:basedOn w:val="22"/>
    <w:link w:val="5"/>
    <w:qFormat/>
    <w:uiPriority w:val="0"/>
    <w:rPr>
      <w:rFonts w:eastAsia="宋体" w:asciiTheme="majorAscii" w:hAnsiTheme="majorAscii" w:cstheme="majorBidi"/>
      <w:b/>
      <w:bCs/>
      <w:kern w:val="2"/>
      <w:sz w:val="24"/>
      <w:szCs w:val="28"/>
    </w:rPr>
  </w:style>
  <w:style w:type="character" w:customStyle="1" w:styleId="32">
    <w:name w:val="标题 5 字符"/>
    <w:basedOn w:val="22"/>
    <w:link w:val="6"/>
    <w:semiHidden/>
    <w:qFormat/>
    <w:uiPriority w:val="0"/>
    <w:rPr>
      <w:rFonts w:ascii="Times New Roman" w:hAnsi="Times New Roman" w:eastAsia="宋体" w:cs="Times New Roman"/>
      <w:color w:val="000000"/>
      <w:kern w:val="0"/>
      <w:sz w:val="28"/>
      <w:szCs w:val="28"/>
    </w:rPr>
  </w:style>
  <w:style w:type="character" w:customStyle="1" w:styleId="33">
    <w:name w:val="标题 6 字符"/>
    <w:basedOn w:val="22"/>
    <w:link w:val="7"/>
    <w:semiHidden/>
    <w:qFormat/>
    <w:uiPriority w:val="0"/>
    <w:rPr>
      <w:rFonts w:ascii="Arial" w:hAnsi="Arial" w:eastAsia="黑体" w:cs="Times New Roman"/>
      <w:color w:val="000000"/>
      <w:kern w:val="0"/>
      <w:sz w:val="24"/>
      <w:szCs w:val="24"/>
    </w:rPr>
  </w:style>
  <w:style w:type="character" w:customStyle="1" w:styleId="34">
    <w:name w:val="标题 7 字符"/>
    <w:basedOn w:val="22"/>
    <w:link w:val="8"/>
    <w:semiHidden/>
    <w:qFormat/>
    <w:uiPriority w:val="99"/>
    <w:rPr>
      <w:rFonts w:ascii="Times New Roman" w:hAnsi="Times New Roman" w:eastAsia="宋体" w:cs="Times New Roman"/>
      <w:b/>
      <w:bCs/>
      <w:color w:val="000000"/>
      <w:kern w:val="0"/>
      <w:sz w:val="24"/>
      <w:szCs w:val="24"/>
    </w:rPr>
  </w:style>
  <w:style w:type="character" w:customStyle="1" w:styleId="35">
    <w:name w:val="标题 8 字符"/>
    <w:basedOn w:val="22"/>
    <w:link w:val="9"/>
    <w:semiHidden/>
    <w:qFormat/>
    <w:uiPriority w:val="99"/>
    <w:rPr>
      <w:rFonts w:ascii="Arial" w:hAnsi="Arial" w:eastAsia="黑体" w:cs="Times New Roman"/>
      <w:color w:val="000000"/>
      <w:kern w:val="0"/>
      <w:sz w:val="24"/>
      <w:szCs w:val="24"/>
    </w:rPr>
  </w:style>
  <w:style w:type="character" w:customStyle="1" w:styleId="36">
    <w:name w:val="标题 9 字符"/>
    <w:basedOn w:val="22"/>
    <w:link w:val="10"/>
    <w:semiHidden/>
    <w:qFormat/>
    <w:uiPriority w:val="99"/>
    <w:rPr>
      <w:rFonts w:ascii="Times New Roman" w:hAnsi="Times New Roman" w:eastAsia="宋体" w:cs="Times New Roman"/>
      <w:color w:val="000000"/>
      <w:kern w:val="0"/>
      <w:sz w:val="24"/>
      <w:szCs w:val="21"/>
    </w:rPr>
  </w:style>
  <w:style w:type="character" w:customStyle="1" w:styleId="37">
    <w:name w:val="表格 Char"/>
    <w:link w:val="27"/>
    <w:qFormat/>
    <w:locked/>
    <w:uiPriority w:val="0"/>
    <w:rPr>
      <w:rFonts w:ascii="Times New Roman" w:hAnsi="Times New Roman" w:eastAsia="宋体" w:cs="Times New Roman"/>
      <w:b/>
      <w:kern w:val="0"/>
      <w:sz w:val="21"/>
      <w:szCs w:val="20"/>
    </w:rPr>
  </w:style>
  <w:style w:type="character" w:customStyle="1" w:styleId="38">
    <w:name w:val="【标题3】 Char Char"/>
    <w:link w:val="39"/>
    <w:qFormat/>
    <w:locked/>
    <w:uiPriority w:val="0"/>
    <w:rPr>
      <w:rFonts w:ascii="Times New Roman" w:hAnsi="Times New Roman" w:eastAsia="宋体" w:cstheme="minorBidi"/>
      <w:b/>
      <w:bCs/>
      <w:kern w:val="2"/>
      <w:sz w:val="24"/>
      <w:szCs w:val="22"/>
    </w:rPr>
  </w:style>
  <w:style w:type="paragraph" w:customStyle="1" w:styleId="39">
    <w:name w:val="f【标题3】"/>
    <w:basedOn w:val="4"/>
    <w:next w:val="1"/>
    <w:link w:val="38"/>
    <w:qFormat/>
    <w:uiPriority w:val="0"/>
    <w:pPr>
      <w:keepNext w:val="0"/>
      <w:adjustRightInd w:val="0"/>
      <w:snapToGrid w:val="0"/>
      <w:spacing w:before="0" w:after="200" w:line="500" w:lineRule="exact"/>
      <w:ind w:firstLine="640" w:firstLineChars="200"/>
    </w:pPr>
    <w:rPr>
      <w:rFonts w:ascii="Times New Roman" w:hAnsi="Times New Roman" w:eastAsia="宋体" w:cstheme="minorBidi"/>
      <w:b/>
      <w:bCs/>
      <w:sz w:val="24"/>
      <w:szCs w:val="22"/>
    </w:rPr>
  </w:style>
  <w:style w:type="character" w:customStyle="1" w:styleId="40">
    <w:name w:val="【标题2】 Char Char"/>
    <w:link w:val="41"/>
    <w:qFormat/>
    <w:locked/>
    <w:uiPriority w:val="0"/>
    <w:rPr>
      <w:rFonts w:ascii="Times New Roman" w:hAnsi="Times New Roman" w:eastAsia="宋体" w:cstheme="minorBidi"/>
      <w:b/>
      <w:bCs/>
      <w:kern w:val="2"/>
      <w:sz w:val="28"/>
      <w:szCs w:val="22"/>
    </w:rPr>
  </w:style>
  <w:style w:type="paragraph" w:customStyle="1" w:styleId="41">
    <w:name w:val="f【标题2】"/>
    <w:basedOn w:val="3"/>
    <w:next w:val="1"/>
    <w:link w:val="40"/>
    <w:qFormat/>
    <w:uiPriority w:val="0"/>
    <w:pPr>
      <w:keepNext w:val="0"/>
      <w:tabs>
        <w:tab w:val="left" w:pos="720"/>
      </w:tabs>
      <w:adjustRightInd w:val="0"/>
      <w:snapToGrid w:val="0"/>
      <w:spacing w:before="0" w:after="200" w:line="500" w:lineRule="exact"/>
    </w:pPr>
    <w:rPr>
      <w:rFonts w:ascii="Times New Roman" w:hAnsi="Times New Roman" w:eastAsia="宋体" w:cstheme="minorBidi"/>
      <w:sz w:val="28"/>
      <w:szCs w:val="22"/>
    </w:rPr>
  </w:style>
  <w:style w:type="paragraph" w:customStyle="1" w:styleId="42">
    <w:name w:val="f【标题1】"/>
    <w:basedOn w:val="1"/>
    <w:link w:val="43"/>
    <w:qFormat/>
    <w:uiPriority w:val="0"/>
    <w:pPr>
      <w:widowControl/>
      <w:tabs>
        <w:tab w:val="left" w:leader="middleDot" w:pos="7371"/>
      </w:tabs>
      <w:adjustRightInd w:val="0"/>
      <w:snapToGrid w:val="0"/>
      <w:spacing w:after="200" w:line="500" w:lineRule="exact"/>
      <w:outlineLvl w:val="0"/>
    </w:pPr>
    <w:rPr>
      <w:rFonts w:ascii="Times New Roman" w:hAnsi="Times New Roman" w:eastAsia="宋体"/>
      <w:b/>
      <w:color w:val="000000" w:themeColor="text1"/>
      <w:kern w:val="0"/>
      <w:sz w:val="32"/>
      <w:szCs w:val="32"/>
      <w14:textFill>
        <w14:solidFill>
          <w14:schemeClr w14:val="tx1"/>
        </w14:solidFill>
      </w14:textFill>
    </w:rPr>
  </w:style>
  <w:style w:type="character" w:customStyle="1" w:styleId="43">
    <w:name w:val="【标题1】 字符"/>
    <w:basedOn w:val="22"/>
    <w:link w:val="42"/>
    <w:qFormat/>
    <w:uiPriority w:val="0"/>
    <w:rPr>
      <w:rFonts w:ascii="Times New Roman" w:hAnsi="Times New Roman" w:eastAsia="宋体"/>
      <w:b/>
      <w:color w:val="000000" w:themeColor="text1"/>
      <w:sz w:val="32"/>
      <w:szCs w:val="32"/>
      <w14:textFill>
        <w14:solidFill>
          <w14:schemeClr w14:val="tx1"/>
        </w14:solidFill>
      </w14:textFill>
    </w:rPr>
  </w:style>
  <w:style w:type="paragraph" w:customStyle="1" w:styleId="44">
    <w:name w:val="f-表内"/>
    <w:basedOn w:val="1"/>
    <w:qFormat/>
    <w:uiPriority w:val="0"/>
    <w:pPr>
      <w:adjustRightInd w:val="0"/>
      <w:spacing w:line="240" w:lineRule="auto"/>
      <w:ind w:firstLine="0" w:firstLineChars="0"/>
      <w:jc w:val="center"/>
    </w:pPr>
    <w:rPr>
      <w:kern w:val="0"/>
      <w:sz w:val="21"/>
      <w:szCs w:val="20"/>
    </w:rPr>
  </w:style>
  <w:style w:type="paragraph" w:customStyle="1" w:styleId="45">
    <w:name w:val="【表头】"/>
    <w:basedOn w:val="1"/>
    <w:qFormat/>
    <w:uiPriority w:val="0"/>
    <w:pPr>
      <w:adjustRightInd w:val="0"/>
      <w:snapToGrid w:val="0"/>
      <w:spacing w:line="500" w:lineRule="exact"/>
      <w:jc w:val="center"/>
    </w:pPr>
    <w:rPr>
      <w:rFonts w:eastAsia="黑体" w:cstheme="minorBidi"/>
      <w:sz w:val="24"/>
      <w:szCs w:val="21"/>
    </w:rPr>
  </w:style>
  <w:style w:type="paragraph" w:styleId="46">
    <w:name w:val="List Paragraph"/>
    <w:basedOn w:val="1"/>
    <w:qFormat/>
    <w:uiPriority w:val="34"/>
    <w:pPr>
      <w:ind w:firstLine="420" w:firstLineChars="200"/>
    </w:pPr>
  </w:style>
  <w:style w:type="paragraph" w:customStyle="1" w:styleId="47">
    <w:name w:val="【正文】"/>
    <w:basedOn w:val="1"/>
    <w:next w:val="17"/>
    <w:qFormat/>
    <w:uiPriority w:val="0"/>
    <w:pPr>
      <w:widowControl/>
      <w:adjustRightInd w:val="0"/>
      <w:snapToGrid w:val="0"/>
      <w:spacing w:line="500" w:lineRule="exact"/>
      <w:ind w:firstLine="200" w:firstLineChars="200"/>
    </w:pPr>
    <w:rPr>
      <w:rFonts w:cstheme="minorBidi"/>
      <w:sz w:val="24"/>
    </w:rPr>
  </w:style>
  <w:style w:type="paragraph" w:customStyle="1" w:styleId="48">
    <w:name w:val="Body text|1"/>
    <w:basedOn w:val="1"/>
    <w:qFormat/>
    <w:uiPriority w:val="0"/>
    <w:pPr>
      <w:widowControl w:val="0"/>
      <w:shd w:val="clear" w:color="auto" w:fill="auto"/>
      <w:spacing w:after="2660"/>
      <w:ind w:left="-20"/>
      <w:jc w:val="center"/>
    </w:pPr>
    <w:rPr>
      <w:rFonts w:ascii="宋体" w:hAnsi="宋体" w:eastAsia="宋体" w:cs="宋体"/>
      <w:u w:val="none"/>
      <w:shd w:val="clear" w:color="auto" w:fill="auto"/>
      <w:lang w:val="zh-TW" w:eastAsia="zh-TW" w:bidi="zh-TW"/>
    </w:rPr>
  </w:style>
  <w:style w:type="paragraph" w:customStyle="1" w:styleId="49">
    <w:name w:val="a-文本缩2"/>
    <w:qFormat/>
    <w:uiPriority w:val="0"/>
    <w:pPr>
      <w:adjustRightInd w:val="0"/>
      <w:snapToGrid w:val="0"/>
      <w:spacing w:line="360" w:lineRule="auto"/>
      <w:ind w:firstLine="200" w:firstLineChars="200"/>
      <w:jc w:val="both"/>
    </w:pPr>
    <w:rPr>
      <w:rFonts w:ascii="Times New Roman" w:hAnsi="Times New Roman" w:eastAsia="宋体" w:cs="Times New Roman"/>
      <w:color w:val="000000"/>
      <w:kern w:val="2"/>
      <w:sz w:val="24"/>
      <w:szCs w:val="21"/>
      <w:lang w:val="en-US" w:eastAsia="zh-CN" w:bidi="ar-SA"/>
    </w:rPr>
  </w:style>
  <w:style w:type="paragraph" w:customStyle="1" w:styleId="50">
    <w:name w:val="Default"/>
    <w:basedOn w:val="51"/>
    <w:next w:val="1"/>
    <w:qFormat/>
    <w:uiPriority w:val="0"/>
    <w:pPr>
      <w:widowControl w:val="0"/>
      <w:tabs>
        <w:tab w:val="left" w:pos="480"/>
      </w:tabs>
      <w:autoSpaceDE w:val="0"/>
      <w:autoSpaceDN w:val="0"/>
      <w:adjustRightInd w:val="0"/>
    </w:pPr>
    <w:rPr>
      <w:rFonts w:ascii="宋体" w:hAnsi="Times New Roman" w:eastAsia="宋体" w:cs="宋体"/>
      <w:color w:val="000000"/>
      <w:sz w:val="24"/>
      <w:szCs w:val="24"/>
      <w:lang w:val="en-US" w:eastAsia="zh-CN" w:bidi="ar-SA"/>
    </w:rPr>
  </w:style>
  <w:style w:type="paragraph" w:customStyle="1" w:styleId="51">
    <w:name w:val="纯文本1"/>
    <w:basedOn w:val="1"/>
    <w:qFormat/>
    <w:uiPriority w:val="0"/>
    <w:pPr>
      <w:tabs>
        <w:tab w:val="left" w:pos="480"/>
      </w:tabs>
      <w:adjustRightInd w:val="0"/>
    </w:pPr>
    <w:rPr>
      <w:rFonts w:ascii="宋体" w:hAnsi="Courier New"/>
      <w:szCs w:val="20"/>
    </w:rPr>
  </w:style>
  <w:style w:type="paragraph" w:customStyle="1" w:styleId="52">
    <w:name w:val="【表中文字】"/>
    <w:basedOn w:val="1"/>
    <w:qFormat/>
    <w:uiPriority w:val="0"/>
    <w:pPr>
      <w:adjustRightInd w:val="0"/>
      <w:snapToGrid w:val="0"/>
      <w:jc w:val="center"/>
    </w:pPr>
    <w:rPr>
      <w:szCs w:val="21"/>
    </w:rPr>
  </w:style>
  <w:style w:type="table" w:customStyle="1" w:styleId="53">
    <w:name w:val="网格型111"/>
    <w:basedOn w:val="20"/>
    <w:qFormat/>
    <w:uiPriority w:val="59"/>
    <w:pPr>
      <w:jc w:val="center"/>
    </w:pPr>
    <w:rPr>
      <w:rFonts w:ascii="Calibri" w:hAnsi="Calibri"/>
    </w:rPr>
    <w:tblPr>
      <w:tblBorders>
        <w:top w:val="single" w:color="auto" w:sz="12" w:space="0"/>
        <w:bottom w:val="single" w:color="auto" w:sz="12" w:space="0"/>
        <w:insideH w:val="single" w:color="auto" w:sz="4" w:space="0"/>
        <w:insideV w:val="single" w:color="auto" w:sz="4" w:space="0"/>
      </w:tblBorders>
    </w:tblPr>
    <w:tcPr>
      <w:vAlign w:val="center"/>
    </w:tcPr>
  </w:style>
  <w:style w:type="paragraph" w:customStyle="1" w:styleId="54">
    <w:name w:val="7表"/>
    <w:basedOn w:val="1"/>
    <w:qFormat/>
    <w:uiPriority w:val="0"/>
    <w:pPr>
      <w:adjustRightInd w:val="0"/>
      <w:snapToGrid w:val="0"/>
      <w:jc w:val="center"/>
    </w:pPr>
    <w:rPr>
      <w:rFonts w:ascii="Times New Roman" w:hAnsi="Times New Roman" w:eastAsia="宋体" w:cs="Times New Roman"/>
      <w:sz w:val="18"/>
      <w:szCs w:val="24"/>
    </w:rPr>
  </w:style>
  <w:style w:type="paragraph" w:customStyle="1" w:styleId="55">
    <w:name w:val="11111"/>
    <w:basedOn w:val="1"/>
    <w:next w:val="1"/>
    <w:qFormat/>
    <w:uiPriority w:val="0"/>
    <w:pPr>
      <w:spacing w:line="360" w:lineRule="auto"/>
      <w:ind w:firstLine="200" w:firstLineChars="200"/>
    </w:pPr>
    <w:rPr>
      <w:rFonts w:ascii="宋体" w:hAnsi="宋体" w:cs="宋体"/>
      <w:sz w:val="24"/>
    </w:rPr>
  </w:style>
  <w:style w:type="character" w:customStyle="1" w:styleId="56">
    <w:name w:val="Font Style13"/>
    <w:qFormat/>
    <w:uiPriority w:val="0"/>
    <w:rPr>
      <w:rFonts w:ascii="黑体" w:eastAsia="黑体" w:cs="黑体"/>
      <w:sz w:val="26"/>
      <w:szCs w:val="26"/>
    </w:rPr>
  </w:style>
  <w:style w:type="paragraph" w:customStyle="1" w:styleId="57">
    <w:name w:val="图表内容"/>
    <w:next w:val="12"/>
    <w:qFormat/>
    <w:uiPriority w:val="0"/>
    <w:pPr>
      <w:jc w:val="center"/>
    </w:pPr>
    <w:rPr>
      <w:rFonts w:ascii="Calibri" w:hAnsi="Calibri" w:eastAsia="宋体" w:cs="Times New Roman"/>
      <w:kern w:val="2"/>
      <w:sz w:val="21"/>
      <w:szCs w:val="21"/>
      <w:lang w:val="en-US" w:eastAsia="zh-CN" w:bidi="ar-SA"/>
    </w:rPr>
  </w:style>
  <w:style w:type="paragraph" w:customStyle="1" w:styleId="58">
    <w:name w:val="表格内容"/>
    <w:basedOn w:val="59"/>
    <w:qFormat/>
    <w:uiPriority w:val="0"/>
    <w:pPr>
      <w:ind w:left="-105" w:leftChars="-50" w:right="-105" w:rightChars="-50"/>
    </w:pPr>
    <w:rPr>
      <w:rFonts w:ascii="宋体" w:hAnsi="宋体"/>
      <w:kern w:val="0"/>
      <w:sz w:val="20"/>
      <w:szCs w:val="21"/>
    </w:rPr>
  </w:style>
  <w:style w:type="paragraph" w:customStyle="1" w:styleId="59">
    <w:name w:val="表标题"/>
    <w:basedOn w:val="1"/>
    <w:qFormat/>
    <w:uiPriority w:val="0"/>
    <w:pPr>
      <w:spacing w:beforeLines="50"/>
      <w:jc w:val="center"/>
    </w:pPr>
    <w:rPr>
      <w:b/>
      <w:bCs/>
      <w:sz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83.png"/><Relationship Id="rId98" Type="http://schemas.openxmlformats.org/officeDocument/2006/relationships/image" Target="media/image82.png"/><Relationship Id="rId97" Type="http://schemas.openxmlformats.org/officeDocument/2006/relationships/image" Target="media/image81.png"/><Relationship Id="rId96" Type="http://schemas.openxmlformats.org/officeDocument/2006/relationships/image" Target="media/image80.png"/><Relationship Id="rId95" Type="http://schemas.openxmlformats.org/officeDocument/2006/relationships/image" Target="media/image79.png"/><Relationship Id="rId94" Type="http://schemas.openxmlformats.org/officeDocument/2006/relationships/image" Target="media/image78.png"/><Relationship Id="rId93" Type="http://schemas.openxmlformats.org/officeDocument/2006/relationships/image" Target="media/image77.png"/><Relationship Id="rId92" Type="http://schemas.openxmlformats.org/officeDocument/2006/relationships/image" Target="media/image76.png"/><Relationship Id="rId91" Type="http://schemas.openxmlformats.org/officeDocument/2006/relationships/image" Target="media/image75.png"/><Relationship Id="rId90" Type="http://schemas.openxmlformats.org/officeDocument/2006/relationships/image" Target="media/image74.jpeg"/><Relationship Id="rId9" Type="http://schemas.openxmlformats.org/officeDocument/2006/relationships/footer" Target="footer3.xml"/><Relationship Id="rId89" Type="http://schemas.openxmlformats.org/officeDocument/2006/relationships/image" Target="media/image73.jpeg"/><Relationship Id="rId88" Type="http://schemas.openxmlformats.org/officeDocument/2006/relationships/image" Target="media/image72.jpeg"/><Relationship Id="rId87" Type="http://schemas.openxmlformats.org/officeDocument/2006/relationships/image" Target="media/image71.jpeg"/><Relationship Id="rId86" Type="http://schemas.openxmlformats.org/officeDocument/2006/relationships/image" Target="media/image70.jpeg"/><Relationship Id="rId85" Type="http://schemas.openxmlformats.org/officeDocument/2006/relationships/image" Target="media/image69.jpeg"/><Relationship Id="rId84" Type="http://schemas.openxmlformats.org/officeDocument/2006/relationships/image" Target="media/image68.jpeg"/><Relationship Id="rId83" Type="http://schemas.openxmlformats.org/officeDocument/2006/relationships/image" Target="media/image67.jpeg"/><Relationship Id="rId82" Type="http://schemas.openxmlformats.org/officeDocument/2006/relationships/image" Target="media/image66.jpeg"/><Relationship Id="rId81" Type="http://schemas.openxmlformats.org/officeDocument/2006/relationships/image" Target="media/image65.jpeg"/><Relationship Id="rId80" Type="http://schemas.openxmlformats.org/officeDocument/2006/relationships/image" Target="media/image64.jpeg"/><Relationship Id="rId8" Type="http://schemas.openxmlformats.org/officeDocument/2006/relationships/footer" Target="footer2.xml"/><Relationship Id="rId79" Type="http://schemas.openxmlformats.org/officeDocument/2006/relationships/image" Target="media/image63.jpeg"/><Relationship Id="rId78" Type="http://schemas.openxmlformats.org/officeDocument/2006/relationships/image" Target="media/image62.jpeg"/><Relationship Id="rId77" Type="http://schemas.openxmlformats.org/officeDocument/2006/relationships/image" Target="media/image61.jpeg"/><Relationship Id="rId76" Type="http://schemas.openxmlformats.org/officeDocument/2006/relationships/image" Target="media/image60.jpeg"/><Relationship Id="rId75" Type="http://schemas.openxmlformats.org/officeDocument/2006/relationships/image" Target="media/image59.png"/><Relationship Id="rId74" Type="http://schemas.openxmlformats.org/officeDocument/2006/relationships/image" Target="media/image58.png"/><Relationship Id="rId73" Type="http://schemas.openxmlformats.org/officeDocument/2006/relationships/image" Target="media/image57.png"/><Relationship Id="rId72" Type="http://schemas.openxmlformats.org/officeDocument/2006/relationships/image" Target="media/image56.png"/><Relationship Id="rId71" Type="http://schemas.openxmlformats.org/officeDocument/2006/relationships/image" Target="media/image55.png"/><Relationship Id="rId70" Type="http://schemas.openxmlformats.org/officeDocument/2006/relationships/image" Target="media/image54.png"/><Relationship Id="rId7" Type="http://schemas.openxmlformats.org/officeDocument/2006/relationships/header" Target="header2.xml"/><Relationship Id="rId69" Type="http://schemas.openxmlformats.org/officeDocument/2006/relationships/image" Target="media/image53.png"/><Relationship Id="rId68" Type="http://schemas.openxmlformats.org/officeDocument/2006/relationships/image" Target="media/image52.png"/><Relationship Id="rId67" Type="http://schemas.openxmlformats.org/officeDocument/2006/relationships/image" Target="media/image51.jpeg"/><Relationship Id="rId66" Type="http://schemas.openxmlformats.org/officeDocument/2006/relationships/image" Target="media/image50.jpeg"/><Relationship Id="rId65" Type="http://schemas.openxmlformats.org/officeDocument/2006/relationships/image" Target="media/image49.png"/><Relationship Id="rId64" Type="http://schemas.openxmlformats.org/officeDocument/2006/relationships/image" Target="media/image48.jpeg"/><Relationship Id="rId63" Type="http://schemas.openxmlformats.org/officeDocument/2006/relationships/image" Target="media/image47.png"/><Relationship Id="rId62" Type="http://schemas.openxmlformats.org/officeDocument/2006/relationships/image" Target="media/image46.png"/><Relationship Id="rId61" Type="http://schemas.openxmlformats.org/officeDocument/2006/relationships/image" Target="media/image45.png"/><Relationship Id="rId60" Type="http://schemas.openxmlformats.org/officeDocument/2006/relationships/image" Target="media/image44.png"/><Relationship Id="rId6" Type="http://schemas.openxmlformats.org/officeDocument/2006/relationships/footer" Target="footer1.xml"/><Relationship Id="rId59" Type="http://schemas.openxmlformats.org/officeDocument/2006/relationships/image" Target="media/image43.png"/><Relationship Id="rId58" Type="http://schemas.openxmlformats.org/officeDocument/2006/relationships/image" Target="media/image42.png"/><Relationship Id="rId57" Type="http://schemas.openxmlformats.org/officeDocument/2006/relationships/image" Target="media/image41.png"/><Relationship Id="rId56" Type="http://schemas.openxmlformats.org/officeDocument/2006/relationships/image" Target="media/image40.emf"/><Relationship Id="rId55" Type="http://schemas.openxmlformats.org/officeDocument/2006/relationships/oleObject" Target="embeddings/oleObject4.bin"/><Relationship Id="rId54" Type="http://schemas.openxmlformats.org/officeDocument/2006/relationships/image" Target="media/image39.jpeg"/><Relationship Id="rId53" Type="http://schemas.openxmlformats.org/officeDocument/2006/relationships/image" Target="media/image38.jpeg"/><Relationship Id="rId52" Type="http://schemas.openxmlformats.org/officeDocument/2006/relationships/image" Target="media/image37.emf"/><Relationship Id="rId51" Type="http://schemas.openxmlformats.org/officeDocument/2006/relationships/oleObject" Target="embeddings/oleObject3.bin"/><Relationship Id="rId50" Type="http://schemas.openxmlformats.org/officeDocument/2006/relationships/image" Target="media/image36.emf"/><Relationship Id="rId5" Type="http://schemas.openxmlformats.org/officeDocument/2006/relationships/header" Target="header1.xml"/><Relationship Id="rId49" Type="http://schemas.openxmlformats.org/officeDocument/2006/relationships/oleObject" Target="embeddings/oleObject2.bin"/><Relationship Id="rId48" Type="http://schemas.openxmlformats.org/officeDocument/2006/relationships/image" Target="media/image35.emf"/><Relationship Id="rId47" Type="http://schemas.openxmlformats.org/officeDocument/2006/relationships/oleObject" Target="embeddings/oleObject1.bin"/><Relationship Id="rId46" Type="http://schemas.openxmlformats.org/officeDocument/2006/relationships/image" Target="media/image34.jpeg"/><Relationship Id="rId45" Type="http://schemas.openxmlformats.org/officeDocument/2006/relationships/image" Target="media/image33.jpe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endnotes" Target="endnotes.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jpe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footnotes" Target="footnotes.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jpe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image" Target="media/image1.png"/><Relationship Id="rId122" Type="http://schemas.openxmlformats.org/officeDocument/2006/relationships/fontTable" Target="fontTable.xml"/><Relationship Id="rId121" Type="http://schemas.openxmlformats.org/officeDocument/2006/relationships/numbering" Target="numbering.xml"/><Relationship Id="rId120" Type="http://schemas.openxmlformats.org/officeDocument/2006/relationships/customXml" Target="../customXml/item1.xml"/><Relationship Id="rId12" Type="http://schemas.openxmlformats.org/officeDocument/2006/relationships/theme" Target="theme/theme1.xml"/><Relationship Id="rId119" Type="http://schemas.openxmlformats.org/officeDocument/2006/relationships/image" Target="media/image103.png"/><Relationship Id="rId118" Type="http://schemas.openxmlformats.org/officeDocument/2006/relationships/image" Target="media/image102.jpeg"/><Relationship Id="rId117" Type="http://schemas.openxmlformats.org/officeDocument/2006/relationships/image" Target="media/image101.png"/><Relationship Id="rId116" Type="http://schemas.openxmlformats.org/officeDocument/2006/relationships/image" Target="media/image100.png"/><Relationship Id="rId115" Type="http://schemas.openxmlformats.org/officeDocument/2006/relationships/image" Target="media/image99.png"/><Relationship Id="rId114" Type="http://schemas.openxmlformats.org/officeDocument/2006/relationships/image" Target="media/image98.png"/><Relationship Id="rId113" Type="http://schemas.openxmlformats.org/officeDocument/2006/relationships/image" Target="media/image97.wmf"/><Relationship Id="rId112" Type="http://schemas.openxmlformats.org/officeDocument/2006/relationships/image" Target="media/image96.png"/><Relationship Id="rId111" Type="http://schemas.openxmlformats.org/officeDocument/2006/relationships/image" Target="media/image95.jpeg"/><Relationship Id="rId110" Type="http://schemas.openxmlformats.org/officeDocument/2006/relationships/image" Target="media/image94.jpeg"/><Relationship Id="rId11" Type="http://schemas.openxmlformats.org/officeDocument/2006/relationships/footer" Target="footer4.xml"/><Relationship Id="rId109" Type="http://schemas.openxmlformats.org/officeDocument/2006/relationships/image" Target="media/image93.jpeg"/><Relationship Id="rId108" Type="http://schemas.openxmlformats.org/officeDocument/2006/relationships/image" Target="media/image92.jpeg"/><Relationship Id="rId107" Type="http://schemas.openxmlformats.org/officeDocument/2006/relationships/image" Target="media/image91.jpeg"/><Relationship Id="rId106" Type="http://schemas.openxmlformats.org/officeDocument/2006/relationships/image" Target="media/image90.jpeg"/><Relationship Id="rId105" Type="http://schemas.openxmlformats.org/officeDocument/2006/relationships/image" Target="media/image89.jpeg"/><Relationship Id="rId104" Type="http://schemas.openxmlformats.org/officeDocument/2006/relationships/image" Target="media/image88.jpeg"/><Relationship Id="rId103" Type="http://schemas.openxmlformats.org/officeDocument/2006/relationships/image" Target="media/image87.png"/><Relationship Id="rId102" Type="http://schemas.openxmlformats.org/officeDocument/2006/relationships/image" Target="media/image86.png"/><Relationship Id="rId101" Type="http://schemas.openxmlformats.org/officeDocument/2006/relationships/image" Target="media/image85.png"/><Relationship Id="rId100" Type="http://schemas.openxmlformats.org/officeDocument/2006/relationships/image" Target="media/image84.png"/><Relationship Id="rId10" Type="http://schemas.openxmlformats.org/officeDocument/2006/relationships/header" Target="header3.xml"/><Relationship Id="rId1"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0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Organization</Company>
  <Pages>219</Pages>
  <Words>15879</Words>
  <Characters>16844</Characters>
  <Lines>1126</Lines>
  <Paragraphs>317</Paragraphs>
  <TotalTime>147</TotalTime>
  <ScaleCrop>false</ScaleCrop>
  <LinksUpToDate>false</LinksUpToDate>
  <CharactersWithSpaces>17014</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2024-09-03T07:02:00Z</dcterms:created>
  <dc:creator>user</dc:creator>
  <cp:lastModifiedBy>。</cp:lastModifiedBy>
  <cp:lastPrinted>2023-10-13T23:29:00Z</cp:lastPrinted>
  <dcterms:modified xsi:type="dcterms:W3CDTF">2025-05-20T05:39:22Z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605A00B1050747F88B63B28D1DF913AA_13</vt:lpwstr>
  </property>
  <property fmtid="{D5CDD505-2E9C-101B-9397-08002B2CF9AE}" pid="4" name="KSOTemplateDocerSaveRecord">
    <vt:lpwstr>eyJoZGlkIjoiMTFjNTcxOTUzMmJiYzdjMTUyMDUxYjJlMmFiZjRlNDEiLCJ1c2VySWQiOiI2NTExODQ4NDQifQ==</vt:lpwstr>
  </property>
</Properties>
</file>