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5E5C">
      <w:pPr>
        <w:rPr>
          <w:rFonts w:hint="default" w:ascii="Times New Roman" w:hAnsi="Times New Roman" w:eastAsia="仿宋_GB2312" w:cs="Times New Roman"/>
          <w:color w:val="000000" w:themeColor="text1"/>
          <w:sz w:val="36"/>
          <w:szCs w:val="36"/>
          <w:highlight w:val="none"/>
          <w:lang w:val="en-US" w:eastAsia="zh-CN"/>
          <w14:textFill>
            <w14:solidFill>
              <w14:schemeClr w14:val="tx1"/>
            </w14:solidFill>
          </w14:textFill>
        </w:rPr>
      </w:pPr>
    </w:p>
    <w:p w14:paraId="00EAF6EE">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3A32757D">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B77BF09">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4ED1D276">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67E46258">
      <w:pPr>
        <w:adjustRightInd w:val="0"/>
        <w:snapToGrid w:val="0"/>
        <w:jc w:val="center"/>
        <w:outlineLvl w:val="9"/>
        <w:rPr>
          <w:rFonts w:hint="default" w:ascii="Times New Roman" w:hAnsi="Times New Roman" w:eastAsia="宋体" w:cs="Times New Roman"/>
          <w:bCs/>
          <w:color w:val="000000" w:themeColor="text1"/>
          <w:sz w:val="72"/>
          <w:szCs w:val="72"/>
          <w:highlight w:val="none"/>
          <w14:textFill>
            <w14:solidFill>
              <w14:schemeClr w14:val="tx1"/>
            </w14:solidFill>
          </w14:textFill>
        </w:rPr>
      </w:pPr>
      <w:bookmarkStart w:id="0" w:name="_Toc24661"/>
      <w:bookmarkStart w:id="1" w:name="_Toc80034800"/>
      <w:bookmarkStart w:id="2" w:name="_Toc17705"/>
      <w:bookmarkStart w:id="3" w:name="_Toc845"/>
      <w:bookmarkStart w:id="4" w:name="_Toc8828"/>
      <w:bookmarkStart w:id="5" w:name="_Toc15511"/>
      <w:bookmarkStart w:id="6" w:name="_Toc18176"/>
      <w:r>
        <w:rPr>
          <w:rFonts w:hint="default" w:ascii="Times New Roman" w:hAnsi="Times New Roman" w:eastAsia="宋体" w:cs="Times New Roman"/>
          <w:bCs/>
          <w:color w:val="000000" w:themeColor="text1"/>
          <w:sz w:val="72"/>
          <w:szCs w:val="72"/>
          <w:highlight w:val="none"/>
          <w14:textFill>
            <w14:solidFill>
              <w14:schemeClr w14:val="tx1"/>
            </w14:solidFill>
          </w14:textFill>
        </w:rPr>
        <w:t>建设项目环境影响报告表</w:t>
      </w:r>
      <w:bookmarkEnd w:id="0"/>
      <w:bookmarkEnd w:id="1"/>
      <w:bookmarkEnd w:id="2"/>
      <w:bookmarkEnd w:id="3"/>
      <w:bookmarkEnd w:id="4"/>
      <w:bookmarkEnd w:id="5"/>
      <w:bookmarkEnd w:id="6"/>
    </w:p>
    <w:p w14:paraId="78B4FE95">
      <w:pPr>
        <w:adjustRightInd w:val="0"/>
        <w:snapToGrid w:val="0"/>
        <w:spacing w:before="192" w:beforeLines="80"/>
        <w:jc w:val="center"/>
        <w:rPr>
          <w:rFonts w:hint="default" w:ascii="Times New Roman" w:hAnsi="Times New Roman" w:eastAsia="宋体" w:cs="Times New Roman"/>
          <w:bCs/>
          <w:color w:val="000000" w:themeColor="text1"/>
          <w:sz w:val="48"/>
          <w:szCs w:val="48"/>
          <w:highlight w:val="none"/>
          <w14:textFill>
            <w14:solidFill>
              <w14:schemeClr w14:val="tx1"/>
            </w14:solidFill>
          </w14:textFill>
        </w:rPr>
      </w:pPr>
      <w:r>
        <w:rPr>
          <w:rFonts w:hint="default" w:ascii="Times New Roman" w:hAnsi="Times New Roman" w:eastAsia="宋体" w:cs="Times New Roman"/>
          <w:bCs/>
          <w:color w:val="000000" w:themeColor="text1"/>
          <w:sz w:val="48"/>
          <w:szCs w:val="48"/>
          <w:highlight w:val="none"/>
          <w14:textFill>
            <w14:solidFill>
              <w14:schemeClr w14:val="tx1"/>
            </w14:solidFill>
          </w14:textFill>
        </w:rPr>
        <w:t>（污染影响类）</w:t>
      </w:r>
    </w:p>
    <w:p w14:paraId="7A7A1BED">
      <w:pPr>
        <w:adjustRightInd w:val="0"/>
        <w:snapToGrid w:val="0"/>
        <w:spacing w:before="192" w:beforeLines="80"/>
        <w:jc w:val="center"/>
        <w:rPr>
          <w:rFonts w:hint="default" w:ascii="Times New Roman" w:hAnsi="Times New Roman" w:eastAsia="宋体" w:cs="Times New Roman"/>
          <w:bCs/>
          <w:color w:val="000000" w:themeColor="text1"/>
          <w:sz w:val="48"/>
          <w:szCs w:val="48"/>
          <w:highlight w:val="none"/>
          <w14:textFill>
            <w14:solidFill>
              <w14:schemeClr w14:val="tx1"/>
            </w14:solidFill>
          </w14:textFill>
        </w:rPr>
      </w:pPr>
    </w:p>
    <w:p w14:paraId="1975AC30">
      <w:pPr>
        <w:rPr>
          <w:rFonts w:hint="default" w:ascii="Times New Roman" w:hAnsi="Times New Roman" w:eastAsia="宋体" w:cs="Times New Roman"/>
          <w:color w:val="000000" w:themeColor="text1"/>
          <w:highlight w:val="none"/>
          <w14:textFill>
            <w14:solidFill>
              <w14:schemeClr w14:val="tx1"/>
            </w14:solidFill>
          </w14:textFill>
        </w:rPr>
      </w:pPr>
    </w:p>
    <w:p w14:paraId="262A6AB1">
      <w:pPr>
        <w:jc w:val="center"/>
        <w:rPr>
          <w:rFonts w:hint="default" w:ascii="Times New Roman" w:hAnsi="Times New Roman" w:eastAsia="宋体" w:cs="Times New Roman"/>
          <w:color w:val="000000" w:themeColor="text1"/>
          <w:sz w:val="52"/>
          <w:szCs w:val="52"/>
          <w:highlight w:val="none"/>
          <w14:textFill>
            <w14:solidFill>
              <w14:schemeClr w14:val="tx1"/>
            </w14:solidFill>
          </w14:textFill>
        </w:rPr>
      </w:pPr>
    </w:p>
    <w:p w14:paraId="6D7728F6">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32825941">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1A500674">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7E9A0C94">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4183F9D7">
      <w:pPr>
        <w:adjustRightInd w:val="0"/>
        <w:snapToGrid w:val="0"/>
        <w:spacing w:line="560" w:lineRule="exact"/>
        <w:ind w:left="2230" w:leftChars="300" w:hanging="1600" w:hangingChars="500"/>
        <w:rPr>
          <w:rFonts w:hint="default" w:ascii="Times New Roman" w:hAnsi="Times New Roman" w:eastAsia="宋体" w:cs="Times New Roman"/>
          <w:color w:val="000000" w:themeColor="text1"/>
          <w:sz w:val="32"/>
          <w:szCs w:val="32"/>
          <w:highlight w:val="none"/>
          <w:u w:val="singl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项目名称：</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鸡西市禹欣煤炭销售有限公司建设项目</w:t>
      </w:r>
    </w:p>
    <w:p w14:paraId="0F091698">
      <w:pPr>
        <w:adjustRightInd w:val="0"/>
        <w:snapToGrid w:val="0"/>
        <w:spacing w:line="560" w:lineRule="exact"/>
        <w:ind w:left="3510" w:leftChars="300" w:hanging="2880" w:hangingChars="900"/>
        <w:rPr>
          <w:rFonts w:hint="default" w:ascii="Times New Roman" w:hAnsi="Times New Roman" w:eastAsia="宋体"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建设单位（盖章）：</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鸡西市禹欣煤炭销售有限公司</w:t>
      </w:r>
    </w:p>
    <w:p w14:paraId="3D727C2A">
      <w:pPr>
        <w:adjustRightInd w:val="0"/>
        <w:snapToGrid w:val="0"/>
        <w:spacing w:line="560" w:lineRule="exact"/>
        <w:ind w:left="630" w:leftChars="300"/>
        <w:rPr>
          <w:rFonts w:hint="default" w:ascii="Times New Roman" w:hAnsi="Times New Roman" w:eastAsia="宋体" w:cs="Times New Roman"/>
          <w:color w:val="000000" w:themeColor="text1"/>
          <w:sz w:val="32"/>
          <w:szCs w:val="32"/>
          <w:highlight w:val="none"/>
          <w:u w:val="single"/>
          <w14:textFill>
            <w14:solidFill>
              <w14:schemeClr w14:val="tx1"/>
            </w14:solidFill>
          </w14:textFill>
        </w:rPr>
      </w:pPr>
      <w:r>
        <w:rPr>
          <w:rFonts w:hint="default" w:ascii="Times New Roman" w:hAnsi="Times New Roman" w:eastAsia="宋体" w:cs="Times New Roman"/>
          <w:color w:val="000000" w:themeColor="text1"/>
          <w:sz w:val="32"/>
          <w:szCs w:val="32"/>
          <w:highlight w:val="none"/>
          <w14:textFill>
            <w14:solidFill>
              <w14:schemeClr w14:val="tx1"/>
            </w14:solidFill>
          </w14:textFill>
        </w:rPr>
        <w:t>编制日期：</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 xml:space="preserve">        202</w:t>
      </w:r>
      <w:r>
        <w:rPr>
          <w:rFonts w:hint="default" w:ascii="Times New Roman" w:hAnsi="Times New Roman" w:cs="Times New Roman"/>
          <w:color w:val="000000" w:themeColor="text1"/>
          <w:sz w:val="32"/>
          <w:szCs w:val="32"/>
          <w:highlight w:val="none"/>
          <w:u w:val="single"/>
          <w:lang w:val="en-US" w:eastAsia="zh-CN"/>
          <w14:textFill>
            <w14:solidFill>
              <w14:schemeClr w14:val="tx1"/>
            </w14:solidFill>
          </w14:textFill>
        </w:rPr>
        <w:t>5</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年</w:t>
      </w:r>
      <w:r>
        <w:rPr>
          <w:rFonts w:hint="default" w:ascii="Times New Roman" w:hAnsi="Times New Roman" w:eastAsia="宋体" w:cs="Times New Roman"/>
          <w:color w:val="000000" w:themeColor="text1"/>
          <w:sz w:val="32"/>
          <w:szCs w:val="32"/>
          <w:highlight w:val="none"/>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32"/>
          <w:szCs w:val="32"/>
          <w:highlight w:val="none"/>
          <w:u w:val="single"/>
          <w14:textFill>
            <w14:solidFill>
              <w14:schemeClr w14:val="tx1"/>
            </w14:solidFill>
          </w14:textFill>
        </w:rPr>
        <w:t xml:space="preserve">月               </w:t>
      </w:r>
    </w:p>
    <w:p w14:paraId="258DE4C3">
      <w:pPr>
        <w:adjustRightInd w:val="0"/>
        <w:snapToGrid w:val="0"/>
        <w:spacing w:line="560" w:lineRule="exact"/>
        <w:ind w:firstLine="1040"/>
        <w:rPr>
          <w:rFonts w:hint="default" w:ascii="Times New Roman" w:hAnsi="Times New Roman" w:eastAsia="宋体" w:cs="Times New Roman"/>
          <w:color w:val="000000" w:themeColor="text1"/>
          <w:sz w:val="36"/>
          <w:szCs w:val="36"/>
          <w:highlight w:val="none"/>
          <w:u w:val="single"/>
          <w14:textFill>
            <w14:solidFill>
              <w14:schemeClr w14:val="tx1"/>
            </w14:solidFill>
          </w14:textFill>
        </w:rPr>
      </w:pPr>
      <w:bookmarkStart w:id="7" w:name="_Hlk57884087"/>
    </w:p>
    <w:p w14:paraId="1AFD87A0">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pPr>
    </w:p>
    <w:bookmarkEnd w:id="7"/>
    <w:p w14:paraId="3D0F4365">
      <w:pPr>
        <w:adjustRightInd w:val="0"/>
        <w:snapToGrid w:val="0"/>
        <w:spacing w:line="288" w:lineRule="auto"/>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r>
        <w:rPr>
          <w:rFonts w:hint="default" w:ascii="Times New Roman" w:hAnsi="Times New Roman" w:eastAsia="宋体" w:cs="Times New Roman"/>
          <w:color w:val="000000" w:themeColor="text1"/>
          <w:sz w:val="36"/>
          <w:szCs w:val="36"/>
          <w:highlight w:val="none"/>
          <w14:textFill>
            <w14:solidFill>
              <w14:schemeClr w14:val="tx1"/>
            </w14:solidFill>
          </w14:textFill>
        </w:rPr>
        <w:t>中华人民共和国生态环境部制</w:t>
      </w:r>
    </w:p>
    <w:p w14:paraId="203F6C24">
      <w:pPr>
        <w:adjustRightInd w:val="0"/>
        <w:snapToGrid w:val="0"/>
        <w:spacing w:line="288" w:lineRule="auto"/>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592B62E4">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77C7ED7C">
      <w:pPr>
        <w:keepNext w:val="0"/>
        <w:keepLines w:val="0"/>
        <w:pageBreakBefore w:val="0"/>
        <w:kinsoku/>
        <w:wordWrap/>
        <w:overflowPunct/>
        <w:topLinePunct w:val="0"/>
        <w:autoSpaceDE/>
        <w:autoSpaceDN/>
        <w:bidi w:val="0"/>
        <w:adjustRightInd/>
        <w:snapToGrid/>
        <w:spacing w:before="0" w:beforeLines="0" w:after="0" w:afterLines="0" w:line="360" w:lineRule="auto"/>
        <w:jc w:val="center"/>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sectPr>
          <w:footerReference r:id="rId3"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cs="Times New Roman"/>
          <w:highlight w:val="none"/>
        </w:rPr>
        <w:drawing>
          <wp:inline distT="0" distB="0" distL="114300" distR="114300">
            <wp:extent cx="5450840" cy="7392035"/>
            <wp:effectExtent l="0" t="0" r="16510"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450840" cy="7392035"/>
                    </a:xfrm>
                    <a:prstGeom prst="rect">
                      <a:avLst/>
                    </a:prstGeom>
                    <a:noFill/>
                    <a:ln>
                      <a:noFill/>
                    </a:ln>
                  </pic:spPr>
                </pic:pic>
              </a:graphicData>
            </a:graphic>
          </wp:inline>
        </w:drawing>
      </w:r>
    </w:p>
    <w:p w14:paraId="1A4A9EC7">
      <w:pPr>
        <w:pStyle w:val="5"/>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bookmarkStart w:id="8" w:name="_Toc30708"/>
      <w:bookmarkStart w:id="9" w:name="_Toc20728"/>
      <w:r>
        <w:rPr>
          <w:rFonts w:hint="eastAsia" w:ascii="宋体" w:hAnsi="宋体" w:eastAsia="宋体" w:cs="宋体"/>
          <w:color w:val="000000" w:themeColor="text1"/>
          <w:highlight w:val="none"/>
          <w14:textFill>
            <w14:solidFill>
              <w14:schemeClr w14:val="tx1"/>
            </w14:solidFill>
          </w14:textFill>
        </w:rPr>
        <w:t>一、建设项目基本情况</w:t>
      </w:r>
      <w:bookmarkEnd w:id="8"/>
      <w:bookmarkEnd w:id="9"/>
    </w:p>
    <w:tbl>
      <w:tblPr>
        <w:tblStyle w:val="20"/>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02"/>
        <w:gridCol w:w="2465"/>
        <w:gridCol w:w="2110"/>
        <w:gridCol w:w="3161"/>
      </w:tblGrid>
      <w:tr w14:paraId="5E53E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tcMar>
              <w:top w:w="16" w:type="dxa"/>
              <w:left w:w="16" w:type="dxa"/>
              <w:right w:w="16" w:type="dxa"/>
            </w:tcMar>
            <w:vAlign w:val="center"/>
          </w:tcPr>
          <w:p w14:paraId="69910D02">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建设项目名称</w:t>
            </w:r>
          </w:p>
        </w:tc>
        <w:tc>
          <w:tcPr>
            <w:tcW w:w="7736" w:type="dxa"/>
            <w:gridSpan w:val="3"/>
            <w:vAlign w:val="center"/>
          </w:tcPr>
          <w:p w14:paraId="630C9FEE">
            <w:pPr>
              <w:adjustRightInd w:val="0"/>
              <w:snapToGrid w:val="0"/>
              <w:spacing w:line="340" w:lineRule="exact"/>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鸡西市禹欣煤炭销售有限公司建设项目</w:t>
            </w:r>
          </w:p>
        </w:tc>
      </w:tr>
      <w:tr w14:paraId="46F36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tcMar>
              <w:top w:w="16" w:type="dxa"/>
              <w:left w:w="16" w:type="dxa"/>
              <w:right w:w="16" w:type="dxa"/>
            </w:tcMar>
            <w:vAlign w:val="center"/>
          </w:tcPr>
          <w:p w14:paraId="00F04A70">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项目代码</w:t>
            </w:r>
          </w:p>
        </w:tc>
        <w:tc>
          <w:tcPr>
            <w:tcW w:w="7736" w:type="dxa"/>
            <w:gridSpan w:val="3"/>
            <w:vAlign w:val="center"/>
          </w:tcPr>
          <w:p w14:paraId="116B2AB1">
            <w:pPr>
              <w:pStyle w:val="8"/>
              <w:jc w:val="center"/>
              <w:rPr>
                <w:rFonts w:hint="default" w:ascii="Times New Roman" w:hAnsi="Times New Roman" w:eastAsia="宋体"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无</w:t>
            </w:r>
          </w:p>
        </w:tc>
      </w:tr>
      <w:tr w14:paraId="52A7C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tcMar>
              <w:top w:w="16" w:type="dxa"/>
              <w:left w:w="16" w:type="dxa"/>
              <w:right w:w="16" w:type="dxa"/>
            </w:tcMar>
            <w:vAlign w:val="center"/>
          </w:tcPr>
          <w:p w14:paraId="189EF194">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建设单位联系人</w:t>
            </w:r>
          </w:p>
        </w:tc>
        <w:tc>
          <w:tcPr>
            <w:tcW w:w="2465" w:type="dxa"/>
            <w:vAlign w:val="center"/>
          </w:tcPr>
          <w:p w14:paraId="0C7138EB">
            <w:pPr>
              <w:adjustRightInd w:val="0"/>
              <w:snapToGrid w:val="0"/>
              <w:spacing w:line="340" w:lineRule="exact"/>
              <w:jc w:val="center"/>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宋晓程</w:t>
            </w:r>
          </w:p>
        </w:tc>
        <w:tc>
          <w:tcPr>
            <w:tcW w:w="2110" w:type="dxa"/>
            <w:vAlign w:val="center"/>
          </w:tcPr>
          <w:p w14:paraId="2C570CEA">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联系方式</w:t>
            </w:r>
          </w:p>
        </w:tc>
        <w:tc>
          <w:tcPr>
            <w:tcW w:w="3161" w:type="dxa"/>
            <w:vAlign w:val="center"/>
          </w:tcPr>
          <w:p w14:paraId="7DF25B9B">
            <w:pPr>
              <w:adjustRightInd w:val="0"/>
              <w:snapToGrid w:val="0"/>
              <w:spacing w:line="340" w:lineRule="exact"/>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13091593879</w:t>
            </w:r>
          </w:p>
        </w:tc>
      </w:tr>
      <w:tr w14:paraId="0841B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tcMar>
              <w:top w:w="16" w:type="dxa"/>
              <w:left w:w="16" w:type="dxa"/>
              <w:right w:w="16" w:type="dxa"/>
            </w:tcMar>
            <w:vAlign w:val="center"/>
          </w:tcPr>
          <w:p w14:paraId="7A37ECAF">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建设地点</w:t>
            </w:r>
          </w:p>
        </w:tc>
        <w:tc>
          <w:tcPr>
            <w:tcW w:w="7736" w:type="dxa"/>
            <w:gridSpan w:val="3"/>
            <w:vAlign w:val="center"/>
          </w:tcPr>
          <w:p w14:paraId="05EEB686">
            <w:pPr>
              <w:adjustRightInd w:val="0"/>
              <w:snapToGrid w:val="0"/>
              <w:spacing w:line="340" w:lineRule="exact"/>
              <w:jc w:val="center"/>
              <w:rPr>
                <w:rFonts w:hint="default" w:ascii="Times New Roman" w:hAnsi="Times New Roman" w:cs="Times New Roman"/>
                <w:color w:val="000000" w:themeColor="text1"/>
                <w:sz w:val="24"/>
                <w:highlight w:val="none"/>
                <w:lang w:val="en-US"/>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黑龙江省鸡西市鸡冠区西郊乡梁家村铁路南侧</w:t>
            </w:r>
          </w:p>
        </w:tc>
      </w:tr>
      <w:tr w14:paraId="49034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tcMar>
              <w:top w:w="16" w:type="dxa"/>
              <w:left w:w="16" w:type="dxa"/>
              <w:right w:w="16" w:type="dxa"/>
            </w:tcMar>
            <w:vAlign w:val="center"/>
          </w:tcPr>
          <w:p w14:paraId="5C0C8B6B">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地理坐标</w:t>
            </w:r>
          </w:p>
        </w:tc>
        <w:tc>
          <w:tcPr>
            <w:tcW w:w="7736" w:type="dxa"/>
            <w:gridSpan w:val="3"/>
            <w:vAlign w:val="center"/>
          </w:tcPr>
          <w:p w14:paraId="16B22D70">
            <w:pPr>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u w:val="single"/>
                <w14:textFill>
                  <w14:solidFill>
                    <w14:schemeClr w14:val="tx1"/>
                  </w14:solidFill>
                </w14:textFill>
              </w:rPr>
              <w:t>1</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30</w:t>
            </w:r>
            <w:r>
              <w:rPr>
                <w:rFonts w:hint="default" w:ascii="Times New Roman" w:hAnsi="Times New Roman" w:cs="Times New Roman"/>
                <w:color w:val="000000" w:themeColor="text1"/>
                <w:sz w:val="24"/>
                <w:highlight w:val="none"/>
                <w14:textFill>
                  <w14:solidFill>
                    <w14:schemeClr w14:val="tx1"/>
                  </w14:solidFill>
                </w14:textFill>
              </w:rPr>
              <w:t>度</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53</w:t>
            </w:r>
            <w:r>
              <w:rPr>
                <w:rFonts w:hint="default" w:ascii="Times New Roman" w:hAnsi="Times New Roman" w:cs="Times New Roman"/>
                <w:color w:val="000000" w:themeColor="text1"/>
                <w:sz w:val="24"/>
                <w:highlight w:val="none"/>
                <w14:textFill>
                  <w14:solidFill>
                    <w14:schemeClr w14:val="tx1"/>
                  </w14:solidFill>
                </w14:textFill>
              </w:rPr>
              <w:t>分</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34.260</w:t>
            </w:r>
            <w:r>
              <w:rPr>
                <w:rFonts w:hint="default" w:ascii="Times New Roman" w:hAnsi="Times New Roman" w:cs="Times New Roman"/>
                <w:color w:val="000000" w:themeColor="text1"/>
                <w:sz w:val="24"/>
                <w:highlight w:val="none"/>
                <w14:textFill>
                  <w14:solidFill>
                    <w14:schemeClr w14:val="tx1"/>
                  </w14:solidFill>
                </w14:textFill>
              </w:rPr>
              <w:t>秒，</w:t>
            </w:r>
            <w:r>
              <w:rPr>
                <w:rFonts w:hint="default" w:ascii="Times New Roman" w:hAnsi="Times New Roman" w:cs="Times New Roman"/>
                <w:color w:val="000000" w:themeColor="text1"/>
                <w:sz w:val="24"/>
                <w:highlight w:val="none"/>
                <w:u w:val="single"/>
                <w14:textFill>
                  <w14:solidFill>
                    <w14:schemeClr w14:val="tx1"/>
                  </w14:solidFill>
                </w14:textFill>
              </w:rPr>
              <w:t>4</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度</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19</w:t>
            </w:r>
            <w:r>
              <w:rPr>
                <w:rFonts w:hint="default" w:ascii="Times New Roman" w:hAnsi="Times New Roman" w:cs="Times New Roman"/>
                <w:color w:val="000000" w:themeColor="text1"/>
                <w:sz w:val="24"/>
                <w:highlight w:val="none"/>
                <w14:textFill>
                  <w14:solidFill>
                    <w14:schemeClr w14:val="tx1"/>
                  </w14:solidFill>
                </w14:textFill>
              </w:rPr>
              <w:t>分</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4.660</w:t>
            </w:r>
            <w:r>
              <w:rPr>
                <w:rFonts w:hint="default" w:ascii="Times New Roman" w:hAnsi="Times New Roman" w:cs="Times New Roman"/>
                <w:color w:val="000000" w:themeColor="text1"/>
                <w:sz w:val="24"/>
                <w:highlight w:val="none"/>
                <w14:textFill>
                  <w14:solidFill>
                    <w14:schemeClr w14:val="tx1"/>
                  </w14:solidFill>
                </w14:textFill>
              </w:rPr>
              <w:t>秒）</w:t>
            </w:r>
          </w:p>
        </w:tc>
      </w:tr>
      <w:tr w14:paraId="3C891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02" w:type="dxa"/>
            <w:tcMar>
              <w:top w:w="16" w:type="dxa"/>
              <w:left w:w="16" w:type="dxa"/>
              <w:right w:w="16" w:type="dxa"/>
            </w:tcMar>
            <w:vAlign w:val="center"/>
          </w:tcPr>
          <w:p w14:paraId="04F92055">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国民经济</w:t>
            </w:r>
          </w:p>
          <w:p w14:paraId="39929DFD">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行业类别</w:t>
            </w:r>
          </w:p>
        </w:tc>
        <w:tc>
          <w:tcPr>
            <w:tcW w:w="2465" w:type="dxa"/>
            <w:vAlign w:val="center"/>
          </w:tcPr>
          <w:p w14:paraId="36659686">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B0690 其他煤炭采选</w:t>
            </w:r>
          </w:p>
        </w:tc>
        <w:tc>
          <w:tcPr>
            <w:tcW w:w="2110" w:type="dxa"/>
            <w:vAlign w:val="center"/>
          </w:tcPr>
          <w:p w14:paraId="23F3A57D">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bookmarkStart w:id="10" w:name="_Hlk49843745"/>
            <w:r>
              <w:rPr>
                <w:rFonts w:hint="default" w:ascii="Times New Roman" w:hAnsi="Times New Roman" w:cs="Times New Roman"/>
                <w:color w:val="000000" w:themeColor="text1"/>
                <w:sz w:val="24"/>
                <w:highlight w:val="none"/>
                <w14:textFill>
                  <w14:solidFill>
                    <w14:schemeClr w14:val="tx1"/>
                  </w14:solidFill>
                </w14:textFill>
              </w:rPr>
              <w:t>建设项目</w:t>
            </w:r>
          </w:p>
          <w:p w14:paraId="1B4D9B85">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行业类别</w:t>
            </w:r>
            <w:bookmarkEnd w:id="10"/>
          </w:p>
        </w:tc>
        <w:tc>
          <w:tcPr>
            <w:tcW w:w="3161" w:type="dxa"/>
            <w:vAlign w:val="center"/>
          </w:tcPr>
          <w:p w14:paraId="421EE19A">
            <w:pPr>
              <w:spacing w:before="0" w:after="0" w:line="240" w:lineRule="auto"/>
              <w:ind w:left="0" w:firstLine="0"/>
              <w:outlineLvl w:val="9"/>
              <w:rPr>
                <w:rFonts w:hint="default" w:ascii="Times New Roman" w:hAnsi="Times New Roman" w:cs="Times New Roman"/>
                <w:color w:val="000000" w:themeColor="text1"/>
                <w:highlight w:val="none"/>
                <w:lang w:val="en-US"/>
                <w14:textFill>
                  <w14:solidFill>
                    <w14:schemeClr w14:val="tx1"/>
                  </w14:solidFill>
                </w14:textFill>
              </w:rPr>
            </w:pPr>
            <w:bookmarkStart w:id="11" w:name="_Toc16339"/>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四、煤炭</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开采和</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洗选业</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6</w:t>
            </w:r>
            <w:bookmarkEnd w:id="11"/>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其他煤炭采选069煤炭储存、集运</w:t>
            </w:r>
          </w:p>
        </w:tc>
      </w:tr>
      <w:tr w14:paraId="7AD19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02" w:type="dxa"/>
            <w:tcMar>
              <w:top w:w="16" w:type="dxa"/>
              <w:left w:w="16" w:type="dxa"/>
              <w:right w:w="16" w:type="dxa"/>
            </w:tcMar>
            <w:vAlign w:val="center"/>
          </w:tcPr>
          <w:p w14:paraId="63CA7A0D">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建设性质</w:t>
            </w:r>
          </w:p>
        </w:tc>
        <w:tc>
          <w:tcPr>
            <w:tcW w:w="2465" w:type="dxa"/>
            <w:vAlign w:val="center"/>
          </w:tcPr>
          <w:p w14:paraId="631783FB">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新建（迁建）</w:t>
            </w:r>
          </w:p>
          <w:p w14:paraId="57B499EB">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改建</w:t>
            </w:r>
          </w:p>
          <w:p w14:paraId="2B6CBE37">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扩建</w:t>
            </w:r>
          </w:p>
          <w:p w14:paraId="393F4F5C">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技术改造</w:t>
            </w:r>
          </w:p>
        </w:tc>
        <w:tc>
          <w:tcPr>
            <w:tcW w:w="2110" w:type="dxa"/>
            <w:vAlign w:val="center"/>
          </w:tcPr>
          <w:p w14:paraId="664A8D87">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建设项目</w:t>
            </w:r>
          </w:p>
          <w:p w14:paraId="356AC06C">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申报情形</w:t>
            </w:r>
          </w:p>
        </w:tc>
        <w:tc>
          <w:tcPr>
            <w:tcW w:w="3161" w:type="dxa"/>
            <w:vAlign w:val="center"/>
          </w:tcPr>
          <w:p w14:paraId="6EC59F74">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 xml:space="preserve">☑首次申报项目             </w:t>
            </w:r>
          </w:p>
          <w:p w14:paraId="2E7FDC0A">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不予批准后再次申报项目</w:t>
            </w:r>
          </w:p>
          <w:p w14:paraId="01B6C522">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 xml:space="preserve">超五年重新审核项目     </w:t>
            </w:r>
          </w:p>
          <w:p w14:paraId="05B76B1C">
            <w:pPr>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重大变动重新报批项目</w:t>
            </w:r>
          </w:p>
        </w:tc>
      </w:tr>
      <w:tr w14:paraId="036FA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02" w:type="dxa"/>
            <w:tcMar>
              <w:top w:w="16" w:type="dxa"/>
              <w:left w:w="16" w:type="dxa"/>
              <w:right w:w="16" w:type="dxa"/>
            </w:tcMar>
            <w:vAlign w:val="center"/>
          </w:tcPr>
          <w:p w14:paraId="7AFA7BE8">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项目审批（核准/</w:t>
            </w:r>
          </w:p>
          <w:p w14:paraId="7990165E">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备案）部门（选填）</w:t>
            </w:r>
          </w:p>
        </w:tc>
        <w:tc>
          <w:tcPr>
            <w:tcW w:w="2465" w:type="dxa"/>
            <w:vAlign w:val="center"/>
          </w:tcPr>
          <w:p w14:paraId="2E3806C7">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p>
        </w:tc>
        <w:tc>
          <w:tcPr>
            <w:tcW w:w="2110" w:type="dxa"/>
            <w:vAlign w:val="center"/>
          </w:tcPr>
          <w:p w14:paraId="769F39C2">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项目审批（核准/</w:t>
            </w:r>
          </w:p>
          <w:p w14:paraId="7E0F86E8">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备案）文号（选填）</w:t>
            </w:r>
          </w:p>
        </w:tc>
        <w:tc>
          <w:tcPr>
            <w:tcW w:w="3161" w:type="dxa"/>
            <w:vAlign w:val="center"/>
          </w:tcPr>
          <w:p w14:paraId="01093651">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p>
        </w:tc>
      </w:tr>
      <w:tr w14:paraId="053B0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tcMar>
              <w:top w:w="16" w:type="dxa"/>
              <w:left w:w="16" w:type="dxa"/>
              <w:right w:w="16" w:type="dxa"/>
            </w:tcMar>
            <w:vAlign w:val="center"/>
          </w:tcPr>
          <w:p w14:paraId="08EA3DB3">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总投资（万元）</w:t>
            </w:r>
          </w:p>
        </w:tc>
        <w:tc>
          <w:tcPr>
            <w:tcW w:w="2465" w:type="dxa"/>
            <w:vAlign w:val="center"/>
          </w:tcPr>
          <w:p w14:paraId="69C13B40">
            <w:pPr>
              <w:adjustRightInd w:val="0"/>
              <w:snapToGrid w:val="0"/>
              <w:spacing w:line="340" w:lineRule="exact"/>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500</w:t>
            </w:r>
          </w:p>
        </w:tc>
        <w:tc>
          <w:tcPr>
            <w:tcW w:w="2110" w:type="dxa"/>
            <w:tcMar>
              <w:top w:w="16" w:type="dxa"/>
              <w:left w:w="16" w:type="dxa"/>
              <w:right w:w="16" w:type="dxa"/>
            </w:tcMar>
            <w:vAlign w:val="center"/>
          </w:tcPr>
          <w:p w14:paraId="00B57CCB">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环保投资（万元）</w:t>
            </w:r>
          </w:p>
        </w:tc>
        <w:tc>
          <w:tcPr>
            <w:tcW w:w="3161" w:type="dxa"/>
            <w:vAlign w:val="center"/>
          </w:tcPr>
          <w:p w14:paraId="414CFFDD">
            <w:pPr>
              <w:adjustRightInd w:val="0"/>
              <w:snapToGrid w:val="0"/>
              <w:spacing w:line="340" w:lineRule="exact"/>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83</w:t>
            </w:r>
          </w:p>
        </w:tc>
      </w:tr>
      <w:tr w14:paraId="2D24D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tcMar>
              <w:top w:w="16" w:type="dxa"/>
              <w:left w:w="16" w:type="dxa"/>
              <w:right w:w="16" w:type="dxa"/>
            </w:tcMar>
            <w:vAlign w:val="center"/>
          </w:tcPr>
          <w:p w14:paraId="5B05B3A9">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环保投资占比（%）</w:t>
            </w:r>
          </w:p>
        </w:tc>
        <w:tc>
          <w:tcPr>
            <w:tcW w:w="2465" w:type="dxa"/>
            <w:vAlign w:val="center"/>
          </w:tcPr>
          <w:p w14:paraId="4FD9B695">
            <w:pPr>
              <w:adjustRightInd w:val="0"/>
              <w:snapToGrid w:val="0"/>
              <w:spacing w:line="340" w:lineRule="exact"/>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16.6</w:t>
            </w:r>
          </w:p>
        </w:tc>
        <w:tc>
          <w:tcPr>
            <w:tcW w:w="2110" w:type="dxa"/>
            <w:tcMar>
              <w:top w:w="16" w:type="dxa"/>
              <w:left w:w="16" w:type="dxa"/>
              <w:right w:w="16" w:type="dxa"/>
            </w:tcMar>
            <w:vAlign w:val="center"/>
          </w:tcPr>
          <w:p w14:paraId="446B3BC2">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施工工期</w:t>
            </w:r>
          </w:p>
        </w:tc>
        <w:tc>
          <w:tcPr>
            <w:tcW w:w="3161" w:type="dxa"/>
            <w:vAlign w:val="center"/>
          </w:tcPr>
          <w:p w14:paraId="0454DD15">
            <w:pPr>
              <w:adjustRightInd w:val="0"/>
              <w:snapToGrid w:val="0"/>
              <w:spacing w:line="340" w:lineRule="exact"/>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2025.</w:t>
            </w:r>
            <w:r>
              <w:rPr>
                <w:rFonts w:hint="eastAsia"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lang w:val="en-US" w:eastAsia="zh-CN"/>
                <w14:textFill>
                  <w14:solidFill>
                    <w14:schemeClr w14:val="tx1"/>
                  </w14:solidFill>
                </w14:textFill>
              </w:rPr>
              <w:t>-2025.</w:t>
            </w:r>
            <w:r>
              <w:rPr>
                <w:rFonts w:hint="eastAsia" w:cs="Times New Roman"/>
                <w:color w:val="000000" w:themeColor="text1"/>
                <w:sz w:val="24"/>
                <w:highlight w:val="none"/>
                <w:lang w:val="en-US" w:eastAsia="zh-CN"/>
                <w14:textFill>
                  <w14:solidFill>
                    <w14:schemeClr w14:val="tx1"/>
                  </w14:solidFill>
                </w14:textFill>
              </w:rPr>
              <w:t>7</w:t>
            </w:r>
          </w:p>
        </w:tc>
      </w:tr>
      <w:tr w14:paraId="55E0C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1902" w:type="dxa"/>
            <w:tcMar>
              <w:top w:w="16" w:type="dxa"/>
              <w:left w:w="16" w:type="dxa"/>
              <w:right w:w="16" w:type="dxa"/>
            </w:tcMar>
            <w:vAlign w:val="center"/>
          </w:tcPr>
          <w:p w14:paraId="68E15D0B">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是否开工建设</w:t>
            </w:r>
          </w:p>
        </w:tc>
        <w:tc>
          <w:tcPr>
            <w:tcW w:w="2465" w:type="dxa"/>
            <w:vAlign w:val="center"/>
          </w:tcPr>
          <w:p w14:paraId="767D1015">
            <w:pPr>
              <w:adjustRightInd w:val="0"/>
              <w:snapToGrid w:val="0"/>
              <w:spacing w:line="340" w:lineRule="exact"/>
              <w:rPr>
                <w:rFonts w:hint="default" w:ascii="Times New Roman" w:hAnsi="Times New Roman" w:cs="Times New Roman"/>
                <w:color w:val="000000" w:themeColor="text1"/>
                <w:sz w:val="24"/>
                <w:highlight w:val="none"/>
                <w:u w:val="singl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否：</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p>
          <w:p w14:paraId="1C1A4557">
            <w:pPr>
              <w:adjustRightInd w:val="0"/>
              <w:snapToGrid w:val="0"/>
              <w:spacing w:line="340" w:lineRule="exact"/>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是：</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u w:val="single"/>
                <w14:textFill>
                  <w14:solidFill>
                    <w14:schemeClr w14:val="tx1"/>
                  </w14:solidFill>
                </w14:textFill>
              </w:rPr>
              <w:t xml:space="preserve">        </w:t>
            </w:r>
          </w:p>
        </w:tc>
        <w:tc>
          <w:tcPr>
            <w:tcW w:w="2110" w:type="dxa"/>
            <w:tcMar>
              <w:top w:w="16" w:type="dxa"/>
              <w:left w:w="16" w:type="dxa"/>
              <w:right w:w="16" w:type="dxa"/>
            </w:tcMar>
            <w:vAlign w:val="center"/>
          </w:tcPr>
          <w:p w14:paraId="1F980849">
            <w:pPr>
              <w:adjustRightInd w:val="0"/>
              <w:snapToGrid w:val="0"/>
              <w:spacing w:line="340" w:lineRule="exact"/>
              <w:jc w:val="center"/>
              <w:rPr>
                <w:rFonts w:hint="default" w:ascii="Times New Roman" w:hAnsi="Times New Roman" w:cs="Times New Roman"/>
                <w:color w:val="000000" w:themeColor="text1"/>
                <w:spacing w:val="-6"/>
                <w:sz w:val="24"/>
                <w:highlight w:val="none"/>
                <w14:textFill>
                  <w14:solidFill>
                    <w14:schemeClr w14:val="tx1"/>
                  </w14:solidFill>
                </w14:textFill>
              </w:rPr>
            </w:pPr>
            <w:r>
              <w:rPr>
                <w:rFonts w:hint="default" w:ascii="Times New Roman" w:hAnsi="Times New Roman" w:cs="Times New Roman"/>
                <w:color w:val="000000" w:themeColor="text1"/>
                <w:spacing w:val="-6"/>
                <w:sz w:val="24"/>
                <w:highlight w:val="none"/>
                <w14:textFill>
                  <w14:solidFill>
                    <w14:schemeClr w14:val="tx1"/>
                  </w14:solidFill>
                </w14:textFill>
              </w:rPr>
              <w:t>用地（用海）</w:t>
            </w:r>
          </w:p>
          <w:p w14:paraId="2522672F">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pacing w:val="-6"/>
                <w:sz w:val="24"/>
                <w:highlight w:val="none"/>
                <w14:textFill>
                  <w14:solidFill>
                    <w14:schemeClr w14:val="tx1"/>
                  </w14:solidFill>
                </w14:textFill>
              </w:rPr>
              <w:t>面积（m</w:t>
            </w:r>
            <w:r>
              <w:rPr>
                <w:rFonts w:hint="default" w:ascii="Times New Roman" w:hAnsi="Times New Roman" w:cs="Times New Roman"/>
                <w:color w:val="000000" w:themeColor="text1"/>
                <w:spacing w:val="-6"/>
                <w:sz w:val="24"/>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 w:val="24"/>
                <w:highlight w:val="none"/>
                <w14:textFill>
                  <w14:solidFill>
                    <w14:schemeClr w14:val="tx1"/>
                  </w14:solidFill>
                </w14:textFill>
              </w:rPr>
              <w:t>）</w:t>
            </w:r>
          </w:p>
        </w:tc>
        <w:tc>
          <w:tcPr>
            <w:tcW w:w="3161" w:type="dxa"/>
            <w:vAlign w:val="center"/>
          </w:tcPr>
          <w:p w14:paraId="5DAA87F6">
            <w:pPr>
              <w:adjustRightInd w:val="0"/>
              <w:snapToGrid w:val="0"/>
              <w:spacing w:line="340" w:lineRule="exact"/>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22457</w:t>
            </w:r>
          </w:p>
        </w:tc>
      </w:tr>
      <w:tr w14:paraId="7369C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902" w:type="dxa"/>
            <w:vAlign w:val="center"/>
          </w:tcPr>
          <w:p w14:paraId="358FD769">
            <w:pPr>
              <w:autoSpaceDE w:val="0"/>
              <w:autoSpaceDN w:val="0"/>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专项评价设置情况</w:t>
            </w:r>
          </w:p>
        </w:tc>
        <w:tc>
          <w:tcPr>
            <w:tcW w:w="7736" w:type="dxa"/>
            <w:gridSpan w:val="3"/>
            <w:vAlign w:val="center"/>
          </w:tcPr>
          <w:p w14:paraId="2268536E">
            <w:pPr>
              <w:autoSpaceDE w:val="0"/>
              <w:autoSpaceDN w:val="0"/>
              <w:adjustRightInd w:val="0"/>
              <w:snapToGrid w:val="0"/>
              <w:spacing w:line="340" w:lineRule="exact"/>
              <w:jc w:val="cente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表1-1 专项设置情况</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53"/>
              <w:gridCol w:w="3391"/>
              <w:gridCol w:w="3073"/>
            </w:tblGrid>
            <w:tr w14:paraId="5133B7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7CEA6E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专项评价的类别</w:t>
                  </w:r>
                </w:p>
              </w:tc>
              <w:tc>
                <w:tcPr>
                  <w:tcW w:w="2255" w:type="pct"/>
                  <w:noWrap w:val="0"/>
                  <w:vAlign w:val="center"/>
                </w:tcPr>
                <w:p w14:paraId="161484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设置原则</w:t>
                  </w:r>
                </w:p>
              </w:tc>
              <w:tc>
                <w:tcPr>
                  <w:tcW w:w="2044" w:type="pct"/>
                  <w:noWrap w:val="0"/>
                  <w:vAlign w:val="center"/>
                </w:tcPr>
                <w:p w14:paraId="5A44D0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是否设置</w:t>
                  </w:r>
                </w:p>
              </w:tc>
            </w:tr>
            <w:tr w14:paraId="69D21F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73941D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大气</w:t>
                  </w:r>
                </w:p>
              </w:tc>
              <w:tc>
                <w:tcPr>
                  <w:tcW w:w="2255" w:type="pct"/>
                  <w:noWrap w:val="0"/>
                  <w:vAlign w:val="center"/>
                </w:tcPr>
                <w:p w14:paraId="44384B46">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排放废气含有毒有害污染物、二噁英、苯并[</w:t>
                  </w:r>
                  <w:r>
                    <w:rPr>
                      <w:rFonts w:hint="default" w:ascii="Times New Roman" w:hAnsi="Times New Roman" w:eastAsia="宋体" w:cs="Times New Roman"/>
                      <w:i/>
                      <w:iCs/>
                      <w:color w:val="000000" w:themeColor="text1"/>
                      <w:spacing w:val="0"/>
                      <w:kern w:val="21"/>
                      <w:sz w:val="21"/>
                      <w:szCs w:val="21"/>
                      <w:highlight w:val="none"/>
                      <w14:textFill>
                        <w14:solidFill>
                          <w14:schemeClr w14:val="tx1"/>
                        </w14:solidFill>
                      </w14:textFill>
                    </w:rPr>
                    <w:t>a</w:t>
                  </w: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]芘、氰化物、氯气且厂界外500米范围内有环境空气保护目标的建设项目</w:t>
                  </w:r>
                </w:p>
              </w:tc>
              <w:tc>
                <w:tcPr>
                  <w:tcW w:w="2044" w:type="pct"/>
                  <w:noWrap w:val="0"/>
                  <w:vAlign w:val="center"/>
                </w:tcPr>
                <w:p w14:paraId="05B0C97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不设置</w:t>
                  </w: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项目排放废气</w:t>
                  </w:r>
                  <w:r>
                    <w:rPr>
                      <w:rFonts w:hint="default" w:ascii="Times New Roman" w:hAnsi="Times New Roman" w:eastAsia="宋体" w:cs="Times New Roman"/>
                      <w:color w:val="000000" w:themeColor="text1"/>
                      <w:spacing w:val="0"/>
                      <w:kern w:val="2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含有毒有害污染物</w:t>
                  </w:r>
                </w:p>
              </w:tc>
            </w:tr>
            <w:tr w14:paraId="4E0A9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668E6D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地表水</w:t>
                  </w:r>
                </w:p>
              </w:tc>
              <w:tc>
                <w:tcPr>
                  <w:tcW w:w="2255" w:type="pct"/>
                  <w:noWrap w:val="0"/>
                  <w:vAlign w:val="center"/>
                </w:tcPr>
                <w:p w14:paraId="6A7603B1">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新增工业废水直排建设项目（槽罐车外送污水处理厂的除外）；新增废水直排的污水集中处理厂</w:t>
                  </w:r>
                </w:p>
              </w:tc>
              <w:tc>
                <w:tcPr>
                  <w:tcW w:w="2044" w:type="pct"/>
                  <w:noWrap w:val="0"/>
                  <w:vAlign w:val="center"/>
                </w:tcPr>
                <w:p w14:paraId="3B6CCC3E">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不设置</w:t>
                  </w: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sz w:val="21"/>
                      <w:szCs w:val="21"/>
                      <w:highlight w:val="none"/>
                      <w:lang w:val="en-US" w:eastAsia="zh-CN"/>
                      <w14:textFill>
                        <w14:solidFill>
                          <w14:schemeClr w14:val="tx1"/>
                        </w14:solidFill>
                      </w14:textFill>
                    </w:rPr>
                    <w:t>项目不</w:t>
                  </w: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新增工业废水直排</w:t>
                  </w:r>
                </w:p>
              </w:tc>
            </w:tr>
            <w:tr w14:paraId="673905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61BE8B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环境风险</w:t>
                  </w:r>
                </w:p>
              </w:tc>
              <w:tc>
                <w:tcPr>
                  <w:tcW w:w="2255" w:type="pct"/>
                  <w:noWrap w:val="0"/>
                  <w:vAlign w:val="center"/>
                </w:tcPr>
                <w:p w14:paraId="152BD241">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有毒有害和易燃易爆危险物质存储量超过临界量的建设项目</w:t>
                  </w:r>
                </w:p>
              </w:tc>
              <w:tc>
                <w:tcPr>
                  <w:tcW w:w="2044" w:type="pct"/>
                  <w:noWrap w:val="0"/>
                  <w:vAlign w:val="center"/>
                </w:tcPr>
                <w:p w14:paraId="0ECC48F0">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不设置</w:t>
                  </w: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项</w:t>
                  </w:r>
                  <w:r>
                    <w:rPr>
                      <w:rFonts w:hint="default" w:ascii="Times New Roman" w:hAnsi="Times New Roman" w:cs="Times New Roman"/>
                      <w:color w:val="000000" w:themeColor="text1"/>
                      <w:spacing w:val="0"/>
                      <w:kern w:val="21"/>
                      <w:sz w:val="21"/>
                      <w:szCs w:val="21"/>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有毒有害和易燃易爆危险物质</w:t>
                  </w:r>
                </w:p>
              </w:tc>
            </w:tr>
            <w:tr w14:paraId="02255B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368F08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生态</w:t>
                  </w:r>
                </w:p>
              </w:tc>
              <w:tc>
                <w:tcPr>
                  <w:tcW w:w="2255" w:type="pct"/>
                  <w:noWrap w:val="0"/>
                  <w:vAlign w:val="center"/>
                </w:tcPr>
                <w:p w14:paraId="4099E9AE">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2044" w:type="pct"/>
                  <w:noWrap w:val="0"/>
                  <w:vAlign w:val="center"/>
                </w:tcPr>
                <w:p w14:paraId="20ED34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pPr>
                </w:p>
                <w:p w14:paraId="451FC3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不设置</w:t>
                  </w:r>
                </w:p>
              </w:tc>
            </w:tr>
            <w:tr w14:paraId="33E9EF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3F19A9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海洋</w:t>
                  </w:r>
                </w:p>
              </w:tc>
              <w:tc>
                <w:tcPr>
                  <w:tcW w:w="2255" w:type="pct"/>
                  <w:noWrap w:val="0"/>
                  <w:vAlign w:val="center"/>
                </w:tcPr>
                <w:p w14:paraId="0809E089">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直接向海排放污染物的海洋工程建设项目</w:t>
                  </w:r>
                </w:p>
              </w:tc>
              <w:tc>
                <w:tcPr>
                  <w:tcW w:w="2044" w:type="pct"/>
                  <w:noWrap w:val="0"/>
                  <w:vAlign w:val="center"/>
                </w:tcPr>
                <w:p w14:paraId="2B2657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不设置</w:t>
                  </w:r>
                </w:p>
              </w:tc>
            </w:tr>
            <w:tr w14:paraId="16DB73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7C13E9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地下水</w:t>
                  </w:r>
                </w:p>
              </w:tc>
              <w:tc>
                <w:tcPr>
                  <w:tcW w:w="2255" w:type="pct"/>
                  <w:noWrap w:val="0"/>
                  <w:vAlign w:val="center"/>
                </w:tcPr>
                <w:p w14:paraId="7FEA087F">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地下水原则上不开展专项评价，涉及集中式饮用水水源和热水、矿泉水、温泉等特殊地下水资源保护区的开展地下水专项评价工作</w:t>
                  </w:r>
                </w:p>
              </w:tc>
              <w:tc>
                <w:tcPr>
                  <w:tcW w:w="2044" w:type="pct"/>
                  <w:noWrap w:val="0"/>
                  <w:vAlign w:val="center"/>
                </w:tcPr>
                <w:p w14:paraId="254E49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不设置</w:t>
                  </w:r>
                </w:p>
              </w:tc>
            </w:tr>
            <w:tr w14:paraId="2291B4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62E91C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土壤</w:t>
                  </w:r>
                </w:p>
              </w:tc>
              <w:tc>
                <w:tcPr>
                  <w:tcW w:w="2255" w:type="pct"/>
                  <w:vMerge w:val="restart"/>
                  <w:noWrap w:val="0"/>
                  <w:vAlign w:val="center"/>
                </w:tcPr>
                <w:p w14:paraId="708A56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t>土壤、声环境不开展专项评价</w:t>
                  </w:r>
                </w:p>
              </w:tc>
              <w:tc>
                <w:tcPr>
                  <w:tcW w:w="2044" w:type="pct"/>
                  <w:noWrap w:val="0"/>
                  <w:vAlign w:val="center"/>
                </w:tcPr>
                <w:p w14:paraId="744252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不设置</w:t>
                  </w:r>
                </w:p>
              </w:tc>
            </w:tr>
            <w:tr w14:paraId="416ED5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0" w:type="pct"/>
                  <w:noWrap w:val="0"/>
                  <w:vAlign w:val="center"/>
                </w:tcPr>
                <w:p w14:paraId="7EDCD0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声环境</w:t>
                  </w:r>
                </w:p>
              </w:tc>
              <w:tc>
                <w:tcPr>
                  <w:tcW w:w="2255" w:type="pct"/>
                  <w:vMerge w:val="continue"/>
                  <w:noWrap w:val="0"/>
                  <w:vAlign w:val="center"/>
                </w:tcPr>
                <w:p w14:paraId="3075E4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14:textFill>
                        <w14:solidFill>
                          <w14:schemeClr w14:val="tx1"/>
                        </w14:solidFill>
                      </w14:textFill>
                    </w:rPr>
                  </w:pPr>
                </w:p>
              </w:tc>
              <w:tc>
                <w:tcPr>
                  <w:tcW w:w="2044" w:type="pct"/>
                  <w:noWrap w:val="0"/>
                  <w:vAlign w:val="center"/>
                </w:tcPr>
                <w:p w14:paraId="64DF24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highlight w:val="none"/>
                      <w:lang w:eastAsia="zh-CN"/>
                      <w14:textFill>
                        <w14:solidFill>
                          <w14:schemeClr w14:val="tx1"/>
                        </w14:solidFill>
                      </w14:textFill>
                    </w:rPr>
                    <w:t>不设置</w:t>
                  </w:r>
                </w:p>
              </w:tc>
            </w:tr>
          </w:tbl>
          <w:p w14:paraId="180BDE96">
            <w:pPr>
              <w:autoSpaceDE w:val="0"/>
              <w:autoSpaceDN w:val="0"/>
              <w:adjustRightInd w:val="0"/>
              <w:snapToGrid w:val="0"/>
              <w:spacing w:line="340" w:lineRule="exact"/>
              <w:jc w:val="cente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tc>
      </w:tr>
      <w:tr w14:paraId="7C822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02" w:type="dxa"/>
            <w:vAlign w:val="center"/>
          </w:tcPr>
          <w:p w14:paraId="4A3962BE">
            <w:pPr>
              <w:autoSpaceDE w:val="0"/>
              <w:autoSpaceDN w:val="0"/>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规划情况</w:t>
            </w:r>
          </w:p>
        </w:tc>
        <w:tc>
          <w:tcPr>
            <w:tcW w:w="7736" w:type="dxa"/>
            <w:gridSpan w:val="3"/>
            <w:vAlign w:val="center"/>
          </w:tcPr>
          <w:p w14:paraId="3C834186">
            <w:pPr>
              <w:autoSpaceDE w:val="0"/>
              <w:autoSpaceDN w:val="0"/>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无</w:t>
            </w:r>
          </w:p>
        </w:tc>
      </w:tr>
      <w:tr w14:paraId="40302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02" w:type="dxa"/>
            <w:vAlign w:val="center"/>
          </w:tcPr>
          <w:p w14:paraId="32B1D283">
            <w:pPr>
              <w:adjustRightInd w:val="0"/>
              <w:snapToGrid w:val="0"/>
              <w:spacing w:line="340" w:lineRule="exact"/>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规划环境影响</w:t>
            </w:r>
          </w:p>
          <w:p w14:paraId="46E86EA6">
            <w:pPr>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评价情况</w:t>
            </w:r>
          </w:p>
        </w:tc>
        <w:tc>
          <w:tcPr>
            <w:tcW w:w="7736" w:type="dxa"/>
            <w:gridSpan w:val="3"/>
            <w:vAlign w:val="center"/>
          </w:tcPr>
          <w:p w14:paraId="3F48FC9E">
            <w:pPr>
              <w:autoSpaceDE w:val="0"/>
              <w:autoSpaceDN w:val="0"/>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无</w:t>
            </w:r>
          </w:p>
        </w:tc>
      </w:tr>
      <w:tr w14:paraId="3B98F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02" w:type="dxa"/>
            <w:vAlign w:val="center"/>
          </w:tcPr>
          <w:p w14:paraId="2ED86CB7">
            <w:pPr>
              <w:autoSpaceDE w:val="0"/>
              <w:autoSpaceDN w:val="0"/>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规划及规划环境</w:t>
            </w:r>
          </w:p>
          <w:p w14:paraId="6134CA1B">
            <w:pPr>
              <w:autoSpaceDE w:val="0"/>
              <w:autoSpaceDN w:val="0"/>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影响评价符合性分析</w:t>
            </w:r>
          </w:p>
        </w:tc>
        <w:tc>
          <w:tcPr>
            <w:tcW w:w="7736" w:type="dxa"/>
            <w:gridSpan w:val="3"/>
            <w:vAlign w:val="center"/>
          </w:tcPr>
          <w:p w14:paraId="5F75F615">
            <w:pPr>
              <w:autoSpaceDE w:val="0"/>
              <w:autoSpaceDN w:val="0"/>
              <w:adjustRightInd w:val="0"/>
              <w:snapToGrid w:val="0"/>
              <w:spacing w:line="340" w:lineRule="exact"/>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w:t>
            </w:r>
          </w:p>
        </w:tc>
      </w:tr>
      <w:tr w14:paraId="7F9D4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02" w:type="dxa"/>
            <w:vAlign w:val="center"/>
          </w:tcPr>
          <w:p w14:paraId="679EA0BD">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其他符合性分析</w:t>
            </w:r>
          </w:p>
        </w:tc>
        <w:tc>
          <w:tcPr>
            <w:tcW w:w="7736" w:type="dxa"/>
            <w:gridSpan w:val="3"/>
            <w:vAlign w:val="center"/>
          </w:tcPr>
          <w:p w14:paraId="3677073C">
            <w:pPr>
              <w:pStyle w:val="27"/>
              <w:spacing w:line="360" w:lineRule="auto"/>
              <w:jc w:val="both"/>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1、产业政策符合性分析</w:t>
            </w:r>
          </w:p>
          <w:p w14:paraId="23533510">
            <w:pPr>
              <w:widowControl/>
              <w:spacing w:line="360" w:lineRule="auto"/>
              <w:ind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根据《产业结构调整指导目录（20</w:t>
            </w:r>
            <w:r>
              <w:rPr>
                <w:rFonts w:hint="default" w:ascii="Times New Roman" w:hAnsi="Times New Roman" w:cs="Times New Roman"/>
                <w:color w:val="000000" w:themeColor="text1"/>
                <w:sz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highlight w:val="none"/>
                <w14:textFill>
                  <w14:solidFill>
                    <w14:schemeClr w14:val="tx1"/>
                  </w14:solidFill>
                </w14:textFill>
              </w:rPr>
              <w:t>年</w:t>
            </w:r>
            <w:r>
              <w:rPr>
                <w:rFonts w:hint="default" w:ascii="Times New Roman" w:hAnsi="Times New Roman" w:cs="Times New Roman"/>
                <w:color w:val="000000" w:themeColor="text1"/>
                <w:sz w:val="24"/>
                <w:highlight w:val="none"/>
                <w:lang w:val="en-US" w:eastAsia="zh-CN"/>
                <w14:textFill>
                  <w14:solidFill>
                    <w14:schemeClr w14:val="tx1"/>
                  </w14:solidFill>
                </w14:textFill>
              </w:rPr>
              <w:t>本</w:t>
            </w:r>
            <w:r>
              <w:rPr>
                <w:rFonts w:hint="default" w:ascii="Times New Roman" w:hAnsi="Times New Roman" w:cs="Times New Roman"/>
                <w:color w:val="000000" w:themeColor="text1"/>
                <w:sz w:val="24"/>
                <w:highlight w:val="none"/>
                <w14:textFill>
                  <w14:solidFill>
                    <w14:schemeClr w14:val="tx1"/>
                  </w14:solidFill>
                </w14:textFill>
              </w:rPr>
              <w:t>）》，本项目属于</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三煤炭第一条：储煤设施建设</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属于鼓励类项目。</w:t>
            </w:r>
            <w:r>
              <w:rPr>
                <w:rFonts w:hint="default" w:ascii="Times New Roman" w:hAnsi="Times New Roman" w:cs="Times New Roman"/>
                <w:color w:val="000000" w:themeColor="text1"/>
                <w:sz w:val="24"/>
                <w:highlight w:val="none"/>
                <w14:textFill>
                  <w14:solidFill>
                    <w14:schemeClr w14:val="tx1"/>
                  </w14:solidFill>
                </w14:textFill>
              </w:rPr>
              <w:t>因此本项目的建设符合国家产业政策要求。</w:t>
            </w:r>
          </w:p>
          <w:p w14:paraId="50E46AD7">
            <w:pPr>
              <w:pStyle w:val="27"/>
              <w:spacing w:line="360" w:lineRule="auto"/>
              <w:jc w:val="both"/>
              <w:rPr>
                <w:rFonts w:hint="default" w:ascii="Times New Roman" w:hAnsi="Times New Roman" w:eastAsia="宋体" w:cs="Times New Roman"/>
                <w:b/>
                <w:color w:val="000000" w:themeColor="text1"/>
                <w:highlight w:val="none"/>
                <w:lang w:val="en-US"/>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2、</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环境影响评价技术文件类型的符合性分析</w:t>
            </w:r>
          </w:p>
          <w:p w14:paraId="5E35B493">
            <w:pPr>
              <w:pStyle w:val="29"/>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根据《建设项目环境影响评价分类管理名录》（2021年版）四、煤炭开采和洗选中煤炭储存、集运项目应当编制环境影响评价报告表，详见表1-</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40FA8454">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建设项目环境影响评价分类管理名录</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9"/>
              <w:gridCol w:w="2265"/>
              <w:gridCol w:w="900"/>
              <w:gridCol w:w="2340"/>
              <w:gridCol w:w="1165"/>
            </w:tblGrid>
            <w:tr w14:paraId="25250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4" w:type="dxa"/>
                  <w:gridSpan w:val="2"/>
                  <w:tcBorders>
                    <w:tl2br w:val="nil"/>
                    <w:tr2bl w:val="nil"/>
                  </w:tcBorders>
                </w:tcPr>
                <w:p w14:paraId="137EF0BC">
                  <w:pPr>
                    <w:adjustRightInd w:val="0"/>
                    <w:snapToGrid w:val="0"/>
                    <w:jc w:val="right"/>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-56515</wp:posOffset>
                            </wp:positionH>
                            <wp:positionV relativeFrom="paragraph">
                              <wp:posOffset>-4445</wp:posOffset>
                            </wp:positionV>
                            <wp:extent cx="1609725" cy="323850"/>
                            <wp:effectExtent l="1270" t="6350" r="8255" b="12700"/>
                            <wp:wrapNone/>
                            <wp:docPr id="39" name="直接连接符 39"/>
                            <wp:cNvGraphicFramePr/>
                            <a:graphic xmlns:a="http://schemas.openxmlformats.org/drawingml/2006/main">
                              <a:graphicData uri="http://schemas.microsoft.com/office/word/2010/wordprocessingShape">
                                <wps:wsp>
                                  <wps:cNvCnPr/>
                                  <wps:spPr>
                                    <a:xfrm>
                                      <a:off x="2342515" y="6812915"/>
                                      <a:ext cx="1609725" cy="3238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45pt;margin-top:-0.35pt;height:25.5pt;width:126.75pt;z-index:251668480;mso-width-relative:page;mso-height-relative:page;" filled="f" stroked="t" coordsize="21600,21600" o:gfxdata="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vvordgAAAAHAQAADwAAAAAAAAABACAAAAAiAAAAZHJzL2Rvd25yZXYueG1s&#10;UEsBAhQAFAAAAAgAh07iQEmu3tj4AQAAxQMAAA4AAAAAAAAAAQAgAAAAJwEAAGRycy9lMm9Eb2Mu&#10;eG1sUEsFBgAAAAAGAAYAWQEAAJEFA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环评类别</w:t>
                  </w:r>
                </w:p>
                <w:p w14:paraId="16DBCA65">
                  <w:pPr>
                    <w:adjustRightInd w:val="0"/>
                    <w:snapToGrid w:val="0"/>
                    <w:jc w:val="left"/>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项目类别</w:t>
                  </w:r>
                </w:p>
              </w:tc>
              <w:tc>
                <w:tcPr>
                  <w:tcW w:w="900" w:type="dxa"/>
                  <w:tcBorders>
                    <w:tl2br w:val="nil"/>
                    <w:tr2bl w:val="nil"/>
                  </w:tcBorders>
                  <w:vAlign w:val="center"/>
                </w:tcPr>
                <w:p w14:paraId="19642C92">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报告书</w:t>
                  </w:r>
                </w:p>
              </w:tc>
              <w:tc>
                <w:tcPr>
                  <w:tcW w:w="2340" w:type="dxa"/>
                  <w:tcBorders>
                    <w:tl2br w:val="nil"/>
                    <w:tr2bl w:val="nil"/>
                  </w:tcBorders>
                  <w:vAlign w:val="center"/>
                </w:tcPr>
                <w:p w14:paraId="4F9B2E33">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报告表</w:t>
                  </w:r>
                </w:p>
              </w:tc>
              <w:tc>
                <w:tcPr>
                  <w:tcW w:w="1165" w:type="dxa"/>
                  <w:tcBorders>
                    <w:tl2br w:val="nil"/>
                    <w:tr2bl w:val="nil"/>
                  </w:tcBorders>
                  <w:vAlign w:val="center"/>
                </w:tcPr>
                <w:p w14:paraId="2F8A0CE9">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登记表</w:t>
                  </w:r>
                </w:p>
              </w:tc>
            </w:tr>
            <w:tr w14:paraId="0848D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89" w:type="dxa"/>
                  <w:gridSpan w:val="5"/>
                  <w:tcBorders>
                    <w:tl2br w:val="nil"/>
                    <w:tr2bl w:val="nil"/>
                  </w:tcBorders>
                </w:tcPr>
                <w:p w14:paraId="65746FF8">
                  <w:pPr>
                    <w:adjustRightInd w:val="0"/>
                    <w:snapToGrid w:val="0"/>
                    <w:jc w:val="left"/>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四、煤炭开采和洗选</w:t>
                  </w:r>
                </w:p>
              </w:tc>
            </w:tr>
            <w:tr w14:paraId="7EE70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9" w:type="dxa"/>
                  <w:tcBorders>
                    <w:tl2br w:val="nil"/>
                    <w:tr2bl w:val="nil"/>
                  </w:tcBorders>
                  <w:vAlign w:val="center"/>
                </w:tcPr>
                <w:p w14:paraId="64293EF5">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6</w:t>
                  </w:r>
                </w:p>
              </w:tc>
              <w:tc>
                <w:tcPr>
                  <w:tcW w:w="2265" w:type="dxa"/>
                  <w:tcBorders>
                    <w:tl2br w:val="nil"/>
                    <w:tr2bl w:val="nil"/>
                  </w:tcBorders>
                  <w:vAlign w:val="center"/>
                </w:tcPr>
                <w:p w14:paraId="377418FA">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烟煤和无烟煤开采洗选061；褐煤开采洗选062；其他煤炭采选069</w:t>
                  </w:r>
                </w:p>
              </w:tc>
              <w:tc>
                <w:tcPr>
                  <w:tcW w:w="900" w:type="dxa"/>
                  <w:tcBorders>
                    <w:tl2br w:val="nil"/>
                    <w:tr2bl w:val="nil"/>
                  </w:tcBorders>
                  <w:vAlign w:val="center"/>
                </w:tcPr>
                <w:p w14:paraId="0C333964">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煤炭开采</w:t>
                  </w:r>
                </w:p>
              </w:tc>
              <w:tc>
                <w:tcPr>
                  <w:tcW w:w="2340" w:type="dxa"/>
                  <w:tcBorders>
                    <w:tl2br w:val="nil"/>
                    <w:tr2bl w:val="nil"/>
                  </w:tcBorders>
                  <w:vAlign w:val="center"/>
                </w:tcPr>
                <w:p w14:paraId="64A9D530">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煤炭洗选、配煤；煤炭储存、集运；风井场地、瓦斯抽放站；矿区修复治理工程</w:t>
                  </w:r>
                </w:p>
              </w:tc>
              <w:tc>
                <w:tcPr>
                  <w:tcW w:w="1165" w:type="dxa"/>
                  <w:tcBorders>
                    <w:tl2br w:val="nil"/>
                    <w:tr2bl w:val="nil"/>
                  </w:tcBorders>
                  <w:vAlign w:val="center"/>
                </w:tcPr>
                <w:p w14:paraId="1F62CE4B">
                  <w:pPr>
                    <w:adjustRightInd w:val="0"/>
                    <w:snapToGrid w:val="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p>
              </w:tc>
            </w:tr>
          </w:tbl>
          <w:p w14:paraId="117C6619">
            <w:pPr>
              <w:pStyle w:val="29"/>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本项目为储煤场建设项目，属于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利用固定场所进行煤炭储存、和销售，根据上表可知，项目应编制环境影响评价技术文件类型为环境影响评价报告表。</w:t>
            </w:r>
          </w:p>
          <w:p w14:paraId="7A7593A1">
            <w:pPr>
              <w:pStyle w:val="29"/>
              <w:spacing w:line="360" w:lineRule="auto"/>
              <w:ind w:firstLine="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3、</w:t>
            </w:r>
            <w:r>
              <w:rPr>
                <w:rFonts w:hint="default" w:ascii="Times New Roman" w:hAnsi="Times New Roman" w:cs="Times New Roman"/>
                <w:b/>
                <w:color w:val="000000" w:themeColor="text1"/>
                <w:highlight w:val="none"/>
                <w14:textFill>
                  <w14:solidFill>
                    <w14:schemeClr w14:val="tx1"/>
                  </w14:solidFill>
                </w14:textFill>
              </w:rPr>
              <w:t>选址合理性分析</w:t>
            </w:r>
          </w:p>
          <w:p w14:paraId="1668FD89">
            <w:pPr>
              <w:autoSpaceDE w:val="0"/>
              <w:autoSpaceDN w:val="0"/>
              <w:adjustRightInd w:val="0"/>
              <w:snapToGrid w:val="0"/>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本项目国民经济属于B0690其他煤炭采选，符合土地利用规划要求</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本项目位于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黑龙江省鸡西市鸡冠区西郊乡梁家村铁路南侧</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项目位置图如附图</w:t>
            </w:r>
            <w:r>
              <w:rPr>
                <w:rFonts w:hint="default" w:ascii="Times New Roman" w:hAnsi="Times New Roman" w:cs="Times New Roman"/>
                <w:color w:val="000000" w:themeColor="text1"/>
                <w:kern w:val="0"/>
                <w:sz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bidi="ar"/>
                <w14:textFill>
                  <w14:solidFill>
                    <w14:schemeClr w14:val="tx1"/>
                  </w14:solidFill>
                </w14:textFill>
              </w:rPr>
              <w:t>本项目用地性质为采矿用地。</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厂界西侧隔墙为洗煤厂、南侧隔道路为储煤厂、东侧邻道路、北侧为洗煤厂，北侧隔约135m为中国铁路线路林东线，根据《铁路安全管理条例》城市郊区高速铁路安全距离为12m，本项目满足铁路安全距离要求。</w:t>
            </w:r>
            <w:r>
              <w:rPr>
                <w:rFonts w:hint="default" w:ascii="Times New Roman" w:hAnsi="Times New Roman" w:cs="Times New Roman"/>
                <w:color w:val="000000" w:themeColor="text1"/>
                <w:kern w:val="0"/>
                <w:sz w:val="24"/>
                <w:highlight w:val="none"/>
                <w14:textFill>
                  <w14:solidFill>
                    <w14:schemeClr w14:val="tx1"/>
                  </w14:solidFill>
                </w14:textFill>
              </w:rPr>
              <w:t>项目区及周围无自然保护区，无风景名胜区，也未发现珍稀保护动植物，属一般区域。本项目所在地地势平坦，厂区地理位置交通便利，基础设施齐全</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项目不在风景名胜区、自然保护区、水源保护区及其他需要特别保护的区域内，没有明显的环境制约因素。</w:t>
            </w:r>
          </w:p>
          <w:p w14:paraId="7AC7EF16">
            <w:pPr>
              <w:autoSpaceDE w:val="0"/>
              <w:autoSpaceDN w:val="0"/>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本项目不属于高污染高耗能项目，项目仅用于贮存和销售周边其他煤矿生产的煤炭；</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项目生产中有无组织粉尘产生，在采用防风抑尘网、堆场及道路洒水、苫盖等措施后，</w:t>
            </w:r>
            <w:r>
              <w:rPr>
                <w:rFonts w:hint="default" w:ascii="Times New Roman" w:hAnsi="Times New Roman" w:cs="Times New Roman"/>
                <w:color w:val="auto"/>
                <w:kern w:val="0"/>
                <w:sz w:val="24"/>
                <w:highlight w:val="none"/>
                <w:lang w:eastAsia="zh-CN"/>
              </w:rPr>
              <w:t>《煤炭工业污染物排放标准》（GB20426-2006）表5煤炭工业无组织排放限值</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项目无生产废水产生，生活废水排入防渗旱厕，定期外运堆肥；</w:t>
            </w:r>
            <w:r>
              <w:rPr>
                <w:rFonts w:hint="default" w:ascii="Times New Roman" w:hAnsi="Times New Roman" w:cs="Times New Roman"/>
                <w:color w:val="000000" w:themeColor="text1"/>
                <w:sz w:val="24"/>
                <w:highlight w:val="none"/>
                <w14:textFill>
                  <w14:solidFill>
                    <w14:schemeClr w14:val="tx1"/>
                  </w14:solidFill>
                </w14:textFill>
              </w:rPr>
              <w:t>生产设备选用低噪声设备，采取隔声、降噪等措施，厂界噪声满足《工业企业厂界环境噪声排放标准》（GB12348-2008）表1中2类标准要求；生活垃圾由市政部门统一处理；初期雨水收集池沉渣进行资源化利用，定期清运；废机油统一暂存于危险废物贮存点，委托有资质单位处置。一般固废执行《一般工业固体废物贮存和填埋污染控制标准》（GB18599-2020）、《固体废物分类与代码目录》（公告2024年第4号）标准要求，危险废物贮存符合《危险废物贮存污染控制标准》（GB18597-2023）。</w:t>
            </w:r>
          </w:p>
          <w:p w14:paraId="2ED5B66E">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kern w:val="0"/>
                <w:sz w:val="24"/>
                <w:highlight w:val="none"/>
                <w:lang w:val="en-US" w:eastAsia="zh-CN"/>
              </w:rPr>
              <w:t>厂界外50m无声环境保护目标，厂界外500m范围大气保护目标为西北侧梁家村居民，位于厂区上风向365m处。</w:t>
            </w:r>
          </w:p>
          <w:p w14:paraId="43FCADF6">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本项目运输车辆沿村路向南驶入G331国道，运输路线途经均为厂区，不经过居民区等环境敏感目标。</w:t>
            </w:r>
          </w:p>
          <w:p w14:paraId="71477156">
            <w:pPr>
              <w:autoSpaceDE w:val="0"/>
              <w:autoSpaceDN w:val="0"/>
              <w:adjustRightInd w:val="0"/>
              <w:snapToGrid w:val="0"/>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auto"/>
                <w:kern w:val="0"/>
                <w:sz w:val="24"/>
                <w:highlight w:val="none"/>
                <w:lang w:val="en-US" w:eastAsia="zh-CN"/>
              </w:rPr>
              <w:t>综上所述，</w:t>
            </w:r>
            <w:r>
              <w:rPr>
                <w:rFonts w:hint="default" w:ascii="Times New Roman" w:hAnsi="Times New Roman" w:cs="Times New Roman"/>
                <w:color w:val="000000" w:themeColor="text1"/>
                <w:sz w:val="24"/>
                <w:highlight w:val="none"/>
                <w14:textFill>
                  <w14:solidFill>
                    <w14:schemeClr w14:val="tx1"/>
                  </w14:solidFill>
                </w14:textFill>
              </w:rPr>
              <w:t>本项目各项污染物经过有效的污染治理措施后对</w:t>
            </w:r>
            <w:r>
              <w:rPr>
                <w:rFonts w:hint="default" w:ascii="Times New Roman" w:hAnsi="Times New Roman" w:cs="Times New Roman"/>
                <w:color w:val="000000" w:themeColor="text1"/>
                <w:sz w:val="24"/>
                <w:highlight w:val="none"/>
                <w:lang w:val="en-US" w:eastAsia="zh-CN"/>
                <w14:textFill>
                  <w14:solidFill>
                    <w14:schemeClr w14:val="tx1"/>
                  </w14:solidFill>
                </w14:textFill>
              </w:rPr>
              <w:t>周边</w:t>
            </w:r>
            <w:r>
              <w:rPr>
                <w:rFonts w:hint="default" w:ascii="Times New Roman" w:hAnsi="Times New Roman" w:cs="Times New Roman"/>
                <w:color w:val="000000" w:themeColor="text1"/>
                <w:sz w:val="24"/>
                <w:highlight w:val="none"/>
                <w14:textFill>
                  <w14:solidFill>
                    <w14:schemeClr w14:val="tx1"/>
                  </w14:solidFill>
                </w14:textFill>
              </w:rPr>
              <w:t>环境</w:t>
            </w:r>
            <w:r>
              <w:rPr>
                <w:rFonts w:hint="default" w:ascii="Times New Roman" w:hAnsi="Times New Roman" w:cs="Times New Roman"/>
                <w:color w:val="000000" w:themeColor="text1"/>
                <w:sz w:val="24"/>
                <w:highlight w:val="none"/>
                <w:lang w:val="en-US" w:eastAsia="zh-CN"/>
                <w14:textFill>
                  <w14:solidFill>
                    <w14:schemeClr w14:val="tx1"/>
                  </w14:solidFill>
                </w14:textFill>
              </w:rPr>
              <w:t>及环境敏感目标</w:t>
            </w:r>
            <w:r>
              <w:rPr>
                <w:rFonts w:hint="default" w:ascii="Times New Roman" w:hAnsi="Times New Roman" w:cs="Times New Roman"/>
                <w:color w:val="000000" w:themeColor="text1"/>
                <w:sz w:val="24"/>
                <w:highlight w:val="none"/>
                <w14:textFill>
                  <w14:solidFill>
                    <w14:schemeClr w14:val="tx1"/>
                  </w14:solidFill>
                </w14:textFill>
              </w:rPr>
              <w:t>影响较小</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从环保的角度分析本项目的选址是合理的</w:t>
            </w:r>
            <w:r>
              <w:rPr>
                <w:rFonts w:hint="default" w:ascii="Times New Roman" w:hAnsi="Times New Roman" w:cs="Times New Roman"/>
                <w:color w:val="000000" w:themeColor="text1"/>
                <w:kern w:val="0"/>
                <w:sz w:val="24"/>
                <w:highlight w:val="none"/>
                <w14:textFill>
                  <w14:solidFill>
                    <w14:schemeClr w14:val="tx1"/>
                  </w14:solidFill>
                </w14:textFill>
              </w:rPr>
              <w:t>。</w:t>
            </w:r>
          </w:p>
          <w:p w14:paraId="5C3D0A04">
            <w:pPr>
              <w:spacing w:line="360" w:lineRule="auto"/>
              <w:jc w:val="left"/>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4</w:t>
            </w:r>
            <w:r>
              <w:rPr>
                <w:rFonts w:hint="default" w:ascii="Times New Roman" w:hAnsi="Times New Roman" w:cs="Times New Roman"/>
                <w:b/>
                <w:color w:val="000000" w:themeColor="text1"/>
                <w:sz w:val="24"/>
                <w:highlight w:val="none"/>
                <w14:textFill>
                  <w14:solidFill>
                    <w14:schemeClr w14:val="tx1"/>
                  </w14:solidFill>
                </w14:textFill>
              </w:rPr>
              <w:t>、</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本项目与生态环境分区管控的符合性分析</w:t>
            </w:r>
          </w:p>
          <w:p w14:paraId="7BA6A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bidi="ar"/>
                <w14:textFill>
                  <w14:solidFill>
                    <w14:schemeClr w14:val="tx1"/>
                  </w14:solidFill>
                </w14:textFill>
              </w:rPr>
              <w:t>本项目位于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黑龙江省鸡西市鸡冠区西郊乡梁家村铁路南侧</w:t>
            </w:r>
            <w:r>
              <w:rPr>
                <w:rFonts w:hint="default" w:ascii="Times New Roman" w:hAnsi="Times New Roman" w:cs="Times New Roman"/>
                <w:color w:val="000000" w:themeColor="text1"/>
                <w:sz w:val="24"/>
                <w:szCs w:val="24"/>
                <w:highlight w:val="none"/>
                <w14:textFill>
                  <w14:solidFill>
                    <w14:schemeClr w14:val="tx1"/>
                  </w14:solidFill>
                </w14:textFill>
              </w:rPr>
              <w:t>，根据</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《黑龙江省人民政府关于实施</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“三线一单”生</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态环境分区管控的意见》（黑政发〔2020〕14号）、《</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鸡西</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市人民政府关于实施</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“三线一单”</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生态环境分区管控的意见》（</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鸡</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政发〔2021〕</w:t>
            </w:r>
            <w:r>
              <w:rPr>
                <w:rFonts w:hint="default" w:ascii="Times New Roman" w:hAnsi="Times New Roman" w:cs="Times New Roman"/>
                <w:color w:val="000000" w:themeColor="text1"/>
                <w:kern w:val="0"/>
                <w:sz w:val="24"/>
                <w:szCs w:val="24"/>
                <w:highlight w:val="none"/>
                <w:lang w:val="en-US" w:eastAsia="zh-CN" w:bidi="ar"/>
                <w14:textFill>
                  <w14:solidFill>
                    <w14:schemeClr w14:val="tx1"/>
                  </w14:solidFill>
                </w14:textFill>
              </w:rPr>
              <w:t>7</w:t>
            </w:r>
            <w:r>
              <w:rPr>
                <w:rFonts w:hint="default" w:ascii="Times New Roman" w:hAnsi="Times New Roman" w:cs="Times New Roman"/>
                <w:color w:val="000000" w:themeColor="text1"/>
                <w:kern w:val="0"/>
                <w:sz w:val="24"/>
                <w:szCs w:val="24"/>
                <w:highlight w:val="none"/>
                <w:lang w:bidi="ar"/>
                <w14:textFill>
                  <w14:solidFill>
                    <w14:schemeClr w14:val="tx1"/>
                  </w14:solidFill>
                </w14:textFill>
              </w:rPr>
              <w:t>号），项目所在地为重点管控单元</w:t>
            </w:r>
            <w:r>
              <w:rPr>
                <w:rFonts w:hint="default" w:ascii="Times New Roman" w:hAnsi="Times New Roman" w:cs="Times New Roman"/>
                <w:color w:val="000000" w:themeColor="text1"/>
                <w:kern w:val="0"/>
                <w:sz w:val="24"/>
                <w:szCs w:val="24"/>
                <w:highlight w:val="none"/>
                <w14:textFill>
                  <w14:solidFill>
                    <w14:schemeClr w14:val="tx1"/>
                  </w14:solidFill>
                </w14:textFill>
              </w:rPr>
              <w:t>。</w:t>
            </w:r>
          </w:p>
          <w:p w14:paraId="3FF0A6AE">
            <w:pPr>
              <w:pStyle w:val="50"/>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775200" cy="2446020"/>
                  <wp:effectExtent l="0" t="0" r="6350" b="1143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4775200" cy="2446020"/>
                          </a:xfrm>
                          <a:prstGeom prst="rect">
                            <a:avLst/>
                          </a:prstGeom>
                          <a:noFill/>
                          <a:ln>
                            <a:noFill/>
                          </a:ln>
                        </pic:spPr>
                      </pic:pic>
                    </a:graphicData>
                  </a:graphic>
                </wp:inline>
              </w:drawing>
            </w:r>
          </w:p>
          <w:p w14:paraId="4DADFA4F">
            <w:pPr>
              <w:pStyle w:val="5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图1-1 本项目与环境管控单元叠加图</w:t>
            </w:r>
          </w:p>
          <w:p w14:paraId="3025449D">
            <w:pPr>
              <w:pStyle w:val="5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表1-3 本项目与生态环境分区管控符合性分析</w:t>
            </w:r>
          </w:p>
          <w:tbl>
            <w:tblPr>
              <w:tblStyle w:val="21"/>
              <w:tblW w:w="7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950"/>
              <w:gridCol w:w="1905"/>
              <w:gridCol w:w="1635"/>
              <w:gridCol w:w="1546"/>
            </w:tblGrid>
            <w:tr w14:paraId="17DC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9AEB69B">
                  <w:pPr>
                    <w:pStyle w:val="5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一、生态保护红线</w:t>
                  </w:r>
                </w:p>
              </w:tc>
            </w:tr>
            <w:tr w14:paraId="0F90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420C8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根据《鸡西市禹欣煤炭销售有限公司生态环境分区管控分析报告》，项目与生态保护红线交集面积为0.00平方公里，与自然保护地整合优化方案数据交集面积为0.00平方公里，与自然保护地（现状管理数据）交集面积为0.00平方公里，与饮用水水源保护区交集面积为0.00平方公里，与环境管控单元优先保护单元交集面积为0.00平方公里。本项目位于黑龙江省鸡西市鸡冠区西郊乡梁家村铁路南侧，本项目选址不在生态保护红线内。</w:t>
                  </w:r>
                </w:p>
              </w:tc>
            </w:tr>
            <w:tr w14:paraId="10C8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D3FC7A9">
                  <w:pPr>
                    <w:pStyle w:val="5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二、环境质量底线</w:t>
                  </w:r>
                </w:p>
              </w:tc>
            </w:tr>
            <w:tr w14:paraId="1E1C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9EB0331">
                  <w:pPr>
                    <w:pStyle w:val="5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大气环境</w:t>
                  </w:r>
                </w:p>
              </w:tc>
            </w:tr>
            <w:tr w14:paraId="2D61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6C0DC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根据《2024年黑龙江省生态环境质量状况》，鸡西市空气质量级别达二级标准，PM</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、PM</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、SO</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、NO</w:t>
                  </w:r>
                  <w:r>
                    <w:rPr>
                      <w:rFonts w:hint="default" w:ascii="Times New Roman" w:hAnsi="Times New Roman"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、CO-95per、O3-8h-90per年均浓度分别为27μg/m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、46μg/m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、17μg/m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、1.0μg/m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、和90μg/m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，均满足《环境空气质量标准》（GB3095-2012）中的二级标准，项目所在区域为达标区。</w:t>
                  </w:r>
                </w:p>
                <w:p w14:paraId="0B45B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本项目为储煤场项目，日常生产中有无组织颗粒物产生，在采用防风抑尘网、堆场及道路洒水、苫盖等措施后，颗粒物产生能够满足《煤炭工业污染物排放标准》（GB20426-2006）表5煤炭工业无组织排放限值。</w:t>
                  </w:r>
                </w:p>
              </w:tc>
            </w:tr>
            <w:tr w14:paraId="7116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48E549C2">
                  <w:pPr>
                    <w:pStyle w:val="5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水环境</w:t>
                  </w:r>
                </w:p>
              </w:tc>
            </w:tr>
            <w:tr w14:paraId="2759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1D7FF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最近水体为穆棱河，根据鸡西市生态环境局发布的《2025年1月地表水国控考核断面水质信息公开》，穆棱河水质类别为Ⅲ类，因此，本项目所在河段符合《地表水环境质量标准》（GB3838-2002）Ⅲ类标准。本项目生产过程中无废水产生，生活污水排入防渗旱厕，定期清掏，外运堆肥，不外排。</w:t>
                  </w:r>
                </w:p>
              </w:tc>
            </w:tr>
            <w:tr w14:paraId="5D1C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3EF5864">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声环境</w:t>
                  </w:r>
                </w:p>
              </w:tc>
            </w:tr>
            <w:tr w14:paraId="3E0D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44D0A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根据《2024年黑龙江省生态环境质量状况》（2025年1月），鸡西市区域昼间声环境质量为二级，等效声级为53.6dB（A），道路交通昼间声环境质量为一级，等效声级为65.8dB（A），功能区昼间达标率100%，功能区夜间达标率100%。区域声环境满足《声环境质量标准》（GB3096-2008）2类标准。项目选用低噪声设备，经过隔声及距离衰减后，项目厂界噪声满足《工业企业厂界环境噪声排放标准》（GB12348-2008）中的2类标准。</w:t>
                  </w:r>
                </w:p>
              </w:tc>
            </w:tr>
            <w:tr w14:paraId="36B3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044D9C58">
                  <w:pPr>
                    <w:pStyle w:val="5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地下水环境</w:t>
                  </w:r>
                </w:p>
              </w:tc>
            </w:tr>
            <w:tr w14:paraId="131A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9" w:type="dxa"/>
                  <w:gridSpan w:val="2"/>
                </w:tcPr>
                <w:p w14:paraId="621C4DDF">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管控区类型</w:t>
                  </w:r>
                </w:p>
              </w:tc>
              <w:tc>
                <w:tcPr>
                  <w:tcW w:w="5086" w:type="dxa"/>
                  <w:gridSpan w:val="3"/>
                </w:tcPr>
                <w:p w14:paraId="47E53243">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一般管控区</w:t>
                  </w:r>
                </w:p>
              </w:tc>
            </w:tr>
            <w:tr w14:paraId="1F62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9" w:type="dxa"/>
                  <w:gridSpan w:val="4"/>
                </w:tcPr>
                <w:p w14:paraId="4107077F">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管控要求</w:t>
                  </w:r>
                </w:p>
              </w:tc>
              <w:tc>
                <w:tcPr>
                  <w:tcW w:w="1546" w:type="dxa"/>
                </w:tcPr>
                <w:p w14:paraId="0594B764">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符合性分析</w:t>
                  </w:r>
                </w:p>
              </w:tc>
            </w:tr>
            <w:tr w14:paraId="0F82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dxa"/>
                </w:tcPr>
                <w:p w14:paraId="2226B3C2">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环境风险管控</w:t>
                  </w:r>
                </w:p>
              </w:tc>
              <w:tc>
                <w:tcPr>
                  <w:tcW w:w="5490" w:type="dxa"/>
                  <w:gridSpan w:val="3"/>
                </w:tcPr>
                <w:p w14:paraId="2CFFF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2.重点单位新、改、扩建项目地下储罐储存有毒有害物质的，应当在项目投入生产或者使用之前，将地下储罐的信息报所在地设区的市级生态环境主管部门备案。3.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4.化学品生产企业以及工业集聚区、矿山开采区、尾矿库、危险废物处置场、垃圾填埋场等的运营、管理单位，应当采取防渗漏等措施，并建设地下水水质监测井进行监测，防止地下水污染。5.重点单位通过新、改、扩建项目的土壤和地下水环境现状调查，发现项目用地污染物含量超过国家或者地方有关建设用地土壤污染风险管控标准的，土地使用权人或者污染责任人应当参照污染地块土壤环境管理有关规定开展详细调查、风险评估、风险管控、治理与修复等活动。</w:t>
                  </w:r>
                </w:p>
              </w:tc>
              <w:tc>
                <w:tcPr>
                  <w:tcW w:w="1546" w:type="dxa"/>
                </w:tcPr>
                <w:p w14:paraId="2E855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属于土壤污染重点监管单位，本项目不涉及地下储罐储存有毒有害物质，本项目不属于化学品生产企业以及工业集聚区、矿山开采区、尾矿库、危险废物处置场、垃圾填埋场等的运营、管理单位，本项目用水量较少，生活用水外购水源。</w:t>
                  </w:r>
                </w:p>
              </w:tc>
            </w:tr>
            <w:tr w14:paraId="3AA4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9FDFA15">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三、资源利用上线</w:t>
                  </w:r>
                </w:p>
              </w:tc>
            </w:tr>
            <w:tr w14:paraId="0AAD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4" w:type="dxa"/>
                  <w:gridSpan w:val="3"/>
                </w:tcPr>
                <w:p w14:paraId="60F35B2A">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管控单元类别</w:t>
                  </w:r>
                </w:p>
              </w:tc>
              <w:tc>
                <w:tcPr>
                  <w:tcW w:w="3181" w:type="dxa"/>
                  <w:gridSpan w:val="2"/>
                </w:tcPr>
                <w:p w14:paraId="23FA96A9">
                  <w:pPr>
                    <w:pStyle w:val="50"/>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自然资源一般管控区</w:t>
                  </w:r>
                </w:p>
              </w:tc>
            </w:tr>
            <w:tr w14:paraId="42B2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04756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本项目生活用水外购水源，生产用水由厂区内雨水收集和外购水源提供；本项目用地性质为采矿用地，不占用基本农田；用电依托市政管网。综上，本项目符合资源利用上线要求。</w:t>
                  </w:r>
                </w:p>
              </w:tc>
            </w:tr>
          </w:tbl>
          <w:p w14:paraId="4D1FF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环境准入清单：</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本项目属于</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重点</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管控单元，</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与</w:t>
            </w:r>
            <w:r>
              <w:rPr>
                <w:rFonts w:hint="default" w:ascii="Times New Roman" w:hAnsi="Times New Roman" w:cs="Times New Roman"/>
                <w:color w:val="000000" w:themeColor="text1"/>
                <w:kern w:val="0"/>
                <w:sz w:val="24"/>
                <w:szCs w:val="24"/>
                <w:highlight w:val="none"/>
                <w14:textFill>
                  <w14:solidFill>
                    <w14:schemeClr w14:val="tx1"/>
                  </w14:solidFill>
                </w14:textFill>
              </w:rPr>
              <w:t>《</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鸡西</w:t>
            </w:r>
            <w:r>
              <w:rPr>
                <w:rFonts w:hint="default" w:ascii="Times New Roman" w:hAnsi="Times New Roman" w:cs="Times New Roman"/>
                <w:color w:val="000000" w:themeColor="text1"/>
                <w:kern w:val="0"/>
                <w:sz w:val="24"/>
                <w:szCs w:val="24"/>
                <w:highlight w:val="none"/>
                <w14:textFill>
                  <w14:solidFill>
                    <w14:schemeClr w14:val="tx1"/>
                  </w14:solidFill>
                </w14:textFill>
              </w:rPr>
              <w:t>市</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生态环境准入清单</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2023年版）</w:t>
            </w:r>
            <w:r>
              <w:rPr>
                <w:rFonts w:hint="default" w:ascii="Times New Roman" w:hAnsi="Times New Roman" w:cs="Times New Roman"/>
                <w:color w:val="000000" w:themeColor="text1"/>
                <w:kern w:val="0"/>
                <w:sz w:val="24"/>
                <w:szCs w:val="24"/>
                <w:highlight w:val="none"/>
                <w14:textFill>
                  <w14:solidFill>
                    <w14:schemeClr w14:val="tx1"/>
                  </w14:solidFill>
                </w14:textFill>
              </w:rPr>
              <w:t>》对照情况见下表。</w:t>
            </w:r>
          </w:p>
          <w:p w14:paraId="780012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表1-</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 xml:space="preserve">4 </w:t>
            </w:r>
            <w:r>
              <w:rPr>
                <w:rFonts w:hint="default" w:ascii="Times New Roman" w:hAnsi="Times New Roman" w:cs="Times New Roman"/>
                <w:b/>
                <w:bCs/>
                <w:color w:val="000000" w:themeColor="text1"/>
                <w:kern w:val="0"/>
                <w:sz w:val="24"/>
                <w:szCs w:val="24"/>
                <w:highlight w:val="none"/>
                <w14:textFill>
                  <w14:solidFill>
                    <w14:schemeClr w14:val="tx1"/>
                  </w14:solidFill>
                </w14:textFill>
              </w:rPr>
              <w:t>生态环境准入清单符合性分析</w:t>
            </w:r>
          </w:p>
          <w:tbl>
            <w:tblPr>
              <w:tblStyle w:val="2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795"/>
              <w:gridCol w:w="675"/>
              <w:gridCol w:w="675"/>
              <w:gridCol w:w="3345"/>
              <w:gridCol w:w="1388"/>
            </w:tblGrid>
            <w:tr w14:paraId="43EB5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tcBorders>
                    <w:left w:val="nil"/>
                    <w:bottom w:val="single" w:color="auto" w:sz="4" w:space="0"/>
                    <w:right w:val="single" w:color="auto" w:sz="4" w:space="0"/>
                  </w:tcBorders>
                  <w:noWrap w:val="0"/>
                  <w:vAlign w:val="center"/>
                </w:tcPr>
                <w:p w14:paraId="7C637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环境管控单元编码</w:t>
                  </w:r>
                </w:p>
              </w:tc>
              <w:tc>
                <w:tcPr>
                  <w:tcW w:w="795" w:type="dxa"/>
                  <w:tcBorders>
                    <w:left w:val="single" w:color="auto" w:sz="4" w:space="0"/>
                    <w:bottom w:val="single" w:color="auto" w:sz="4" w:space="0"/>
                    <w:right w:val="single" w:color="auto" w:sz="4" w:space="0"/>
                  </w:tcBorders>
                  <w:noWrap w:val="0"/>
                  <w:vAlign w:val="center"/>
                </w:tcPr>
                <w:p w14:paraId="35A7B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环境管控单元名称</w:t>
                  </w:r>
                </w:p>
              </w:tc>
              <w:tc>
                <w:tcPr>
                  <w:tcW w:w="675" w:type="dxa"/>
                  <w:tcBorders>
                    <w:left w:val="single" w:color="auto" w:sz="4" w:space="0"/>
                    <w:bottom w:val="single" w:color="auto" w:sz="4" w:space="0"/>
                    <w:right w:val="single" w:color="auto" w:sz="4" w:space="0"/>
                  </w:tcBorders>
                  <w:noWrap w:val="0"/>
                  <w:vAlign w:val="center"/>
                </w:tcPr>
                <w:p w14:paraId="17218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管控单元类别</w:t>
                  </w:r>
                </w:p>
              </w:tc>
              <w:tc>
                <w:tcPr>
                  <w:tcW w:w="4020" w:type="dxa"/>
                  <w:gridSpan w:val="2"/>
                  <w:tcBorders>
                    <w:left w:val="single" w:color="auto" w:sz="4" w:space="0"/>
                    <w:bottom w:val="single" w:color="auto" w:sz="4" w:space="0"/>
                    <w:right w:val="single" w:color="auto" w:sz="4" w:space="0"/>
                  </w:tcBorders>
                  <w:noWrap w:val="0"/>
                  <w:vAlign w:val="center"/>
                </w:tcPr>
                <w:p w14:paraId="0384B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管控要求</w:t>
                  </w:r>
                </w:p>
              </w:tc>
              <w:tc>
                <w:tcPr>
                  <w:tcW w:w="1388" w:type="dxa"/>
                  <w:tcBorders>
                    <w:left w:val="single" w:color="auto" w:sz="4" w:space="0"/>
                    <w:bottom w:val="single" w:color="auto" w:sz="4" w:space="0"/>
                    <w:right w:val="nil"/>
                  </w:tcBorders>
                  <w:noWrap w:val="0"/>
                  <w:vAlign w:val="center"/>
                </w:tcPr>
                <w:p w14:paraId="3C7AB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符合性分析</w:t>
                  </w:r>
                </w:p>
              </w:tc>
            </w:tr>
            <w:tr w14:paraId="3401A7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restart"/>
                  <w:tcBorders>
                    <w:top w:val="single" w:color="auto" w:sz="4" w:space="0"/>
                    <w:left w:val="nil"/>
                    <w:right w:val="single" w:color="auto" w:sz="4" w:space="0"/>
                  </w:tcBorders>
                  <w:noWrap w:val="0"/>
                  <w:vAlign w:val="center"/>
                </w:tcPr>
                <w:p w14:paraId="098F3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ZH23030220003</w:t>
                  </w:r>
                </w:p>
                <w:p w14:paraId="6CF61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47BFF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5" w:type="dxa"/>
                  <w:vMerge w:val="restart"/>
                  <w:tcBorders>
                    <w:top w:val="single" w:color="auto" w:sz="4" w:space="0"/>
                    <w:left w:val="single" w:color="auto" w:sz="4" w:space="0"/>
                    <w:right w:val="single" w:color="auto" w:sz="4" w:space="0"/>
                  </w:tcBorders>
                  <w:noWrap w:val="0"/>
                  <w:vAlign w:val="center"/>
                </w:tcPr>
                <w:p w14:paraId="64C78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鸡冠区水环境城镇生活污染重点管控区</w:t>
                  </w:r>
                </w:p>
                <w:p w14:paraId="3E5C1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75" w:type="dxa"/>
                  <w:vMerge w:val="restart"/>
                  <w:tcBorders>
                    <w:top w:val="single" w:color="auto" w:sz="4" w:space="0"/>
                    <w:left w:val="single" w:color="auto" w:sz="4" w:space="0"/>
                    <w:right w:val="single" w:color="auto" w:sz="4" w:space="0"/>
                  </w:tcBorders>
                  <w:noWrap w:val="0"/>
                  <w:vAlign w:val="center"/>
                </w:tcPr>
                <w:p w14:paraId="49C06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重点管控单元</w:t>
                  </w:r>
                </w:p>
              </w:tc>
              <w:tc>
                <w:tcPr>
                  <w:tcW w:w="675" w:type="dxa"/>
                  <w:tcBorders>
                    <w:top w:val="single" w:color="auto" w:sz="4" w:space="0"/>
                    <w:left w:val="single" w:color="auto" w:sz="4" w:space="0"/>
                    <w:bottom w:val="single" w:color="auto" w:sz="4" w:space="0"/>
                    <w:right w:val="single" w:color="auto" w:sz="4" w:space="0"/>
                  </w:tcBorders>
                  <w:noWrap w:val="0"/>
                  <w:vAlign w:val="center"/>
                </w:tcPr>
                <w:p w14:paraId="0E4CD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空间布局约束</w:t>
                  </w:r>
                </w:p>
              </w:tc>
              <w:tc>
                <w:tcPr>
                  <w:tcW w:w="3345" w:type="dxa"/>
                  <w:tcBorders>
                    <w:top w:val="single" w:color="auto" w:sz="4" w:space="0"/>
                    <w:left w:val="single" w:color="auto" w:sz="4" w:space="0"/>
                    <w:bottom w:val="single" w:color="auto" w:sz="4" w:space="0"/>
                    <w:right w:val="single" w:color="auto" w:sz="4" w:space="0"/>
                  </w:tcBorders>
                  <w:noWrap w:val="0"/>
                  <w:vAlign w:val="center"/>
                </w:tcPr>
                <w:p w14:paraId="36966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1.除干旱地区外，新建城区应全面实行雨污分流，鼓励对初期雨水进行收集、处理和资源化利用。 2.大气环境布局敏感重点管控区同时执行 （1）严控“两高”行业产能。严格执行钢铁、水泥、平板玻璃等行业产能置换实施办法。 （2）利用水泥窑协同处置城市生活垃圾、危险废弃物、电石渣等固废伴生水泥项目，必须依托现有新型干法水泥熟料生产线进行不扩产能改造。</w:t>
                  </w:r>
                </w:p>
              </w:tc>
              <w:tc>
                <w:tcPr>
                  <w:tcW w:w="1388" w:type="dxa"/>
                  <w:tcBorders>
                    <w:top w:val="single" w:color="auto" w:sz="4" w:space="0"/>
                    <w:left w:val="single" w:color="auto" w:sz="4" w:space="0"/>
                    <w:right w:val="nil"/>
                  </w:tcBorders>
                  <w:noWrap w:val="0"/>
                  <w:vAlign w:val="center"/>
                </w:tcPr>
                <w:p w14:paraId="3CB97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本项目为煤炭储存项目，不属于</w:t>
                  </w:r>
                  <w:r>
                    <w:rPr>
                      <w:rFonts w:hint="default" w:ascii="Times New Roman" w:hAnsi="Times New Roman" w:cs="Times New Roman"/>
                      <w:b w:val="0"/>
                      <w:bCs w:val="0"/>
                      <w:color w:val="000000" w:themeColor="text1"/>
                      <w:sz w:val="21"/>
                      <w:szCs w:val="21"/>
                      <w:highlight w:val="none"/>
                      <w:vertAlign w:val="baseline"/>
                      <w:lang w:val="zh-CN" w:eastAsia="zh-CN"/>
                      <w14:textFill>
                        <w14:solidFill>
                          <w14:schemeClr w14:val="tx1"/>
                        </w14:solidFill>
                      </w14:textFill>
                    </w:rPr>
                    <w:t>“两高”行业，也不属于水泥窑项目，符合空间约束管控要求</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183507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left w:val="nil"/>
                    <w:right w:val="single" w:color="auto" w:sz="4" w:space="0"/>
                  </w:tcBorders>
                  <w:noWrap w:val="0"/>
                  <w:vAlign w:val="center"/>
                </w:tcPr>
                <w:p w14:paraId="5F1FA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5" w:type="dxa"/>
                  <w:vMerge w:val="continue"/>
                  <w:tcBorders>
                    <w:left w:val="single" w:color="auto" w:sz="4" w:space="0"/>
                    <w:right w:val="single" w:color="auto" w:sz="4" w:space="0"/>
                  </w:tcBorders>
                  <w:noWrap w:val="0"/>
                  <w:vAlign w:val="center"/>
                </w:tcPr>
                <w:p w14:paraId="54314DBC">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75" w:type="dxa"/>
                  <w:vMerge w:val="continue"/>
                  <w:tcBorders>
                    <w:left w:val="single" w:color="auto" w:sz="4" w:space="0"/>
                    <w:right w:val="single" w:color="auto" w:sz="4" w:space="0"/>
                  </w:tcBorders>
                  <w:noWrap w:val="0"/>
                  <w:vAlign w:val="center"/>
                </w:tcPr>
                <w:p w14:paraId="4A52417D">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18C95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污染物排放管控</w:t>
                  </w:r>
                </w:p>
              </w:tc>
              <w:tc>
                <w:tcPr>
                  <w:tcW w:w="3345" w:type="dxa"/>
                  <w:tcBorders>
                    <w:top w:val="single" w:color="auto" w:sz="4" w:space="0"/>
                    <w:left w:val="single" w:color="auto" w:sz="4" w:space="0"/>
                    <w:bottom w:val="single" w:color="auto" w:sz="4" w:space="0"/>
                    <w:right w:val="single" w:color="auto" w:sz="4" w:space="0"/>
                  </w:tcBorders>
                  <w:noWrap w:val="0"/>
                  <w:vAlign w:val="center"/>
                </w:tcPr>
                <w:p w14:paraId="6E065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 xml:space="preserve">1.同时执行：（1）新区污水管网规划建设应当与城市开发同步推进，除干旱地区外均实行雨污分流。 （2）强化城中村、老旧城区和城乡结合部污水截流、收集。 （3）推进合流制排水系统雨污分流改造，难以改造的，应采取截流、调蓄和治理等措施；推进现有污水处理设施配套管网建设；进一步提高城市、县城生活污水收集处理效能。 （4）县级以上人民政府应当合理确定城镇排水与污水处理设施建设标准，统筹安排管网、泵站、污水处理厂以及污泥处理处置、再生水利用、雨水调蓄和排放等排水与污水处理设施建设和改造，提高城镇污水收集率和处理率。 2.大气环境布局敏感重点管控区同时执行（1）对以煤、石焦油、渣油、重油等为燃料的锅炉和工业炉窑，加快使用清洁低碳能源以及工厂余热、电力热力等进行替代。（2）到 2025 年，在用 65 蒸吨/小时以上的燃煤锅炉（含电力）实现超低排放，钢铁企业基本实现超低排放。 </w:t>
                  </w:r>
                </w:p>
              </w:tc>
              <w:tc>
                <w:tcPr>
                  <w:tcW w:w="1388" w:type="dxa"/>
                  <w:tcBorders>
                    <w:left w:val="single" w:color="auto" w:sz="4" w:space="0"/>
                    <w:right w:val="nil"/>
                  </w:tcBorders>
                  <w:noWrap w:val="0"/>
                  <w:vAlign w:val="center"/>
                </w:tcPr>
                <w:p w14:paraId="72B70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本项目为煤炭储存项目，本项目不建设锅炉和工业炉窑。符合污染物排放管控要求。</w:t>
                  </w:r>
                </w:p>
              </w:tc>
            </w:tr>
            <w:tr w14:paraId="7E030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tcBorders>
                    <w:left w:val="nil"/>
                    <w:right w:val="single" w:color="auto" w:sz="4" w:space="0"/>
                  </w:tcBorders>
                  <w:noWrap w:val="0"/>
                  <w:vAlign w:val="center"/>
                </w:tcPr>
                <w:p w14:paraId="5594D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5" w:type="dxa"/>
                  <w:tcBorders>
                    <w:left w:val="single" w:color="auto" w:sz="4" w:space="0"/>
                    <w:right w:val="single" w:color="auto" w:sz="4" w:space="0"/>
                  </w:tcBorders>
                  <w:noWrap w:val="0"/>
                  <w:vAlign w:val="center"/>
                </w:tcPr>
                <w:p w14:paraId="346A9FCD">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75" w:type="dxa"/>
                  <w:tcBorders>
                    <w:left w:val="single" w:color="auto" w:sz="4" w:space="0"/>
                    <w:right w:val="single" w:color="auto" w:sz="4" w:space="0"/>
                  </w:tcBorders>
                  <w:noWrap w:val="0"/>
                  <w:vAlign w:val="center"/>
                </w:tcPr>
                <w:p w14:paraId="20D9C639">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38D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环境风险 </w:t>
                  </w:r>
                </w:p>
                <w:p w14:paraId="064D5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防控</w:t>
                  </w:r>
                </w:p>
              </w:tc>
              <w:tc>
                <w:tcPr>
                  <w:tcW w:w="3345" w:type="dxa"/>
                  <w:tcBorders>
                    <w:top w:val="single" w:color="auto" w:sz="4" w:space="0"/>
                    <w:left w:val="single" w:color="auto" w:sz="4" w:space="0"/>
                    <w:bottom w:val="single" w:color="auto" w:sz="4" w:space="0"/>
                    <w:right w:val="single" w:color="auto" w:sz="4" w:space="0"/>
                  </w:tcBorders>
                  <w:noWrap w:val="0"/>
                  <w:vAlign w:val="center"/>
                </w:tcPr>
                <w:p w14:paraId="76275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大气环境布局敏感重点管控区同时执行禁止在居民区、学校、医疗和养老机构等周边新建有色金属冶炼、焦化等行业企业。</w:t>
                  </w:r>
                </w:p>
              </w:tc>
              <w:tc>
                <w:tcPr>
                  <w:tcW w:w="1388" w:type="dxa"/>
                  <w:tcBorders>
                    <w:left w:val="single" w:color="auto" w:sz="4" w:space="0"/>
                    <w:right w:val="nil"/>
                  </w:tcBorders>
                  <w:noWrap w:val="0"/>
                  <w:vAlign w:val="center"/>
                </w:tcPr>
                <w:p w14:paraId="5014F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本项目不属于金属冶炼、焦化等行业，不属于清单中环境风险防控的内容。</w:t>
                  </w:r>
                </w:p>
              </w:tc>
            </w:tr>
          </w:tbl>
          <w:p w14:paraId="2EDB3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由上表可知，本项目的建设符合《黑龙江省人民政府关于实施“三线一单”生态环境分区管控的意见》（黑政发〔2020〕14号）、《鸡西市生态环境准入清单（2023年版）》中的要求。根据《</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鸡西市禹欣煤炭销售有限公司</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生态环境分区管控分析报告》分析成果，</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鸡西市禹欣煤炭销售有限公司</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建设项目位置涉及鸡西市鸡冠区:项目占地总面积0.02平方公里，与生态保护红线交集面积为0.00平方公里，占项目占地面积的0.00%。与自然保护地整合优化方案数据交集面积为0.00平方公里，占项目占地面积的 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 0.00%:与重点管控单元交集面积为0.02平方公里，占项目占地面积的100.00%:一般管控单元交集面积为0.00平方公里，占项目占地面积的0.00%。与地下水环境优先保护区交集面积为0.00平方公里，占项目占地面积的 0.00%:与地下水环境重点管控区交集面积为0.00平方公里，占项目占地面积的0.00%，与地下水环境一般管控区交集面积为0.02平方公里，占项目占地面积的 100.00%。</w:t>
            </w:r>
          </w:p>
          <w:p w14:paraId="7955188E">
            <w:pPr>
              <w:autoSpaceDE w:val="0"/>
              <w:autoSpaceDN w:val="0"/>
              <w:adjustRightInd w:val="0"/>
              <w:snapToGrid w:val="0"/>
              <w:spacing w:line="360" w:lineRule="auto"/>
              <w:ind w:firstLine="480" w:firstLineChars="200"/>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本项目的建设符合《黑龙江省人民政府关于实施“三线一单”生态环境分区管控的意见》（黑政发〔2020〕14号）、《鸡西市生态环境准入清单（2023年版）》的内容，《</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鸡西市禹欣煤炭销售有限公司</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生态环境分区管控分析报告》中的相关要求。</w:t>
            </w:r>
            <w:r>
              <w:rPr>
                <w:rFonts w:hint="default" w:ascii="Times New Roman" w:hAnsi="Times New Roman" w:cs="Times New Roman"/>
                <w:color w:val="000000" w:themeColor="text1"/>
                <w:kern w:val="0"/>
                <w:sz w:val="24"/>
                <w:szCs w:val="24"/>
                <w:highlight w:val="none"/>
                <w14:textFill>
                  <w14:solidFill>
                    <w14:schemeClr w14:val="tx1"/>
                  </w14:solidFill>
                </w14:textFill>
              </w:rPr>
              <w:t>因此，本项目符合</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三线一单</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相关要求。</w:t>
            </w:r>
          </w:p>
          <w:p w14:paraId="5C155522">
            <w:pPr>
              <w:spacing w:line="360" w:lineRule="auto"/>
              <w:jc w:val="left"/>
              <w:rPr>
                <w:rFonts w:hint="default" w:ascii="Times New Roman" w:hAnsi="Times New Roman" w:cs="Times New Roman"/>
                <w:b/>
                <w:color w:val="000000" w:themeColor="text1"/>
                <w:sz w:val="24"/>
                <w:highlight w:val="none"/>
                <w:lang w:val="en-US"/>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5</w:t>
            </w:r>
            <w:r>
              <w:rPr>
                <w:rFonts w:hint="default" w:ascii="Times New Roman" w:hAnsi="Times New Roman" w:cs="Times New Roman"/>
                <w:b/>
                <w:color w:val="000000" w:themeColor="text1"/>
                <w:sz w:val="24"/>
                <w:highlight w:val="none"/>
                <w14:textFill>
                  <w14:solidFill>
                    <w14:schemeClr w14:val="tx1"/>
                  </w14:solidFill>
                </w14:textFill>
              </w:rPr>
              <w:t>、</w:t>
            </w:r>
            <w:r>
              <w:rPr>
                <w:rFonts w:hint="default" w:ascii="Times New Roman" w:hAnsi="Times New Roman" w:cs="Times New Roman"/>
                <w:b/>
                <w:color w:val="000000" w:themeColor="text1"/>
                <w:sz w:val="24"/>
                <w:highlight w:val="none"/>
                <w:lang w:val="en-US" w:eastAsia="zh-CN"/>
                <w14:textFill>
                  <w14:solidFill>
                    <w14:schemeClr w14:val="tx1"/>
                  </w14:solidFill>
                </w14:textFill>
              </w:rPr>
              <w:t>与</w:t>
            </w:r>
            <w:r>
              <w:rPr>
                <w:rFonts w:hint="default" w:ascii="Times New Roman" w:hAnsi="Times New Roman"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鸡西市洗煤厂、储煤厂排查整治工作方案</w:t>
            </w:r>
            <w:r>
              <w:rPr>
                <w:rFonts w:hint="default" w:ascii="Times New Roman" w:hAnsi="Times New Roman"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color w:val="000000" w:themeColor="text1"/>
                <w:sz w:val="24"/>
                <w:highlight w:val="none"/>
                <w:lang w:val="en-US" w:eastAsia="zh-CN"/>
                <w14:textFill>
                  <w14:solidFill>
                    <w14:schemeClr w14:val="tx1"/>
                  </w14:solidFill>
                </w14:textFill>
              </w:rPr>
              <w:t>鸡西市洗煤厂、储煤场环境综合整治标准</w:t>
            </w:r>
            <w:r>
              <w:rPr>
                <w:rFonts w:hint="default" w:ascii="Times New Roman" w:hAnsi="Times New Roman"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color w:val="000000" w:themeColor="text1"/>
                <w:sz w:val="24"/>
                <w:highlight w:val="none"/>
                <w:lang w:val="en-US" w:eastAsia="zh-CN"/>
                <w14:textFill>
                  <w14:solidFill>
                    <w14:schemeClr w14:val="tx1"/>
                  </w14:solidFill>
                </w14:textFill>
              </w:rPr>
              <w:t>的符合性分析</w:t>
            </w:r>
          </w:p>
          <w:p w14:paraId="3DDB03D1">
            <w:pPr>
              <w:pStyle w:val="30"/>
              <w:spacing w:before="0" w:beforeLines="0" w:after="0" w:afterLines="0" w:line="360" w:lineRule="auto"/>
              <w:ind w:firstLine="480"/>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2023年6月，鸡西市生态环境保护综合执法局发布了《鸡西市洗煤厂、储煤厂排查整治工作方案》及鸡西市生态环境保护委员会办公室发布了《鸡西市洗煤厂、储煤场环境综合整治验收标准》，本项目与《鸡西市洗煤厂、储煤厂排查整治工作方案》及《鸡西市洗煤厂、储煤场环境综合整治验收标准》符合性分析详见下表。</w:t>
            </w:r>
          </w:p>
          <w:p w14:paraId="0DBE3B09">
            <w:pPr>
              <w:pStyle w:val="30"/>
              <w:spacing w:before="0" w:beforeLines="0" w:after="0" w:afterLines="0" w:line="360" w:lineRule="auto"/>
              <w:ind w:firstLine="480"/>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鸡西市洗煤厂、储煤厂排查整治工作方案</w:t>
            </w:r>
            <w:r>
              <w:rPr>
                <w:rFonts w:hint="default" w:ascii="Times New Roman" w:hAnsi="Times New Roman"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鸡西市洗煤厂、储煤场环境综合整治</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验收</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标准</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符合性分析</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913"/>
              <w:gridCol w:w="3134"/>
              <w:gridCol w:w="1877"/>
              <w:gridCol w:w="459"/>
            </w:tblGrid>
            <w:tr w14:paraId="042A8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noWrap w:val="0"/>
                  <w:vAlign w:val="center"/>
                </w:tcPr>
                <w:p w14:paraId="28D1E8B5">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文号</w:t>
                  </w:r>
                </w:p>
              </w:tc>
              <w:tc>
                <w:tcPr>
                  <w:tcW w:w="2691" w:type="pct"/>
                  <w:gridSpan w:val="2"/>
                  <w:noWrap w:val="0"/>
                  <w:vAlign w:val="center"/>
                </w:tcPr>
                <w:p w14:paraId="7A50B8B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文件要求</w:t>
                  </w:r>
                </w:p>
              </w:tc>
              <w:tc>
                <w:tcPr>
                  <w:tcW w:w="1248" w:type="pct"/>
                  <w:noWrap w:val="0"/>
                  <w:vAlign w:val="center"/>
                </w:tcPr>
                <w:p w14:paraId="4804D427">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本项目情况</w:t>
                  </w:r>
                </w:p>
              </w:tc>
              <w:tc>
                <w:tcPr>
                  <w:tcW w:w="305" w:type="pct"/>
                  <w:noWrap w:val="0"/>
                  <w:vAlign w:val="center"/>
                </w:tcPr>
                <w:p w14:paraId="3CF0CEE4">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符合性</w:t>
                  </w:r>
                </w:p>
              </w:tc>
            </w:tr>
            <w:tr w14:paraId="6AD27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restart"/>
                  <w:noWrap w:val="0"/>
                  <w:vAlign w:val="center"/>
                </w:tcPr>
                <w:p w14:paraId="2122DB5E">
                  <w:pPr>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鸡西市洗煤厂、储煤厂排查整治工作方案（</w:t>
                  </w:r>
                  <w:r>
                    <w:rPr>
                      <w:rFonts w:hint="default" w:ascii="Times New Roman" w:hAnsi="Times New Roman" w:cs="Times New Roman"/>
                      <w:color w:val="000000" w:themeColor="text1"/>
                      <w:szCs w:val="21"/>
                      <w:highlight w:val="none"/>
                      <w:lang w:val="en-US" w:eastAsia="zh-CN"/>
                      <w14:textFill>
                        <w14:solidFill>
                          <w14:schemeClr w14:val="tx1"/>
                        </w14:solidFill>
                      </w14:textFill>
                    </w:rPr>
                    <w:t>鸡环执法</w:t>
                  </w:r>
                  <w:r>
                    <w:rPr>
                      <w:rFonts w:hint="default" w:ascii="Times New Roman" w:hAnsi="Times New Roman" w:cs="Times New Roman"/>
                      <w:color w:val="000000" w:themeColor="text1"/>
                      <w:szCs w:val="21"/>
                      <w:highlight w:val="none"/>
                      <w14:textFill>
                        <w14:solidFill>
                          <w14:schemeClr w14:val="tx1"/>
                        </w14:solidFill>
                      </w14:textFill>
                    </w:rPr>
                    <w:t>〔20</w:t>
                  </w:r>
                  <w:r>
                    <w:rPr>
                      <w:rFonts w:hint="default" w:ascii="Times New Roman" w:hAnsi="Times New Roman" w:cs="Times New Roman"/>
                      <w:color w:val="000000" w:themeColor="text1"/>
                      <w:szCs w:val="21"/>
                      <w:highlight w:val="none"/>
                      <w:lang w:val="en-US" w:eastAsia="zh-CN"/>
                      <w14:textFill>
                        <w14:solidFill>
                          <w14:schemeClr w14:val="tx1"/>
                        </w14:solidFill>
                      </w14:textFill>
                    </w:rPr>
                    <w:t>23</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Cs w:val="21"/>
                      <w:highlight w:val="none"/>
                      <w14:textFill>
                        <w14:solidFill>
                          <w14:schemeClr w14:val="tx1"/>
                        </w14:solidFill>
                      </w14:textFill>
                    </w:rPr>
                    <w:t>号）</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鸡西市洗煤厂、储煤场环境综合整治</w:t>
                  </w:r>
                  <w:r>
                    <w:rPr>
                      <w:rFonts w:hint="default" w:ascii="Times New Roman" w:hAnsi="Times New Roman" w:cs="Times New Roman"/>
                      <w:color w:val="000000" w:themeColor="text1"/>
                      <w:szCs w:val="21"/>
                      <w:highlight w:val="none"/>
                      <w:lang w:val="en-US" w:eastAsia="zh-CN"/>
                      <w14:textFill>
                        <w14:solidFill>
                          <w14:schemeClr w14:val="tx1"/>
                        </w14:solidFill>
                      </w14:textFill>
                    </w:rPr>
                    <w:t>验收</w:t>
                  </w:r>
                  <w:r>
                    <w:rPr>
                      <w:rFonts w:hint="default" w:ascii="Times New Roman" w:hAnsi="Times New Roman" w:cs="Times New Roman"/>
                      <w:color w:val="000000" w:themeColor="text1"/>
                      <w:szCs w:val="21"/>
                      <w:highlight w:val="none"/>
                      <w14:textFill>
                        <w14:solidFill>
                          <w14:schemeClr w14:val="tx1"/>
                        </w14:solidFill>
                      </w14:textFill>
                    </w:rPr>
                    <w:t>标准（</w:t>
                  </w:r>
                  <w:r>
                    <w:rPr>
                      <w:rFonts w:hint="default" w:ascii="Times New Roman" w:hAnsi="Times New Roman" w:cs="Times New Roman"/>
                      <w:color w:val="000000" w:themeColor="text1"/>
                      <w:szCs w:val="21"/>
                      <w:highlight w:val="none"/>
                      <w:lang w:val="en-US" w:eastAsia="zh-CN"/>
                      <w14:textFill>
                        <w14:solidFill>
                          <w14:schemeClr w14:val="tx1"/>
                        </w14:solidFill>
                      </w14:textFill>
                    </w:rPr>
                    <w:t>鸡环保委办发</w:t>
                  </w:r>
                  <w:r>
                    <w:rPr>
                      <w:rFonts w:hint="default" w:ascii="Times New Roman" w:hAnsi="Times New Roman" w:cs="Times New Roman"/>
                      <w:color w:val="000000" w:themeColor="text1"/>
                      <w:szCs w:val="21"/>
                      <w:highlight w:val="none"/>
                      <w14:textFill>
                        <w14:solidFill>
                          <w14:schemeClr w14:val="tx1"/>
                        </w14:solidFill>
                      </w14:textFill>
                    </w:rPr>
                    <w:t>〔20</w:t>
                  </w:r>
                  <w:r>
                    <w:rPr>
                      <w:rFonts w:hint="default" w:ascii="Times New Roman" w:hAnsi="Times New Roman" w:cs="Times New Roman"/>
                      <w:color w:val="000000" w:themeColor="text1"/>
                      <w:szCs w:val="21"/>
                      <w:highlight w:val="none"/>
                      <w:lang w:val="en-US" w:eastAsia="zh-CN"/>
                      <w14:textFill>
                        <w14:solidFill>
                          <w14:schemeClr w14:val="tx1"/>
                        </w14:solidFill>
                      </w14:textFill>
                    </w:rPr>
                    <w:t>23</w:t>
                  </w:r>
                  <w:r>
                    <w:rPr>
                      <w:rFonts w:hint="default" w:ascii="Times New Roman" w:hAnsi="Times New Roman" w:cs="Times New Roman"/>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号）</w:t>
                  </w:r>
                </w:p>
              </w:tc>
              <w:tc>
                <w:tcPr>
                  <w:tcW w:w="607" w:type="pct"/>
                  <w:vMerge w:val="restart"/>
                  <w:noWrap w:val="0"/>
                  <w:vAlign w:val="center"/>
                </w:tcPr>
                <w:p w14:paraId="185D91DC">
                  <w:pP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大气污染防治措施</w:t>
                  </w:r>
                </w:p>
              </w:tc>
              <w:tc>
                <w:tcPr>
                  <w:tcW w:w="2083" w:type="pct"/>
                  <w:noWrap w:val="0"/>
                  <w:vAlign w:val="center"/>
                </w:tcPr>
                <w:p w14:paraId="2BB6BF9B">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储煤厂四周应当建设闭合的防风抑尘网。防风抑尘网高度不得低于物料堆高度，遇到高压线等高空障碍物可适当调整高度。储煤厂堆存物应当使用绿网进行苫盖。</w:t>
                  </w:r>
                </w:p>
              </w:tc>
              <w:tc>
                <w:tcPr>
                  <w:tcW w:w="1248" w:type="pct"/>
                  <w:noWrap w:val="0"/>
                  <w:vAlign w:val="center"/>
                </w:tcPr>
                <w:p w14:paraId="4D31A033">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要求储煤场四周建设闭环防风抑尘网，储煤场内储存煤炭使用绿网苫盖</w:t>
                  </w:r>
                </w:p>
              </w:tc>
              <w:tc>
                <w:tcPr>
                  <w:tcW w:w="305" w:type="pct"/>
                  <w:noWrap w:val="0"/>
                  <w:vAlign w:val="center"/>
                </w:tcPr>
                <w:p w14:paraId="3D758AD0">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14:paraId="36BC7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0323FDFE">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vMerge w:val="continue"/>
                  <w:noWrap w:val="0"/>
                  <w:vAlign w:val="center"/>
                </w:tcPr>
                <w:p w14:paraId="143066B1">
                  <w:pPr>
                    <w:rPr>
                      <w:rFonts w:hint="default" w:ascii="Times New Roman" w:hAnsi="Times New Roman" w:cs="Times New Roman"/>
                      <w:color w:val="000000" w:themeColor="text1"/>
                      <w:szCs w:val="21"/>
                      <w:highlight w:val="none"/>
                      <w14:textFill>
                        <w14:solidFill>
                          <w14:schemeClr w14:val="tx1"/>
                        </w14:solidFill>
                      </w14:textFill>
                    </w:rPr>
                  </w:pPr>
                </w:p>
              </w:tc>
              <w:tc>
                <w:tcPr>
                  <w:tcW w:w="2083" w:type="pct"/>
                  <w:noWrap w:val="0"/>
                  <w:vAlign w:val="center"/>
                </w:tcPr>
                <w:p w14:paraId="495C8606">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储煤厂在日常作业中应当采取喷淋、洒水等方式进行降尘，并且严禁在重污染天气期间、大风天气时生产作业，以避免造成扬尘污染</w:t>
                  </w:r>
                </w:p>
              </w:tc>
              <w:tc>
                <w:tcPr>
                  <w:tcW w:w="1248" w:type="pct"/>
                  <w:noWrap w:val="0"/>
                  <w:vAlign w:val="center"/>
                </w:tcPr>
                <w:p w14:paraId="2DD9B043">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要求储煤场日常进行洒水降尘，禁止在</w:t>
                  </w:r>
                  <w:r>
                    <w:rPr>
                      <w:rFonts w:hint="default" w:ascii="Times New Roman" w:hAnsi="Times New Roman" w:cs="Times New Roman"/>
                      <w:color w:val="000000" w:themeColor="text1"/>
                      <w:szCs w:val="21"/>
                      <w:highlight w:val="none"/>
                      <w14:textFill>
                        <w14:solidFill>
                          <w14:schemeClr w14:val="tx1"/>
                        </w14:solidFill>
                      </w14:textFill>
                    </w:rPr>
                    <w:t>重污染天气期间、大风天气</w:t>
                  </w:r>
                  <w:r>
                    <w:rPr>
                      <w:rFonts w:hint="default" w:ascii="Times New Roman" w:hAnsi="Times New Roman" w:cs="Times New Roman"/>
                      <w:color w:val="000000" w:themeColor="text1"/>
                      <w:szCs w:val="21"/>
                      <w:highlight w:val="none"/>
                      <w:lang w:val="en-US" w:eastAsia="zh-CN"/>
                      <w14:textFill>
                        <w14:solidFill>
                          <w14:schemeClr w14:val="tx1"/>
                        </w14:solidFill>
                      </w14:textFill>
                    </w:rPr>
                    <w:t>是生产</w:t>
                  </w:r>
                </w:p>
              </w:tc>
              <w:tc>
                <w:tcPr>
                  <w:tcW w:w="305" w:type="pct"/>
                  <w:noWrap w:val="0"/>
                  <w:vAlign w:val="center"/>
                </w:tcPr>
                <w:p w14:paraId="21E1591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14A3C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5361A21A">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vMerge w:val="continue"/>
                  <w:noWrap w:val="0"/>
                  <w:vAlign w:val="center"/>
                </w:tcPr>
                <w:p w14:paraId="589392B3">
                  <w:pPr>
                    <w:rPr>
                      <w:rFonts w:hint="default" w:ascii="Times New Roman" w:hAnsi="Times New Roman" w:cs="Times New Roman"/>
                      <w:color w:val="000000" w:themeColor="text1"/>
                      <w:szCs w:val="21"/>
                      <w:highlight w:val="none"/>
                      <w14:textFill>
                        <w14:solidFill>
                          <w14:schemeClr w14:val="tx1"/>
                        </w14:solidFill>
                      </w14:textFill>
                    </w:rPr>
                  </w:pPr>
                </w:p>
              </w:tc>
              <w:tc>
                <w:tcPr>
                  <w:tcW w:w="2083" w:type="pct"/>
                  <w:noWrap w:val="0"/>
                  <w:vAlign w:val="center"/>
                </w:tcPr>
                <w:p w14:paraId="4D3C257C">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储煤厂使用的运输车辆应当按照当地城市执法部门的要求进行全面苫盖，并确保车辆清洁</w:t>
                  </w:r>
                </w:p>
              </w:tc>
              <w:tc>
                <w:tcPr>
                  <w:tcW w:w="1248" w:type="pct"/>
                  <w:noWrap w:val="0"/>
                  <w:vAlign w:val="center"/>
                </w:tcPr>
                <w:p w14:paraId="10ED2836">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进入储煤场运输车辆要求苫盖，定期去外部指定洗车点清洗车辆</w:t>
                  </w:r>
                </w:p>
              </w:tc>
              <w:tc>
                <w:tcPr>
                  <w:tcW w:w="305" w:type="pct"/>
                  <w:noWrap w:val="0"/>
                  <w:vAlign w:val="center"/>
                </w:tcPr>
                <w:p w14:paraId="28E778B0">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7C51A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059D1A25">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vMerge w:val="continue"/>
                  <w:noWrap w:val="0"/>
                  <w:vAlign w:val="center"/>
                </w:tcPr>
                <w:p w14:paraId="7F2D5C1C">
                  <w:pPr>
                    <w:rPr>
                      <w:rFonts w:hint="default" w:ascii="Times New Roman" w:hAnsi="Times New Roman" w:cs="Times New Roman"/>
                      <w:color w:val="000000" w:themeColor="text1"/>
                      <w:szCs w:val="21"/>
                      <w:highlight w:val="none"/>
                      <w14:textFill>
                        <w14:solidFill>
                          <w14:schemeClr w14:val="tx1"/>
                        </w14:solidFill>
                      </w14:textFill>
                    </w:rPr>
                  </w:pPr>
                </w:p>
              </w:tc>
              <w:tc>
                <w:tcPr>
                  <w:tcW w:w="2083" w:type="pct"/>
                  <w:noWrap w:val="0"/>
                  <w:vAlign w:val="center"/>
                </w:tcPr>
                <w:p w14:paraId="0D649F96">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储煤厂原则上不得使用燃煤锅炉，应当使用电、天然气等清洁能源取暖。若因条件限制使用燃煤、生物质锅炉的应当配套建设高效除尘设施，并定期检测</w:t>
                  </w:r>
                </w:p>
              </w:tc>
              <w:tc>
                <w:tcPr>
                  <w:tcW w:w="1248" w:type="pct"/>
                  <w:noWrap w:val="0"/>
                  <w:vAlign w:val="center"/>
                </w:tcPr>
                <w:p w14:paraId="4B22BA1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冬季取暖采用电采暖</w:t>
                  </w:r>
                </w:p>
              </w:tc>
              <w:tc>
                <w:tcPr>
                  <w:tcW w:w="305" w:type="pct"/>
                  <w:noWrap w:val="0"/>
                  <w:vAlign w:val="center"/>
                </w:tcPr>
                <w:p w14:paraId="76F3A57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35F49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3E50715A">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vMerge w:val="continue"/>
                  <w:noWrap w:val="0"/>
                  <w:vAlign w:val="center"/>
                </w:tcPr>
                <w:p w14:paraId="5F5F15C4">
                  <w:pPr>
                    <w:rPr>
                      <w:rFonts w:hint="default" w:ascii="Times New Roman" w:hAnsi="Times New Roman" w:cs="Times New Roman"/>
                      <w:color w:val="000000" w:themeColor="text1"/>
                      <w:szCs w:val="21"/>
                      <w:highlight w:val="none"/>
                      <w14:textFill>
                        <w14:solidFill>
                          <w14:schemeClr w14:val="tx1"/>
                        </w14:solidFill>
                      </w14:textFill>
                    </w:rPr>
                  </w:pPr>
                </w:p>
              </w:tc>
              <w:tc>
                <w:tcPr>
                  <w:tcW w:w="2083" w:type="pct"/>
                  <w:noWrap w:val="0"/>
                  <w:vAlign w:val="center"/>
                </w:tcPr>
                <w:p w14:paraId="4B42BFEF">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如有破碎工序或皮带输送作业环节的,须在封闭空间内作业，防止扬尘污染</w:t>
                  </w:r>
                </w:p>
              </w:tc>
              <w:tc>
                <w:tcPr>
                  <w:tcW w:w="1248" w:type="pct"/>
                  <w:noWrap w:val="0"/>
                  <w:vAlign w:val="center"/>
                </w:tcPr>
                <w:p w14:paraId="301A89CF">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项目无</w:t>
                  </w:r>
                  <w:r>
                    <w:rPr>
                      <w:rFonts w:hint="default" w:ascii="Times New Roman" w:hAnsi="Times New Roman" w:cs="Times New Roman"/>
                      <w:color w:val="000000" w:themeColor="text1"/>
                      <w:szCs w:val="21"/>
                      <w:highlight w:val="none"/>
                      <w14:textFill>
                        <w14:solidFill>
                          <w14:schemeClr w14:val="tx1"/>
                        </w14:solidFill>
                      </w14:textFill>
                    </w:rPr>
                    <w:t>破碎工序</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皮带输送作业环节</w:t>
                  </w:r>
                </w:p>
              </w:tc>
              <w:tc>
                <w:tcPr>
                  <w:tcW w:w="305" w:type="pct"/>
                  <w:noWrap w:val="0"/>
                  <w:vAlign w:val="center"/>
                </w:tcPr>
                <w:p w14:paraId="33C0C73A">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1CC4F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516FF623">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vMerge w:val="restart"/>
                  <w:noWrap w:val="0"/>
                  <w:vAlign w:val="center"/>
                </w:tcPr>
                <w:p w14:paraId="052231AB">
                  <w:pP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水污染防治措施</w:t>
                  </w:r>
                </w:p>
              </w:tc>
              <w:tc>
                <w:tcPr>
                  <w:tcW w:w="2083" w:type="pct"/>
                  <w:noWrap w:val="0"/>
                  <w:vAlign w:val="center"/>
                </w:tcPr>
                <w:p w14:paraId="49F001FF">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储煤厂所应当配套建设雨水导流槽、雨水收集池（雨水收集池应建在厂区地势最低处），收集的雨水沉淀后用于场区洒水降尘和绿化</w:t>
                  </w:r>
                </w:p>
              </w:tc>
              <w:tc>
                <w:tcPr>
                  <w:tcW w:w="1248" w:type="pct"/>
                  <w:noWrap w:val="0"/>
                  <w:vAlign w:val="center"/>
                </w:tcPr>
                <w:p w14:paraId="78B46CC0">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储煤场建设雨水收集池（厂区地势最低处）及导流沟，雨水沉淀后用于厂区洒水降尘</w:t>
                  </w:r>
                </w:p>
              </w:tc>
              <w:tc>
                <w:tcPr>
                  <w:tcW w:w="305" w:type="pct"/>
                  <w:noWrap w:val="0"/>
                  <w:vAlign w:val="center"/>
                </w:tcPr>
                <w:p w14:paraId="210D8710">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2C0AF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3D2FC528">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vMerge w:val="continue"/>
                  <w:noWrap w:val="0"/>
                  <w:vAlign w:val="center"/>
                </w:tcPr>
                <w:p w14:paraId="11735AC2">
                  <w:pPr>
                    <w:rPr>
                      <w:rFonts w:hint="default" w:ascii="Times New Roman" w:hAnsi="Times New Roman" w:cs="Times New Roman"/>
                      <w:color w:val="000000" w:themeColor="text1"/>
                      <w:szCs w:val="21"/>
                      <w:highlight w:val="none"/>
                      <w14:textFill>
                        <w14:solidFill>
                          <w14:schemeClr w14:val="tx1"/>
                        </w14:solidFill>
                      </w14:textFill>
                    </w:rPr>
                  </w:pPr>
                </w:p>
              </w:tc>
              <w:tc>
                <w:tcPr>
                  <w:tcW w:w="2083" w:type="pct"/>
                  <w:noWrap w:val="0"/>
                  <w:vAlign w:val="center"/>
                </w:tcPr>
                <w:p w14:paraId="7697800B">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无法接入污水管网的储煤厂应当建设防渗旱厕或防渗化粪池，定期转运至当地生活污水处理厂进行处理或作为肥料进行综合利用，并建立管理台账</w:t>
                  </w:r>
                </w:p>
              </w:tc>
              <w:tc>
                <w:tcPr>
                  <w:tcW w:w="1248" w:type="pct"/>
                  <w:noWrap w:val="0"/>
                  <w:vAlign w:val="center"/>
                </w:tcPr>
                <w:p w14:paraId="7058DC9D">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储煤场设有防渗旱厕，定期外运堆肥</w:t>
                  </w:r>
                </w:p>
              </w:tc>
              <w:tc>
                <w:tcPr>
                  <w:tcW w:w="305" w:type="pct"/>
                  <w:noWrap w:val="0"/>
                  <w:vAlign w:val="center"/>
                </w:tcPr>
                <w:p w14:paraId="732247A0">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0035A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460A9794">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noWrap w:val="0"/>
                  <w:vAlign w:val="center"/>
                </w:tcPr>
                <w:p w14:paraId="6C0D1AAF">
                  <w:pP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土壤污染防治措施</w:t>
                  </w:r>
                </w:p>
              </w:tc>
              <w:tc>
                <w:tcPr>
                  <w:tcW w:w="2083" w:type="pct"/>
                  <w:noWrap w:val="0"/>
                  <w:vAlign w:val="center"/>
                </w:tcPr>
                <w:p w14:paraId="12FE318A">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储煤厂场区地面必须全部硬化，其中车辆进出口及主要运输通道必须使用水泥或柏油进行硬化</w:t>
                  </w:r>
                </w:p>
              </w:tc>
              <w:tc>
                <w:tcPr>
                  <w:tcW w:w="1248" w:type="pct"/>
                  <w:noWrap w:val="0"/>
                  <w:vAlign w:val="center"/>
                </w:tcPr>
                <w:p w14:paraId="52759442">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储煤场厂区地面硬化，车辆进出口及主要运输通道使用水泥硬化</w:t>
                  </w:r>
                </w:p>
              </w:tc>
              <w:tc>
                <w:tcPr>
                  <w:tcW w:w="305" w:type="pct"/>
                  <w:noWrap w:val="0"/>
                  <w:vAlign w:val="center"/>
                </w:tcPr>
                <w:p w14:paraId="25EB37C9">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5AD0B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2B542181">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noWrap w:val="0"/>
                  <w:vAlign w:val="center"/>
                </w:tcPr>
                <w:p w14:paraId="0B45C763">
                  <w:pP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噪声污染防治措施</w:t>
                  </w:r>
                </w:p>
              </w:tc>
              <w:tc>
                <w:tcPr>
                  <w:tcW w:w="2083" w:type="pct"/>
                  <w:noWrap w:val="0"/>
                  <w:vAlign w:val="center"/>
                </w:tcPr>
                <w:p w14:paraId="2F755B0C">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储煤厂应当选取低噪声的设备、设施，并严格遵守《中华人民共和国噪声污染防治法》的相关规定，合理规划生产作业时限</w:t>
                  </w:r>
                </w:p>
              </w:tc>
              <w:tc>
                <w:tcPr>
                  <w:tcW w:w="1248" w:type="pct"/>
                  <w:noWrap w:val="0"/>
                  <w:vAlign w:val="center"/>
                </w:tcPr>
                <w:p w14:paraId="65B126A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项目选取低噪声设备，夜间不进行生产</w:t>
                  </w:r>
                </w:p>
              </w:tc>
              <w:tc>
                <w:tcPr>
                  <w:tcW w:w="305" w:type="pct"/>
                  <w:noWrap w:val="0"/>
                  <w:vAlign w:val="center"/>
                </w:tcPr>
                <w:p w14:paraId="4E161E9A">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19700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vMerge w:val="continue"/>
                  <w:noWrap w:val="0"/>
                  <w:vAlign w:val="center"/>
                </w:tcPr>
                <w:p w14:paraId="41F69CB4">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noWrap w:val="0"/>
                  <w:vAlign w:val="center"/>
                </w:tcPr>
                <w:p w14:paraId="7B90AB7C">
                  <w:pP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危险废物污染防治措施</w:t>
                  </w:r>
                </w:p>
              </w:tc>
              <w:tc>
                <w:tcPr>
                  <w:tcW w:w="2083" w:type="pct"/>
                  <w:noWrap w:val="0"/>
                  <w:vAlign w:val="center"/>
                </w:tcPr>
                <w:p w14:paraId="3881DA5D">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应当建设危险废物贮存间，并按照《危险废物识别标志设置技术规范》设置危险废物标识，将产生的废机油等危险废物进行收集贮存，定期由有资质的处置单位转移、处置，执行危险废物转移联单管理制度并做好台账记录</w:t>
                  </w:r>
                </w:p>
              </w:tc>
              <w:tc>
                <w:tcPr>
                  <w:tcW w:w="1248" w:type="pct"/>
                  <w:noWrap w:val="0"/>
                  <w:vAlign w:val="center"/>
                </w:tcPr>
                <w:p w14:paraId="73E6A23A">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auto"/>
                      <w:szCs w:val="21"/>
                      <w:highlight w:val="none"/>
                      <w:lang w:val="en-US" w:eastAsia="zh-CN"/>
                    </w:rPr>
                    <w:t>项目在厂内设危险废物贮存点，用于贮存储煤场产生的废机油等危险废物，定期交由有资质单位处理</w:t>
                  </w:r>
                </w:p>
              </w:tc>
              <w:tc>
                <w:tcPr>
                  <w:tcW w:w="305" w:type="pct"/>
                  <w:noWrap w:val="0"/>
                  <w:vAlign w:val="center"/>
                </w:tcPr>
                <w:p w14:paraId="234C5CB9">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r w14:paraId="1A79C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pct"/>
                  <w:noWrap w:val="0"/>
                  <w:vAlign w:val="center"/>
                </w:tcPr>
                <w:p w14:paraId="5F26943E">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07" w:type="pct"/>
                  <w:noWrap w:val="0"/>
                  <w:vAlign w:val="center"/>
                </w:tcPr>
                <w:p w14:paraId="71A0AAC5">
                  <w:pP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其他污染防治措施</w:t>
                  </w:r>
                </w:p>
              </w:tc>
              <w:tc>
                <w:tcPr>
                  <w:tcW w:w="2083" w:type="pct"/>
                  <w:noWrap w:val="0"/>
                  <w:vAlign w:val="center"/>
                </w:tcPr>
                <w:p w14:paraId="00F74841">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储煤厂应当定期对厂区及周边进行清理保洁，保持良好的环境卫生面貌，防止出现</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脏、乱、差</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现象。并设置生活垃圾收集箱，定期转运</w:t>
                  </w:r>
                </w:p>
              </w:tc>
              <w:tc>
                <w:tcPr>
                  <w:tcW w:w="1248" w:type="pct"/>
                  <w:noWrap w:val="0"/>
                  <w:vAlign w:val="center"/>
                </w:tcPr>
                <w:p w14:paraId="717DCA0E">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项目设置生活垃圾箱，定期转运，定期对厂区进行进行清理，</w:t>
                  </w:r>
                </w:p>
              </w:tc>
              <w:tc>
                <w:tcPr>
                  <w:tcW w:w="305" w:type="pct"/>
                  <w:noWrap w:val="0"/>
                  <w:vAlign w:val="center"/>
                </w:tcPr>
                <w:p w14:paraId="1B9692A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符合</w:t>
                  </w:r>
                </w:p>
              </w:tc>
            </w:tr>
          </w:tbl>
          <w:p w14:paraId="4215F098">
            <w:pPr>
              <w:pStyle w:val="30"/>
              <w:spacing w:before="0" w:beforeLines="0" w:after="0" w:afterLines="0" w:line="360" w:lineRule="auto"/>
              <w:ind w:firstLine="480"/>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综上，本项目符合《鸡西市洗煤厂、储煤厂排查整治工作方案》、《鸡西市洗煤厂、储煤场环境综合整治验收标准》要求。</w:t>
            </w:r>
          </w:p>
          <w:p w14:paraId="53DC640E">
            <w:pPr>
              <w:spacing w:line="360" w:lineRule="auto"/>
              <w:jc w:val="left"/>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6、与“高污染燃料禁燃区”符合性分析</w:t>
            </w:r>
          </w:p>
          <w:p w14:paraId="69E91BC2">
            <w:pPr>
              <w:pStyle w:val="30"/>
              <w:spacing w:before="0" w:beforeLines="0" w:after="0" w:afterLines="0" w:line="360" w:lineRule="auto"/>
              <w:ind w:firstLine="480"/>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为进一步改善城市空气环境质量，保障人民群众身体健康，根据《中华人民共和国大气污染防治法》、《黑龙江省人民政府关于印发黑龙江省大气污染防治行动计划实施细则的通知》（黑政发〔2014〕1号）要求，鸡</w:t>
            </w:r>
            <w:r>
              <w:rPr>
                <w:rFonts w:hint="default" w:ascii="Times New Roman" w:hAnsi="Times New Roman" w:eastAsia="宋体" w:cs="Times New Roman"/>
                <w:color w:val="000000" w:themeColor="text1"/>
                <w:highlight w:val="none"/>
                <w:lang w:val="en-US" w:eastAsia="zh-CN"/>
                <w14:textFill>
                  <w14:solidFill>
                    <w14:schemeClr w14:val="tx1"/>
                  </w14:solidFill>
                </w14:textFill>
              </w:rPr>
              <w:t>西市在重点区域划定了高污染燃料禁燃区。燃区内也禁止销售、燃用高污染燃料；禁止新建、扩建燃用高污染燃料设施，已建成的应在政府规定期限内改用天然气、页岩气、液化石油气、电或者其他清洁能源。</w:t>
            </w:r>
          </w:p>
          <w:p w14:paraId="7A88B474">
            <w:pPr>
              <w:pStyle w:val="30"/>
              <w:spacing w:before="0" w:beforeLines="0" w:after="0" w:afterLines="0" w:line="360" w:lineRule="auto"/>
              <w:ind w:firstLine="480"/>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禁燃区的范围涉及北环中路（西）---东山街---兴国东路（蔬菜公司）---电工路---红星路---和平南大街---201国道（体育馆）---兴国西路头---北环中路（休闲广场东），形成的围合区域。</w:t>
            </w:r>
          </w:p>
          <w:p w14:paraId="10F1E570">
            <w:pPr>
              <w:pStyle w:val="30"/>
              <w:spacing w:before="0" w:beforeLines="0" w:after="0" w:afterLines="0" w:line="360" w:lineRule="auto"/>
              <w:ind w:firstLine="480"/>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黑龙江省鸡西市鸡冠区西郊乡梁家村铁路南侧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，不在鸡西市高污染燃料禁燃区范围划定范围内，项目不违背鸡西市高污染燃料禁燃区要求。</w:t>
            </w:r>
          </w:p>
          <w:p w14:paraId="5D9CCAB5">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2084070</wp:posOffset>
                      </wp:positionH>
                      <wp:positionV relativeFrom="paragraph">
                        <wp:posOffset>1628775</wp:posOffset>
                      </wp:positionV>
                      <wp:extent cx="1540510" cy="4152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40510" cy="415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E8232">
                                  <w:pPr>
                                    <w:rPr>
                                      <w:rFonts w:hint="default" w:eastAsia="宋体"/>
                                      <w:lang w:val="en-US" w:eastAsia="zh-CN"/>
                                    </w:rPr>
                                  </w:pPr>
                                  <w:r>
                                    <w:rPr>
                                      <w:rFonts w:hint="eastAsia"/>
                                      <w:lang w:val="en-US"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pt;margin-top:128.25pt;height:32.7pt;width:121.3pt;z-index:251682816;mso-width-relative:page;mso-height-relative:page;" filled="f" stroked="f" coordsize="21600,21600" o:gfxdata="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r6Py7bAAAACwEAAA8AAAAAAAAAAQAgAAAAIgAAAGRy&#10;cy9kb3ducmV2LnhtbFBLAQIUABQAAAAIAIdO4kAtLyt0OwIAAGYEAAAOAAAAAAAAAAEAIAAAACoB&#10;AABkcnMvZTJvRG9jLnhtbFBLBQYAAAAABgAGAFkBAADXBQAAAAA=&#10;">
                      <v:fill on="f" focussize="0,0"/>
                      <v:stroke on="f" weight="0.5pt"/>
                      <v:imagedata o:title=""/>
                      <o:lock v:ext="edit" aspectratio="f"/>
                      <v:textbox>
                        <w:txbxContent>
                          <w:p w14:paraId="7D9E8232">
                            <w:pPr>
                              <w:rPr>
                                <w:rFonts w:hint="default" w:eastAsia="宋体"/>
                                <w:lang w:val="en-US" w:eastAsia="zh-CN"/>
                              </w:rPr>
                            </w:pPr>
                            <w:r>
                              <w:rPr>
                                <w:rFonts w:hint="eastAsia"/>
                                <w:lang w:val="en-US" w:eastAsia="zh-CN"/>
                              </w:rPr>
                              <w:t>本项目位置</w:t>
                            </w:r>
                          </w:p>
                        </w:txbxContent>
                      </v:textbox>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2521585</wp:posOffset>
                      </wp:positionH>
                      <wp:positionV relativeFrom="paragraph">
                        <wp:posOffset>1911350</wp:posOffset>
                      </wp:positionV>
                      <wp:extent cx="145415" cy="130810"/>
                      <wp:effectExtent l="1270" t="0" r="5715" b="21590"/>
                      <wp:wrapNone/>
                      <wp:docPr id="6" name="AutoShape 101"/>
                      <wp:cNvGraphicFramePr/>
                      <a:graphic xmlns:a="http://schemas.openxmlformats.org/drawingml/2006/main">
                        <a:graphicData uri="http://schemas.microsoft.com/office/word/2010/wordprocessingShape">
                          <wps:wsp>
                            <wps:cNvSpPr>
                              <a:spLocks noChangeArrowheads="1"/>
                            </wps:cNvSpPr>
                            <wps:spPr bwMode="auto">
                              <a:xfrm>
                                <a:off x="6040120" y="1652270"/>
                                <a:ext cx="145415" cy="130810"/>
                              </a:xfrm>
                              <a:prstGeom prst="star5">
                                <a:avLst>
                                  <a:gd name="adj" fmla="val 0"/>
                                  <a:gd name="hf" fmla="val 105146"/>
                                  <a:gd name="vf" fmla="val 110557"/>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01" o:spid="_x0000_s1026" style="position:absolute;left:0pt;margin-left:198.55pt;margin-top:150.5pt;height:10.3pt;width:11.45pt;z-index:251667456;mso-width-relative:page;mso-height-relative:page;" fillcolor="#FF0000" filled="t" stroked="t" coordsize="145415,130810" o:gfxdata="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9lOA&#10;1wAAAAsBAAAPAAAAAAAAAAEAIAAAACIAAABkcnMvZG93bnJldi54bWxQSwECFAAUAAAACACHTuJA&#10;9rsFDlsCAADuBAAADgAAAAAAAAABACAAAAAmAQAAZHJzL2Uyb0RvYy54bWxQSwUGAAAAAAYABgBZ&#10;AQAA8wUAAAAA&#10;" path="m0,49964l72707,72309,72707,0,72707,72309,145414,49964,72707,72309,117643,130809,72707,72309,27771,130809,72707,72309xe">
                      <v:path o:connectlocs="72707,0;0,49964;27771,130809;117643,130809;145414,49964" o:connectangles="247,164,82,82,0"/>
                      <v:fill on="t" focussize="0,0"/>
                      <v:stroke color="#000000" miterlimit="8" joinstyle="miter"/>
                      <v:imagedata o:title=""/>
                      <o:lock v:ext="edit" aspectratio="f"/>
                    </v:shape>
                  </w:pict>
                </mc:Fallback>
              </mc:AlternateConten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drawing>
                <wp:anchor distT="0" distB="0" distL="114300" distR="114300" simplePos="0" relativeHeight="251683840" behindDoc="0" locked="0" layoutInCell="1" allowOverlap="1">
                  <wp:simplePos x="0" y="0"/>
                  <wp:positionH relativeFrom="column">
                    <wp:posOffset>3736340</wp:posOffset>
                  </wp:positionH>
                  <wp:positionV relativeFrom="paragraph">
                    <wp:posOffset>33655</wp:posOffset>
                  </wp:positionV>
                  <wp:extent cx="695325" cy="685800"/>
                  <wp:effectExtent l="0" t="0" r="9525" b="0"/>
                  <wp:wrapNone/>
                  <wp:docPr id="16" name="图片 16" descr="171927909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9279096590(1)"/>
                          <pic:cNvPicPr>
                            <a:picLocks noChangeAspect="1"/>
                          </pic:cNvPicPr>
                        </pic:nvPicPr>
                        <pic:blipFill>
                          <a:blip r:embed="rId11"/>
                          <a:stretch>
                            <a:fillRect/>
                          </a:stretch>
                        </pic:blipFill>
                        <pic:spPr>
                          <a:xfrm>
                            <a:off x="0" y="0"/>
                            <a:ext cx="695325" cy="685800"/>
                          </a:xfrm>
                          <a:prstGeom prst="rect">
                            <a:avLst/>
                          </a:prstGeom>
                        </pic:spPr>
                      </pic:pic>
                    </a:graphicData>
                  </a:graphic>
                </wp:anchor>
              </w:drawing>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3267710</wp:posOffset>
                      </wp:positionH>
                      <wp:positionV relativeFrom="paragraph">
                        <wp:posOffset>1282700</wp:posOffset>
                      </wp:positionV>
                      <wp:extent cx="1195705" cy="684530"/>
                      <wp:effectExtent l="0" t="0" r="0" b="0"/>
                      <wp:wrapNone/>
                      <wp:docPr id="11" name="线形标注 1 11"/>
                      <wp:cNvGraphicFramePr/>
                      <a:graphic xmlns:a="http://schemas.openxmlformats.org/drawingml/2006/main">
                        <a:graphicData uri="http://schemas.microsoft.com/office/word/2010/wordprocessingShape">
                          <wps:wsp>
                            <wps:cNvSpPr/>
                            <wps:spPr>
                              <a:xfrm>
                                <a:off x="0" y="0"/>
                                <a:ext cx="1195642" cy="684759"/>
                              </a:xfrm>
                              <a:prstGeom prst="borderCallout1">
                                <a:avLst>
                                  <a:gd name="adj1" fmla="val 99465"/>
                                  <a:gd name="adj2" fmla="val 43005"/>
                                  <a:gd name="adj3" fmla="val 168491"/>
                                  <a:gd name="adj4" fmla="val 5915"/>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B444915">
                                  <w:pPr>
                                    <w:jc w:val="center"/>
                                    <w:rPr>
                                      <w:rFonts w:hint="default" w:eastAsia="宋体"/>
                                      <w:color w:va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高污染燃料禁燃区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257.3pt;margin-top:101pt;height:53.9pt;width:94.15pt;z-index:251681792;v-text-anchor:middle;mso-width-relative:page;mso-height-relative:page;" filled="f" stroked="f" coordsize="21600,21600" o:gfxdata="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ugy8p2QAAAAsBAAAPAAAAAAAAAAEAIAAAACIAAABkcnMv&#10;ZG93bnJldi54bWxQSwECFAAUAAAACACHTuJAxMrZUq0CAABaBQAADgAAAAAAAAABACAAAAAoAQAA&#10;ZHJzL2Uyb0RvYy54bWxQSwUGAAAAAAYABgBZAQAARwYAAAAA&#10;" adj="1278,36394,9289,21484">
                      <v:fill on="f" focussize="0,0"/>
                      <v:stroke on="f" weight="1pt" miterlimit="8" joinstyle="miter"/>
                      <v:imagedata o:title=""/>
                      <o:lock v:ext="edit" aspectratio="f"/>
                      <v:textbox>
                        <w:txbxContent>
                          <w:p w14:paraId="7B444915">
                            <w:pPr>
                              <w:jc w:val="center"/>
                              <w:rPr>
                                <w:rFonts w:hint="default" w:eastAsia="宋体"/>
                                <w:color w:va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高污染燃料禁燃区</w:t>
                            </w:r>
                          </w:p>
                        </w:txbxContent>
                      </v:textbox>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3700780</wp:posOffset>
                      </wp:positionH>
                      <wp:positionV relativeFrom="paragraph">
                        <wp:posOffset>1908175</wp:posOffset>
                      </wp:positionV>
                      <wp:extent cx="102870" cy="231775"/>
                      <wp:effectExtent l="10795" t="2540" r="19685" b="13335"/>
                      <wp:wrapNone/>
                      <wp:docPr id="12" name="直接箭头连接符 12"/>
                      <wp:cNvGraphicFramePr/>
                      <a:graphic xmlns:a="http://schemas.openxmlformats.org/drawingml/2006/main">
                        <a:graphicData uri="http://schemas.microsoft.com/office/word/2010/wordprocessingShape">
                          <wps:wsp>
                            <wps:cNvCnPr/>
                            <wps:spPr>
                              <a:xfrm flipH="1">
                                <a:off x="6184900" y="3231515"/>
                                <a:ext cx="102870" cy="2317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91.4pt;margin-top:150.25pt;height:18.25pt;width:8.1pt;z-index:251666432;mso-width-relative:page;mso-height-relative:page;" filled="f" stroked="t" coordsize="21600,21600" o:gfxdata="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h0Y/9wA&#10;AAALAQAADwAAAAAAAAABACAAAAAiAAAAZHJzL2Rvd25yZXYueG1sUEsBAhQAFAAAAAgAh07iQCl2&#10;GfMbAgAA+wMAAA4AAAAAAAAAAQAgAAAAKwEAAGRycy9lMm9Eb2MueG1sUEsFBgAAAAAGAAYAWQEA&#10;ALgFAAAAAA==&#10;">
                      <v:fill on="f" focussize="0,0"/>
                      <v:stroke weight="1pt" color="#000000 [3213]" miterlimit="8" joinstyle="miter" endarrow="open"/>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438015" cy="4138930"/>
                  <wp:effectExtent l="9525" t="9525" r="10160" b="2349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2"/>
                          <a:stretch>
                            <a:fillRect/>
                          </a:stretch>
                        </pic:blipFill>
                        <pic:spPr>
                          <a:xfrm>
                            <a:off x="0" y="0"/>
                            <a:ext cx="4438015" cy="4138930"/>
                          </a:xfrm>
                          <a:prstGeom prst="rect">
                            <a:avLst/>
                          </a:prstGeom>
                          <a:noFill/>
                          <a:ln>
                            <a:solidFill>
                              <a:schemeClr val="tx1"/>
                            </a:solidFill>
                          </a:ln>
                        </pic:spPr>
                      </pic:pic>
                    </a:graphicData>
                  </a:graphic>
                </wp:inline>
              </w:drawing>
            </w:r>
          </w:p>
          <w:p w14:paraId="0AF7810E">
            <w:pPr>
              <w:adjustRightInd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图1-</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鸡西市高污染燃料禁燃区位置图</w:t>
            </w:r>
          </w:p>
          <w:p w14:paraId="149B1315">
            <w:pPr>
              <w:pStyle w:val="38"/>
              <w:spacing w:line="500" w:lineRule="exact"/>
              <w:ind w:firstLine="0" w:firstLineChars="0"/>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4"/>
                <w:highlight w:val="none"/>
                <w14:textFill>
                  <w14:solidFill>
                    <w14:schemeClr w14:val="tx1"/>
                  </w14:solidFill>
                </w14:textFill>
              </w:rPr>
              <w:t>本项目与《黑龙江省大气污染防治条例》符合性</w:t>
            </w:r>
          </w:p>
          <w:p w14:paraId="5E82D453">
            <w:pPr>
              <w:pStyle w:val="38"/>
              <w:autoSpaceDE w:val="0"/>
              <w:autoSpaceDN w:val="0"/>
              <w:spacing w:line="500" w:lineRule="exact"/>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黑龙江省大气污染防治条例提出：</w:t>
            </w:r>
            <w:r>
              <w:rPr>
                <w:rFonts w:hint="default" w:ascii="Times New Roman" w:hAnsi="Times New Roman" w:cs="Times New Roman"/>
                <w:color w:val="000000" w:themeColor="text1"/>
                <w:sz w:val="24"/>
                <w:highlight w:val="none"/>
                <w:lang w:val="en-US" w:eastAsia="zh-CN"/>
                <w14:textFill>
                  <w14:solidFill>
                    <w14:schemeClr w14:val="tx1"/>
                  </w14:solidFill>
                </w14:textFill>
              </w:rPr>
              <w:t>第五十六条</w:t>
            </w:r>
            <w:r>
              <w:rPr>
                <w:rFonts w:hint="default" w:ascii="Times New Roman" w:hAnsi="Times New Roman" w:cs="Times New Roman"/>
                <w:color w:val="000000" w:themeColor="text1"/>
                <w:sz w:val="24"/>
                <w:highlight w:val="none"/>
                <w14:textFill>
                  <w14:solidFill>
                    <w14:schemeClr w14:val="tx1"/>
                  </w14:solidFill>
                </w14:textFill>
              </w:rPr>
              <w:t>运输煤炭、垃圾、渣土、砂石、土方、灰浆等散装、流体物料的车辆，应当采取密闭或者其他措施防止物料遗撒、泄漏，并按照规定的路线和时间行驶</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第</w:t>
            </w:r>
            <w:r>
              <w:rPr>
                <w:rFonts w:hint="default" w:ascii="Times New Roman" w:hAnsi="Times New Roman" w:cs="Times New Roman"/>
                <w:color w:val="000000" w:themeColor="text1"/>
                <w:sz w:val="24"/>
                <w:highlight w:val="none"/>
                <w14:textFill>
                  <w14:solidFill>
                    <w14:schemeClr w14:val="tx1"/>
                  </w14:solidFill>
                </w14:textFill>
              </w:rPr>
              <w:t>五十八条 企业应当按照设计和开发利用方案作业，设置废石、废渣、泥土等专门存放地，并采取围挡、硬化施工道路、洒水降尘、设置防风抑尘网或者防尘布等防尘、降尘措施。开采后应当及时进行生态修复，防治扬尘污染。</w:t>
            </w:r>
          </w:p>
          <w:p w14:paraId="6A532559">
            <w:pPr>
              <w:pStyle w:val="38"/>
              <w:autoSpaceDE w:val="0"/>
              <w:autoSpaceDN w:val="0"/>
              <w:spacing w:line="500" w:lineRule="exact"/>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为储煤场项目</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储煤场四周设有闭合防风抑尘网，储煤场内堆存煤炭使用绿网进行苫盖；定期对储煤区域进行洒水降尘，禁止在重污染天气、大风天气进行作业；煤场运输车辆进行全面苫盖</w:t>
            </w:r>
            <w:r>
              <w:rPr>
                <w:rFonts w:hint="default" w:ascii="Times New Roman" w:hAnsi="Times New Roman" w:cs="Times New Roman"/>
                <w:color w:val="000000" w:themeColor="text1"/>
                <w:sz w:val="24"/>
                <w:highlight w:val="none"/>
                <w14:textFill>
                  <w14:solidFill>
                    <w14:schemeClr w14:val="tx1"/>
                  </w14:solidFill>
                </w14:textFill>
              </w:rPr>
              <w:t>。综上，本项目与《黑龙江省大气污染防治条例》是相符合的。</w:t>
            </w:r>
          </w:p>
          <w:p w14:paraId="02ECC3B0">
            <w:pPr>
              <w:pStyle w:val="38"/>
              <w:autoSpaceDE w:val="0"/>
              <w:autoSpaceDN w:val="0"/>
              <w:spacing w:line="500" w:lineRule="exact"/>
              <w:ind w:firstLine="0" w:firstLineChars="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z w:val="24"/>
                <w:highlight w:val="none"/>
                <w14:textFill>
                  <w14:solidFill>
                    <w14:schemeClr w14:val="tx1"/>
                  </w14:solidFill>
                </w14:textFill>
              </w:rPr>
              <w:t>、本项目与《</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黑龙江省</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十四五</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生态环境保护规划》的符合性</w:t>
            </w:r>
          </w:p>
          <w:p w14:paraId="4BD49844">
            <w:pPr>
              <w:pStyle w:val="38"/>
              <w:autoSpaceDE w:val="0"/>
              <w:autoSpaceDN w:val="0"/>
              <w:spacing w:line="500" w:lineRule="exact"/>
              <w:ind w:firstLine="480"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为储煤场项目，项目内有</w:t>
            </w:r>
            <w:r>
              <w:rPr>
                <w:rFonts w:hint="default" w:ascii="Times New Roman" w:hAnsi="Times New Roman" w:cs="Times New Roman"/>
                <w:color w:val="000000" w:themeColor="text1"/>
                <w:sz w:val="24"/>
                <w:highlight w:val="none"/>
                <w14:textFill>
                  <w14:solidFill>
                    <w14:schemeClr w14:val="tx1"/>
                  </w14:solidFill>
                </w14:textFill>
              </w:rPr>
              <w:t>大型煤炭物料堆场，</w:t>
            </w:r>
            <w:r>
              <w:rPr>
                <w:rFonts w:hint="default" w:ascii="Times New Roman" w:hAnsi="Times New Roman" w:cs="Times New Roman"/>
                <w:color w:val="000000" w:themeColor="text1"/>
                <w:sz w:val="24"/>
                <w:highlight w:val="none"/>
                <w:lang w:val="en-US" w:eastAsia="zh-CN"/>
                <w14:textFill>
                  <w14:solidFill>
                    <w14:schemeClr w14:val="tx1"/>
                  </w14:solidFill>
                </w14:textFill>
              </w:rPr>
              <w:t>储煤场四周设有闭合防风抑尘网，储煤场内堆存煤炭使用绿网进行苫盖；定期对储煤区域进行洒水降尘，禁止在重污染天气、大风天气进行作业；煤场运输车辆进行全面苫盖。不属于《黑龙江省“十四五”生态环境保护规划》中“重点行业大气污染治理工程、水生态环境提升重大工程、土壤和地下水污染治理重大工程”中要求内容，项目建设符合《黑龙江省“十四五”生态环境保护规划》要求。</w:t>
            </w:r>
          </w:p>
          <w:p w14:paraId="743C8527">
            <w:pPr>
              <w:pStyle w:val="38"/>
              <w:autoSpaceDE w:val="0"/>
              <w:autoSpaceDN w:val="0"/>
              <w:spacing w:line="500" w:lineRule="exact"/>
              <w:ind w:firstLine="0" w:firstLineChars="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9、</w:t>
            </w:r>
            <w:r>
              <w:rPr>
                <w:rFonts w:hint="default" w:ascii="Times New Roman" w:hAnsi="Times New Roman" w:cs="Times New Roman"/>
                <w:b/>
                <w:bCs/>
                <w:color w:val="000000" w:themeColor="text1"/>
                <w:sz w:val="24"/>
                <w:highlight w:val="none"/>
                <w14:textFill>
                  <w14:solidFill>
                    <w14:schemeClr w14:val="tx1"/>
                  </w14:solidFill>
                </w14:textFill>
              </w:rPr>
              <w:t>本项目与《鸡西市</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十四五</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生态环境保护规划》的符合性</w:t>
            </w:r>
          </w:p>
          <w:p w14:paraId="18C1EC44">
            <w:pPr>
              <w:pStyle w:val="38"/>
              <w:autoSpaceDE w:val="0"/>
              <w:autoSpaceDN w:val="0"/>
              <w:spacing w:line="500" w:lineRule="exact"/>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《鸡西市</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十四五</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生态环境保护规划》提出：推进扬尘精细化管控。全面推行绿色施工，严格落实施工工地扬尘管控</w:t>
            </w:r>
            <w:bookmarkStart w:id="61" w:name="_GoBack"/>
            <w:bookmarkEnd w:id="61"/>
            <w:r>
              <w:rPr>
                <w:rFonts w:hint="default" w:ascii="Times New Roman" w:hAnsi="Times New Roman" w:cs="Times New Roman"/>
                <w:color w:val="000000" w:themeColor="text1"/>
                <w:sz w:val="24"/>
                <w:highlight w:val="none"/>
                <w14:textFill>
                  <w14:solidFill>
                    <w14:schemeClr w14:val="tx1"/>
                  </w14:solidFill>
                </w14:textFill>
              </w:rPr>
              <w:t>责任，加强施工扬尘监管执法。推进低尘机械化湿式清扫作业，加大城市出入口、城乡结合部等重要路段冲洗保洁力度，渣土车实施全密闭运输，强化绿化用地扬尘治理。城市裸露地面、粉粒类物料堆放以及大型煤炭物料堆场，全面完成抑尘设施建设和物料输送系统封闭改造，鼓励有条件的堆场实施全封闭改造。</w:t>
            </w:r>
          </w:p>
          <w:p w14:paraId="00AD0028">
            <w:pPr>
              <w:pStyle w:val="38"/>
              <w:autoSpaceDE w:val="0"/>
              <w:autoSpaceDN w:val="0"/>
              <w:spacing w:line="500" w:lineRule="exact"/>
              <w:ind w:firstLine="48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为储煤场项目，项目内有</w:t>
            </w:r>
            <w:r>
              <w:rPr>
                <w:rFonts w:hint="default" w:ascii="Times New Roman" w:hAnsi="Times New Roman" w:cs="Times New Roman"/>
                <w:color w:val="000000" w:themeColor="text1"/>
                <w:sz w:val="24"/>
                <w:highlight w:val="none"/>
                <w14:textFill>
                  <w14:solidFill>
                    <w14:schemeClr w14:val="tx1"/>
                  </w14:solidFill>
                </w14:textFill>
              </w:rPr>
              <w:t>大型煤炭物料堆场，</w:t>
            </w:r>
            <w:r>
              <w:rPr>
                <w:rFonts w:hint="default" w:ascii="Times New Roman" w:hAnsi="Times New Roman" w:cs="Times New Roman"/>
                <w:color w:val="000000" w:themeColor="text1"/>
                <w:sz w:val="24"/>
                <w:highlight w:val="none"/>
                <w:lang w:val="en-US" w:eastAsia="zh-CN"/>
                <w14:textFill>
                  <w14:solidFill>
                    <w14:schemeClr w14:val="tx1"/>
                  </w14:solidFill>
                </w14:textFill>
              </w:rPr>
              <w:t>储煤场四周设有闭合防风抑尘网，储煤场内堆存煤炭使用绿网进行苫盖；定期对储煤区域进行洒水降尘，禁止在重污染天气、大风天气进行作业；煤场运输车辆进行全面苫盖，项目</w:t>
            </w:r>
            <w:r>
              <w:rPr>
                <w:rFonts w:hint="default" w:ascii="Times New Roman" w:hAnsi="Times New Roman" w:cs="Times New Roman"/>
                <w:color w:val="000000" w:themeColor="text1"/>
                <w:sz w:val="24"/>
                <w:highlight w:val="none"/>
                <w14:textFill>
                  <w14:solidFill>
                    <w14:schemeClr w14:val="tx1"/>
                  </w14:solidFill>
                </w14:textFill>
              </w:rPr>
              <w:t>符合《鸡西市</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十四五</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生态环境保护规划》相关要求</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35C333F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10、与《黑龙江省空气质量持续改善行动计划实施方案》（黑政发〔2023〕19号）符合性分析</w:t>
            </w:r>
          </w:p>
          <w:p w14:paraId="5454E0E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黑龙江省空气质量持续改善行动计划实施方案》（黑政发〔2023〕19号）中要求：（四）严格环境准入要求。新改扩建高耗能、高排放、低水平项目，要严格遵照产业规划和政策、生态环境分区管控、规划环评、项目环评、节能审查以及产能置换、总量控制、区域污染物削减、碳达峰等相关要求执行，原则上采用清洁运输方式。涉及产能置换的项目，</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被置换产能及其配套设施同步关停后，新建项目方能投产。坚决遏制“两高一低”项目盲目上</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马。　（五）加快重点行业落后产能淘汰退出。严格执行《产业结构调整指导目录》要求，加大退出淘汰类产能、工艺、装备，提高限制类产能、工艺、</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装备淘汰改造引导力度。（十九）深化扬尘污染综合治理。全面推行绿色施工，严格执行“六个百分之百”</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将防治扬尘污染费用纳入工程造价。到2025年，装配式建筑占新建建筑面积的比例达到30%；地级及以上城市建成区道路机械化清扫率达80%左右，县城达70%左右。对城市公共裸地进行排查建档并采取防尘措施。城市大型煤炭、矿石等干散货码头物料堆场基本完成抑尘设施建设和物料输送系统封闭改造。</w:t>
            </w:r>
          </w:p>
          <w:p w14:paraId="103D39B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本项目属于</w:t>
            </w:r>
            <w:r>
              <w:rPr>
                <w:rFonts w:hint="default" w:ascii="Times New Roman" w:hAnsi="Times New Roman" w:cs="Times New Roman"/>
                <w:color w:val="000000" w:themeColor="text1"/>
                <w:sz w:val="24"/>
                <w:szCs w:val="24"/>
                <w:highlight w:val="none"/>
                <w14:textFill>
                  <w14:solidFill>
                    <w14:schemeClr w14:val="tx1"/>
                  </w14:solidFill>
                </w14:textFill>
              </w:rPr>
              <w:t>《产业结构调整指导目录（20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szCs w:val="24"/>
                <w:highlight w:val="none"/>
                <w14:textFill>
                  <w14:solidFill>
                    <w14:schemeClr w14:val="tx1"/>
                  </w14:solidFill>
                </w14:textFill>
              </w:rPr>
              <w:t>年本</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中鼓励类项目，</w:t>
            </w:r>
            <w:r>
              <w:rPr>
                <w:rFonts w:hint="default" w:ascii="Times New Roman" w:hAnsi="Times New Roman" w:cs="Times New Roman"/>
                <w:color w:val="000000" w:themeColor="text1"/>
                <w:sz w:val="24"/>
                <w:highlight w:val="none"/>
                <w:lang w:val="en-US" w:eastAsia="zh-CN"/>
                <w14:textFill>
                  <w14:solidFill>
                    <w14:schemeClr w14:val="tx1"/>
                  </w14:solidFill>
                </w14:textFill>
              </w:rPr>
              <w:t>项目内有</w:t>
            </w:r>
            <w:r>
              <w:rPr>
                <w:rFonts w:hint="default" w:ascii="Times New Roman" w:hAnsi="Times New Roman" w:cs="Times New Roman"/>
                <w:color w:val="000000" w:themeColor="text1"/>
                <w:sz w:val="24"/>
                <w:highlight w:val="none"/>
                <w14:textFill>
                  <w14:solidFill>
                    <w14:schemeClr w14:val="tx1"/>
                  </w14:solidFill>
                </w14:textFill>
              </w:rPr>
              <w:t>大型煤炭物料堆场，</w:t>
            </w:r>
            <w:r>
              <w:rPr>
                <w:rFonts w:hint="default" w:ascii="Times New Roman" w:hAnsi="Times New Roman" w:cs="Times New Roman"/>
                <w:color w:val="000000" w:themeColor="text1"/>
                <w:sz w:val="24"/>
                <w:highlight w:val="none"/>
                <w:lang w:val="en-US" w:eastAsia="zh-CN"/>
                <w14:textFill>
                  <w14:solidFill>
                    <w14:schemeClr w14:val="tx1"/>
                  </w14:solidFill>
                </w14:textFill>
              </w:rPr>
              <w:t>储煤场四周设有闭合防风抑尘网，储煤场内堆存煤炭使用绿网进行苫盖；定期对储煤区域进行洒水降尘，禁止在重污染天气、大风天气进行作业；煤场运输车辆进行全面苫盖，煤场抑尘措施齐全。项目项目</w:t>
            </w:r>
            <w:r>
              <w:rPr>
                <w:rFonts w:hint="default" w:ascii="Times New Roman" w:hAnsi="Times New Roman" w:cs="Times New Roman"/>
                <w:color w:val="000000" w:themeColor="text1"/>
                <w:sz w:val="24"/>
                <w:highlight w:val="none"/>
                <w14:textFill>
                  <w14:solidFill>
                    <w14:schemeClr w14:val="tx1"/>
                  </w14:solidFill>
                </w14:textFill>
              </w:rPr>
              <w:t>符合《</w:t>
            </w:r>
            <w:r>
              <w:rPr>
                <w:rFonts w:hint="default" w:ascii="Times New Roman" w:hAnsi="Times New Roman" w:cs="Times New Roman"/>
                <w:color w:val="000000" w:themeColor="text1"/>
                <w:sz w:val="24"/>
                <w:highlight w:val="none"/>
                <w:lang w:val="en-US" w:eastAsia="zh-CN"/>
                <w14:textFill>
                  <w14:solidFill>
                    <w14:schemeClr w14:val="tx1"/>
                  </w14:solidFill>
                </w14:textFill>
              </w:rPr>
              <w:t>黑龙江省空气质量持续改善行动计划实施方案</w:t>
            </w:r>
            <w:r>
              <w:rPr>
                <w:rFonts w:hint="default" w:ascii="Times New Roman" w:hAnsi="Times New Roman" w:cs="Times New Roman"/>
                <w:color w:val="000000" w:themeColor="text1"/>
                <w:sz w:val="24"/>
                <w:highlight w:val="none"/>
                <w14:textFill>
                  <w14:solidFill>
                    <w14:schemeClr w14:val="tx1"/>
                  </w14:solidFill>
                </w14:textFill>
              </w:rPr>
              <w:t>》相关要求</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32DD98CD">
            <w:pPr>
              <w:pStyle w:val="1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482" w:leftChars="0" w:right="0" w:rightChars="0" w:hanging="482" w:hangingChars="200"/>
              <w:jc w:val="left"/>
              <w:textAlignment w:val="auto"/>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1</w:t>
            </w:r>
            <w:r>
              <w:rPr>
                <w:rFonts w:hint="default" w:ascii="Times New Roman" w:hAnsi="Times New Roman" w:cs="Times New Roman"/>
                <w:b/>
                <w:bCs/>
                <w:color w:val="000000" w:themeColor="text1"/>
                <w:kern w:val="0"/>
                <w:sz w:val="24"/>
                <w:szCs w:val="20"/>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与《环境空气细颗粒物污染综合防治技术政策》符合性分析</w:t>
            </w:r>
          </w:p>
          <w:p w14:paraId="66FF815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环境空气细颗粒物污染综合防治技术政策》中要求：（十一）应加强对各类污染源的监管，确保污染治理设施稳定运行，切实落实企业环保责任。鼓励采用低能耗、低污染的生产工艺，提高各个行业的清洁生产水平，降低污染物产生量。（二十二）扬尘污染源应以道路扬尘、施工扬尘、粉状物料贮存场扬尘、城市裸土起尘等为防治重点。应参照《防治城市扬尘污染技术规范》，开展城市扬尘综合整治，减少城市裸地面积，采取植树种草等措施提高绿化率，或适当采用地面硬化措施，遏止扬尘污染。（二十三）对各种施工工地、各种粉状物料贮存场、各种港口装卸码头等，应采取设置围挡墙、防尘网和喷洒抑尘剂等有效的防尘、抑尘措施，防止颗粒物逸散:设置车辆清洗装置，保持上路行驶车辆的清洁;鼓励各类土建工程使用预搅拌的商品混凝土。（二十四）实行粉状物料及渣土车辆密闭运输，加强监管，防止遗撒。及时进行道路清扫、冲洗、洒水作业，减少道路扬尘。规范园林绿化设计和施工管理，防止园林绿地土壤向道路流失。</w:t>
            </w:r>
          </w:p>
          <w:p w14:paraId="1B73FC6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内有煤炭物料堆场，储煤场四周设有闭合防风抑尘网，储煤场内堆存煤炭使用绿网进行苫盖；定期对储煤区域进行洒水降尘，禁止在重污染天气、大风天气进行作业；煤场运输车辆进行全面苫盖，定期去外部指定洗车点清洗车辆。项目符合《环境空气细颗粒物污染综合防治技术政策》相关要求。</w:t>
            </w:r>
          </w:p>
          <w:p w14:paraId="08F4F726">
            <w:pPr>
              <w:pStyle w:val="18"/>
              <w:numPr>
                <w:ilvl w:val="0"/>
                <w:numId w:val="0"/>
              </w:numPr>
              <w:spacing w:line="360" w:lineRule="auto"/>
              <w:ind w:left="0" w:leftChars="0" w:right="113" w:rightChars="0" w:firstLine="0" w:firstLineChars="0"/>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1</w:t>
            </w:r>
            <w:r>
              <w:rPr>
                <w:rFonts w:hint="default" w:ascii="Times New Roman" w:hAnsi="Times New Roman" w:cs="Times New Roman"/>
                <w:b/>
                <w:bCs/>
                <w:color w:val="000000" w:themeColor="text1"/>
                <w:kern w:val="0"/>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与《鸡西市空气质量持续改善行动计划贯彻落实方案》符合性分析</w:t>
            </w:r>
          </w:p>
          <w:p w14:paraId="1DB2F7F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《鸡西市空气质量持续改善行动计划贯彻落实方案》中要求：城市大型煤炭、矿石等干散货码头物料堆场基本完成抑尘设施建设和物料输送系统封闭改造。</w:t>
            </w:r>
          </w:p>
          <w:p w14:paraId="40FB54C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储煤场四周建设闭合防风抑尘网，储煤场内堆存煤炭使用绿网进行苫盖；装卸过程中装车使用洒水车对装车过程进行降尘，卸料过程尽量减少煤炭落料过程中高差，另外洒水车定期对储煤区域进行洒水降尘并防止自燃，定期去外部指定洗车点对车辆进行清洗。禁止在重污染天气、大风天气进行作业；煤场运输车辆进行全面苫盖。符合《鸡西市空气质量持续改善行动计划贯彻落实方案》中相关要求。</w:t>
            </w:r>
          </w:p>
          <w:p w14:paraId="26D7CDDC">
            <w:pPr>
              <w:pStyle w:val="2"/>
              <w:numPr>
                <w:ilvl w:val="0"/>
                <w:numId w:val="1"/>
              </w:numPr>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与《鸡西市国土空间总体规划（2021—2035年）》符合性分析</w:t>
            </w:r>
          </w:p>
          <w:p w14:paraId="55A422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《鸡西市国土空间总体规划（2021—2035年）》中表明鸡西市城市职能包括：统筹推进煤炭开发和清洁高效利用，全面释放煤炭优质产能，持续提高煤炭保障能力。</w:t>
            </w:r>
          </w:p>
          <w:p w14:paraId="30F2CC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为煤炭储存、集运。储煤集运站是煤炭行业中不可或缺的设施，可以实现煤炭的高效储存和转运，并对煤炭进行质量控制，避免煤炭在储存和转运过程中的损失，保障了煤炭的供应。符合《鸡西市国土空间总体规划（2021—2035年）》中相关要求。</w:t>
            </w:r>
          </w:p>
        </w:tc>
      </w:tr>
    </w:tbl>
    <w:p w14:paraId="51F93F0D">
      <w:pPr>
        <w:pStyle w:val="17"/>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3FF596E5">
      <w:pPr>
        <w:pStyle w:val="5"/>
        <w:bidi w:val="0"/>
        <w:jc w:val="center"/>
        <w:rPr>
          <w:rFonts w:hint="eastAsia" w:ascii="宋体" w:hAnsi="宋体" w:eastAsia="宋体" w:cs="宋体"/>
          <w:color w:val="000000" w:themeColor="text1"/>
          <w:highlight w:val="none"/>
          <w14:textFill>
            <w14:solidFill>
              <w14:schemeClr w14:val="tx1"/>
            </w14:solidFill>
          </w14:textFill>
        </w:rPr>
      </w:pPr>
      <w:bookmarkStart w:id="12" w:name="_Toc15202"/>
      <w:bookmarkStart w:id="13" w:name="_Toc23289"/>
      <w:r>
        <w:rPr>
          <w:rFonts w:hint="eastAsia" w:ascii="宋体" w:hAnsi="宋体" w:eastAsia="宋体" w:cs="宋体"/>
          <w:color w:val="000000" w:themeColor="text1"/>
          <w:highlight w:val="none"/>
          <w14:textFill>
            <w14:solidFill>
              <w14:schemeClr w14:val="tx1"/>
            </w14:solidFill>
          </w14:textFill>
        </w:rPr>
        <w:t>二、建设项目工程分析</w:t>
      </w:r>
      <w:bookmarkEnd w:id="12"/>
      <w:bookmarkEnd w:id="13"/>
    </w:p>
    <w:tbl>
      <w:tblPr>
        <w:tblStyle w:val="20"/>
        <w:tblW w:w="94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731"/>
        <w:gridCol w:w="8705"/>
      </w:tblGrid>
      <w:tr w14:paraId="01ECA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04" w:hRule="atLeast"/>
          <w:jc w:val="center"/>
        </w:trPr>
        <w:tc>
          <w:tcPr>
            <w:tcW w:w="731" w:type="dxa"/>
            <w:vAlign w:val="center"/>
          </w:tcPr>
          <w:p w14:paraId="2AB36C32">
            <w:pPr>
              <w:pStyle w:val="17"/>
              <w:adjustRightInd w:val="0"/>
              <w:snapToGrid w:val="0"/>
              <w:spacing w:before="0" w:beforeAutospacing="0" w:after="0" w:afterAutospacing="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建设内容</w:t>
            </w:r>
          </w:p>
        </w:tc>
        <w:tc>
          <w:tcPr>
            <w:tcW w:w="8705" w:type="dxa"/>
          </w:tcPr>
          <w:p w14:paraId="0F2A3AD1">
            <w:pPr>
              <w:pStyle w:val="30"/>
              <w:spacing w:before="0" w:beforeLines="0" w:after="0" w:afterLines="0" w:line="360" w:lineRule="auto"/>
              <w:ind w:firstLine="0" w:firstLineChars="0"/>
              <w:textAlignment w:val="baseline"/>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w:t>
            </w:r>
            <w:r>
              <w:rPr>
                <w:rFonts w:hint="default" w:ascii="Times New Roman" w:hAnsi="Times New Roman" w:cs="Times New Roman"/>
                <w:b/>
                <w:bCs/>
                <w:color w:val="000000" w:themeColor="text1"/>
                <w:highlight w:val="none"/>
                <w:lang w:val="en-US" w:eastAsia="zh-CN"/>
                <w14:textFill>
                  <w14:solidFill>
                    <w14:schemeClr w14:val="tx1"/>
                  </w14:solidFill>
                </w14:textFill>
              </w:rPr>
              <w:t>建设内容</w:t>
            </w:r>
          </w:p>
          <w:p w14:paraId="1ACED264">
            <w:pPr>
              <w:pStyle w:val="30"/>
              <w:spacing w:before="0" w:beforeLines="0" w:after="0" w:afterLines="0" w:line="360" w:lineRule="auto"/>
              <w:ind w:firstLine="480"/>
              <w:textAlignment w:val="baseline"/>
              <w:rPr>
                <w:rFonts w:hint="default" w:ascii="Times New Roman" w:hAnsi="Times New Roman"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highlight w:val="none"/>
                <w14:textFill>
                  <w14:solidFill>
                    <w14:schemeClr w14:val="tx1"/>
                  </w14:solidFill>
                </w14:textFill>
              </w:rPr>
              <w:t>黑龙江省鸡西市</w:t>
            </w:r>
            <w:r>
              <w:rPr>
                <w:rFonts w:hint="default" w:ascii="Times New Roman" w:hAnsi="Times New Roman" w:cs="Times New Roman"/>
                <w:color w:val="000000" w:themeColor="text1"/>
                <w:sz w:val="24"/>
                <w:highlight w:val="none"/>
                <w:lang w:val="en-US" w:eastAsia="zh-CN"/>
                <w14:textFill>
                  <w14:solidFill>
                    <w14:schemeClr w14:val="tx1"/>
                  </w14:solidFill>
                </w14:textFill>
              </w:rPr>
              <w:t>鸡冠区西郊乡梁家村铁路南侧</w:t>
            </w:r>
            <w:r>
              <w:rPr>
                <w:rFonts w:hint="default" w:ascii="Times New Roman" w:hAnsi="Times New Roman" w:cs="Times New Roman"/>
                <w:bCs/>
                <w:color w:val="000000" w:themeColor="text1"/>
                <w:highlight w:val="none"/>
                <w:lang w:val="en-US" w:eastAsia="zh-CN"/>
                <w14:textFill>
                  <w14:solidFill>
                    <w14:schemeClr w14:val="tx1"/>
                  </w14:solidFill>
                </w14:textFill>
              </w:rPr>
              <w:t>。总占地面积22457m</w:t>
            </w:r>
            <w:r>
              <w:rPr>
                <w:rFonts w:hint="default" w:ascii="Times New Roman" w:hAnsi="Times New Roman" w:cs="Times New Roman"/>
                <w:bCs/>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bCs/>
                <w:color w:val="000000" w:themeColor="text1"/>
                <w:highlight w:val="none"/>
                <w:lang w:val="en-US" w:eastAsia="zh-CN"/>
                <w14:textFill>
                  <w14:solidFill>
                    <w14:schemeClr w14:val="tx1"/>
                  </w14:solidFill>
                </w14:textFill>
              </w:rPr>
              <w:t>，建筑面积260m</w:t>
            </w:r>
            <w:r>
              <w:rPr>
                <w:rFonts w:hint="default" w:ascii="Times New Roman" w:hAnsi="Times New Roman" w:cs="Times New Roman"/>
                <w:bCs/>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bCs/>
                <w:color w:val="000000" w:themeColor="text1"/>
                <w:highlight w:val="none"/>
                <w:lang w:val="en-US" w:eastAsia="zh-CN"/>
                <w14:textFill>
                  <w14:solidFill>
                    <w14:schemeClr w14:val="tx1"/>
                  </w14:solidFill>
                </w14:textFill>
              </w:rPr>
              <w:t>，主要建设内容为办公室，储煤场，年周转煤炭7万吨。项目主要建设内容见表2-1。</w:t>
            </w:r>
          </w:p>
          <w:p w14:paraId="3F98AF48">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表2-1  主要建设内容一览表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092"/>
              <w:gridCol w:w="5949"/>
              <w:gridCol w:w="856"/>
            </w:tblGrid>
            <w:tr w14:paraId="66D30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1C971770">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w:t>
                  </w:r>
                </w:p>
                <w:p w14:paraId="7E883E84">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类型</w:t>
                  </w:r>
                </w:p>
              </w:tc>
              <w:tc>
                <w:tcPr>
                  <w:tcW w:w="639" w:type="pct"/>
                  <w:tcBorders>
                    <w:tl2br w:val="nil"/>
                    <w:tr2bl w:val="nil"/>
                  </w:tcBorders>
                  <w:vAlign w:val="center"/>
                </w:tcPr>
                <w:p w14:paraId="3320E641">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工程名称</w:t>
                  </w:r>
                </w:p>
              </w:tc>
              <w:tc>
                <w:tcPr>
                  <w:tcW w:w="3486" w:type="pct"/>
                  <w:tcBorders>
                    <w:tl2br w:val="nil"/>
                    <w:tr2bl w:val="nil"/>
                  </w:tcBorders>
                  <w:vAlign w:val="center"/>
                </w:tcPr>
                <w:p w14:paraId="70888F52">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工程建设内容</w:t>
                  </w:r>
                </w:p>
              </w:tc>
              <w:tc>
                <w:tcPr>
                  <w:tcW w:w="501" w:type="pct"/>
                  <w:tcBorders>
                    <w:tl2br w:val="nil"/>
                    <w:tr2bl w:val="nil"/>
                  </w:tcBorders>
                  <w:vAlign w:val="center"/>
                </w:tcPr>
                <w:p w14:paraId="662F1102">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备注</w:t>
                  </w:r>
                </w:p>
              </w:tc>
            </w:tr>
            <w:tr w14:paraId="5669A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38230535">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主体</w:t>
                  </w:r>
                </w:p>
                <w:p w14:paraId="5FDCC8C9">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w:t>
                  </w:r>
                </w:p>
              </w:tc>
              <w:tc>
                <w:tcPr>
                  <w:tcW w:w="639" w:type="pct"/>
                  <w:tcBorders>
                    <w:tl2br w:val="nil"/>
                    <w:tr2bl w:val="nil"/>
                  </w:tcBorders>
                  <w:vAlign w:val="center"/>
                </w:tcPr>
                <w:p w14:paraId="221E816B">
                  <w:pPr>
                    <w:pStyle w:val="31"/>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储煤场</w:t>
                  </w:r>
                </w:p>
              </w:tc>
              <w:tc>
                <w:tcPr>
                  <w:tcW w:w="3486" w:type="pct"/>
                  <w:tcBorders>
                    <w:tl2br w:val="nil"/>
                    <w:tr2bl w:val="nil"/>
                  </w:tcBorders>
                  <w:vAlign w:val="center"/>
                </w:tcPr>
                <w:p w14:paraId="7AE44E46">
                  <w:pPr>
                    <w:pStyle w:val="31"/>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储煤场总面积20000m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，日常储煤量30000吨，年周转量70000吨，最大堆高2米。</w:t>
                  </w:r>
                </w:p>
              </w:tc>
              <w:tc>
                <w:tcPr>
                  <w:tcW w:w="501" w:type="pct"/>
                  <w:tcBorders>
                    <w:tl2br w:val="nil"/>
                    <w:tr2bl w:val="nil"/>
                  </w:tcBorders>
                  <w:vAlign w:val="center"/>
                </w:tcPr>
                <w:p w14:paraId="407AB92A">
                  <w:pPr>
                    <w:jc w:val="center"/>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2A522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1192A409">
                  <w:pPr>
                    <w:pStyle w:val="31"/>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辅助工程</w:t>
                  </w:r>
                </w:p>
              </w:tc>
              <w:tc>
                <w:tcPr>
                  <w:tcW w:w="639" w:type="pct"/>
                  <w:tcBorders>
                    <w:tl2br w:val="nil"/>
                    <w:tr2bl w:val="nil"/>
                  </w:tcBorders>
                  <w:vAlign w:val="center"/>
                </w:tcPr>
                <w:p w14:paraId="7A04A0A0">
                  <w:pPr>
                    <w:pStyle w:val="31"/>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办公室</w:t>
                  </w:r>
                </w:p>
              </w:tc>
              <w:tc>
                <w:tcPr>
                  <w:tcW w:w="3486" w:type="pct"/>
                  <w:tcBorders>
                    <w:tl2br w:val="nil"/>
                    <w:tr2bl w:val="nil"/>
                  </w:tcBorders>
                  <w:vAlign w:val="center"/>
                </w:tcPr>
                <w:p w14:paraId="78D10C6A">
                  <w:pPr>
                    <w:pStyle w:val="31"/>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内设办公室一座，用于企业办公，建筑面积260m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501" w:type="pct"/>
                  <w:tcBorders>
                    <w:tl2br w:val="nil"/>
                    <w:tr2bl w:val="nil"/>
                  </w:tcBorders>
                  <w:vAlign w:val="center"/>
                </w:tcPr>
                <w:p w14:paraId="40288060">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026D4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vAlign w:val="center"/>
                </w:tcPr>
                <w:p w14:paraId="38652800">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公用</w:t>
                  </w:r>
                </w:p>
                <w:p w14:paraId="5BAF0CB5">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w:t>
                  </w:r>
                </w:p>
              </w:tc>
              <w:tc>
                <w:tcPr>
                  <w:tcW w:w="639" w:type="pct"/>
                  <w:tcBorders>
                    <w:tl2br w:val="nil"/>
                    <w:tr2bl w:val="nil"/>
                  </w:tcBorders>
                  <w:vAlign w:val="center"/>
                </w:tcPr>
                <w:p w14:paraId="3EAD0C97">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给水工程</w:t>
                  </w:r>
                </w:p>
              </w:tc>
              <w:tc>
                <w:tcPr>
                  <w:tcW w:w="3486" w:type="pct"/>
                  <w:tcBorders>
                    <w:tl2br w:val="nil"/>
                    <w:tr2bl w:val="nil"/>
                  </w:tcBorders>
                  <w:vAlign w:val="center"/>
                </w:tcPr>
                <w:p w14:paraId="79EB2490">
                  <w:pPr>
                    <w:pStyle w:val="31"/>
                    <w:jc w:val="left"/>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lang w:val="en-US" w:eastAsia="zh-CN"/>
                      <w14:textFill>
                        <w14:solidFill>
                          <w14:schemeClr w14:val="tx1"/>
                        </w14:solidFill>
                      </w14:textFill>
                    </w:rPr>
                    <w:t>生活</w:t>
                  </w:r>
                  <w:r>
                    <w:rPr>
                      <w:rFonts w:hint="default" w:ascii="Times New Roman" w:hAnsi="Times New Roman" w:cs="Times New Roman"/>
                      <w:color w:val="000000" w:themeColor="text1"/>
                      <w:highlight w:val="none"/>
                      <w14:textFill>
                        <w14:solidFill>
                          <w14:schemeClr w14:val="tx1"/>
                        </w14:solidFill>
                      </w14:textFill>
                    </w:rPr>
                    <w:t>用水</w:t>
                  </w:r>
                  <w:r>
                    <w:rPr>
                      <w:rFonts w:hint="default" w:ascii="Times New Roman" w:hAnsi="Times New Roman" w:cs="Times New Roman"/>
                      <w:color w:val="000000" w:themeColor="text1"/>
                      <w:highlight w:val="none"/>
                      <w:lang w:val="en-US" w:eastAsia="zh-CN"/>
                      <w14:textFill>
                        <w14:solidFill>
                          <w14:schemeClr w14:val="tx1"/>
                        </w14:solidFill>
                      </w14:textFill>
                    </w:rPr>
                    <w:t>来源为外购桶装水，生产用水主要由沉淀后回用的雨水提供（雨水不够时临时外购水源）。</w:t>
                  </w:r>
                </w:p>
              </w:tc>
              <w:tc>
                <w:tcPr>
                  <w:tcW w:w="501" w:type="pct"/>
                  <w:tcBorders>
                    <w:tl2br w:val="nil"/>
                    <w:tr2bl w:val="nil"/>
                  </w:tcBorders>
                  <w:vAlign w:val="center"/>
                </w:tcPr>
                <w:p w14:paraId="4BD97F64">
                  <w:pPr>
                    <w:pStyle w:val="31"/>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0CAD1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36762551">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080B1019">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排水工程</w:t>
                  </w:r>
                </w:p>
              </w:tc>
              <w:tc>
                <w:tcPr>
                  <w:tcW w:w="3486" w:type="pct"/>
                  <w:tcBorders>
                    <w:tl2br w:val="nil"/>
                    <w:tr2bl w:val="nil"/>
                  </w:tcBorders>
                  <w:vAlign w:val="center"/>
                </w:tcPr>
                <w:p w14:paraId="19CAA76E">
                  <w:pPr>
                    <w:pStyle w:val="31"/>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项目无生产废水</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生活废水排入防渗旱厕。</w:t>
                  </w:r>
                </w:p>
              </w:tc>
              <w:tc>
                <w:tcPr>
                  <w:tcW w:w="501" w:type="pct"/>
                  <w:tcBorders>
                    <w:tl2br w:val="nil"/>
                    <w:tr2bl w:val="nil"/>
                  </w:tcBorders>
                  <w:vAlign w:val="center"/>
                </w:tcPr>
                <w:p w14:paraId="135546C2">
                  <w:pPr>
                    <w:pStyle w:val="31"/>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5E3A6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26B7C3E9">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022256F4">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供电工程</w:t>
                  </w:r>
                </w:p>
              </w:tc>
              <w:tc>
                <w:tcPr>
                  <w:tcW w:w="3486" w:type="pct"/>
                  <w:tcBorders>
                    <w:tl2br w:val="nil"/>
                    <w:tr2bl w:val="nil"/>
                  </w:tcBorders>
                  <w:vAlign w:val="center"/>
                </w:tcPr>
                <w:p w14:paraId="2F8233C6">
                  <w:pPr>
                    <w:pStyle w:val="31"/>
                    <w:jc w:val="left"/>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由市政电网提供</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501" w:type="pct"/>
                  <w:tcBorders>
                    <w:tl2br w:val="nil"/>
                    <w:tr2bl w:val="nil"/>
                  </w:tcBorders>
                  <w:vAlign w:val="center"/>
                </w:tcPr>
                <w:p w14:paraId="7410E296">
                  <w:pPr>
                    <w:pStyle w:val="31"/>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6602C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29D0BE8F">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1C60C359">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供热工程</w:t>
                  </w:r>
                </w:p>
              </w:tc>
              <w:tc>
                <w:tcPr>
                  <w:tcW w:w="3486" w:type="pct"/>
                  <w:tcBorders>
                    <w:tl2br w:val="nil"/>
                    <w:tr2bl w:val="nil"/>
                  </w:tcBorders>
                  <w:vAlign w:val="center"/>
                </w:tcPr>
                <w:p w14:paraId="2E4A6A16">
                  <w:pPr>
                    <w:pStyle w:val="31"/>
                    <w:jc w:val="left"/>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w:t>
                  </w:r>
                  <w:r>
                    <w:rPr>
                      <w:rFonts w:hint="default" w:ascii="Times New Roman" w:hAnsi="Times New Roman" w:cs="Times New Roman"/>
                      <w:color w:val="000000" w:themeColor="text1"/>
                      <w:szCs w:val="21"/>
                      <w:highlight w:val="none"/>
                      <w:lang w:val="en-US" w:eastAsia="zh-CN"/>
                      <w14:textFill>
                        <w14:solidFill>
                          <w14:schemeClr w14:val="tx1"/>
                        </w14:solidFill>
                      </w14:textFill>
                    </w:rPr>
                    <w:t>冬季取暖采用电采暖。</w:t>
                  </w:r>
                </w:p>
              </w:tc>
              <w:tc>
                <w:tcPr>
                  <w:tcW w:w="501" w:type="pct"/>
                  <w:tcBorders>
                    <w:tl2br w:val="nil"/>
                    <w:tr2bl w:val="nil"/>
                  </w:tcBorders>
                  <w:vAlign w:val="center"/>
                </w:tcPr>
                <w:p w14:paraId="525E4C9F">
                  <w:pPr>
                    <w:pStyle w:val="31"/>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7BD6D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vAlign w:val="center"/>
                </w:tcPr>
                <w:p w14:paraId="07DF6153">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环保</w:t>
                  </w:r>
                </w:p>
                <w:p w14:paraId="402BC93E">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w:t>
                  </w:r>
                </w:p>
              </w:tc>
              <w:tc>
                <w:tcPr>
                  <w:tcW w:w="639" w:type="pct"/>
                  <w:tcBorders>
                    <w:tl2br w:val="nil"/>
                    <w:tr2bl w:val="nil"/>
                  </w:tcBorders>
                  <w:vAlign w:val="center"/>
                </w:tcPr>
                <w:p w14:paraId="6A531471">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污水防治措施</w:t>
                  </w:r>
                </w:p>
              </w:tc>
              <w:tc>
                <w:tcPr>
                  <w:tcW w:w="3486" w:type="pct"/>
                  <w:tcBorders>
                    <w:tl2br w:val="nil"/>
                    <w:tr2bl w:val="nil"/>
                  </w:tcBorders>
                  <w:vAlign w:val="center"/>
                </w:tcPr>
                <w:p w14:paraId="511096F9">
                  <w:pPr>
                    <w:pStyle w:val="31"/>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项目无生产废水</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活废水排入防渗旱厕。储煤厂建设雨水导流沟（长650m，宽0.2m，深0.2m）。设置雨水收集池1座，位于厂区西北侧（厂区地势最低处），收集整体厂区雨水。收集的雨水沉淀后用于场区洒水降尘，储煤场雨水收集池体积170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vertAlign w:val="baseline"/>
                      <w:lang w:eastAsia="zh-CN"/>
                      <w14:textFill>
                        <w14:solidFill>
                          <w14:schemeClr w14:val="tx1"/>
                        </w14:solidFill>
                      </w14:textFill>
                    </w:rPr>
                    <w:t>。</w:t>
                  </w:r>
                </w:p>
              </w:tc>
              <w:tc>
                <w:tcPr>
                  <w:tcW w:w="501" w:type="pct"/>
                  <w:tcBorders>
                    <w:tl2br w:val="nil"/>
                    <w:tr2bl w:val="nil"/>
                  </w:tcBorders>
                  <w:vAlign w:val="center"/>
                </w:tcPr>
                <w:p w14:paraId="3554669E">
                  <w:pPr>
                    <w:pStyle w:val="31"/>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新建</w:t>
                  </w:r>
                </w:p>
              </w:tc>
            </w:tr>
            <w:tr w14:paraId="6304A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71E242CF">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26F839E7">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固体废物防治措施</w:t>
                  </w:r>
                </w:p>
              </w:tc>
              <w:tc>
                <w:tcPr>
                  <w:tcW w:w="3486" w:type="pct"/>
                  <w:tcBorders>
                    <w:tl2br w:val="nil"/>
                    <w:tr2bl w:val="nil"/>
                  </w:tcBorders>
                  <w:vAlign w:val="center"/>
                </w:tcPr>
                <w:p w14:paraId="54E8F1B0">
                  <w:pPr>
                    <w:widowControl/>
                    <w:jc w:val="left"/>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auto"/>
                      <w:szCs w:val="21"/>
                      <w:highlight w:val="none"/>
                      <w:lang w:val="en-US" w:eastAsia="zh-CN"/>
                    </w:rPr>
                    <w:t>储煤场内设置垃圾收集箱、危险废物贮存点，垃圾收集箱用于生活垃圾收集，由当地环卫部门统一处理；雨水收集池沉渣定期清理后外售综合利用；危险废物贮存点位于办公室旁，建筑面积4m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，采取重点防渗，</w:t>
                  </w:r>
                  <w:r>
                    <w:rPr>
                      <w:rFonts w:hint="default" w:ascii="Times New Roman" w:hAnsi="Times New Roman" w:eastAsia="宋体" w:cs="Times New Roman"/>
                      <w:bCs/>
                      <w:color w:val="auto"/>
                      <w:sz w:val="21"/>
                      <w:szCs w:val="21"/>
                      <w:highlight w:val="none"/>
                      <w:lang w:val="en-US" w:eastAsia="zh-CN"/>
                    </w:rPr>
                    <w:t>至少2mm厚的防渗人工材料，防渗系数≤10</w:t>
                  </w:r>
                  <w:r>
                    <w:rPr>
                      <w:rFonts w:hint="default" w:ascii="Times New Roman" w:hAnsi="Times New Roman" w:eastAsia="宋体" w:cs="Times New Roman"/>
                      <w:bCs/>
                      <w:color w:val="auto"/>
                      <w:sz w:val="21"/>
                      <w:szCs w:val="21"/>
                      <w:highlight w:val="none"/>
                      <w:vertAlign w:val="superscript"/>
                      <w:lang w:val="en-US" w:eastAsia="zh-CN"/>
                    </w:rPr>
                    <w:t>-</w:t>
                  </w:r>
                  <w:r>
                    <w:rPr>
                      <w:rFonts w:hint="default" w:ascii="Times New Roman" w:hAnsi="Times New Roman" w:cs="Times New Roman"/>
                      <w:bCs/>
                      <w:color w:val="auto"/>
                      <w:sz w:val="21"/>
                      <w:szCs w:val="21"/>
                      <w:highlight w:val="none"/>
                      <w:vertAlign w:val="superscript"/>
                      <w:lang w:val="en-US" w:eastAsia="zh-CN"/>
                    </w:rPr>
                    <w:t>10</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cs="Times New Roman"/>
                      <w:color w:val="auto"/>
                      <w:szCs w:val="21"/>
                      <w:highlight w:val="none"/>
                      <w:lang w:val="en-US" w:eastAsia="zh-CN"/>
                    </w:rPr>
                    <w:t>用于暂存</w:t>
                  </w:r>
                  <w:r>
                    <w:rPr>
                      <w:rFonts w:hint="default" w:ascii="Times New Roman" w:hAnsi="Times New Roman" w:eastAsia="宋体" w:cs="Times New Roman"/>
                      <w:color w:val="auto"/>
                      <w:szCs w:val="21"/>
                      <w:highlight w:val="none"/>
                    </w:rPr>
                    <w:t>废机</w:t>
                  </w:r>
                  <w:r>
                    <w:rPr>
                      <w:rFonts w:hint="default" w:ascii="Times New Roman" w:hAnsi="Times New Roman" w:eastAsia="宋体" w:cs="Times New Roman"/>
                      <w:color w:val="auto"/>
                      <w:szCs w:val="21"/>
                      <w:highlight w:val="none"/>
                      <w:lang w:val="en-US" w:eastAsia="zh-CN"/>
                    </w:rPr>
                    <w:t>油、含油抹布手套等危险废物</w:t>
                  </w:r>
                  <w:r>
                    <w:rPr>
                      <w:rFonts w:hint="default" w:ascii="Times New Roman" w:hAnsi="Times New Roman" w:eastAsia="宋体" w:cs="Times New Roman"/>
                      <w:color w:val="auto"/>
                      <w:szCs w:val="21"/>
                      <w:highlight w:val="none"/>
                    </w:rPr>
                    <w:t>，</w:t>
                  </w:r>
                  <w:r>
                    <w:rPr>
                      <w:rFonts w:hint="default" w:ascii="Times New Roman" w:hAnsi="Times New Roman" w:cs="Times New Roman"/>
                      <w:color w:val="auto"/>
                      <w:szCs w:val="21"/>
                      <w:highlight w:val="none"/>
                      <w:lang w:val="en-US" w:eastAsia="zh-CN"/>
                    </w:rPr>
                    <w:t>定期</w:t>
                  </w:r>
                  <w:r>
                    <w:rPr>
                      <w:rFonts w:hint="default" w:ascii="Times New Roman" w:hAnsi="Times New Roman" w:eastAsia="宋体" w:cs="Times New Roman"/>
                      <w:color w:val="auto"/>
                      <w:szCs w:val="21"/>
                      <w:highlight w:val="none"/>
                    </w:rPr>
                    <w:t>委托有资质单位处置。</w:t>
                  </w:r>
                </w:p>
              </w:tc>
              <w:tc>
                <w:tcPr>
                  <w:tcW w:w="501" w:type="pct"/>
                  <w:tcBorders>
                    <w:tl2br w:val="nil"/>
                    <w:tr2bl w:val="nil"/>
                  </w:tcBorders>
                  <w:vAlign w:val="center"/>
                </w:tcPr>
                <w:p w14:paraId="45D62124">
                  <w:pPr>
                    <w:pStyle w:val="31"/>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29EE5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0A9E34C2">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155215DD">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废气防治措施</w:t>
                  </w:r>
                </w:p>
              </w:tc>
              <w:tc>
                <w:tcPr>
                  <w:tcW w:w="3486" w:type="pct"/>
                  <w:tcBorders>
                    <w:tl2br w:val="nil"/>
                    <w:tr2bl w:val="nil"/>
                  </w:tcBorders>
                  <w:vAlign w:val="center"/>
                </w:tcPr>
                <w:p w14:paraId="1AA2177A">
                  <w:pPr>
                    <w:widowControl/>
                    <w:jc w:val="left"/>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储煤场四周建设闭合防风抑尘网防风抑尘网高3m、长720m（孔隙率50％），储煤场内堆存煤炭使用绿网进行苫盖；装卸过程中装车使用洒水车对装车过程进行降尘，卸料过程尽量减少煤炭落料过程中高差，洒水车定期对储煤区域进行洒水降尘并防止自燃，定期去外部指定洗车点对车辆进行清洗。禁止在重污染天气、大风天气进行作业；煤场运输车辆进行全面苫盖</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c>
                <w:tcPr>
                  <w:tcW w:w="501" w:type="pct"/>
                  <w:tcBorders>
                    <w:tl2br w:val="nil"/>
                    <w:tr2bl w:val="nil"/>
                  </w:tcBorders>
                  <w:vAlign w:val="center"/>
                </w:tcPr>
                <w:p w14:paraId="2F93389D">
                  <w:pPr>
                    <w:pStyle w:val="31"/>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670A5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64C895B9">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4D4E6AFF">
                  <w:pPr>
                    <w:pStyle w:val="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噪声防治措施</w:t>
                  </w:r>
                </w:p>
              </w:tc>
              <w:tc>
                <w:tcPr>
                  <w:tcW w:w="3486" w:type="pct"/>
                  <w:tcBorders>
                    <w:tl2br w:val="nil"/>
                    <w:tr2bl w:val="nil"/>
                  </w:tcBorders>
                  <w:vAlign w:val="center"/>
                </w:tcPr>
                <w:p w14:paraId="242C103B">
                  <w:pPr>
                    <w:widowControl/>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采用</w:t>
                  </w:r>
                  <w:r>
                    <w:rPr>
                      <w:rFonts w:hint="default" w:ascii="Times New Roman" w:hAnsi="Times New Roman" w:cs="Times New Roman"/>
                      <w:color w:val="000000" w:themeColor="text1"/>
                      <w:szCs w:val="21"/>
                      <w:highlight w:val="none"/>
                      <w:lang w:val="en-US" w:eastAsia="zh-CN"/>
                      <w14:textFill>
                        <w14:solidFill>
                          <w14:schemeClr w14:val="tx1"/>
                        </w14:solidFill>
                      </w14:textFill>
                    </w:rPr>
                    <w:t>低噪声设备、减振设施</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场内运输车辆低速、禁鸣措施，</w:t>
                  </w:r>
                  <w:r>
                    <w:rPr>
                      <w:rFonts w:hint="default" w:ascii="Times New Roman" w:hAnsi="Times New Roman" w:cs="Times New Roman"/>
                      <w:color w:val="000000" w:themeColor="text1"/>
                      <w:szCs w:val="21"/>
                      <w:highlight w:val="none"/>
                      <w14:textFill>
                        <w14:solidFill>
                          <w14:schemeClr w14:val="tx1"/>
                        </w14:solidFill>
                      </w14:textFill>
                    </w:rPr>
                    <w:t>厂界外满足《工业企业厂界环境噪声排放标准》（GB12348-2008）中</w:t>
                  </w:r>
                  <w:r>
                    <w:rPr>
                      <w:rFonts w:hint="default"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类标准。</w:t>
                  </w:r>
                </w:p>
              </w:tc>
              <w:tc>
                <w:tcPr>
                  <w:tcW w:w="501" w:type="pct"/>
                  <w:tcBorders>
                    <w:tl2br w:val="nil"/>
                    <w:tr2bl w:val="nil"/>
                  </w:tcBorders>
                  <w:vAlign w:val="center"/>
                </w:tcPr>
                <w:p w14:paraId="0846F850">
                  <w:pPr>
                    <w:pStyle w:val="31"/>
                    <w:jc w:val="cente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79A12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643AB24E">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28DA5DEF">
                  <w:pPr>
                    <w:pStyle w:val="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地下水、土壤保护措施</w:t>
                  </w:r>
                </w:p>
              </w:tc>
              <w:tc>
                <w:tcPr>
                  <w:tcW w:w="3486" w:type="pct"/>
                  <w:tcBorders>
                    <w:tl2br w:val="nil"/>
                    <w:tr2bl w:val="nil"/>
                  </w:tcBorders>
                  <w:vAlign w:val="center"/>
                </w:tcPr>
                <w:p w14:paraId="19626F44">
                  <w:pPr>
                    <w:adjustRightInd w:val="0"/>
                    <w:snapToGrid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车辆进出口及主要通道使用水泥硬化，其余厂区地面硬化；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雨水收集池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、旱厕进行一般防渗</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auto"/>
                      <w:sz w:val="21"/>
                      <w:szCs w:val="21"/>
                      <w:highlight w:val="none"/>
                      <w:lang w:val="en-US" w:eastAsia="zh-CN"/>
                    </w:rPr>
                    <w:t>危险废物贮存点</w:t>
                  </w:r>
                  <w:r>
                    <w:rPr>
                      <w:rFonts w:hint="default" w:ascii="Times New Roman" w:hAnsi="Times New Roman" w:eastAsia="宋体" w:cs="Times New Roman"/>
                      <w:color w:val="auto"/>
                      <w:sz w:val="21"/>
                      <w:szCs w:val="21"/>
                      <w:highlight w:val="none"/>
                      <w:lang w:val="en-US" w:eastAsia="zh-CN"/>
                    </w:rPr>
                    <w:t>进行重点防渗防渗层为至少2mm厚的防渗人工材料，防渗系数≤10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w:t>
                  </w:r>
                </w:p>
              </w:tc>
              <w:tc>
                <w:tcPr>
                  <w:tcW w:w="501" w:type="pct"/>
                  <w:tcBorders>
                    <w:tl2br w:val="nil"/>
                    <w:tr2bl w:val="nil"/>
                  </w:tcBorders>
                  <w:vAlign w:val="center"/>
                </w:tcPr>
                <w:p w14:paraId="30C43753">
                  <w:pPr>
                    <w:pStyle w:val="31"/>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新建</w:t>
                  </w:r>
                </w:p>
              </w:tc>
            </w:tr>
            <w:tr w14:paraId="0CD5E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14CA07AF">
                  <w:pPr>
                    <w:pStyle w:val="31"/>
                    <w:rPr>
                      <w:rFonts w:hint="default" w:ascii="Times New Roman" w:hAnsi="Times New Roman" w:cs="Times New Roman"/>
                      <w:color w:val="000000" w:themeColor="text1"/>
                      <w:highlight w:val="none"/>
                      <w14:textFill>
                        <w14:solidFill>
                          <w14:schemeClr w14:val="tx1"/>
                        </w14:solidFill>
                      </w14:textFill>
                    </w:rPr>
                  </w:pPr>
                </w:p>
              </w:tc>
              <w:tc>
                <w:tcPr>
                  <w:tcW w:w="639" w:type="pct"/>
                  <w:tcBorders>
                    <w:tl2br w:val="nil"/>
                    <w:tr2bl w:val="nil"/>
                  </w:tcBorders>
                  <w:vAlign w:val="center"/>
                </w:tcPr>
                <w:p w14:paraId="175CFC8B">
                  <w:pPr>
                    <w:pStyle w:val="31"/>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auto"/>
                      <w:highlight w:val="none"/>
                      <w:lang w:val="en-US" w:eastAsia="zh-CN"/>
                    </w:rPr>
                    <w:t>地面硬化</w:t>
                  </w:r>
                </w:p>
              </w:tc>
              <w:tc>
                <w:tcPr>
                  <w:tcW w:w="3486" w:type="pct"/>
                  <w:tcBorders>
                    <w:tl2br w:val="nil"/>
                    <w:tr2bl w:val="nil"/>
                  </w:tcBorders>
                  <w:vAlign w:val="center"/>
                </w:tcPr>
                <w:p w14:paraId="1B41918D">
                  <w:pPr>
                    <w:adjustRightInd w:val="0"/>
                    <w:snapToGrid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auto"/>
                      <w:szCs w:val="21"/>
                      <w:highlight w:val="none"/>
                      <w:lang w:val="en-US" w:eastAsia="zh-CN"/>
                    </w:rPr>
                    <w:t>车辆进出口及主要通道水泥硬化约650m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，危险废物贮存点采取重点防渗，面积约为4m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，雨水收集池采取一般防渗，面积约100m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，雨水导流沟采取一般防渗，面积约为130m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，剩余约14015m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为简单硬化。</w:t>
                  </w:r>
                </w:p>
              </w:tc>
              <w:tc>
                <w:tcPr>
                  <w:tcW w:w="501" w:type="pct"/>
                  <w:tcBorders>
                    <w:tl2br w:val="nil"/>
                    <w:tr2bl w:val="nil"/>
                  </w:tcBorders>
                  <w:vAlign w:val="center"/>
                </w:tcPr>
                <w:p w14:paraId="3A3D97EB">
                  <w:pPr>
                    <w:pStyle w:val="31"/>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auto"/>
                      <w:szCs w:val="21"/>
                      <w:highlight w:val="none"/>
                      <w:lang w:val="en-US" w:eastAsia="zh-CN"/>
                    </w:rPr>
                    <w:t>新建</w:t>
                  </w:r>
                </w:p>
              </w:tc>
            </w:tr>
          </w:tbl>
          <w:p w14:paraId="53F9266C">
            <w:pPr>
              <w:autoSpaceDE w:val="0"/>
              <w:autoSpaceDN w:val="0"/>
              <w:adjustRightInd w:val="0"/>
              <w:spacing w:line="360" w:lineRule="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14:textFill>
                  <w14:solidFill>
                    <w14:schemeClr w14:val="tx1"/>
                  </w14:solidFill>
                </w14:textFill>
              </w:rPr>
              <w:t>、主要设备</w:t>
            </w:r>
          </w:p>
          <w:p w14:paraId="00B7192F">
            <w:pPr>
              <w:autoSpaceDE w:val="0"/>
              <w:autoSpaceDN w:val="0"/>
              <w:adjustRightInd w:val="0"/>
              <w:spacing w:line="360" w:lineRule="auto"/>
              <w:ind w:firstLine="480"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本项目主要设备清单见下表2-2。</w:t>
            </w:r>
          </w:p>
          <w:p w14:paraId="31FA1D1A">
            <w:pPr>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表2-2设备明细一览表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4174"/>
              <w:gridCol w:w="1094"/>
              <w:gridCol w:w="2050"/>
            </w:tblGrid>
            <w:tr w14:paraId="66E31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Align w:val="center"/>
                </w:tcPr>
                <w:p w14:paraId="41E3618F">
                  <w:pPr>
                    <w:jc w:val="center"/>
                    <w:rPr>
                      <w:rStyle w:val="32"/>
                      <w:rFonts w:hint="default" w:ascii="Times New Roman" w:hAnsi="Times New Roman" w:cs="Times New Roman"/>
                      <w:color w:val="000000" w:themeColor="text1"/>
                      <w:szCs w:val="21"/>
                      <w:highlight w:val="none"/>
                      <w14:textFill>
                        <w14:solidFill>
                          <w14:schemeClr w14:val="tx1"/>
                        </w14:solidFill>
                      </w14:textFill>
                    </w:rPr>
                  </w:pPr>
                  <w:r>
                    <w:rPr>
                      <w:rStyle w:val="32"/>
                      <w:rFonts w:hint="default" w:ascii="Times New Roman" w:hAnsi="Times New Roman" w:cs="Times New Roman"/>
                      <w:color w:val="000000" w:themeColor="text1"/>
                      <w:szCs w:val="21"/>
                      <w:highlight w:val="none"/>
                      <w14:textFill>
                        <w14:solidFill>
                          <w14:schemeClr w14:val="tx1"/>
                        </w14:solidFill>
                      </w14:textFill>
                    </w:rPr>
                    <w:t>序号</w:t>
                  </w:r>
                </w:p>
              </w:tc>
              <w:tc>
                <w:tcPr>
                  <w:tcW w:w="2446" w:type="pct"/>
                  <w:vAlign w:val="center"/>
                </w:tcPr>
                <w:p w14:paraId="4D6A4AE5">
                  <w:pPr>
                    <w:jc w:val="center"/>
                    <w:rPr>
                      <w:rStyle w:val="32"/>
                      <w:rFonts w:hint="default" w:ascii="Times New Roman" w:hAnsi="Times New Roman" w:cs="Times New Roman"/>
                      <w:color w:val="000000" w:themeColor="text1"/>
                      <w:szCs w:val="21"/>
                      <w:highlight w:val="none"/>
                      <w14:textFill>
                        <w14:solidFill>
                          <w14:schemeClr w14:val="tx1"/>
                        </w14:solidFill>
                      </w14:textFill>
                    </w:rPr>
                  </w:pPr>
                  <w:r>
                    <w:rPr>
                      <w:rStyle w:val="32"/>
                      <w:rFonts w:hint="default" w:ascii="Times New Roman" w:hAnsi="Times New Roman" w:cs="Times New Roman"/>
                      <w:color w:val="000000" w:themeColor="text1"/>
                      <w:szCs w:val="21"/>
                      <w:highlight w:val="none"/>
                      <w14:textFill>
                        <w14:solidFill>
                          <w14:schemeClr w14:val="tx1"/>
                        </w14:solidFill>
                      </w14:textFill>
                    </w:rPr>
                    <w:t>名称</w:t>
                  </w:r>
                </w:p>
              </w:tc>
              <w:tc>
                <w:tcPr>
                  <w:tcW w:w="641" w:type="pct"/>
                  <w:vAlign w:val="center"/>
                </w:tcPr>
                <w:p w14:paraId="6C7397CE">
                  <w:pPr>
                    <w:jc w:val="center"/>
                    <w:rPr>
                      <w:rStyle w:val="32"/>
                      <w:rFonts w:hint="default" w:ascii="Times New Roman" w:hAnsi="Times New Roman" w:cs="Times New Roman"/>
                      <w:color w:val="000000" w:themeColor="text1"/>
                      <w:szCs w:val="21"/>
                      <w:highlight w:val="none"/>
                      <w14:textFill>
                        <w14:solidFill>
                          <w14:schemeClr w14:val="tx1"/>
                        </w14:solidFill>
                      </w14:textFill>
                    </w:rPr>
                  </w:pPr>
                  <w:r>
                    <w:rPr>
                      <w:rStyle w:val="32"/>
                      <w:rFonts w:hint="default" w:ascii="Times New Roman" w:hAnsi="Times New Roman" w:cs="Times New Roman"/>
                      <w:color w:val="000000" w:themeColor="text1"/>
                      <w:szCs w:val="21"/>
                      <w:highlight w:val="none"/>
                      <w14:textFill>
                        <w14:solidFill>
                          <w14:schemeClr w14:val="tx1"/>
                        </w14:solidFill>
                      </w14:textFill>
                    </w:rPr>
                    <w:t>数量</w:t>
                  </w:r>
                </w:p>
              </w:tc>
              <w:tc>
                <w:tcPr>
                  <w:tcW w:w="1201" w:type="pct"/>
                  <w:vAlign w:val="center"/>
                </w:tcPr>
                <w:p w14:paraId="64DB79FD">
                  <w:pPr>
                    <w:jc w:val="center"/>
                    <w:rPr>
                      <w:rStyle w:val="32"/>
                      <w:rFonts w:hint="default" w:ascii="Times New Roman" w:hAnsi="Times New Roman" w:cs="Times New Roman"/>
                      <w:color w:val="000000" w:themeColor="text1"/>
                      <w:szCs w:val="21"/>
                      <w:highlight w:val="none"/>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备注</w:t>
                  </w:r>
                </w:p>
              </w:tc>
            </w:tr>
            <w:tr w14:paraId="2F31C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Align w:val="center"/>
                </w:tcPr>
                <w:p w14:paraId="1F27667B">
                  <w:pPr>
                    <w:jc w:val="center"/>
                    <w:rPr>
                      <w:rStyle w:val="32"/>
                      <w:rFonts w:hint="default" w:ascii="Times New Roman" w:hAnsi="Times New Roman" w:cs="Times New Roman"/>
                      <w:color w:val="000000" w:themeColor="text1"/>
                      <w:szCs w:val="21"/>
                      <w:highlight w:val="none"/>
                      <w14:textFill>
                        <w14:solidFill>
                          <w14:schemeClr w14:val="tx1"/>
                        </w14:solidFill>
                      </w14:textFill>
                    </w:rPr>
                  </w:pPr>
                  <w:r>
                    <w:rPr>
                      <w:rStyle w:val="32"/>
                      <w:rFonts w:hint="default" w:ascii="Times New Roman" w:hAnsi="Times New Roman" w:cs="Times New Roman"/>
                      <w:color w:val="000000" w:themeColor="text1"/>
                      <w:szCs w:val="21"/>
                      <w:highlight w:val="none"/>
                      <w14:textFill>
                        <w14:solidFill>
                          <w14:schemeClr w14:val="tx1"/>
                        </w14:solidFill>
                      </w14:textFill>
                    </w:rPr>
                    <w:t>1</w:t>
                  </w:r>
                </w:p>
              </w:tc>
              <w:tc>
                <w:tcPr>
                  <w:tcW w:w="2446" w:type="pct"/>
                  <w:vAlign w:val="center"/>
                </w:tcPr>
                <w:p w14:paraId="652E671A">
                  <w:pPr>
                    <w:jc w:val="center"/>
                    <w:rPr>
                      <w:rStyle w:val="32"/>
                      <w:rFonts w:hint="default" w:ascii="Times New Roman" w:hAnsi="Times New Roman" w:cs="Times New Roman"/>
                      <w:color w:val="000000" w:themeColor="text1"/>
                      <w:szCs w:val="21"/>
                      <w:highlight w:val="none"/>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铲车</w:t>
                  </w:r>
                </w:p>
              </w:tc>
              <w:tc>
                <w:tcPr>
                  <w:tcW w:w="641" w:type="pct"/>
                  <w:vAlign w:val="center"/>
                </w:tcPr>
                <w:p w14:paraId="23968838">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2台</w:t>
                  </w:r>
                </w:p>
              </w:tc>
              <w:tc>
                <w:tcPr>
                  <w:tcW w:w="1201" w:type="pct"/>
                  <w:vAlign w:val="center"/>
                </w:tcPr>
                <w:p w14:paraId="06F9FC94">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w:t>
                  </w:r>
                </w:p>
              </w:tc>
            </w:tr>
            <w:tr w14:paraId="6E9E2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Align w:val="center"/>
                </w:tcPr>
                <w:p w14:paraId="484BB6E2">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2</w:t>
                  </w:r>
                </w:p>
              </w:tc>
              <w:tc>
                <w:tcPr>
                  <w:tcW w:w="2446" w:type="pct"/>
                  <w:vAlign w:val="center"/>
                </w:tcPr>
                <w:p w14:paraId="21AF5A6D">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洒水车</w:t>
                  </w:r>
                </w:p>
              </w:tc>
              <w:tc>
                <w:tcPr>
                  <w:tcW w:w="641" w:type="pct"/>
                  <w:vAlign w:val="center"/>
                </w:tcPr>
                <w:p w14:paraId="09337A92">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1台</w:t>
                  </w:r>
                </w:p>
              </w:tc>
              <w:tc>
                <w:tcPr>
                  <w:tcW w:w="1201" w:type="pct"/>
                  <w:vAlign w:val="center"/>
                </w:tcPr>
                <w:p w14:paraId="743EE5B1">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w:t>
                  </w:r>
                </w:p>
              </w:tc>
            </w:tr>
            <w:tr w14:paraId="7A649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Align w:val="center"/>
                </w:tcPr>
                <w:p w14:paraId="01B73962">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3</w:t>
                  </w:r>
                </w:p>
              </w:tc>
              <w:tc>
                <w:tcPr>
                  <w:tcW w:w="2446" w:type="pct"/>
                  <w:vAlign w:val="center"/>
                </w:tcPr>
                <w:p w14:paraId="1166AFB7">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水泵</w:t>
                  </w:r>
                </w:p>
              </w:tc>
              <w:tc>
                <w:tcPr>
                  <w:tcW w:w="641" w:type="pct"/>
                  <w:vAlign w:val="center"/>
                </w:tcPr>
                <w:p w14:paraId="09671B8A">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1台</w:t>
                  </w:r>
                </w:p>
              </w:tc>
              <w:tc>
                <w:tcPr>
                  <w:tcW w:w="1201" w:type="pct"/>
                  <w:vAlign w:val="center"/>
                </w:tcPr>
                <w:p w14:paraId="486FA3AF">
                  <w:pPr>
                    <w:jc w:val="center"/>
                    <w:rPr>
                      <w:rStyle w:val="32"/>
                      <w:rFonts w:hint="default" w:ascii="Times New Roman" w:hAnsi="Times New Roman" w:cs="Times New Roman"/>
                      <w:color w:val="000000" w:themeColor="text1"/>
                      <w:szCs w:val="21"/>
                      <w:highlight w:val="none"/>
                      <w:lang w:val="en-US"/>
                      <w14:textFill>
                        <w14:solidFill>
                          <w14:schemeClr w14:val="tx1"/>
                        </w14:solidFill>
                      </w14:textFill>
                    </w:rPr>
                  </w:pPr>
                  <w:r>
                    <w:rPr>
                      <w:rStyle w:val="32"/>
                      <w:rFonts w:hint="default" w:ascii="Times New Roman" w:hAnsi="Times New Roman" w:cs="Times New Roman"/>
                      <w:color w:val="000000" w:themeColor="text1"/>
                      <w:szCs w:val="21"/>
                      <w:highlight w:val="none"/>
                      <w:lang w:val="en-US"/>
                      <w14:textFill>
                        <w14:solidFill>
                          <w14:schemeClr w14:val="tx1"/>
                        </w14:solidFill>
                      </w14:textFill>
                    </w:rPr>
                    <w:t>/</w:t>
                  </w:r>
                </w:p>
              </w:tc>
            </w:tr>
          </w:tbl>
          <w:p w14:paraId="6078467E">
            <w:pPr>
              <w:adjustRightInd w:val="0"/>
              <w:spacing w:line="360" w:lineRule="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14:textFill>
                  <w14:solidFill>
                    <w14:schemeClr w14:val="tx1"/>
                  </w14:solidFill>
                </w14:textFill>
              </w:rPr>
              <w:t>、工作制度及劳动定员</w:t>
            </w:r>
          </w:p>
          <w:p w14:paraId="5170FCC4">
            <w:pPr>
              <w:tabs>
                <w:tab w:val="left" w:pos="630"/>
              </w:tabs>
              <w:spacing w:line="360" w:lineRule="auto"/>
              <w:ind w:firstLine="480" w:firstLineChars="200"/>
              <w:rPr>
                <w:rFonts w:hint="default" w:ascii="Times New Roman" w:hAnsi="Times New Roman" w:cs="Times New Roman"/>
                <w:snapToGrid w:val="0"/>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本项目年工作</w:t>
            </w:r>
            <w:r>
              <w:rPr>
                <w:rFonts w:hint="default" w:ascii="Times New Roman" w:hAnsi="Times New Roman" w:cs="Times New Roman"/>
                <w:color w:val="000000" w:themeColor="text1"/>
                <w:sz w:val="24"/>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4"/>
                <w:highlight w:val="none"/>
                <w14:textFill>
                  <w14:solidFill>
                    <w14:schemeClr w14:val="tx1"/>
                  </w14:solidFill>
                </w14:textFill>
              </w:rPr>
              <w:t>天，每天工作</w:t>
            </w:r>
            <w:r>
              <w:rPr>
                <w:rFonts w:hint="default"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h，</w:t>
            </w:r>
            <w:r>
              <w:rPr>
                <w:rFonts w:hint="default" w:ascii="Times New Roman" w:hAnsi="Times New Roman" w:cs="Times New Roman"/>
                <w:color w:val="000000" w:themeColor="text1"/>
                <w:sz w:val="24"/>
                <w:highlight w:val="none"/>
                <w:lang w:val="en-US" w:eastAsia="zh-CN"/>
                <w14:textFill>
                  <w14:solidFill>
                    <w14:schemeClr w14:val="tx1"/>
                  </w14:solidFill>
                </w14:textFill>
              </w:rPr>
              <w:t>储煤场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劳动定员</w:t>
            </w:r>
            <w:r>
              <w:rPr>
                <w:rFonts w:hint="default"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人，项目</w:t>
            </w:r>
            <w:r>
              <w:rPr>
                <w:rFonts w:hint="default" w:ascii="Times New Roman" w:hAnsi="Times New Roman" w:eastAsia="宋体" w:cs="Times New Roman"/>
                <w:color w:val="000000" w:themeColor="text1"/>
                <w:sz w:val="24"/>
                <w:highlight w:val="none"/>
                <w14:textFill>
                  <w14:solidFill>
                    <w14:schemeClr w14:val="tx1"/>
                  </w14:solidFill>
                </w14:textFill>
              </w:rPr>
              <w:t>不</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设置</w:t>
            </w:r>
            <w:r>
              <w:rPr>
                <w:rFonts w:hint="default" w:ascii="Times New Roman" w:hAnsi="Times New Roman" w:eastAsia="宋体" w:cs="Times New Roman"/>
                <w:color w:val="000000" w:themeColor="text1"/>
                <w:sz w:val="24"/>
                <w:highlight w:val="none"/>
                <w14:textFill>
                  <w14:solidFill>
                    <w14:schemeClr w14:val="tx1"/>
                  </w14:solidFill>
                </w14:textFill>
              </w:rPr>
              <w:t>食堂和宿舍</w:t>
            </w:r>
            <w:r>
              <w:rPr>
                <w:rFonts w:hint="default" w:ascii="Times New Roman" w:hAnsi="Times New Roman" w:cs="Times New Roman"/>
                <w:snapToGrid w:val="0"/>
                <w:color w:val="000000" w:themeColor="text1"/>
                <w:kern w:val="0"/>
                <w:sz w:val="24"/>
                <w:highlight w:val="none"/>
                <w14:textFill>
                  <w14:solidFill>
                    <w14:schemeClr w14:val="tx1"/>
                  </w14:solidFill>
                </w14:textFill>
              </w:rPr>
              <w:t>。</w:t>
            </w:r>
          </w:p>
          <w:p w14:paraId="3432782D">
            <w:pPr>
              <w:pStyle w:val="18"/>
              <w:widowControl w:val="0"/>
              <w:snapToGrid/>
              <w:spacing w:before="0" w:after="0" w:line="360" w:lineRule="auto"/>
              <w:ind w:right="0" w:firstLine="0" w:firstLineChars="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szCs w:val="24"/>
                <w:highlight w:val="none"/>
                <w14:textFill>
                  <w14:solidFill>
                    <w14:schemeClr w14:val="tx1"/>
                  </w14:solidFill>
                </w14:textFill>
              </w:rPr>
              <w:t>、公用工程</w:t>
            </w:r>
            <w:r>
              <w:rPr>
                <w:rFonts w:hint="default" w:ascii="Times New Roman" w:hAnsi="Times New Roman" w:cs="Times New Roman"/>
                <w:color w:val="000000" w:themeColor="text1"/>
                <w:sz w:val="24"/>
                <w:szCs w:val="24"/>
                <w:highlight w:val="none"/>
                <w14:textFill>
                  <w14:solidFill>
                    <w14:schemeClr w14:val="tx1"/>
                  </w14:solidFill>
                </w14:textFill>
              </w:rPr>
              <w:t xml:space="preserve">  </w:t>
            </w:r>
          </w:p>
          <w:p w14:paraId="259A7CDE">
            <w:pPr>
              <w:tabs>
                <w:tab w:val="left" w:pos="630"/>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给水</w:t>
            </w:r>
          </w:p>
          <w:p w14:paraId="78E436CF">
            <w:pPr>
              <w:tabs>
                <w:tab w:val="left" w:pos="630"/>
              </w:tabs>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生活</w:t>
            </w:r>
            <w:r>
              <w:rPr>
                <w:rFonts w:hint="default" w:ascii="Times New Roman" w:hAnsi="Times New Roman" w:eastAsia="宋体" w:cs="Times New Roman"/>
                <w:color w:val="000000" w:themeColor="text1"/>
                <w:sz w:val="24"/>
                <w:highlight w:val="none"/>
                <w14:textFill>
                  <w14:solidFill>
                    <w14:schemeClr w14:val="tx1"/>
                  </w14:solidFill>
                </w14:textFill>
              </w:rPr>
              <w:t>用水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来源为外购桶装水，</w:t>
            </w:r>
            <w:r>
              <w:rPr>
                <w:rFonts w:hint="default" w:ascii="Times New Roman" w:hAnsi="Times New Roman" w:cs="Times New Roman"/>
                <w:color w:val="000000" w:themeColor="text1"/>
                <w:sz w:val="24"/>
                <w:highlight w:val="none"/>
                <w:lang w:val="en-US" w:eastAsia="zh-CN"/>
                <w14:textFill>
                  <w14:solidFill>
                    <w14:schemeClr w14:val="tx1"/>
                  </w14:solidFill>
                </w14:textFill>
              </w:rPr>
              <w:t>生产用水主要由沉淀后回用的雨水提供（雨水不够时临时外购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水源)</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14:paraId="5931F2AF">
            <w:pPr>
              <w:tabs>
                <w:tab w:val="left" w:pos="630"/>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生活用水：</w:t>
            </w:r>
            <w:r>
              <w:rPr>
                <w:rFonts w:hint="default" w:ascii="Times New Roman" w:hAnsi="Times New Roman" w:cs="Times New Roman"/>
                <w:color w:val="000000" w:themeColor="text1"/>
                <w:sz w:val="24"/>
                <w:highlight w:val="none"/>
                <w:lang w:val="en-US" w:eastAsia="zh-CN"/>
                <w14:textFill>
                  <w14:solidFill>
                    <w14:schemeClr w14:val="tx1"/>
                  </w14:solidFill>
                </w14:textFill>
              </w:rPr>
              <w:t>本项目劳动定员8人，</w:t>
            </w:r>
            <w:r>
              <w:rPr>
                <w:rFonts w:hint="default" w:ascii="Times New Roman" w:hAnsi="Times New Roman" w:eastAsia="宋体" w:cs="Times New Roman"/>
                <w:bCs/>
                <w:color w:val="000000" w:themeColor="text1"/>
                <w:sz w:val="24"/>
                <w:highlight w:val="none"/>
                <w14:textFill>
                  <w14:solidFill>
                    <w14:schemeClr w14:val="tx1"/>
                  </w14:solidFill>
                </w14:textFill>
              </w:rPr>
              <w:t>根据《黑龙江省地方标准用水定额》（BD23/T727-2021），员工用水量为80（L/人·d），生活用水量</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default" w:ascii="Times New Roman" w:hAnsi="Times New Roman" w:cs="Times New Roman"/>
                <w:bCs/>
                <w:color w:val="000000" w:themeColor="text1"/>
                <w:sz w:val="24"/>
                <w:highlight w:val="none"/>
                <w:lang w:val="en-US" w:eastAsia="zh-CN"/>
                <w14:textFill>
                  <w14:solidFill>
                    <w14:schemeClr w14:val="tx1"/>
                  </w14:solidFill>
                </w14:textFill>
              </w:rPr>
              <w:t>64</w:t>
            </w:r>
            <w:r>
              <w:rPr>
                <w:rFonts w:hint="default" w:ascii="Times New Roman" w:hAnsi="Times New Roman" w:eastAsia="宋体" w:cs="Times New Roman"/>
                <w:bCs/>
                <w:color w:val="000000" w:themeColor="text1"/>
                <w:sz w:val="24"/>
                <w:highlight w:val="none"/>
                <w14:textFill>
                  <w14:solidFill>
                    <w14:schemeClr w14:val="tx1"/>
                  </w14:solidFill>
                </w14:textFill>
              </w:rPr>
              <w:t>t/d，</w:t>
            </w:r>
            <w:r>
              <w:rPr>
                <w:rFonts w:hint="default" w:ascii="Times New Roman" w:hAnsi="Times New Roman" w:cs="Times New Roman"/>
                <w:bCs/>
                <w:color w:val="000000" w:themeColor="text1"/>
                <w:sz w:val="24"/>
                <w:highlight w:val="none"/>
                <w:lang w:val="en-US" w:eastAsia="zh-CN"/>
                <w14:textFill>
                  <w14:solidFill>
                    <w14:schemeClr w14:val="tx1"/>
                  </w14:solidFill>
                </w14:textFill>
              </w:rPr>
              <w:t>192</w:t>
            </w:r>
            <w:r>
              <w:rPr>
                <w:rFonts w:hint="default" w:ascii="Times New Roman" w:hAnsi="Times New Roman" w:eastAsia="宋体" w:cs="Times New Roman"/>
                <w:bCs/>
                <w:color w:val="000000" w:themeColor="text1"/>
                <w:sz w:val="24"/>
                <w:highlight w:val="none"/>
                <w14:textFill>
                  <w14:solidFill>
                    <w14:schemeClr w14:val="tx1"/>
                  </w14:solidFill>
                </w14:textFill>
              </w:rPr>
              <w:t>t/a，产生的生活污水排入防渗旱厕，定期清掏，外运堆肥</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11B5A0A5">
            <w:pPr>
              <w:tabs>
                <w:tab w:val="left" w:pos="630"/>
              </w:tabs>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堆场及道路洒水</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煤场总面积</w:t>
            </w:r>
            <w:r>
              <w:rPr>
                <w:rFonts w:hint="default" w:ascii="Times New Roman" w:hAnsi="Times New Roman" w:cs="Times New Roman"/>
                <w:color w:val="000000" w:themeColor="text1"/>
                <w:sz w:val="24"/>
                <w:highlight w:val="none"/>
                <w:lang w:val="en-US" w:eastAsia="zh-CN"/>
                <w14:textFill>
                  <w14:solidFill>
                    <w14:schemeClr w14:val="tx1"/>
                  </w14:solidFill>
                </w14:textFill>
              </w:rPr>
              <w:t>22457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根据《煤炭洗选工程设计规范》（GB50359-2016）中道路浇洒用水，用水定额为2.0~3.0L/（m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·d），本项目取</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.0L/（m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全年洒水以18</w:t>
            </w:r>
            <w:r>
              <w:rPr>
                <w:rFonts w:hint="default" w:ascii="Times New Roman" w:hAnsi="Times New Roman"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天计</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堆场</w:t>
            </w:r>
            <w:r>
              <w:rPr>
                <w:rFonts w:hint="default" w:ascii="Times New Roman" w:hAnsi="Times New Roman" w:cs="Times New Roman"/>
                <w:color w:val="000000" w:themeColor="text1"/>
                <w:sz w:val="24"/>
                <w:highlight w:val="none"/>
                <w:lang w:val="en-US" w:eastAsia="zh-CN"/>
                <w14:textFill>
                  <w14:solidFill>
                    <w14:schemeClr w14:val="tx1"/>
                  </w14:solidFill>
                </w14:textFill>
              </w:rPr>
              <w:t>及道路每天洒水降尘1次，则用水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量为</w:t>
            </w:r>
            <w:r>
              <w:rPr>
                <w:rFonts w:hint="default" w:ascii="Times New Roman" w:hAnsi="Times New Roman" w:cs="Times New Roman"/>
                <w:color w:val="000000" w:themeColor="text1"/>
                <w:sz w:val="24"/>
                <w:highlight w:val="none"/>
                <w:lang w:val="en-US" w:eastAsia="zh-CN"/>
                <w14:textFill>
                  <w14:solidFill>
                    <w14:schemeClr w14:val="tx1"/>
                  </w14:solidFill>
                </w14:textFill>
              </w:rPr>
              <w:t>44.914t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w:t>
            </w:r>
            <w:r>
              <w:rPr>
                <w:rFonts w:hint="default" w:ascii="Times New Roman" w:hAnsi="Times New Roman" w:cs="Times New Roman"/>
                <w:color w:val="000000" w:themeColor="text1"/>
                <w:sz w:val="24"/>
                <w:highlight w:val="none"/>
                <w:lang w:val="en-US" w:eastAsia="zh-CN"/>
                <w14:textFill>
                  <w14:solidFill>
                    <w14:schemeClr w14:val="tx1"/>
                  </w14:solidFill>
                </w14:textFill>
              </w:rPr>
              <w:t>8084.52t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14:paraId="25974F75">
            <w:pPr>
              <w:tabs>
                <w:tab w:val="left" w:pos="630"/>
              </w:tabs>
              <w:spacing w:line="360" w:lineRule="auto"/>
              <w:ind w:firstLine="480" w:firstLineChars="200"/>
              <w:rPr>
                <w:rFonts w:hint="default" w:ascii="Times New Roman" w:hAnsi="Times New Roman" w:cs="Times New Roman"/>
                <w:color w:val="FF0000"/>
                <w:sz w:val="24"/>
                <w:highlight w:val="none"/>
                <w:lang w:val="en-US" w:eastAsia="zh-CN"/>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堆场及道路洒水</w:t>
            </w:r>
            <w:r>
              <w:rPr>
                <w:rFonts w:hint="default" w:ascii="Times New Roman" w:hAnsi="Times New Roman" w:cs="Times New Roman"/>
                <w:color w:val="000000" w:themeColor="text1"/>
                <w:sz w:val="24"/>
                <w:highlight w:val="none"/>
                <w:lang w:val="en-US" w:eastAsia="zh-CN"/>
                <w14:textFill>
                  <w14:solidFill>
                    <w14:schemeClr w14:val="tx1"/>
                  </w14:solidFill>
                </w14:textFill>
              </w:rPr>
              <w:t>优先使用雨水收集池收集的雨水，雨水不足时由外购水源提供。</w:t>
            </w:r>
          </w:p>
          <w:p w14:paraId="0393BF39">
            <w:pPr>
              <w:tabs>
                <w:tab w:val="left" w:pos="630"/>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排水</w:t>
            </w:r>
          </w:p>
          <w:p w14:paraId="7210D99C">
            <w:pPr>
              <w:tabs>
                <w:tab w:val="left" w:pos="630"/>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生活废水：生活废水产生量按用水量的80%计，</w:t>
            </w:r>
            <w:r>
              <w:rPr>
                <w:rFonts w:hint="default" w:ascii="Times New Roman" w:hAnsi="Times New Roman" w:cs="Times New Roman"/>
                <w:color w:val="000000" w:themeColor="text1"/>
                <w:sz w:val="24"/>
                <w:highlight w:val="none"/>
                <w:lang w:val="en-US" w:eastAsia="zh-CN"/>
                <w14:textFill>
                  <w14:solidFill>
                    <w14:schemeClr w14:val="tx1"/>
                  </w14:solidFill>
                </w14:textFill>
              </w:rPr>
              <w:t>生活污水产生量0.512t/d，153.6t/a产生的</w:t>
            </w:r>
            <w:r>
              <w:rPr>
                <w:rFonts w:hint="default" w:ascii="Times New Roman" w:hAnsi="Times New Roman" w:eastAsia="宋体" w:cs="Times New Roman"/>
                <w:color w:val="000000" w:themeColor="text1"/>
                <w:sz w:val="24"/>
                <w:highlight w:val="none"/>
                <w14:textFill>
                  <w14:solidFill>
                    <w14:schemeClr w14:val="tx1"/>
                  </w14:solidFill>
                </w14:textFill>
              </w:rPr>
              <w:t>生活污水排入防渗旱厕，定期清掏，外运堆肥。</w:t>
            </w:r>
          </w:p>
          <w:p w14:paraId="33D0908B">
            <w:pPr>
              <w:tabs>
                <w:tab w:val="left" w:pos="630"/>
              </w:tabs>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生产废水：</w:t>
            </w:r>
            <w:r>
              <w:rPr>
                <w:rFonts w:hint="default" w:ascii="Times New Roman" w:hAnsi="Times New Roman" w:cs="Times New Roman"/>
                <w:color w:val="000000" w:themeColor="text1"/>
                <w:sz w:val="24"/>
                <w:highlight w:val="none"/>
                <w:lang w:val="en-US" w:eastAsia="zh-CN"/>
                <w14:textFill>
                  <w14:solidFill>
                    <w14:schemeClr w14:val="tx1"/>
                  </w14:solidFill>
                </w14:textFill>
              </w:rPr>
              <w:t>本项目生产用水仅有堆场及道路洒水，堆场及道路洒水全部蒸发，</w:t>
            </w:r>
            <w:r>
              <w:rPr>
                <w:rFonts w:hint="default" w:ascii="Times New Roman" w:hAnsi="Times New Roman" w:eastAsia="宋体" w:cs="Times New Roman"/>
                <w:color w:val="000000" w:themeColor="text1"/>
                <w:sz w:val="24"/>
                <w:highlight w:val="none"/>
                <w14:textFill>
                  <w14:solidFill>
                    <w14:schemeClr w14:val="tx1"/>
                  </w14:solidFill>
                </w14:textFill>
              </w:rPr>
              <w:t>项目无</w:t>
            </w:r>
            <w:r>
              <w:rPr>
                <w:rFonts w:hint="default" w:ascii="Times New Roman" w:hAnsi="Times New Roman" w:cs="Times New Roman"/>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sz w:val="24"/>
                <w:highlight w:val="none"/>
                <w14:textFill>
                  <w14:solidFill>
                    <w14:schemeClr w14:val="tx1"/>
                  </w14:solidFill>
                </w14:textFill>
              </w:rPr>
              <w:t>废水产生。</w:t>
            </w:r>
          </w:p>
          <w:p w14:paraId="2D9D67D9">
            <w:pPr>
              <w:tabs>
                <w:tab w:val="left" w:pos="630"/>
              </w:tabs>
              <w:spacing w:line="360" w:lineRule="auto"/>
              <w:ind w:firstLine="482" w:firstLineChars="200"/>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p>
          <w:p w14:paraId="02AC2052">
            <w:pPr>
              <w:tabs>
                <w:tab w:val="left" w:pos="630"/>
              </w:tabs>
              <w:spacing w:line="360" w:lineRule="auto"/>
              <w:ind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highlight w:val="none"/>
              </w:rPr>
              <w:drawing>
                <wp:inline distT="0" distB="0" distL="114300" distR="114300">
                  <wp:extent cx="5061585" cy="2499995"/>
                  <wp:effectExtent l="0" t="0" r="5715" b="1460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3"/>
                          <a:stretch>
                            <a:fillRect/>
                          </a:stretch>
                        </pic:blipFill>
                        <pic:spPr>
                          <a:xfrm>
                            <a:off x="0" y="0"/>
                            <a:ext cx="5061585" cy="2499995"/>
                          </a:xfrm>
                          <a:prstGeom prst="rect">
                            <a:avLst/>
                          </a:prstGeom>
                          <a:noFill/>
                          <a:ln>
                            <a:noFill/>
                          </a:ln>
                        </pic:spPr>
                      </pic:pic>
                    </a:graphicData>
                  </a:graphic>
                </wp:inline>
              </w:drawing>
            </w:r>
          </w:p>
          <w:p w14:paraId="30DE41A5">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图2-1</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夏季洒水降尘时</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水平衡图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/d</w:t>
            </w:r>
          </w:p>
          <w:p w14:paraId="3566E5B4">
            <w:pPr>
              <w:pStyle w:val="2"/>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5074920" cy="1005840"/>
                  <wp:effectExtent l="0" t="0" r="11430" b="38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4"/>
                          <a:stretch>
                            <a:fillRect/>
                          </a:stretch>
                        </pic:blipFill>
                        <pic:spPr>
                          <a:xfrm>
                            <a:off x="0" y="0"/>
                            <a:ext cx="5074920" cy="1005840"/>
                          </a:xfrm>
                          <a:prstGeom prst="rect">
                            <a:avLst/>
                          </a:prstGeom>
                          <a:noFill/>
                          <a:ln>
                            <a:noFill/>
                          </a:ln>
                        </pic:spPr>
                      </pic:pic>
                    </a:graphicData>
                  </a:graphic>
                </wp:inline>
              </w:drawing>
            </w:r>
          </w:p>
          <w:p w14:paraId="3DE8EBB4">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2冬季仅生活用水时</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水平衡图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/d</w:t>
            </w:r>
          </w:p>
          <w:p w14:paraId="03D40B25">
            <w:pPr>
              <w:pStyle w:val="29"/>
              <w:spacing w:line="360" w:lineRule="auto"/>
              <w:ind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（3）供热</w:t>
            </w:r>
          </w:p>
          <w:p w14:paraId="24C5D57B">
            <w:pPr>
              <w:pStyle w:val="29"/>
              <w:spacing w:line="360" w:lineRule="auto"/>
              <w:ind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冬季供暖为电采暖</w:t>
            </w:r>
            <w:r>
              <w:rPr>
                <w:rFonts w:hint="default" w:ascii="Times New Roman" w:hAnsi="Times New Roman" w:cs="Times New Roman"/>
                <w:color w:val="000000" w:themeColor="text1"/>
                <w:highlight w:val="none"/>
                <w14:textFill>
                  <w14:solidFill>
                    <w14:schemeClr w14:val="tx1"/>
                  </w14:solidFill>
                </w14:textFill>
              </w:rPr>
              <w:t>。</w:t>
            </w:r>
          </w:p>
          <w:p w14:paraId="6FC8DE90">
            <w:pPr>
              <w:pStyle w:val="29"/>
              <w:numPr>
                <w:ilvl w:val="0"/>
                <w:numId w:val="0"/>
              </w:numPr>
              <w:spacing w:line="360" w:lineRule="auto"/>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供电</w:t>
            </w:r>
          </w:p>
          <w:p w14:paraId="001B332D">
            <w:pPr>
              <w:pStyle w:val="29"/>
              <w:numPr>
                <w:ilvl w:val="0"/>
                <w:numId w:val="0"/>
              </w:numPr>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本项目供电由当地供电局提供</w:t>
            </w:r>
            <w:r>
              <w:rPr>
                <w:rFonts w:hint="default" w:ascii="Times New Roman" w:hAnsi="Times New Roman" w:cs="Times New Roman"/>
                <w:color w:val="000000" w:themeColor="text1"/>
                <w:highlight w:val="none"/>
                <w:lang w:eastAsia="zh-CN"/>
                <w14:textFill>
                  <w14:solidFill>
                    <w14:schemeClr w14:val="tx1"/>
                  </w14:solidFill>
                </w14:textFill>
              </w:rPr>
              <w:t>。</w:t>
            </w:r>
          </w:p>
          <w:p w14:paraId="661128ED">
            <w:pPr>
              <w:widowControl/>
              <w:numPr>
                <w:ilvl w:val="0"/>
                <w:numId w:val="0"/>
              </w:numPr>
              <w:spacing w:line="360" w:lineRule="auto"/>
              <w:jc w:val="left"/>
              <w:rPr>
                <w:rFonts w:hint="default" w:ascii="Times New Roman" w:hAnsi="Times New Roman" w:cs="Times New Roman"/>
                <w:b/>
                <w:color w:val="000000" w:themeColor="text1"/>
                <w:kern w:val="0"/>
                <w:sz w:val="24"/>
                <w:highlight w:val="none"/>
                <w:lang w:val="en-US" w:eastAsia="zh-CN" w:bidi="ar"/>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bidi="ar"/>
                <w14:textFill>
                  <w14:solidFill>
                    <w14:schemeClr w14:val="tx1"/>
                  </w14:solidFill>
                </w14:textFill>
              </w:rPr>
              <w:t>6、平面布置</w:t>
            </w:r>
          </w:p>
          <w:p w14:paraId="6C66AA8E">
            <w:pPr>
              <w:pStyle w:val="29"/>
              <w:numPr>
                <w:ilvl w:val="0"/>
                <w:numId w:val="0"/>
              </w:numPr>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本项目总占地</w:t>
            </w:r>
            <w:r>
              <w:rPr>
                <w:rFonts w:hint="default" w:ascii="Times New Roman" w:hAnsi="Times New Roman" w:cs="Times New Roman"/>
                <w:color w:val="000000" w:themeColor="text1"/>
                <w:highlight w:val="none"/>
                <w:lang w:val="en-US" w:eastAsia="zh-CN"/>
                <w14:textFill>
                  <w14:solidFill>
                    <w14:schemeClr w14:val="tx1"/>
                  </w14:solidFill>
                </w14:textFill>
              </w:rPr>
              <w:t>22457</w:t>
            </w: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，厂区四周建设闭合的防风抑尘网，雨水收集池建设与厂区内地势最低的</w:t>
            </w:r>
            <w:r>
              <w:rPr>
                <w:rFonts w:hint="default" w:ascii="Times New Roman" w:hAnsi="Times New Roman" w:cs="Times New Roman"/>
                <w:color w:val="000000" w:themeColor="text1"/>
                <w:highlight w:val="none"/>
                <w:lang w:val="en-US" w:eastAsia="zh-CN"/>
                <w14:textFill>
                  <w14:solidFill>
                    <w14:schemeClr w14:val="tx1"/>
                  </w14:solidFill>
                </w14:textFill>
              </w:rPr>
              <w:t>西北侧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，项目厂区设置合理。厂址拐点坐标见表2-</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坐标系为2000国家大地坐标系，度带为3度带，中央经线经度132°。</w:t>
            </w:r>
          </w:p>
          <w:p w14:paraId="1164C061">
            <w:pPr>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拐点坐标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3433"/>
              <w:gridCol w:w="3434"/>
            </w:tblGrid>
            <w:tr w14:paraId="5600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5" w:type="dxa"/>
                  <w:vAlign w:val="center"/>
                </w:tcPr>
                <w:p w14:paraId="30E83104">
                  <w:pPr>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点号</w:t>
                  </w:r>
                </w:p>
              </w:tc>
              <w:tc>
                <w:tcPr>
                  <w:tcW w:w="3433" w:type="dxa"/>
                  <w:vAlign w:val="center"/>
                </w:tcPr>
                <w:p w14:paraId="601A174C">
                  <w:pPr>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X</w:t>
                  </w:r>
                </w:p>
              </w:tc>
              <w:tc>
                <w:tcPr>
                  <w:tcW w:w="3434" w:type="dxa"/>
                  <w:vAlign w:val="center"/>
                </w:tcPr>
                <w:p w14:paraId="08B5351D">
                  <w:pPr>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Y</w:t>
                  </w:r>
                </w:p>
              </w:tc>
            </w:tr>
            <w:tr w14:paraId="15D2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5" w:type="dxa"/>
                  <w:vAlign w:val="center"/>
                </w:tcPr>
                <w:p w14:paraId="77CD59FD">
                  <w:pPr>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w:t>
                  </w:r>
                </w:p>
              </w:tc>
              <w:tc>
                <w:tcPr>
                  <w:tcW w:w="3433" w:type="dxa"/>
                  <w:vAlign w:val="center"/>
                </w:tcPr>
                <w:p w14:paraId="746F2D10">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5020954.117</w:t>
                  </w:r>
                </w:p>
              </w:tc>
              <w:tc>
                <w:tcPr>
                  <w:tcW w:w="3434" w:type="dxa"/>
                  <w:vAlign w:val="center"/>
                </w:tcPr>
                <w:p w14:paraId="798B7E84">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 xml:space="preserve"> 44413086.987</w:t>
                  </w:r>
                </w:p>
              </w:tc>
            </w:tr>
            <w:tr w14:paraId="17FA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5" w:type="dxa"/>
                  <w:vAlign w:val="center"/>
                </w:tcPr>
                <w:p w14:paraId="7AFB15F4">
                  <w:pPr>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w:t>
                  </w:r>
                </w:p>
              </w:tc>
              <w:tc>
                <w:tcPr>
                  <w:tcW w:w="3433" w:type="dxa"/>
                  <w:vAlign w:val="center"/>
                </w:tcPr>
                <w:p w14:paraId="2A382E20">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 xml:space="preserve"> 5020872.580</w:t>
                  </w:r>
                </w:p>
              </w:tc>
              <w:tc>
                <w:tcPr>
                  <w:tcW w:w="3434" w:type="dxa"/>
                  <w:vAlign w:val="center"/>
                </w:tcPr>
                <w:p w14:paraId="1490BB9D">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44413303.427</w:t>
                  </w:r>
                </w:p>
              </w:tc>
            </w:tr>
            <w:tr w14:paraId="71FC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5" w:type="dxa"/>
                  <w:vAlign w:val="center"/>
                </w:tcPr>
                <w:p w14:paraId="53D2B902">
                  <w:pPr>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3</w:t>
                  </w:r>
                </w:p>
              </w:tc>
              <w:tc>
                <w:tcPr>
                  <w:tcW w:w="3433" w:type="dxa"/>
                  <w:vAlign w:val="center"/>
                </w:tcPr>
                <w:p w14:paraId="482159AA">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5020782.286</w:t>
                  </w:r>
                </w:p>
              </w:tc>
              <w:tc>
                <w:tcPr>
                  <w:tcW w:w="3434" w:type="dxa"/>
                  <w:vAlign w:val="center"/>
                </w:tcPr>
                <w:p w14:paraId="034561DB">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 xml:space="preserve"> 44413281.196</w:t>
                  </w:r>
                </w:p>
              </w:tc>
            </w:tr>
            <w:tr w14:paraId="6A50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5" w:type="dxa"/>
                  <w:vAlign w:val="center"/>
                </w:tcPr>
                <w:p w14:paraId="3BD30CB5">
                  <w:pPr>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4</w:t>
                  </w:r>
                </w:p>
              </w:tc>
              <w:tc>
                <w:tcPr>
                  <w:tcW w:w="3433" w:type="dxa"/>
                  <w:vAlign w:val="center"/>
                </w:tcPr>
                <w:p w14:paraId="41817D50">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5020861.917</w:t>
                  </w:r>
                </w:p>
              </w:tc>
              <w:tc>
                <w:tcPr>
                  <w:tcW w:w="3434" w:type="dxa"/>
                  <w:vAlign w:val="center"/>
                </w:tcPr>
                <w:p w14:paraId="55A69189">
                  <w:pPr>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44413054.096</w:t>
                  </w:r>
                </w:p>
              </w:tc>
            </w:tr>
          </w:tbl>
          <w:p w14:paraId="4624C234">
            <w:pPr>
              <w:widowControl/>
              <w:spacing w:line="360" w:lineRule="auto"/>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kern w:val="0"/>
                <w:sz w:val="24"/>
                <w:highlight w:val="none"/>
                <w:lang w:val="en-US" w:eastAsia="zh-CN" w:bidi="ar"/>
                <w14:textFill>
                  <w14:solidFill>
                    <w14:schemeClr w14:val="tx1"/>
                  </w14:solidFill>
                </w14:textFill>
              </w:rPr>
              <w:t>7、</w:t>
            </w:r>
            <w:r>
              <w:rPr>
                <w:rFonts w:hint="default" w:ascii="Times New Roman" w:hAnsi="Times New Roman" w:cs="Times New Roman"/>
                <w:b/>
                <w:color w:val="000000" w:themeColor="text1"/>
                <w:kern w:val="0"/>
                <w:sz w:val="24"/>
                <w:highlight w:val="none"/>
                <w:lang w:bidi="ar"/>
                <w14:textFill>
                  <w14:solidFill>
                    <w14:schemeClr w14:val="tx1"/>
                  </w14:solidFill>
                </w14:textFill>
              </w:rPr>
              <w:t xml:space="preserve">环保投资 </w:t>
            </w:r>
          </w:p>
          <w:p w14:paraId="72BE560B">
            <w:pPr>
              <w:widowControl/>
              <w:spacing w:line="360" w:lineRule="auto"/>
              <w:ind w:firstLine="480" w:firstLineChars="200"/>
              <w:jc w:val="left"/>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本项目环保投资具体情况见表2-</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4</w:t>
            </w:r>
            <w:r>
              <w:rPr>
                <w:rFonts w:hint="default" w:ascii="Times New Roman" w:hAnsi="Times New Roman" w:cs="Times New Roman"/>
                <w:color w:val="000000" w:themeColor="text1"/>
                <w:kern w:val="0"/>
                <w:sz w:val="24"/>
                <w:highlight w:val="none"/>
                <w:lang w:bidi="ar"/>
                <w14:textFill>
                  <w14:solidFill>
                    <w14:schemeClr w14:val="tx1"/>
                  </w14:solidFill>
                </w14:textFill>
              </w:rPr>
              <w:t>。</w:t>
            </w:r>
          </w:p>
          <w:p w14:paraId="41905F12">
            <w:pPr>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环保投资一览表</w:t>
            </w:r>
          </w:p>
          <w:tbl>
            <w:tblPr>
              <w:tblStyle w:val="20"/>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5670"/>
              <w:gridCol w:w="1433"/>
            </w:tblGrid>
            <w:tr w14:paraId="0BB96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Align w:val="center"/>
                </w:tcPr>
                <w:p w14:paraId="5CB383BA">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类别</w:t>
                  </w:r>
                </w:p>
              </w:tc>
              <w:tc>
                <w:tcPr>
                  <w:tcW w:w="5670" w:type="dxa"/>
                  <w:tcBorders>
                    <w:bottom w:val="single" w:color="auto" w:sz="4" w:space="0"/>
                  </w:tcBorders>
                  <w:vAlign w:val="center"/>
                </w:tcPr>
                <w:p w14:paraId="676D8B01">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防治措施</w:t>
                  </w:r>
                </w:p>
              </w:tc>
              <w:tc>
                <w:tcPr>
                  <w:tcW w:w="1433" w:type="dxa"/>
                  <w:tcBorders>
                    <w:bottom w:val="single" w:color="auto" w:sz="4" w:space="0"/>
                  </w:tcBorders>
                  <w:vAlign w:val="center"/>
                </w:tcPr>
                <w:p w14:paraId="450893EF">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投资（万元）</w:t>
                  </w:r>
                </w:p>
              </w:tc>
            </w:tr>
            <w:tr w14:paraId="7E37E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restart"/>
                  <w:vAlign w:val="center"/>
                </w:tcPr>
                <w:p w14:paraId="0502D958">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废气治理措施</w:t>
                  </w:r>
                </w:p>
              </w:tc>
              <w:tc>
                <w:tcPr>
                  <w:tcW w:w="5670" w:type="dxa"/>
                  <w:vAlign w:val="center"/>
                </w:tcPr>
                <w:p w14:paraId="6CD557B7">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防风抑尘网</w:t>
                  </w:r>
                </w:p>
              </w:tc>
              <w:tc>
                <w:tcPr>
                  <w:tcW w:w="1433" w:type="dxa"/>
                  <w:vAlign w:val="center"/>
                </w:tcPr>
                <w:p w14:paraId="01731F38">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40</w:t>
                  </w:r>
                </w:p>
              </w:tc>
            </w:tr>
            <w:tr w14:paraId="40369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continue"/>
                  <w:vAlign w:val="center"/>
                </w:tcPr>
                <w:p w14:paraId="139C0B34">
                  <w:pPr>
                    <w:pStyle w:val="33"/>
                    <w:rPr>
                      <w:rFonts w:hint="default" w:ascii="Times New Roman" w:hAnsi="Times New Roman" w:cs="Times New Roman"/>
                      <w:color w:val="000000" w:themeColor="text1"/>
                      <w:szCs w:val="21"/>
                      <w:highlight w:val="none"/>
                      <w14:textFill>
                        <w14:solidFill>
                          <w14:schemeClr w14:val="tx1"/>
                        </w14:solidFill>
                      </w14:textFill>
                    </w:rPr>
                  </w:pPr>
                </w:p>
              </w:tc>
              <w:tc>
                <w:tcPr>
                  <w:tcW w:w="5670" w:type="dxa"/>
                  <w:vAlign w:val="center"/>
                </w:tcPr>
                <w:p w14:paraId="35401A07">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洒水设施</w:t>
                  </w:r>
                </w:p>
              </w:tc>
              <w:tc>
                <w:tcPr>
                  <w:tcW w:w="1433" w:type="dxa"/>
                  <w:vAlign w:val="center"/>
                </w:tcPr>
                <w:p w14:paraId="59038621">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w:t>
                  </w:r>
                </w:p>
              </w:tc>
            </w:tr>
            <w:tr w14:paraId="270EC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continue"/>
                  <w:vAlign w:val="center"/>
                </w:tcPr>
                <w:p w14:paraId="5218A1DD">
                  <w:pPr>
                    <w:pStyle w:val="33"/>
                    <w:rPr>
                      <w:rFonts w:hint="default" w:ascii="Times New Roman" w:hAnsi="Times New Roman" w:cs="Times New Roman"/>
                      <w:color w:val="000000" w:themeColor="text1"/>
                      <w:szCs w:val="21"/>
                      <w:highlight w:val="none"/>
                      <w14:textFill>
                        <w14:solidFill>
                          <w14:schemeClr w14:val="tx1"/>
                        </w14:solidFill>
                      </w14:textFill>
                    </w:rPr>
                  </w:pPr>
                </w:p>
              </w:tc>
              <w:tc>
                <w:tcPr>
                  <w:tcW w:w="5670" w:type="dxa"/>
                  <w:vAlign w:val="center"/>
                </w:tcPr>
                <w:p w14:paraId="79B97A7F">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煤炭绿网苫盖</w:t>
                  </w:r>
                </w:p>
              </w:tc>
              <w:tc>
                <w:tcPr>
                  <w:tcW w:w="1433" w:type="dxa"/>
                  <w:vAlign w:val="center"/>
                </w:tcPr>
                <w:p w14:paraId="5372EF88">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7EE75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continue"/>
                  <w:vAlign w:val="center"/>
                </w:tcPr>
                <w:p w14:paraId="4F2B8CEE">
                  <w:pPr>
                    <w:pStyle w:val="33"/>
                    <w:rPr>
                      <w:rFonts w:hint="default" w:ascii="Times New Roman" w:hAnsi="Times New Roman" w:cs="Times New Roman"/>
                      <w:color w:val="000000" w:themeColor="text1"/>
                      <w:szCs w:val="21"/>
                      <w:highlight w:val="none"/>
                      <w14:textFill>
                        <w14:solidFill>
                          <w14:schemeClr w14:val="tx1"/>
                        </w14:solidFill>
                      </w14:textFill>
                    </w:rPr>
                  </w:pPr>
                </w:p>
              </w:tc>
              <w:tc>
                <w:tcPr>
                  <w:tcW w:w="5670" w:type="dxa"/>
                  <w:vAlign w:val="center"/>
                </w:tcPr>
                <w:p w14:paraId="5836EDEC">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运输车辆苫盖</w:t>
                  </w:r>
                </w:p>
              </w:tc>
              <w:tc>
                <w:tcPr>
                  <w:tcW w:w="1433" w:type="dxa"/>
                  <w:vAlign w:val="center"/>
                </w:tcPr>
                <w:p w14:paraId="54A90332">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6AB45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restart"/>
                  <w:vAlign w:val="center"/>
                </w:tcPr>
                <w:p w14:paraId="7B103350">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废水治理措施</w:t>
                  </w:r>
                </w:p>
              </w:tc>
              <w:tc>
                <w:tcPr>
                  <w:tcW w:w="5670" w:type="dxa"/>
                  <w:vAlign w:val="center"/>
                </w:tcPr>
                <w:p w14:paraId="4B9CDDE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雨水收集池</w:t>
                  </w: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（包含防渗措施）</w:t>
                  </w:r>
                </w:p>
              </w:tc>
              <w:tc>
                <w:tcPr>
                  <w:tcW w:w="1433" w:type="dxa"/>
                  <w:vAlign w:val="center"/>
                </w:tcPr>
                <w:p w14:paraId="3B7DC031">
                  <w:pPr>
                    <w:jc w:val="cente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5</w:t>
                  </w:r>
                </w:p>
              </w:tc>
            </w:tr>
            <w:tr w14:paraId="5CF48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continue"/>
                  <w:vAlign w:val="center"/>
                </w:tcPr>
                <w:p w14:paraId="4361174A">
                  <w:pPr>
                    <w:pStyle w:val="33"/>
                    <w:rPr>
                      <w:rFonts w:hint="default" w:ascii="Times New Roman" w:hAnsi="Times New Roman" w:cs="Times New Roman"/>
                      <w:color w:val="000000" w:themeColor="text1"/>
                      <w:szCs w:val="21"/>
                      <w:highlight w:val="none"/>
                      <w14:textFill>
                        <w14:solidFill>
                          <w14:schemeClr w14:val="tx1"/>
                        </w14:solidFill>
                      </w14:textFill>
                    </w:rPr>
                  </w:pPr>
                </w:p>
              </w:tc>
              <w:tc>
                <w:tcPr>
                  <w:tcW w:w="5670" w:type="dxa"/>
                  <w:vAlign w:val="center"/>
                </w:tcPr>
                <w:p w14:paraId="0EFF1270">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防渗旱厕</w:t>
                  </w: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（包含防渗措施）</w:t>
                  </w:r>
                </w:p>
              </w:tc>
              <w:tc>
                <w:tcPr>
                  <w:tcW w:w="1433" w:type="dxa"/>
                  <w:vAlign w:val="center"/>
                </w:tcPr>
                <w:p w14:paraId="54B0E8A9">
                  <w:pPr>
                    <w:jc w:val="center"/>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1</w:t>
                  </w:r>
                </w:p>
              </w:tc>
            </w:tr>
            <w:tr w14:paraId="3ECDB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continue"/>
                  <w:vAlign w:val="center"/>
                </w:tcPr>
                <w:p w14:paraId="6DEF31D6">
                  <w:pPr>
                    <w:pStyle w:val="33"/>
                    <w:rPr>
                      <w:rFonts w:hint="default" w:ascii="Times New Roman" w:hAnsi="Times New Roman" w:cs="Times New Roman"/>
                      <w:color w:val="000000" w:themeColor="text1"/>
                      <w:szCs w:val="21"/>
                      <w:highlight w:val="none"/>
                      <w14:textFill>
                        <w14:solidFill>
                          <w14:schemeClr w14:val="tx1"/>
                        </w14:solidFill>
                      </w14:textFill>
                    </w:rPr>
                  </w:pPr>
                </w:p>
              </w:tc>
              <w:tc>
                <w:tcPr>
                  <w:tcW w:w="5670" w:type="dxa"/>
                  <w:vAlign w:val="center"/>
                </w:tcPr>
                <w:p w14:paraId="138D8DD5">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雨水导流沟</w:t>
                  </w: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（包含防渗措施）</w:t>
                  </w:r>
                </w:p>
              </w:tc>
              <w:tc>
                <w:tcPr>
                  <w:tcW w:w="1433" w:type="dxa"/>
                  <w:vAlign w:val="center"/>
                </w:tcPr>
                <w:p w14:paraId="3D7B6474">
                  <w:pPr>
                    <w:jc w:val="center"/>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5</w:t>
                  </w:r>
                </w:p>
              </w:tc>
            </w:tr>
            <w:tr w14:paraId="72708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Align w:val="center"/>
                </w:tcPr>
                <w:p w14:paraId="39A389DE">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噪声治理措施</w:t>
                  </w:r>
                </w:p>
              </w:tc>
              <w:tc>
                <w:tcPr>
                  <w:tcW w:w="5670" w:type="dxa"/>
                  <w:vAlign w:val="center"/>
                </w:tcPr>
                <w:p w14:paraId="1809E22E">
                  <w:pPr>
                    <w:pStyle w:val="33"/>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选取低噪声设备</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定期维护</w:t>
                  </w:r>
                </w:p>
              </w:tc>
              <w:tc>
                <w:tcPr>
                  <w:tcW w:w="1433" w:type="dxa"/>
                  <w:vAlign w:val="center"/>
                </w:tcPr>
                <w:p w14:paraId="7CEF3423">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w:t>
                  </w:r>
                </w:p>
              </w:tc>
            </w:tr>
            <w:tr w14:paraId="7A861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restart"/>
                  <w:vAlign w:val="center"/>
                </w:tcPr>
                <w:p w14:paraId="0514020C">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固废治理措施</w:t>
                  </w:r>
                </w:p>
              </w:tc>
              <w:tc>
                <w:tcPr>
                  <w:tcW w:w="5670" w:type="dxa"/>
                  <w:vAlign w:val="center"/>
                </w:tcPr>
                <w:p w14:paraId="5A3F6FD4">
                  <w:pPr>
                    <w:pStyle w:val="33"/>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生活垃圾</w:t>
                  </w: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收集箱</w:t>
                  </w:r>
                </w:p>
              </w:tc>
              <w:tc>
                <w:tcPr>
                  <w:tcW w:w="1433" w:type="dxa"/>
                  <w:vAlign w:val="center"/>
                </w:tcPr>
                <w:p w14:paraId="2819C495">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w:t>
                  </w:r>
                </w:p>
              </w:tc>
            </w:tr>
            <w:tr w14:paraId="2ADB6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Merge w:val="continue"/>
                  <w:vAlign w:val="center"/>
                </w:tcPr>
                <w:p w14:paraId="784CA8C6">
                  <w:pPr>
                    <w:pStyle w:val="33"/>
                    <w:rPr>
                      <w:rFonts w:hint="default" w:ascii="Times New Roman" w:hAnsi="Times New Roman" w:cs="Times New Roman"/>
                      <w:color w:val="000000" w:themeColor="text1"/>
                      <w:szCs w:val="21"/>
                      <w:highlight w:val="none"/>
                      <w14:textFill>
                        <w14:solidFill>
                          <w14:schemeClr w14:val="tx1"/>
                        </w14:solidFill>
                      </w14:textFill>
                    </w:rPr>
                  </w:pPr>
                </w:p>
              </w:tc>
              <w:tc>
                <w:tcPr>
                  <w:tcW w:w="5670" w:type="dxa"/>
                  <w:vAlign w:val="center"/>
                </w:tcPr>
                <w:p w14:paraId="009DD3FD">
                  <w:pPr>
                    <w:pStyle w:val="33"/>
                    <w:jc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color w:val="auto"/>
                      <w:kern w:val="0"/>
                      <w:szCs w:val="21"/>
                      <w:highlight w:val="none"/>
                      <w:lang w:val="en-US" w:eastAsia="zh-CN" w:bidi="ar"/>
                    </w:rPr>
                    <w:t>危险废物贮存点（包含防渗措施）</w:t>
                  </w:r>
                </w:p>
              </w:tc>
              <w:tc>
                <w:tcPr>
                  <w:tcW w:w="1433" w:type="dxa"/>
                  <w:vAlign w:val="center"/>
                </w:tcPr>
                <w:p w14:paraId="35C78C01">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auto"/>
                      <w:szCs w:val="21"/>
                      <w:highlight w:val="none"/>
                      <w:lang w:val="en-US" w:eastAsia="zh-CN"/>
                    </w:rPr>
                    <w:t>0.5</w:t>
                  </w:r>
                </w:p>
              </w:tc>
            </w:tr>
            <w:tr w14:paraId="44232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Align w:val="center"/>
                </w:tcPr>
                <w:p w14:paraId="766BD093">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土壤治理措施</w:t>
                  </w:r>
                </w:p>
              </w:tc>
              <w:tc>
                <w:tcPr>
                  <w:tcW w:w="5670" w:type="dxa"/>
                  <w:vAlign w:val="center"/>
                </w:tcPr>
                <w:p w14:paraId="02D566BA">
                  <w:pPr>
                    <w:pStyle w:val="33"/>
                    <w:jc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t>厂区地面硬化</w:t>
                  </w:r>
                </w:p>
              </w:tc>
              <w:tc>
                <w:tcPr>
                  <w:tcW w:w="1433" w:type="dxa"/>
                  <w:vAlign w:val="center"/>
                </w:tcPr>
                <w:p w14:paraId="53A23544">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20</w:t>
                  </w:r>
                </w:p>
              </w:tc>
            </w:tr>
            <w:tr w14:paraId="5239B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Align w:val="center"/>
                </w:tcPr>
                <w:p w14:paraId="7820C915">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环保设施</w:t>
                  </w:r>
                </w:p>
                <w:p w14:paraId="51A7BB14">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运行费用</w:t>
                  </w:r>
                </w:p>
              </w:tc>
              <w:tc>
                <w:tcPr>
                  <w:tcW w:w="5670" w:type="dxa"/>
                  <w:vAlign w:val="center"/>
                </w:tcPr>
                <w:p w14:paraId="4B963F5A">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环保设施的运行、维护、维修费用</w:t>
                  </w:r>
                </w:p>
              </w:tc>
              <w:tc>
                <w:tcPr>
                  <w:tcW w:w="1433" w:type="dxa"/>
                  <w:vAlign w:val="center"/>
                </w:tcPr>
                <w:p w14:paraId="5CCCFB2F">
                  <w:pPr>
                    <w:pStyle w:val="33"/>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w:t>
                  </w:r>
                </w:p>
              </w:tc>
            </w:tr>
            <w:tr w14:paraId="42BDC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4" w:type="dxa"/>
                  <w:vAlign w:val="center"/>
                </w:tcPr>
                <w:p w14:paraId="60600F2C">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日常</w:t>
                  </w:r>
                </w:p>
              </w:tc>
              <w:tc>
                <w:tcPr>
                  <w:tcW w:w="5670" w:type="dxa"/>
                  <w:vAlign w:val="center"/>
                </w:tcPr>
                <w:p w14:paraId="33EA67FE">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例行监测</w:t>
                  </w:r>
                </w:p>
              </w:tc>
              <w:tc>
                <w:tcPr>
                  <w:tcW w:w="1433" w:type="dxa"/>
                  <w:vAlign w:val="center"/>
                </w:tcPr>
                <w:p w14:paraId="7CED3DE1">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w:t>
                  </w:r>
                </w:p>
              </w:tc>
            </w:tr>
            <w:tr w14:paraId="1A851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4" w:type="dxa"/>
                  <w:gridSpan w:val="2"/>
                  <w:vAlign w:val="center"/>
                </w:tcPr>
                <w:p w14:paraId="4F63A8C9">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环保投资（万元）</w:t>
                  </w:r>
                </w:p>
              </w:tc>
              <w:tc>
                <w:tcPr>
                  <w:tcW w:w="1433" w:type="dxa"/>
                  <w:vAlign w:val="center"/>
                </w:tcPr>
                <w:p w14:paraId="50FEF6DB">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83</w:t>
                  </w:r>
                </w:p>
              </w:tc>
            </w:tr>
            <w:tr w14:paraId="6C6FF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4" w:type="dxa"/>
                  <w:gridSpan w:val="2"/>
                  <w:vAlign w:val="center"/>
                </w:tcPr>
                <w:p w14:paraId="6500A682">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总</w:t>
                  </w:r>
                  <w:r>
                    <w:rPr>
                      <w:rFonts w:hint="default" w:ascii="Times New Roman" w:hAnsi="Times New Roman" w:cs="Times New Roman"/>
                      <w:color w:val="000000" w:themeColor="text1"/>
                      <w:szCs w:val="21"/>
                      <w:highlight w:val="none"/>
                      <w14:textFill>
                        <w14:solidFill>
                          <w14:schemeClr w14:val="tx1"/>
                        </w14:solidFill>
                      </w14:textFill>
                    </w:rPr>
                    <w:t>投资（万元）</w:t>
                  </w:r>
                </w:p>
              </w:tc>
              <w:tc>
                <w:tcPr>
                  <w:tcW w:w="1433" w:type="dxa"/>
                  <w:vAlign w:val="center"/>
                </w:tcPr>
                <w:p w14:paraId="5B3E5B7F">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500</w:t>
                  </w:r>
                </w:p>
              </w:tc>
            </w:tr>
            <w:tr w14:paraId="668A8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4" w:type="dxa"/>
                  <w:gridSpan w:val="2"/>
                  <w:vAlign w:val="center"/>
                </w:tcPr>
                <w:p w14:paraId="1D5E9E84">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占总投资比例（%）</w:t>
                  </w:r>
                </w:p>
              </w:tc>
              <w:tc>
                <w:tcPr>
                  <w:tcW w:w="1433" w:type="dxa"/>
                  <w:vAlign w:val="center"/>
                </w:tcPr>
                <w:p w14:paraId="01E3F7FD">
                  <w:pPr>
                    <w:pStyle w:val="33"/>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16.6%</w:t>
                  </w:r>
                </w:p>
              </w:tc>
            </w:tr>
          </w:tbl>
          <w:p w14:paraId="199A63E6">
            <w:pPr>
              <w:pStyle w:val="29"/>
              <w:spacing w:line="360" w:lineRule="auto"/>
              <w:ind w:firstLine="0"/>
              <w:rPr>
                <w:rFonts w:hint="default" w:ascii="Times New Roman" w:hAnsi="Times New Roman" w:cs="Times New Roman"/>
                <w:color w:val="000000" w:themeColor="text1"/>
                <w:highlight w:val="none"/>
                <w14:textFill>
                  <w14:solidFill>
                    <w14:schemeClr w14:val="tx1"/>
                  </w14:solidFill>
                </w14:textFill>
              </w:rPr>
            </w:pPr>
          </w:p>
        </w:tc>
      </w:tr>
      <w:tr w14:paraId="380DC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31" w:type="dxa"/>
            <w:vAlign w:val="center"/>
          </w:tcPr>
          <w:p w14:paraId="7B3C06D5">
            <w:pPr>
              <w:pStyle w:val="17"/>
              <w:adjustRightInd w:val="0"/>
              <w:snapToGrid w:val="0"/>
              <w:spacing w:before="0" w:beforeAutospacing="0" w:after="0" w:afterAutospacing="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工艺流程和产排污环节</w:t>
            </w:r>
          </w:p>
        </w:tc>
        <w:tc>
          <w:tcPr>
            <w:tcW w:w="8705" w:type="dxa"/>
          </w:tcPr>
          <w:p w14:paraId="5B19E8BD">
            <w:pPr>
              <w:pStyle w:val="9"/>
              <w:spacing w:after="0" w:line="360" w:lineRule="auto"/>
              <w:ind w:left="0" w:leftChars="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工艺流程简述：</w:t>
            </w:r>
          </w:p>
          <w:p w14:paraId="51F781F2">
            <w:pPr>
              <w:pStyle w:val="29"/>
              <w:spacing w:line="360" w:lineRule="auto"/>
              <w:ind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、施工期</w:t>
            </w:r>
          </w:p>
          <w:p w14:paraId="4443D9DE">
            <w:pPr>
              <w:adjustRightInd w:val="0"/>
              <w:snapToGrid w:val="0"/>
              <w:spacing w:line="360" w:lineRule="auto"/>
              <w:ind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本次主要建设内容为场地平整、地面硬化，建设煤炭储存配套相应环保设施。</w:t>
            </w:r>
            <w:r>
              <w:rPr>
                <w:rFonts w:hint="default" w:ascii="Times New Roman" w:hAnsi="Times New Roman" w:eastAsia="宋体" w:cs="Times New Roman"/>
                <w:bCs/>
                <w:color w:val="000000" w:themeColor="text1"/>
                <w:sz w:val="24"/>
                <w:highlight w:val="none"/>
                <w14:textFill>
                  <w14:solidFill>
                    <w14:schemeClr w14:val="tx1"/>
                  </w14:solidFill>
                </w14:textFill>
              </w:rPr>
              <w:t>主要影</w:t>
            </w:r>
            <w:r>
              <w:rPr>
                <w:rFonts w:hint="default" w:ascii="Times New Roman" w:hAnsi="Times New Roman" w:cs="Times New Roman"/>
                <w:bCs/>
                <w:color w:val="000000" w:themeColor="text1"/>
                <w:sz w:val="24"/>
                <w:highlight w:val="none"/>
                <w14:textFill>
                  <w14:solidFill>
                    <w14:schemeClr w14:val="tx1"/>
                  </w14:solidFill>
                </w14:textFill>
              </w:rPr>
              <w:t>响范围为项目场区区域，施工过程将产生施工扬尘、施工废水、施工噪声、施工固废及生活垃圾等污染物，主要环境影响因子包括环境空气、水环境、声环境、生态环境等</w:t>
            </w:r>
            <w:r>
              <w:rPr>
                <w:rFonts w:hint="default" w:ascii="Times New Roman" w:hAnsi="Times New Roman" w:cs="Times New Roman"/>
                <w:bCs/>
                <w:color w:val="000000" w:themeColor="text1"/>
                <w:sz w:val="24"/>
                <w:highlight w:val="none"/>
                <w:lang w:eastAsia="zh-CN"/>
                <w14:textFill>
                  <w14:solidFill>
                    <w14:schemeClr w14:val="tx1"/>
                  </w14:solidFill>
                </w14:textFill>
              </w:rPr>
              <w:t>。</w:t>
            </w:r>
          </w:p>
          <w:p w14:paraId="2AE18220">
            <w:pPr>
              <w:pStyle w:val="29"/>
              <w:spacing w:line="360" w:lineRule="auto"/>
              <w:ind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、营运期</w:t>
            </w:r>
          </w:p>
          <w:p w14:paraId="513A92E2">
            <w:pPr>
              <w:pStyle w:val="29"/>
              <w:spacing w:line="360" w:lineRule="auto"/>
              <w:ind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本项目属于煤炭经营销售，只是利用固定场所贮存和销售。主要工艺流程为汽车运至煤炭场内贮存，根据客户要求，将煤炭装汽车运出即可。</w:t>
            </w:r>
            <w:r>
              <w:rPr>
                <w:rFonts w:hint="default" w:ascii="Times New Roman" w:hAnsi="Times New Roman" w:eastAsia="宋体" w:cs="Times New Roman"/>
                <w:color w:val="000000" w:themeColor="text1"/>
                <w:highlight w:val="none"/>
                <w14:textFill>
                  <w14:solidFill>
                    <w14:schemeClr w14:val="tx1"/>
                  </w14:solidFill>
                </w14:textFill>
              </w:rPr>
              <w:t>项目主要生产工艺流程及产污环节见下图2-</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0F8F6D4B">
            <w:pPr>
              <w:pStyle w:val="29"/>
              <w:spacing w:line="360" w:lineRule="auto"/>
              <w:ind w:firstLineChars="20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565650" cy="3568065"/>
                  <wp:effectExtent l="0" t="0" r="6350" b="1333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5"/>
                          <a:srcRect l="14317" t="9183" r="10324" b="7615"/>
                          <a:stretch>
                            <a:fillRect/>
                          </a:stretch>
                        </pic:blipFill>
                        <pic:spPr>
                          <a:xfrm>
                            <a:off x="0" y="0"/>
                            <a:ext cx="4565650" cy="3568065"/>
                          </a:xfrm>
                          <a:prstGeom prst="rect">
                            <a:avLst/>
                          </a:prstGeom>
                          <a:noFill/>
                          <a:ln>
                            <a:noFill/>
                          </a:ln>
                        </pic:spPr>
                      </pic:pic>
                    </a:graphicData>
                  </a:graphic>
                </wp:inline>
              </w:drawing>
            </w:r>
          </w:p>
          <w:p w14:paraId="3C2DCEAE">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工艺流程及产污节点图</w:t>
            </w:r>
          </w:p>
        </w:tc>
      </w:tr>
      <w:tr w14:paraId="22B28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2052" w:hRule="atLeast"/>
          <w:jc w:val="center"/>
        </w:trPr>
        <w:tc>
          <w:tcPr>
            <w:tcW w:w="731" w:type="dxa"/>
            <w:vAlign w:val="center"/>
          </w:tcPr>
          <w:p w14:paraId="0465BE1D">
            <w:pPr>
              <w:pStyle w:val="17"/>
              <w:adjustRightInd w:val="0"/>
              <w:snapToGrid w:val="0"/>
              <w:spacing w:before="0" w:beforeAutospacing="0" w:after="0" w:afterAutospacing="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kern w:val="2"/>
                <w:szCs w:val="24"/>
                <w:highlight w:val="none"/>
                <w14:textFill>
                  <w14:solidFill>
                    <w14:schemeClr w14:val="tx1"/>
                  </w14:solidFill>
                </w14:textFill>
              </w:rPr>
              <w:t>与项目有关的原有环境污染问题</w:t>
            </w:r>
          </w:p>
        </w:tc>
        <w:tc>
          <w:tcPr>
            <w:tcW w:w="8705" w:type="dxa"/>
            <w:vAlign w:val="center"/>
          </w:tcPr>
          <w:p w14:paraId="3726BC91">
            <w:pPr>
              <w:overflowPunct w:val="0"/>
              <w:spacing w:line="360" w:lineRule="auto"/>
              <w:ind w:firstLine="480"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本项目为新建项目，</w:t>
            </w:r>
            <w:r>
              <w:rPr>
                <w:rFonts w:hint="default" w:ascii="Times New Roman" w:hAnsi="Times New Roman" w:cs="Times New Roman"/>
                <w:color w:val="000000" w:themeColor="text1"/>
                <w:sz w:val="24"/>
                <w:highlight w:val="none"/>
                <w:lang w:val="en-US" w:eastAsia="zh-CN"/>
                <w14:textFill>
                  <w14:solidFill>
                    <w14:schemeClr w14:val="tx1"/>
                  </w14:solidFill>
                </w14:textFill>
              </w:rPr>
              <w:t>项目无原有环境问题</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14DA85C0">
            <w:pPr>
              <w:overflowPunct w:val="0"/>
              <w:spacing w:line="360" w:lineRule="auto"/>
              <w:jc w:val="both"/>
              <w:rPr>
                <w:rFonts w:hint="default" w:ascii="Times New Roman" w:hAnsi="Times New Roman" w:cs="Times New Roman"/>
                <w:color w:val="000000" w:themeColor="text1"/>
                <w:sz w:val="24"/>
                <w:highlight w:val="none"/>
                <w14:textFill>
                  <w14:solidFill>
                    <w14:schemeClr w14:val="tx1"/>
                  </w14:solidFill>
                </w14:textFill>
              </w:rPr>
            </w:pPr>
          </w:p>
          <w:p w14:paraId="6B7CA04A">
            <w:pPr>
              <w:overflowPunct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p>
          <w:p w14:paraId="2CA00A4C">
            <w:pPr>
              <w:overflowPunct w:val="0"/>
              <w:spacing w:line="360" w:lineRule="auto"/>
              <w:ind w:firstLine="420" w:firstLineChars="200"/>
              <w:jc w:val="both"/>
              <w:rPr>
                <w:rFonts w:hint="default" w:ascii="Times New Roman" w:hAnsi="Times New Roman" w:cs="Times New Roman"/>
                <w:color w:val="000000" w:themeColor="text1"/>
                <w:highlight w:val="none"/>
                <w14:textFill>
                  <w14:solidFill>
                    <w14:schemeClr w14:val="tx1"/>
                  </w14:solidFill>
                </w14:textFill>
              </w:rPr>
            </w:pPr>
          </w:p>
        </w:tc>
      </w:tr>
    </w:tbl>
    <w:p w14:paraId="1353E500">
      <w:pPr>
        <w:pStyle w:val="17"/>
        <w:jc w:val="cente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253B6B1">
      <w:pPr>
        <w:pStyle w:val="5"/>
        <w:bidi w:val="0"/>
        <w:jc w:val="center"/>
        <w:rPr>
          <w:rFonts w:hint="default" w:ascii="Times New Roman" w:hAnsi="Times New Roman" w:cs="Times New Roman"/>
          <w:color w:val="000000" w:themeColor="text1"/>
          <w:highlight w:val="none"/>
          <w14:textFill>
            <w14:solidFill>
              <w14:schemeClr w14:val="tx1"/>
            </w14:solidFill>
          </w14:textFill>
        </w:rPr>
      </w:pPr>
      <w:bookmarkStart w:id="14" w:name="_Toc21528"/>
      <w:bookmarkStart w:id="15" w:name="_Toc13172"/>
      <w:r>
        <w:rPr>
          <w:rFonts w:hint="eastAsia" w:ascii="宋体" w:hAnsi="宋体" w:eastAsia="宋体" w:cs="宋体"/>
          <w:color w:val="000000" w:themeColor="text1"/>
          <w:highlight w:val="none"/>
          <w14:textFill>
            <w14:solidFill>
              <w14:schemeClr w14:val="tx1"/>
            </w14:solidFill>
          </w14:textFill>
        </w:rPr>
        <w:t>三、区域环境质量现状、环境保护目标及评价标准</w:t>
      </w:r>
      <w:bookmarkEnd w:id="14"/>
      <w:bookmarkEnd w:id="15"/>
    </w:p>
    <w:tbl>
      <w:tblPr>
        <w:tblStyle w:val="20"/>
        <w:tblW w:w="96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76"/>
      </w:tblGrid>
      <w:tr w14:paraId="10CA0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FEC0BD1">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区域</w:t>
            </w:r>
          </w:p>
          <w:p w14:paraId="08BFFF1F">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环境</w:t>
            </w:r>
          </w:p>
          <w:p w14:paraId="54A55B02">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质量</w:t>
            </w:r>
          </w:p>
          <w:p w14:paraId="21930806">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现状</w:t>
            </w:r>
          </w:p>
        </w:tc>
        <w:tc>
          <w:tcPr>
            <w:tcW w:w="8904" w:type="dxa"/>
          </w:tcPr>
          <w:p w14:paraId="3B0DF9B4">
            <w:pPr>
              <w:spacing w:line="360" w:lineRule="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1、大气环境</w:t>
            </w:r>
          </w:p>
          <w:p w14:paraId="17B2A2A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根据《202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年黑龙江省生态环境</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质量</w:t>
            </w:r>
            <w:r>
              <w:rPr>
                <w:rFonts w:hint="default" w:ascii="Times New Roman" w:hAnsi="Times New Roman" w:cs="Times New Roman"/>
                <w:color w:val="000000" w:themeColor="text1"/>
                <w:sz w:val="24"/>
                <w:szCs w:val="24"/>
                <w:highlight w:val="none"/>
                <w14:textFill>
                  <w14:solidFill>
                    <w14:schemeClr w14:val="tx1"/>
                  </w14:solidFill>
                </w14:textFill>
              </w:rPr>
              <w:t>状况》中公布的数据。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2024年鸡西市各项污染物年均浓度综合情况如下表。</w:t>
            </w:r>
          </w:p>
          <w:p w14:paraId="55F013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 鸡西</w:t>
            </w:r>
            <w:r>
              <w:rPr>
                <w:rFonts w:hint="default" w:ascii="Times New Roman" w:hAnsi="Times New Roman" w:cs="Times New Roman"/>
                <w:b/>
                <w:bCs/>
                <w:color w:val="000000" w:themeColor="text1"/>
                <w:sz w:val="24"/>
                <w:szCs w:val="24"/>
                <w:highlight w:val="none"/>
                <w14:textFill>
                  <w14:solidFill>
                    <w14:schemeClr w14:val="tx1"/>
                  </w14:solidFill>
                </w14:textFill>
              </w:rPr>
              <w:t>市202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14:textFill>
                  <w14:solidFill>
                    <w14:schemeClr w14:val="tx1"/>
                  </w14:solidFill>
                </w14:textFill>
              </w:rPr>
              <w:t>年环境空气质量统计表   单位：μg/m</w:t>
            </w:r>
            <w:r>
              <w:rPr>
                <w:rFonts w:hint="default" w:ascii="Times New Roman" w:hAnsi="Times New Roman" w:cs="Times New Roman"/>
                <w:b/>
                <w:bCs/>
                <w:color w:val="000000" w:themeColor="text1"/>
                <w:sz w:val="24"/>
                <w:szCs w:val="24"/>
                <w:highlight w:val="none"/>
                <w:vertAlign w:val="superscript"/>
                <w14:textFill>
                  <w14:solidFill>
                    <w14:schemeClr w14:val="tx1"/>
                  </w14:solidFill>
                </w14:textFill>
              </w:rPr>
              <w:t>3</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484"/>
              <w:gridCol w:w="1222"/>
              <w:gridCol w:w="966"/>
              <w:gridCol w:w="1095"/>
              <w:gridCol w:w="1386"/>
            </w:tblGrid>
            <w:tr w14:paraId="514AFA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8BE25A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2991" w:type="dxa"/>
                  <w:tcBorders>
                    <w:tl2br w:val="nil"/>
                    <w:tr2bl w:val="nil"/>
                  </w:tcBorders>
                  <w:vAlign w:val="center"/>
                </w:tcPr>
                <w:p w14:paraId="1A9EBF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年评价指标</w:t>
                  </w:r>
                </w:p>
              </w:tc>
              <w:tc>
                <w:tcPr>
                  <w:tcW w:w="1049" w:type="dxa"/>
                  <w:tcBorders>
                    <w:tl2br w:val="nil"/>
                    <w:tr2bl w:val="nil"/>
                  </w:tcBorders>
                  <w:vAlign w:val="center"/>
                </w:tcPr>
                <w:p w14:paraId="334495E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现状浓度</w:t>
                  </w:r>
                </w:p>
              </w:tc>
              <w:tc>
                <w:tcPr>
                  <w:tcW w:w="829" w:type="dxa"/>
                  <w:tcBorders>
                    <w:tl2br w:val="nil"/>
                    <w:tr2bl w:val="nil"/>
                  </w:tcBorders>
                  <w:vAlign w:val="center"/>
                </w:tcPr>
                <w:p w14:paraId="53A8154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标准值</w:t>
                  </w:r>
                </w:p>
              </w:tc>
              <w:tc>
                <w:tcPr>
                  <w:tcW w:w="940" w:type="dxa"/>
                  <w:tcBorders>
                    <w:tl2br w:val="nil"/>
                    <w:tr2bl w:val="nil"/>
                  </w:tcBorders>
                  <w:vAlign w:val="center"/>
                </w:tcPr>
                <w:p w14:paraId="18B7DFD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占标率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90" w:type="dxa"/>
                  <w:tcBorders>
                    <w:tl2br w:val="nil"/>
                    <w:tr2bl w:val="nil"/>
                  </w:tcBorders>
                  <w:vAlign w:val="center"/>
                </w:tcPr>
                <w:p w14:paraId="2910BCD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达标情况</w:t>
                  </w:r>
                </w:p>
              </w:tc>
            </w:tr>
            <w:tr w14:paraId="101357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4F144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2991" w:type="dxa"/>
                  <w:tcBorders>
                    <w:tl2br w:val="nil"/>
                    <w:tr2bl w:val="nil"/>
                  </w:tcBorders>
                  <w:vAlign w:val="center"/>
                </w:tcPr>
                <w:p w14:paraId="50374DA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2095B0AA">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27</w:t>
                  </w:r>
                </w:p>
              </w:tc>
              <w:tc>
                <w:tcPr>
                  <w:tcW w:w="829" w:type="dxa"/>
                  <w:tcBorders>
                    <w:tl2br w:val="nil"/>
                    <w:tr2bl w:val="nil"/>
                  </w:tcBorders>
                  <w:vAlign w:val="center"/>
                </w:tcPr>
                <w:p w14:paraId="3AABDB23">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940" w:type="dxa"/>
                  <w:tcBorders>
                    <w:tl2br w:val="nil"/>
                    <w:tr2bl w:val="nil"/>
                  </w:tcBorders>
                  <w:vAlign w:val="center"/>
                </w:tcPr>
                <w:p w14:paraId="098B162A">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77.1</w:t>
                  </w:r>
                </w:p>
              </w:tc>
              <w:tc>
                <w:tcPr>
                  <w:tcW w:w="1190" w:type="dxa"/>
                  <w:tcBorders>
                    <w:tl2br w:val="nil"/>
                    <w:tr2bl w:val="nil"/>
                  </w:tcBorders>
                  <w:vAlign w:val="center"/>
                </w:tcPr>
                <w:p w14:paraId="188682B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达</w:t>
                  </w:r>
                  <w:r>
                    <w:rPr>
                      <w:rFonts w:hint="default" w:ascii="Times New Roman" w:hAnsi="Times New Roman" w:eastAsia="宋体" w:cs="Times New Roman"/>
                      <w:color w:val="000000" w:themeColor="text1"/>
                      <w:sz w:val="21"/>
                      <w:szCs w:val="21"/>
                      <w:highlight w:val="none"/>
                      <w14:textFill>
                        <w14:solidFill>
                          <w14:schemeClr w14:val="tx1"/>
                        </w14:solidFill>
                      </w14:textFill>
                    </w:rPr>
                    <w:t>标</w:t>
                  </w:r>
                </w:p>
              </w:tc>
            </w:tr>
            <w:tr w14:paraId="304608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01B3F2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2991" w:type="dxa"/>
                  <w:tcBorders>
                    <w:tl2br w:val="nil"/>
                    <w:tr2bl w:val="nil"/>
                  </w:tcBorders>
                  <w:vAlign w:val="center"/>
                </w:tcPr>
                <w:p w14:paraId="67CA412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500E8CD6">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46</w:t>
                  </w:r>
                </w:p>
              </w:tc>
              <w:tc>
                <w:tcPr>
                  <w:tcW w:w="829" w:type="dxa"/>
                  <w:tcBorders>
                    <w:tl2br w:val="nil"/>
                    <w:tr2bl w:val="nil"/>
                  </w:tcBorders>
                  <w:vAlign w:val="center"/>
                </w:tcPr>
                <w:p w14:paraId="360CFEA0">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940" w:type="dxa"/>
                  <w:tcBorders>
                    <w:tl2br w:val="nil"/>
                    <w:tr2bl w:val="nil"/>
                  </w:tcBorders>
                  <w:vAlign w:val="center"/>
                </w:tcPr>
                <w:p w14:paraId="5FC52131">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65.7</w:t>
                  </w:r>
                </w:p>
              </w:tc>
              <w:tc>
                <w:tcPr>
                  <w:tcW w:w="1190" w:type="dxa"/>
                  <w:tcBorders>
                    <w:tl2br w:val="nil"/>
                    <w:tr2bl w:val="nil"/>
                  </w:tcBorders>
                  <w:vAlign w:val="center"/>
                </w:tcPr>
                <w:p w14:paraId="386C87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33719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1FB6E1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991" w:type="dxa"/>
                  <w:tcBorders>
                    <w:tl2br w:val="nil"/>
                    <w:tr2bl w:val="nil"/>
                  </w:tcBorders>
                  <w:vAlign w:val="center"/>
                </w:tcPr>
                <w:p w14:paraId="7454B53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3B29CF43">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w:t>
                  </w:r>
                </w:p>
              </w:tc>
              <w:tc>
                <w:tcPr>
                  <w:tcW w:w="829" w:type="dxa"/>
                  <w:tcBorders>
                    <w:tl2br w:val="nil"/>
                    <w:tr2bl w:val="nil"/>
                  </w:tcBorders>
                  <w:vAlign w:val="center"/>
                </w:tcPr>
                <w:p w14:paraId="2D86FC01">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40" w:type="dxa"/>
                  <w:tcBorders>
                    <w:tl2br w:val="nil"/>
                    <w:tr2bl w:val="nil"/>
                  </w:tcBorders>
                  <w:vAlign w:val="center"/>
                </w:tcPr>
                <w:p w14:paraId="593CC32B">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42.5</w:t>
                  </w:r>
                </w:p>
              </w:tc>
              <w:tc>
                <w:tcPr>
                  <w:tcW w:w="1190" w:type="dxa"/>
                  <w:tcBorders>
                    <w:tl2br w:val="nil"/>
                    <w:tr2bl w:val="nil"/>
                  </w:tcBorders>
                  <w:vAlign w:val="center"/>
                </w:tcPr>
                <w:p w14:paraId="74B0F47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18A7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68C3DA4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991" w:type="dxa"/>
                  <w:tcBorders>
                    <w:tl2br w:val="nil"/>
                    <w:tr2bl w:val="nil"/>
                  </w:tcBorders>
                  <w:vAlign w:val="center"/>
                </w:tcPr>
                <w:p w14:paraId="5189225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049" w:type="dxa"/>
                  <w:tcBorders>
                    <w:tl2br w:val="nil"/>
                    <w:tr2bl w:val="nil"/>
                  </w:tcBorders>
                  <w:vAlign w:val="center"/>
                </w:tcPr>
                <w:p w14:paraId="5D586773">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p>
              </w:tc>
              <w:tc>
                <w:tcPr>
                  <w:tcW w:w="829" w:type="dxa"/>
                  <w:tcBorders>
                    <w:tl2br w:val="nil"/>
                    <w:tr2bl w:val="nil"/>
                  </w:tcBorders>
                  <w:vAlign w:val="center"/>
                </w:tcPr>
                <w:p w14:paraId="0F421D4C">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940" w:type="dxa"/>
                  <w:tcBorders>
                    <w:tl2br w:val="nil"/>
                    <w:tr2bl w:val="nil"/>
                  </w:tcBorders>
                  <w:vAlign w:val="center"/>
                </w:tcPr>
                <w:p w14:paraId="7C121A00">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13.3</w:t>
                  </w:r>
                </w:p>
              </w:tc>
              <w:tc>
                <w:tcPr>
                  <w:tcW w:w="1190" w:type="dxa"/>
                  <w:tcBorders>
                    <w:tl2br w:val="nil"/>
                    <w:tr2bl w:val="nil"/>
                  </w:tcBorders>
                  <w:vAlign w:val="center"/>
                </w:tcPr>
                <w:p w14:paraId="1679D34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07FC87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58CDEF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2991" w:type="dxa"/>
                  <w:tcBorders>
                    <w:tl2br w:val="nil"/>
                    <w:tr2bl w:val="nil"/>
                  </w:tcBorders>
                  <w:vAlign w:val="center"/>
                </w:tcPr>
                <w:p w14:paraId="2F5653A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第95百分位数日平均浓度（</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049" w:type="dxa"/>
                  <w:tcBorders>
                    <w:tl2br w:val="nil"/>
                    <w:tr2bl w:val="nil"/>
                  </w:tcBorders>
                  <w:vAlign w:val="center"/>
                </w:tcPr>
                <w:p w14:paraId="64B788FE">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829" w:type="dxa"/>
                  <w:tcBorders>
                    <w:tl2br w:val="nil"/>
                    <w:tr2bl w:val="nil"/>
                  </w:tcBorders>
                  <w:vAlign w:val="center"/>
                </w:tcPr>
                <w:p w14:paraId="78C8379E">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40" w:type="dxa"/>
                  <w:tcBorders>
                    <w:tl2br w:val="nil"/>
                    <w:tr2bl w:val="nil"/>
                  </w:tcBorders>
                  <w:vAlign w:val="center"/>
                </w:tcPr>
                <w:p w14:paraId="761CDF2A">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c>
                <w:tcPr>
                  <w:tcW w:w="1190" w:type="dxa"/>
                  <w:tcBorders>
                    <w:tl2br w:val="nil"/>
                    <w:tr2bl w:val="nil"/>
                  </w:tcBorders>
                  <w:vAlign w:val="center"/>
                </w:tcPr>
                <w:p w14:paraId="5244B3B9">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399DD5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027C76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O</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p>
              </w:tc>
              <w:tc>
                <w:tcPr>
                  <w:tcW w:w="2991" w:type="dxa"/>
                  <w:tcBorders>
                    <w:tl2br w:val="nil"/>
                    <w:tr2bl w:val="nil"/>
                  </w:tcBorders>
                  <w:vAlign w:val="center"/>
                </w:tcPr>
                <w:p w14:paraId="7B6EA62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第90</w:t>
                  </w:r>
                  <w:r>
                    <w:rPr>
                      <w:rFonts w:hint="default" w:ascii="Times New Roman" w:hAnsi="Times New Roman" w:eastAsia="宋体" w:cs="Times New Roman"/>
                      <w:color w:val="000000" w:themeColor="text1"/>
                      <w:sz w:val="21"/>
                      <w:szCs w:val="21"/>
                      <w:highlight w:val="none"/>
                      <w14:textFill>
                        <w14:solidFill>
                          <w14:schemeClr w14:val="tx1"/>
                        </w14:solidFill>
                      </w14:textFill>
                    </w:rPr>
                    <w:t>百分位数8h平均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p>
              </w:tc>
              <w:tc>
                <w:tcPr>
                  <w:tcW w:w="1049" w:type="dxa"/>
                  <w:tcBorders>
                    <w:tl2br w:val="nil"/>
                    <w:tr2bl w:val="nil"/>
                  </w:tcBorders>
                  <w:vAlign w:val="center"/>
                </w:tcPr>
                <w:p w14:paraId="399945C8">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90</w:t>
                  </w:r>
                </w:p>
              </w:tc>
              <w:tc>
                <w:tcPr>
                  <w:tcW w:w="829" w:type="dxa"/>
                  <w:tcBorders>
                    <w:tl2br w:val="nil"/>
                    <w:tr2bl w:val="nil"/>
                  </w:tcBorders>
                  <w:vAlign w:val="center"/>
                </w:tcPr>
                <w:p w14:paraId="12F5595C">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940" w:type="dxa"/>
                  <w:tcBorders>
                    <w:tl2br w:val="nil"/>
                    <w:tr2bl w:val="nil"/>
                  </w:tcBorders>
                  <w:vAlign w:val="center"/>
                </w:tcPr>
                <w:p w14:paraId="07480D17">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56.3</w:t>
                  </w:r>
                </w:p>
              </w:tc>
              <w:tc>
                <w:tcPr>
                  <w:tcW w:w="1190" w:type="dxa"/>
                  <w:tcBorders>
                    <w:tl2br w:val="nil"/>
                    <w:tr2bl w:val="nil"/>
                  </w:tcBorders>
                  <w:vAlign w:val="center"/>
                </w:tcPr>
                <w:p w14:paraId="2BEBF9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14:paraId="15A2B3A1">
            <w:pPr>
              <w:spacing w:line="460" w:lineRule="exact"/>
              <w:ind w:firstLine="480" w:firstLineChars="200"/>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由表3-1可知，2024年鸡西市空气基本污染物中</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cs="Times New Roman"/>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年平均质量浓度</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highlight w:val="none"/>
                <w14:textFill>
                  <w14:solidFill>
                    <w14:schemeClr w14:val="tx1"/>
                  </w14:solidFill>
                </w14:textFill>
              </w:rPr>
              <w:t>CO</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第95百分位数日平均浓度、O</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第90</w:t>
            </w:r>
            <w:r>
              <w:rPr>
                <w:rFonts w:hint="default" w:ascii="Times New Roman" w:hAnsi="Times New Roman" w:eastAsia="宋体" w:cs="Times New Roman"/>
                <w:color w:val="000000" w:themeColor="text1"/>
                <w:sz w:val="24"/>
                <w:szCs w:val="24"/>
                <w:highlight w:val="none"/>
                <w14:textFill>
                  <w14:solidFill>
                    <w14:schemeClr w14:val="tx1"/>
                  </w14:solidFill>
                </w14:textFill>
              </w:rPr>
              <w:t>百分位数8h平均</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4"/>
                <w:szCs w:val="24"/>
                <w:highlight w:val="none"/>
                <w14:textFill>
                  <w14:solidFill>
                    <w14:schemeClr w14:val="tx1"/>
                  </w14:solidFill>
                </w14:textFill>
              </w:rPr>
              <w:t>浓度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满足</w:t>
            </w:r>
            <w:r>
              <w:rPr>
                <w:rFonts w:hint="default" w:ascii="Times New Roman" w:hAnsi="Times New Roman" w:cs="Times New Roman"/>
                <w:color w:val="000000" w:themeColor="text1"/>
                <w:kern w:val="0"/>
                <w:sz w:val="24"/>
                <w:szCs w:val="24"/>
                <w:highlight w:val="none"/>
                <w14:textFill>
                  <w14:solidFill>
                    <w14:schemeClr w14:val="tx1"/>
                  </w14:solidFill>
                </w14:textFill>
              </w:rPr>
              <w:t>《环境空气质量标准》（GB3095-2012）中的二级标准</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因此判定本项目区域环境空气质量为达标区。</w:t>
            </w:r>
          </w:p>
          <w:p w14:paraId="0C6C9297">
            <w:pPr>
              <w:spacing w:line="460" w:lineRule="exact"/>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特征污染物  </w:t>
            </w:r>
          </w:p>
          <w:p w14:paraId="1DABDD93">
            <w:pPr>
              <w:spacing w:line="460" w:lineRule="exact"/>
              <w:ind w:firstLine="480" w:firstLineChars="200"/>
              <w:rPr>
                <w:rFonts w:hint="default" w:ascii="Times New Roman" w:hAnsi="Times New Roman" w:cs="Times New Roman" w:eastAsiaTheme="minorEastAsia"/>
                <w:b/>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次评价对特征污染物TSP进行了补充监测，委托鸡西晟源环境检测有限公司进行监测（报告编号：SY-BG-20250228-04），监测时间为2025年2月22日－2月24日，连续监测3天，24小时平均值。本项目在当季主导风向厂址下风向布设1个监测点位。监测点位基本信息见表3-2，质量现状见表3-3，监测点位图见图3-1。</w:t>
            </w:r>
          </w:p>
          <w:p w14:paraId="14156EC0">
            <w:pPr>
              <w:pStyle w:val="45"/>
              <w:bidi w:val="0"/>
              <w:rPr>
                <w:rFonts w:hint="default" w:ascii="Times New Roman" w:hAnsi="Times New Roman" w:cs="Times New Roman"/>
                <w:b w:val="0"/>
                <w:bCs/>
                <w:color w:val="auto"/>
                <w:kern w:val="2"/>
                <w:highlight w:val="none"/>
              </w:rPr>
            </w:pPr>
            <w:r>
              <w:rPr>
                <w:rFonts w:hint="default" w:ascii="Times New Roman" w:hAnsi="Times New Roman" w:cs="Times New Roman" w:eastAsiaTheme="minorEastAsia"/>
                <w:b/>
                <w:bCs w:val="0"/>
                <w:color w:val="auto"/>
                <w:kern w:val="2"/>
                <w:sz w:val="24"/>
                <w:szCs w:val="24"/>
                <w:highlight w:val="none"/>
              </w:rPr>
              <w:t>表3-</w:t>
            </w:r>
            <w:r>
              <w:rPr>
                <w:rFonts w:hint="default" w:ascii="Times New Roman" w:hAnsi="Times New Roman" w:cs="Times New Roman" w:eastAsiaTheme="minorEastAsia"/>
                <w:b/>
                <w:bCs w:val="0"/>
                <w:color w:val="auto"/>
                <w:kern w:val="2"/>
                <w:sz w:val="24"/>
                <w:szCs w:val="24"/>
                <w:highlight w:val="none"/>
                <w:lang w:val="en-US" w:eastAsia="zh-CN"/>
              </w:rPr>
              <w:t>2</w:t>
            </w:r>
            <w:r>
              <w:rPr>
                <w:rFonts w:hint="default" w:ascii="Times New Roman" w:hAnsi="Times New Roman" w:cs="Times New Roman" w:eastAsiaTheme="minorEastAsia"/>
                <w:b/>
                <w:bCs w:val="0"/>
                <w:color w:val="auto"/>
                <w:kern w:val="2"/>
                <w:sz w:val="24"/>
                <w:szCs w:val="24"/>
                <w:highlight w:val="none"/>
              </w:rPr>
              <w:t xml:space="preserve">  大气其他污染物补充监测点位基本信息</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1509"/>
              <w:gridCol w:w="1616"/>
              <w:gridCol w:w="2001"/>
              <w:gridCol w:w="2293"/>
            </w:tblGrid>
            <w:tr w14:paraId="25B4F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35" w:type="pct"/>
                  <w:vMerge w:val="restart"/>
                  <w:tcBorders>
                    <w:tl2br w:val="nil"/>
                    <w:tr2bl w:val="nil"/>
                  </w:tcBorders>
                  <w:noWrap w:val="0"/>
                  <w:vAlign w:val="center"/>
                </w:tcPr>
                <w:p w14:paraId="54C1F7A2">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监测点名称</w:t>
                  </w:r>
                </w:p>
              </w:tc>
              <w:tc>
                <w:tcPr>
                  <w:tcW w:w="806" w:type="pct"/>
                  <w:vMerge w:val="restart"/>
                  <w:tcBorders>
                    <w:tl2br w:val="nil"/>
                    <w:tr2bl w:val="nil"/>
                  </w:tcBorders>
                  <w:noWrap w:val="0"/>
                  <w:vAlign w:val="center"/>
                </w:tcPr>
                <w:p w14:paraId="6CD22A5B">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863" w:type="pct"/>
                  <w:vMerge w:val="restart"/>
                  <w:tcBorders>
                    <w:tl2br w:val="nil"/>
                    <w:tr2bl w:val="nil"/>
                  </w:tcBorders>
                  <w:noWrap w:val="0"/>
                  <w:vAlign w:val="center"/>
                </w:tcPr>
                <w:p w14:paraId="639D063E">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监测时段</w:t>
                  </w:r>
                </w:p>
              </w:tc>
              <w:tc>
                <w:tcPr>
                  <w:tcW w:w="1069" w:type="pct"/>
                  <w:vMerge w:val="restart"/>
                  <w:tcBorders>
                    <w:tl2br w:val="nil"/>
                    <w:tr2bl w:val="nil"/>
                  </w:tcBorders>
                  <w:noWrap w:val="0"/>
                  <w:vAlign w:val="center"/>
                </w:tcPr>
                <w:p w14:paraId="64063046">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相对厂址方位</w:t>
                  </w:r>
                </w:p>
              </w:tc>
              <w:tc>
                <w:tcPr>
                  <w:tcW w:w="1225" w:type="pct"/>
                  <w:vMerge w:val="restart"/>
                  <w:tcBorders>
                    <w:tl2br w:val="nil"/>
                    <w:tr2bl w:val="nil"/>
                  </w:tcBorders>
                  <w:noWrap w:val="0"/>
                  <w:vAlign w:val="center"/>
                </w:tcPr>
                <w:p w14:paraId="5BA69C18">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相对厂界距离（m）</w:t>
                  </w:r>
                </w:p>
              </w:tc>
            </w:tr>
            <w:tr w14:paraId="66935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35" w:type="pct"/>
                  <w:vMerge w:val="continue"/>
                  <w:tcBorders>
                    <w:tl2br w:val="nil"/>
                    <w:tr2bl w:val="nil"/>
                  </w:tcBorders>
                  <w:noWrap w:val="0"/>
                  <w:vAlign w:val="center"/>
                </w:tcPr>
                <w:p w14:paraId="5FFC9D5F">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p>
              </w:tc>
              <w:tc>
                <w:tcPr>
                  <w:tcW w:w="806" w:type="pct"/>
                  <w:vMerge w:val="continue"/>
                  <w:tcBorders>
                    <w:tl2br w:val="nil"/>
                    <w:tr2bl w:val="nil"/>
                  </w:tcBorders>
                  <w:noWrap w:val="0"/>
                  <w:vAlign w:val="center"/>
                </w:tcPr>
                <w:p w14:paraId="7193C159">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p>
              </w:tc>
              <w:tc>
                <w:tcPr>
                  <w:tcW w:w="863" w:type="pct"/>
                  <w:vMerge w:val="continue"/>
                  <w:tcBorders>
                    <w:tl2br w:val="nil"/>
                    <w:tr2bl w:val="nil"/>
                  </w:tcBorders>
                  <w:noWrap w:val="0"/>
                  <w:vAlign w:val="center"/>
                </w:tcPr>
                <w:p w14:paraId="3B1B5267">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p>
              </w:tc>
              <w:tc>
                <w:tcPr>
                  <w:tcW w:w="1069" w:type="pct"/>
                  <w:vMerge w:val="continue"/>
                  <w:tcBorders>
                    <w:tl2br w:val="nil"/>
                    <w:tr2bl w:val="nil"/>
                  </w:tcBorders>
                  <w:noWrap w:val="0"/>
                  <w:vAlign w:val="center"/>
                </w:tcPr>
                <w:p w14:paraId="4CFFD50B">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p>
              </w:tc>
              <w:tc>
                <w:tcPr>
                  <w:tcW w:w="1225" w:type="pct"/>
                  <w:vMerge w:val="continue"/>
                  <w:tcBorders>
                    <w:tl2br w:val="nil"/>
                    <w:tr2bl w:val="nil"/>
                  </w:tcBorders>
                  <w:noWrap w:val="0"/>
                  <w:vAlign w:val="center"/>
                </w:tcPr>
                <w:p w14:paraId="31D73EF6">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pPr>
                </w:p>
              </w:tc>
            </w:tr>
            <w:tr w14:paraId="6A0BE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35" w:type="pct"/>
                  <w:tcBorders>
                    <w:tl2br w:val="nil"/>
                    <w:tr2bl w:val="nil"/>
                  </w:tcBorders>
                  <w:noWrap w:val="0"/>
                  <w:vAlign w:val="center"/>
                </w:tcPr>
                <w:p w14:paraId="580ADE28">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厂址下风向</w:t>
                  </w:r>
                </w:p>
              </w:tc>
              <w:tc>
                <w:tcPr>
                  <w:tcW w:w="806" w:type="pct"/>
                  <w:tcBorders>
                    <w:tl2br w:val="nil"/>
                    <w:tr2bl w:val="nil"/>
                  </w:tcBorders>
                  <w:noWrap w:val="0"/>
                  <w:vAlign w:val="center"/>
                </w:tcPr>
                <w:p w14:paraId="27F8FE62">
                  <w:pPr>
                    <w:pStyle w:val="46"/>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TSP</w:t>
                  </w:r>
                </w:p>
              </w:tc>
              <w:tc>
                <w:tcPr>
                  <w:tcW w:w="863" w:type="pct"/>
                  <w:tcBorders>
                    <w:tl2br w:val="nil"/>
                    <w:tr2bl w:val="nil"/>
                  </w:tcBorders>
                  <w:noWrap w:val="0"/>
                  <w:vAlign w:val="center"/>
                </w:tcPr>
                <w:p w14:paraId="6673BE81">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2.22-2.24</w:t>
                  </w:r>
                </w:p>
              </w:tc>
              <w:tc>
                <w:tcPr>
                  <w:tcW w:w="1069" w:type="pct"/>
                  <w:tcBorders>
                    <w:tl2br w:val="nil"/>
                    <w:tr2bl w:val="nil"/>
                  </w:tcBorders>
                  <w:noWrap w:val="0"/>
                  <w:vAlign w:val="center"/>
                </w:tcPr>
                <w:p w14:paraId="267A1221">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东</w:t>
                  </w:r>
                </w:p>
              </w:tc>
              <w:tc>
                <w:tcPr>
                  <w:tcW w:w="1225" w:type="pct"/>
                  <w:tcBorders>
                    <w:tl2br w:val="nil"/>
                    <w:tr2bl w:val="nil"/>
                  </w:tcBorders>
                  <w:noWrap w:val="0"/>
                  <w:vAlign w:val="center"/>
                </w:tcPr>
                <w:p w14:paraId="0FA568C8">
                  <w:pPr>
                    <w:pStyle w:val="46"/>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500</w:t>
                  </w:r>
                </w:p>
              </w:tc>
            </w:tr>
          </w:tbl>
          <w:p w14:paraId="4D939755">
            <w:pPr>
              <w:pStyle w:val="47"/>
              <w:rPr>
                <w:rFonts w:hint="default" w:ascii="Times New Roman" w:hAnsi="Times New Roman" w:cs="Times New Roman" w:eastAsiaTheme="minorEastAsia"/>
                <w:b/>
                <w:bCs w:val="0"/>
                <w:color w:val="auto"/>
                <w:kern w:val="2"/>
                <w:sz w:val="24"/>
                <w:szCs w:val="24"/>
                <w:highlight w:val="none"/>
                <w:lang w:val="en-US" w:eastAsia="zh-CN" w:bidi="ar-SA"/>
              </w:rPr>
            </w:pPr>
          </w:p>
          <w:p w14:paraId="3E131315">
            <w:pPr>
              <w:pStyle w:val="47"/>
              <w:rPr>
                <w:rFonts w:hint="default" w:ascii="Times New Roman" w:hAnsi="Times New Roman" w:cs="Times New Roman" w:eastAsiaTheme="minorEastAsia"/>
                <w:b/>
                <w:bCs w:val="0"/>
                <w:color w:val="auto"/>
                <w:kern w:val="2"/>
                <w:sz w:val="24"/>
                <w:szCs w:val="24"/>
                <w:highlight w:val="none"/>
                <w:lang w:val="en-US" w:eastAsia="zh-CN" w:bidi="ar-SA"/>
              </w:rPr>
            </w:pPr>
            <w:r>
              <w:rPr>
                <w:rFonts w:hint="default" w:ascii="Times New Roman" w:hAnsi="Times New Roman" w:cs="Times New Roman" w:eastAsiaTheme="minorEastAsia"/>
                <w:b/>
                <w:bCs w:val="0"/>
                <w:color w:val="auto"/>
                <w:kern w:val="2"/>
                <w:sz w:val="24"/>
                <w:szCs w:val="24"/>
                <w:highlight w:val="none"/>
                <w:lang w:val="en-US" w:eastAsia="zh-CN" w:bidi="ar-SA"/>
              </w:rPr>
              <w:t>表3-3  大气其他污染物环境质量现状（监测结果）表  （单位：</w:t>
            </w:r>
            <w:r>
              <w:rPr>
                <w:rFonts w:hint="default" w:ascii="Times New Roman" w:hAnsi="Times New Roman" w:eastAsia="宋体" w:cs="Times New Roman"/>
                <w:b/>
                <w:bCs/>
                <w:color w:val="auto"/>
                <w:sz w:val="21"/>
                <w:szCs w:val="21"/>
                <w:highlight w:val="none"/>
                <w:lang w:val="en-US" w:eastAsia="zh-CN"/>
              </w:rPr>
              <w:t>μ</w:t>
            </w:r>
            <w:r>
              <w:rPr>
                <w:rFonts w:hint="default" w:ascii="Times New Roman" w:hAnsi="Times New Roman" w:cs="Times New Roman" w:eastAsiaTheme="minorEastAsia"/>
                <w:b/>
                <w:bCs/>
                <w:color w:val="auto"/>
                <w:kern w:val="2"/>
                <w:sz w:val="24"/>
                <w:szCs w:val="24"/>
                <w:highlight w:val="none"/>
                <w:lang w:val="en-US" w:eastAsia="zh-CN" w:bidi="ar-SA"/>
              </w:rPr>
              <w:t>g</w:t>
            </w:r>
            <w:r>
              <w:rPr>
                <w:rFonts w:hint="default" w:ascii="Times New Roman" w:hAnsi="Times New Roman" w:cs="Times New Roman" w:eastAsiaTheme="minorEastAsia"/>
                <w:b/>
                <w:bCs w:val="0"/>
                <w:color w:val="auto"/>
                <w:kern w:val="2"/>
                <w:sz w:val="24"/>
                <w:szCs w:val="24"/>
                <w:highlight w:val="none"/>
                <w:lang w:val="en-US" w:eastAsia="zh-CN" w:bidi="ar-SA"/>
              </w:rPr>
              <w:t>/m</w:t>
            </w:r>
            <w:r>
              <w:rPr>
                <w:rFonts w:hint="default" w:ascii="Times New Roman" w:hAnsi="Times New Roman" w:cs="Times New Roman" w:eastAsiaTheme="minorEastAsia"/>
                <w:b/>
                <w:bCs w:val="0"/>
                <w:color w:val="auto"/>
                <w:kern w:val="2"/>
                <w:sz w:val="24"/>
                <w:szCs w:val="24"/>
                <w:highlight w:val="none"/>
                <w:vertAlign w:val="superscript"/>
                <w:lang w:val="en-US" w:eastAsia="zh-CN" w:bidi="ar-SA"/>
              </w:rPr>
              <w:t>3</w:t>
            </w:r>
            <w:r>
              <w:rPr>
                <w:rFonts w:hint="default" w:ascii="Times New Roman" w:hAnsi="Times New Roman" w:cs="Times New Roman" w:eastAsiaTheme="minorEastAsia"/>
                <w:b/>
                <w:bCs w:val="0"/>
                <w:color w:val="auto"/>
                <w:kern w:val="2"/>
                <w:sz w:val="24"/>
                <w:szCs w:val="24"/>
                <w:highlight w:val="none"/>
                <w:lang w:val="en-US" w:eastAsia="zh-CN" w:bidi="ar-SA"/>
              </w:rPr>
              <w:t>）</w:t>
            </w:r>
          </w:p>
          <w:tbl>
            <w:tblPr>
              <w:tblStyle w:val="2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857"/>
              <w:gridCol w:w="1349"/>
              <w:gridCol w:w="1510"/>
              <w:gridCol w:w="1040"/>
              <w:gridCol w:w="1336"/>
              <w:gridCol w:w="1339"/>
            </w:tblGrid>
            <w:tr w14:paraId="3679E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25" w:type="pct"/>
                  <w:noWrap w:val="0"/>
                  <w:vAlign w:val="center"/>
                </w:tcPr>
                <w:p w14:paraId="7947E659">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458" w:type="pct"/>
                  <w:noWrap w:val="0"/>
                  <w:vAlign w:val="center"/>
                </w:tcPr>
                <w:p w14:paraId="1FFF1A3A">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721" w:type="pct"/>
                  <w:noWrap w:val="0"/>
                  <w:vAlign w:val="center"/>
                </w:tcPr>
                <w:p w14:paraId="4EA36FD4">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评价标准（μg/m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807" w:type="pct"/>
                  <w:noWrap w:val="0"/>
                  <w:vAlign w:val="center"/>
                </w:tcPr>
                <w:p w14:paraId="3C43A89A">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浓度范围（μg/m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556" w:type="pct"/>
                  <w:noWrap w:val="0"/>
                  <w:vAlign w:val="center"/>
                </w:tcPr>
                <w:p w14:paraId="45F2368F">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最大占标率%</w:t>
                  </w:r>
                </w:p>
              </w:tc>
              <w:tc>
                <w:tcPr>
                  <w:tcW w:w="714" w:type="pct"/>
                  <w:noWrap w:val="0"/>
                  <w:vAlign w:val="center"/>
                </w:tcPr>
                <w:p w14:paraId="0FB51BC2">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超标率%</w:t>
                  </w:r>
                </w:p>
              </w:tc>
              <w:tc>
                <w:tcPr>
                  <w:tcW w:w="715" w:type="pct"/>
                  <w:noWrap w:val="0"/>
                  <w:vAlign w:val="center"/>
                </w:tcPr>
                <w:p w14:paraId="18ED056E">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r>
            <w:tr w14:paraId="7252E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25" w:type="pct"/>
                  <w:noWrap w:val="0"/>
                  <w:vAlign w:val="center"/>
                </w:tcPr>
                <w:p w14:paraId="5EF04B73">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下风向监测点</w:t>
                  </w:r>
                </w:p>
              </w:tc>
              <w:tc>
                <w:tcPr>
                  <w:tcW w:w="458" w:type="pct"/>
                  <w:noWrap w:val="0"/>
                  <w:vAlign w:val="center"/>
                </w:tcPr>
                <w:p w14:paraId="55EE2BEF">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721" w:type="pct"/>
                  <w:noWrap w:val="0"/>
                  <w:vAlign w:val="center"/>
                </w:tcPr>
                <w:p w14:paraId="5E7F69D8">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807" w:type="pct"/>
                  <w:noWrap w:val="0"/>
                  <w:vAlign w:val="center"/>
                </w:tcPr>
                <w:p w14:paraId="51D962FA">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106-109</w:t>
                  </w:r>
                </w:p>
              </w:tc>
              <w:tc>
                <w:tcPr>
                  <w:tcW w:w="556" w:type="pct"/>
                  <w:noWrap w:val="0"/>
                  <w:vAlign w:val="center"/>
                </w:tcPr>
                <w:p w14:paraId="3C53265F">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36.3</w:t>
                  </w:r>
                </w:p>
              </w:tc>
              <w:tc>
                <w:tcPr>
                  <w:tcW w:w="714" w:type="pct"/>
                  <w:noWrap w:val="0"/>
                  <w:vAlign w:val="center"/>
                </w:tcPr>
                <w:p w14:paraId="7B0FC641">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15" w:type="pct"/>
                  <w:noWrap w:val="0"/>
                  <w:vAlign w:val="center"/>
                </w:tcPr>
                <w:p w14:paraId="09D27064">
                  <w:pPr>
                    <w:pStyle w:val="48"/>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0C19B8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由上表可以看出，本项目TSP 24小时平均浓度值满足《环境空气质量标准》（GB3095-2012）及其修改单二级标准要求，区域环境空气质量良好</w:t>
            </w:r>
            <w:r>
              <w:rPr>
                <w:rFonts w:hint="default" w:ascii="Times New Roman" w:hAnsi="Times New Roman" w:eastAsia="宋体" w:cs="Times New Roman"/>
                <w:color w:val="auto"/>
                <w:sz w:val="24"/>
                <w:szCs w:val="32"/>
                <w:highlight w:val="none"/>
                <w:lang w:val="en-US" w:eastAsia="zh-CN"/>
              </w:rPr>
              <w:t>。</w:t>
            </w:r>
          </w:p>
          <w:p w14:paraId="1AF2C432">
            <w:pPr>
              <w:keepNext/>
              <w:keepLines w:val="0"/>
              <w:pageBreakBefore w:val="0"/>
              <w:widowControl w:val="0"/>
              <w:kinsoku/>
              <w:wordWrap/>
              <w:overflowPunct w:val="0"/>
              <w:topLinePunct w:val="0"/>
              <w:autoSpaceDE/>
              <w:autoSpaceDN/>
              <w:bidi w:val="0"/>
              <w:adjustRightInd/>
              <w:snapToGrid w:val="0"/>
              <w:spacing w:before="0" w:after="0" w:line="260" w:lineRule="auto"/>
              <w:ind w:left="0" w:leftChars="0" w:hanging="11" w:firstLineChars="0"/>
              <w:jc w:val="center"/>
              <w:textAlignment w:val="auto"/>
              <w:outlineLvl w:val="9"/>
              <w:rPr>
                <w:rFonts w:hint="default" w:ascii="Times New Roman" w:hAnsi="Times New Roman" w:cs="Times New Roman" w:eastAsiaTheme="minorEastAsia"/>
                <w:b/>
                <w:bCs w:val="0"/>
                <w:color w:val="000000" w:themeColor="text1"/>
                <w:kern w:val="2"/>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anchor distT="0" distB="0" distL="114935" distR="114935" simplePos="0" relativeHeight="251694080" behindDoc="0" locked="0" layoutInCell="1" allowOverlap="1">
                  <wp:simplePos x="0" y="0"/>
                  <wp:positionH relativeFrom="column">
                    <wp:posOffset>5158740</wp:posOffset>
                  </wp:positionH>
                  <wp:positionV relativeFrom="paragraph">
                    <wp:posOffset>13335</wp:posOffset>
                  </wp:positionV>
                  <wp:extent cx="723265" cy="713105"/>
                  <wp:effectExtent l="0" t="0" r="635" b="10795"/>
                  <wp:wrapNone/>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16"/>
                          <a:stretch>
                            <a:fillRect/>
                          </a:stretch>
                        </pic:blipFill>
                        <pic:spPr>
                          <a:xfrm>
                            <a:off x="0" y="0"/>
                            <a:ext cx="723265" cy="713105"/>
                          </a:xfrm>
                          <a:prstGeom prst="rect">
                            <a:avLst/>
                          </a:prstGeom>
                          <a:noFill/>
                          <a:ln>
                            <a:noFill/>
                          </a:ln>
                        </pic:spPr>
                      </pic:pic>
                    </a:graphicData>
                  </a:graphic>
                </wp:anchor>
              </w:drawing>
            </w:r>
            <w:r>
              <w:rPr>
                <w:rFonts w:hint="default" w:ascii="Times New Roman" w:hAnsi="Times New Roman" w:cs="Times New Roman"/>
                <w:highlight w:val="none"/>
              </w:rPr>
              <w:drawing>
                <wp:anchor distT="0" distB="0" distL="114300" distR="114300" simplePos="0" relativeHeight="251702272" behindDoc="0" locked="0" layoutInCell="1" allowOverlap="1">
                  <wp:simplePos x="0" y="0"/>
                  <wp:positionH relativeFrom="column">
                    <wp:posOffset>4652010</wp:posOffset>
                  </wp:positionH>
                  <wp:positionV relativeFrom="paragraph">
                    <wp:posOffset>2696845</wp:posOffset>
                  </wp:positionV>
                  <wp:extent cx="238125" cy="238125"/>
                  <wp:effectExtent l="0" t="0" r="9525" b="9525"/>
                  <wp:wrapNone/>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17"/>
                          <a:stretch>
                            <a:fillRect/>
                          </a:stretch>
                        </pic:blipFill>
                        <pic:spPr>
                          <a:xfrm>
                            <a:off x="0" y="0"/>
                            <a:ext cx="238125" cy="238125"/>
                          </a:xfrm>
                          <a:prstGeom prst="rect">
                            <a:avLst/>
                          </a:prstGeom>
                          <a:noFill/>
                          <a:ln>
                            <a:noFill/>
                          </a:ln>
                        </pic:spPr>
                      </pic:pic>
                    </a:graphicData>
                  </a:graphic>
                </wp:anchor>
              </w:drawing>
            </w:r>
            <w:r>
              <w:rPr>
                <w:rFonts w:hint="default" w:ascii="Times New Roman" w:hAnsi="Times New Roman" w:cs="Times New Roman"/>
                <w:color w:val="auto"/>
                <w:sz w:val="21"/>
                <w:highlight w:val="none"/>
              </w:rPr>
              <mc:AlternateContent>
                <mc:Choice Requires="wps">
                  <w:drawing>
                    <wp:anchor distT="0" distB="0" distL="114300" distR="114300" simplePos="0" relativeHeight="251703296" behindDoc="0" locked="0" layoutInCell="1" allowOverlap="1">
                      <wp:simplePos x="0" y="0"/>
                      <wp:positionH relativeFrom="column">
                        <wp:posOffset>4516755</wp:posOffset>
                      </wp:positionH>
                      <wp:positionV relativeFrom="paragraph">
                        <wp:posOffset>2456180</wp:posOffset>
                      </wp:positionV>
                      <wp:extent cx="314325" cy="152400"/>
                      <wp:effectExtent l="6350" t="6350" r="22225" b="12700"/>
                      <wp:wrapNone/>
                      <wp:docPr id="69" name="矩形 69"/>
                      <wp:cNvGraphicFramePr/>
                      <a:graphic xmlns:a="http://schemas.openxmlformats.org/drawingml/2006/main">
                        <a:graphicData uri="http://schemas.microsoft.com/office/word/2010/wordprocessingShape">
                          <wps:wsp>
                            <wps:cNvSpPr/>
                            <wps:spPr>
                              <a:xfrm>
                                <a:off x="0" y="0"/>
                                <a:ext cx="314325" cy="152400"/>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65pt;margin-top:193.4pt;height:12pt;width:24.75pt;z-index:251703296;v-text-anchor:middle;mso-width-relative:page;mso-height-relative:page;" fillcolor="#FFFFFF [3212]" filled="t" stroked="t" coordsize="21600,21600" o:gfxdata="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gJxnx2AAAAAsBAAAPAAAAAAAAAAEAIAAAACIAAABkcnMvZG93&#10;bnJldi54bWxQSwECFAAUAAAACACHTuJAxNtGBnICAAD1BAAADgAAAAAAAAABACAAAAAnAQAAZHJz&#10;L2Uyb0RvYy54bWxQSwUGAAAAAAYABgBZAQAACwYAAAAA&#10;">
                      <v:fill on="t" focussize="0,0"/>
                      <v:stroke weight="1pt" color="#FF0000 [2404]" miterlimit="8" joinstyle="miter"/>
                      <v:imagedata o:title=""/>
                      <o:lock v:ext="edit" aspectratio="f"/>
                    </v:rect>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701248" behindDoc="0" locked="0" layoutInCell="1" allowOverlap="1">
                      <wp:simplePos x="0" y="0"/>
                      <wp:positionH relativeFrom="column">
                        <wp:posOffset>4331335</wp:posOffset>
                      </wp:positionH>
                      <wp:positionV relativeFrom="paragraph">
                        <wp:posOffset>2170430</wp:posOffset>
                      </wp:positionV>
                      <wp:extent cx="1543050" cy="847725"/>
                      <wp:effectExtent l="4445" t="4445" r="14605" b="5080"/>
                      <wp:wrapNone/>
                      <wp:docPr id="66" name="文本框 66"/>
                      <wp:cNvGraphicFramePr/>
                      <a:graphic xmlns:a="http://schemas.openxmlformats.org/drawingml/2006/main">
                        <a:graphicData uri="http://schemas.microsoft.com/office/word/2010/wordprocessingShape">
                          <wps:wsp>
                            <wps:cNvSpPr txBox="1"/>
                            <wps:spPr>
                              <a:xfrm>
                                <a:off x="0" y="0"/>
                                <a:ext cx="1543050" cy="847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157CB0">
                                  <w:pPr>
                                    <w:jc w:val="center"/>
                                    <w:rPr>
                                      <w:rFonts w:hint="eastAsia"/>
                                      <w:sz w:val="21"/>
                                      <w:szCs w:val="21"/>
                                      <w:lang w:eastAsia="zh-CN"/>
                                    </w:rPr>
                                  </w:pPr>
                                  <w:r>
                                    <w:rPr>
                                      <w:rFonts w:hint="eastAsia"/>
                                      <w:sz w:val="21"/>
                                      <w:szCs w:val="21"/>
                                      <w:lang w:eastAsia="zh-CN"/>
                                    </w:rPr>
                                    <w:t>图例</w:t>
                                  </w:r>
                                </w:p>
                                <w:p w14:paraId="7BCD00D7">
                                  <w:pPr>
                                    <w:pStyle w:val="2"/>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 xml:space="preserve">       </w:t>
                                  </w:r>
                                  <w:r>
                                    <w:rPr>
                                      <w:rFonts w:hint="eastAsia" w:ascii="Times New Roman" w:hAnsi="Times New Roman" w:eastAsia="宋体" w:cs="Times New Roman"/>
                                      <w:kern w:val="2"/>
                                      <w:sz w:val="21"/>
                                      <w:szCs w:val="21"/>
                                      <w:lang w:val="en-US" w:eastAsia="zh-CN" w:bidi="ar-SA"/>
                                    </w:rPr>
                                    <w:t>项目位置</w:t>
                                  </w:r>
                                </w:p>
                                <w:p w14:paraId="29A22A80">
                                  <w:pPr>
                                    <w:pStyle w:val="3"/>
                                    <w:rPr>
                                      <w:rFonts w:hint="default"/>
                                      <w:sz w:val="21"/>
                                      <w:szCs w:val="21"/>
                                      <w:lang w:val="en-US" w:eastAsia="zh-CN"/>
                                    </w:rPr>
                                  </w:pPr>
                                  <w:r>
                                    <w:rPr>
                                      <w:rFonts w:hint="eastAsia"/>
                                      <w:sz w:val="21"/>
                                      <w:szCs w:val="21"/>
                                      <w:lang w:val="en-US" w:eastAsia="zh-CN"/>
                                    </w:rPr>
                                    <w:t xml:space="preserve">       监测点位</w:t>
                                  </w:r>
                                </w:p>
                                <w:p w14:paraId="6BB66AD3">
                                  <w:pPr>
                                    <w:pStyle w:val="3"/>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05pt;margin-top:170.9pt;height:66.75pt;width:121.5pt;z-index:251701248;mso-width-relative:page;mso-height-relative:page;" fillcolor="#FFFFFF [3201]" filled="t" stroked="t" coordsize="21600,21600" o:gfxdata="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REXbdgA&#10;AAALAQAADwAAAAAAAAABACAAAAAiAAAAZHJzL2Rvd25yZXYueG1sUEsBAhQAFAAAAAgAh07iQLf0&#10;YuVYAgAAuQQAAA4AAAAAAAAAAQAgAAAAJwEAAGRycy9lMm9Eb2MueG1sUEsFBgAAAAAGAAYAWQEA&#10;APEFAAAAAA==&#10;">
                      <v:fill on="t" focussize="0,0"/>
                      <v:stroke weight="0.5pt" color="#000000 [3204]" joinstyle="round"/>
                      <v:imagedata o:title=""/>
                      <o:lock v:ext="edit" aspectratio="f"/>
                      <v:textbox>
                        <w:txbxContent>
                          <w:p w14:paraId="17157CB0">
                            <w:pPr>
                              <w:jc w:val="center"/>
                              <w:rPr>
                                <w:rFonts w:hint="eastAsia"/>
                                <w:sz w:val="21"/>
                                <w:szCs w:val="21"/>
                                <w:lang w:eastAsia="zh-CN"/>
                              </w:rPr>
                            </w:pPr>
                            <w:r>
                              <w:rPr>
                                <w:rFonts w:hint="eastAsia"/>
                                <w:sz w:val="21"/>
                                <w:szCs w:val="21"/>
                                <w:lang w:eastAsia="zh-CN"/>
                              </w:rPr>
                              <w:t>图例</w:t>
                            </w:r>
                          </w:p>
                          <w:p w14:paraId="7BCD00D7">
                            <w:pPr>
                              <w:pStyle w:val="2"/>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 xml:space="preserve">       </w:t>
                            </w:r>
                            <w:r>
                              <w:rPr>
                                <w:rFonts w:hint="eastAsia" w:ascii="Times New Roman" w:hAnsi="Times New Roman" w:eastAsia="宋体" w:cs="Times New Roman"/>
                                <w:kern w:val="2"/>
                                <w:sz w:val="21"/>
                                <w:szCs w:val="21"/>
                                <w:lang w:val="en-US" w:eastAsia="zh-CN" w:bidi="ar-SA"/>
                              </w:rPr>
                              <w:t>项目位置</w:t>
                            </w:r>
                          </w:p>
                          <w:p w14:paraId="29A22A80">
                            <w:pPr>
                              <w:pStyle w:val="3"/>
                              <w:rPr>
                                <w:rFonts w:hint="default"/>
                                <w:sz w:val="21"/>
                                <w:szCs w:val="21"/>
                                <w:lang w:val="en-US" w:eastAsia="zh-CN"/>
                              </w:rPr>
                            </w:pPr>
                            <w:r>
                              <w:rPr>
                                <w:rFonts w:hint="eastAsia"/>
                                <w:sz w:val="21"/>
                                <w:szCs w:val="21"/>
                                <w:lang w:val="en-US" w:eastAsia="zh-CN"/>
                              </w:rPr>
                              <w:t xml:space="preserve">       监测点位</w:t>
                            </w:r>
                          </w:p>
                          <w:p w14:paraId="6BB66AD3">
                            <w:pPr>
                              <w:pStyle w:val="3"/>
                              <w:rPr>
                                <w:rFonts w:hint="default"/>
                                <w:lang w:val="en-US" w:eastAsia="zh-CN"/>
                              </w:rPr>
                            </w:pPr>
                          </w:p>
                        </w:txbxContent>
                      </v:textbox>
                    </v:shape>
                  </w:pict>
                </mc:Fallback>
              </mc:AlternateContent>
            </w:r>
            <w:r>
              <w:rPr>
                <w:rFonts w:hint="default" w:ascii="Times New Roman" w:hAnsi="Times New Roman" w:cs="Times New Roman"/>
                <w:highlight w:val="none"/>
              </w:rPr>
              <w:drawing>
                <wp:inline distT="0" distB="0" distL="114300" distR="114300">
                  <wp:extent cx="5934075" cy="3075305"/>
                  <wp:effectExtent l="0" t="0" r="9525" b="1079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8"/>
                          <a:stretch>
                            <a:fillRect/>
                          </a:stretch>
                        </pic:blipFill>
                        <pic:spPr>
                          <a:xfrm>
                            <a:off x="0" y="0"/>
                            <a:ext cx="5934075" cy="3075305"/>
                          </a:xfrm>
                          <a:prstGeom prst="rect">
                            <a:avLst/>
                          </a:prstGeom>
                          <a:noFill/>
                          <a:ln>
                            <a:noFill/>
                          </a:ln>
                        </pic:spPr>
                      </pic:pic>
                    </a:graphicData>
                  </a:graphic>
                </wp:inline>
              </w:drawing>
            </w:r>
          </w:p>
          <w:p w14:paraId="7D06602A">
            <w:pPr>
              <w:pStyle w:val="45"/>
              <w:bidi w:val="0"/>
              <w:rPr>
                <w:rFonts w:hint="default" w:ascii="Times New Roman" w:hAnsi="Times New Roman" w:cs="Times New Roman" w:eastAsiaTheme="minorEastAsia"/>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2"/>
                <w:sz w:val="24"/>
                <w:szCs w:val="24"/>
                <w:highlight w:val="none"/>
                <w:lang w:val="en-US" w:eastAsia="zh-CN"/>
                <w14:textFill>
                  <w14:solidFill>
                    <w14:schemeClr w14:val="tx1"/>
                  </w14:solidFill>
                </w14:textFill>
              </w:rPr>
              <w:t xml:space="preserve">图3-1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环境空气监测点位图</w:t>
            </w:r>
          </w:p>
          <w:p w14:paraId="60B4169B">
            <w:pPr>
              <w:spacing w:line="360" w:lineRule="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2、地表水环境</w:t>
            </w:r>
          </w:p>
          <w:p w14:paraId="2194368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center"/>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根据《全国重要江河湖泊水功能区划（2011-2030）》（黑龙江省）可知，本项目涉及地表水体为穆棱河（碱场煤矿铁路大桥至206省道公路桥），属穆棱河鸡西市饮用、农业用水区，水质目标为Ⅱ~Ⅲ类</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。项目根据鸡西市人民政府发布的《2025年1月地表水国控考核断面水质信息公开》穆棱河口内、知一桥断面均达到Ⅲ类水质类别标准。国控断面位于本项目北方。项目周边水系如下图所示。</w:t>
            </w:r>
          </w:p>
          <w:p w14:paraId="7BE79AA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center"/>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sz w:val="21"/>
                <w:highlight w:val="none"/>
              </w:rPr>
              <mc:AlternateContent>
                <mc:Choice Requires="wps">
                  <w:drawing>
                    <wp:anchor distT="0" distB="0" distL="114300" distR="114300" simplePos="0" relativeHeight="251706368" behindDoc="0" locked="0" layoutInCell="1" allowOverlap="1">
                      <wp:simplePos x="0" y="0"/>
                      <wp:positionH relativeFrom="column">
                        <wp:posOffset>2934970</wp:posOffset>
                      </wp:positionH>
                      <wp:positionV relativeFrom="paragraph">
                        <wp:posOffset>359410</wp:posOffset>
                      </wp:positionV>
                      <wp:extent cx="346710" cy="346075"/>
                      <wp:effectExtent l="0" t="4445" r="15240" b="11430"/>
                      <wp:wrapNone/>
                      <wp:docPr id="67" name="直接箭头连接符 67"/>
                      <wp:cNvGraphicFramePr/>
                      <a:graphic xmlns:a="http://schemas.openxmlformats.org/drawingml/2006/main">
                        <a:graphicData uri="http://schemas.microsoft.com/office/word/2010/wordprocessingShape">
                          <wps:wsp>
                            <wps:cNvCnPr/>
                            <wps:spPr>
                              <a:xfrm flipH="1">
                                <a:off x="3559810" y="1734820"/>
                                <a:ext cx="346710" cy="3460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1.1pt;margin-top:28.3pt;height:27.25pt;width:27.3pt;z-index:251706368;mso-width-relative:page;mso-height-relative:page;" filled="f" stroked="t" coordsize="21600,21600" o:gfxdata="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JmtGHVAAAACgEA&#10;AA8AAAAAAAAAAQAgAAAAIgAAAGRycy9kb3ducmV2LnhtbFBLAQIUABQAAAAIAIdO4kBFhPWAHQIA&#10;APsDAAAOAAAAAAAAAAEAIAAAACQBAABkcnMvZTJvRG9jLnhtbFBLBQYAAAAABgAGAFkBAACzBQAA&#10;AAA=&#10;">
                      <v:fill on="f" focussize="0,0"/>
                      <v:stroke weight="1pt" color="#FF0000 [3204]" miterlimit="8" joinstyle="miter" endarrow="open"/>
                      <v:imagedata o:title=""/>
                      <o:lock v:ext="edit" aspectratio="f"/>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707392" behindDoc="0" locked="0" layoutInCell="1" allowOverlap="1">
                      <wp:simplePos x="0" y="0"/>
                      <wp:positionH relativeFrom="column">
                        <wp:posOffset>3173730</wp:posOffset>
                      </wp:positionH>
                      <wp:positionV relativeFrom="paragraph">
                        <wp:posOffset>115570</wp:posOffset>
                      </wp:positionV>
                      <wp:extent cx="1186180" cy="276860"/>
                      <wp:effectExtent l="0" t="0" r="13970" b="8890"/>
                      <wp:wrapNone/>
                      <wp:docPr id="72" name="文本框 72"/>
                      <wp:cNvGraphicFramePr/>
                      <a:graphic xmlns:a="http://schemas.openxmlformats.org/drawingml/2006/main">
                        <a:graphicData uri="http://schemas.microsoft.com/office/word/2010/wordprocessingShape">
                          <wps:wsp>
                            <wps:cNvSpPr txBox="1"/>
                            <wps:spPr>
                              <a:xfrm>
                                <a:off x="3966845" y="1518285"/>
                                <a:ext cx="118618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92400">
                                  <w:pPr>
                                    <w:rPr>
                                      <w:rFonts w:hint="default" w:eastAsia="宋体"/>
                                      <w:color w:val="FF0000"/>
                                      <w:lang w:val="en-US" w:eastAsia="zh-CN"/>
                                    </w:rPr>
                                  </w:pPr>
                                  <w:r>
                                    <w:rPr>
                                      <w:rFonts w:hint="eastAsia"/>
                                      <w:color w:val="FF0000"/>
                                      <w:lang w:val="en-US" w:eastAsia="zh-CN"/>
                                    </w:rPr>
                                    <w:t>周边水系穆棱河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pt;margin-top:9.1pt;height:21.8pt;width:93.4pt;z-index:251707392;mso-width-relative:page;mso-height-relative:page;" filled="f" stroked="f" coordsize="21600,21600" o:gfxdata="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We4iDaAAAACQEAAA8AAAAA&#10;AAAAAQAgAAAAIgAAAGRycy9kb3ducmV2LnhtbFBLAQIUABQAAAAIAIdO4kCZfgngSwIAAHQEAAAO&#10;AAAAAAAAAAEAIAAAACkBAABkcnMvZTJvRG9jLnhtbFBLBQYAAAAABgAGAFkBAADmBQAAAAA=&#10;">
                      <v:fill on="f" focussize="0,0"/>
                      <v:stroke on="f" weight="0.5pt"/>
                      <v:imagedata o:title=""/>
                      <o:lock v:ext="edit" aspectratio="f"/>
                      <v:textbox>
                        <w:txbxContent>
                          <w:p w14:paraId="4F292400">
                            <w:pPr>
                              <w:rPr>
                                <w:rFonts w:hint="default" w:eastAsia="宋体"/>
                                <w:color w:val="FF0000"/>
                                <w:lang w:val="en-US" w:eastAsia="zh-CN"/>
                              </w:rPr>
                            </w:pPr>
                            <w:r>
                              <w:rPr>
                                <w:rFonts w:hint="eastAsia"/>
                                <w:color w:val="FF0000"/>
                                <w:lang w:val="en-US" w:eastAsia="zh-CN"/>
                              </w:rPr>
                              <w:t>周边水系穆棱河</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705344" behindDoc="0" locked="0" layoutInCell="1" allowOverlap="1">
                      <wp:simplePos x="0" y="0"/>
                      <wp:positionH relativeFrom="column">
                        <wp:posOffset>4186555</wp:posOffset>
                      </wp:positionH>
                      <wp:positionV relativeFrom="paragraph">
                        <wp:posOffset>2179320</wp:posOffset>
                      </wp:positionV>
                      <wp:extent cx="314325" cy="152400"/>
                      <wp:effectExtent l="6350" t="6350" r="22225" b="12700"/>
                      <wp:wrapNone/>
                      <wp:docPr id="65" name="矩形 65"/>
                      <wp:cNvGraphicFramePr/>
                      <a:graphic xmlns:a="http://schemas.openxmlformats.org/drawingml/2006/main">
                        <a:graphicData uri="http://schemas.microsoft.com/office/word/2010/wordprocessingShape">
                          <wps:wsp>
                            <wps:cNvSpPr/>
                            <wps:spPr>
                              <a:xfrm>
                                <a:off x="0" y="0"/>
                                <a:ext cx="314325" cy="152400"/>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9.65pt;margin-top:171.6pt;height:12pt;width:24.75pt;z-index:251705344;v-text-anchor:middle;mso-width-relative:page;mso-height-relative:page;" fillcolor="#FFFFFF [3212]" filled="t" stroked="t" coordsize="21600,21600" o:gfxdata="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CnNzq2gAAAAsBAAAPAAAAAAAAAAEAIAAAACIAAABkcnMvZG93&#10;bnJldi54bWxQSwECFAAUAAAACACHTuJAWLXzbnACAAD1BAAADgAAAAAAAAABACAAAAApAQAAZHJz&#10;L2Uyb0RvYy54bWxQSwUGAAAAAAYABgBZAQAACwYAAAAA&#10;">
                      <v:fill on="t" focussize="0,0"/>
                      <v:stroke weight="1pt" color="#FF0000 [2404]" miterlimit="8" joinstyle="miter"/>
                      <v:imagedata o:title=""/>
                      <o:lock v:ext="edit" aspectratio="f"/>
                    </v:rect>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704320" behindDoc="0" locked="0" layoutInCell="1" allowOverlap="1">
                      <wp:simplePos x="0" y="0"/>
                      <wp:positionH relativeFrom="column">
                        <wp:posOffset>3976370</wp:posOffset>
                      </wp:positionH>
                      <wp:positionV relativeFrom="paragraph">
                        <wp:posOffset>1901825</wp:posOffset>
                      </wp:positionV>
                      <wp:extent cx="1464945" cy="735330"/>
                      <wp:effectExtent l="4445" t="4445" r="16510" b="22225"/>
                      <wp:wrapNone/>
                      <wp:docPr id="64" name="文本框 64"/>
                      <wp:cNvGraphicFramePr/>
                      <a:graphic xmlns:a="http://schemas.openxmlformats.org/drawingml/2006/main">
                        <a:graphicData uri="http://schemas.microsoft.com/office/word/2010/wordprocessingShape">
                          <wps:wsp>
                            <wps:cNvSpPr txBox="1"/>
                            <wps:spPr>
                              <a:xfrm>
                                <a:off x="0" y="0"/>
                                <a:ext cx="1464945" cy="735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5E88C4">
                                  <w:pPr>
                                    <w:jc w:val="center"/>
                                    <w:rPr>
                                      <w:rFonts w:hint="eastAsia"/>
                                      <w:sz w:val="21"/>
                                      <w:szCs w:val="21"/>
                                      <w:lang w:eastAsia="zh-CN"/>
                                    </w:rPr>
                                  </w:pPr>
                                  <w:r>
                                    <w:rPr>
                                      <w:rFonts w:hint="eastAsia"/>
                                      <w:sz w:val="21"/>
                                      <w:szCs w:val="21"/>
                                      <w:lang w:eastAsia="zh-CN"/>
                                    </w:rPr>
                                    <w:t>图例</w:t>
                                  </w:r>
                                </w:p>
                                <w:p w14:paraId="38F37714">
                                  <w:pPr>
                                    <w:pStyle w:val="2"/>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 xml:space="preserve">       </w:t>
                                  </w:r>
                                  <w:r>
                                    <w:rPr>
                                      <w:rFonts w:hint="eastAsia" w:ascii="Times New Roman" w:hAnsi="Times New Roman" w:eastAsia="宋体" w:cs="Times New Roman"/>
                                      <w:kern w:val="2"/>
                                      <w:sz w:val="21"/>
                                      <w:szCs w:val="21"/>
                                      <w:lang w:val="en-US" w:eastAsia="zh-CN" w:bidi="ar-SA"/>
                                    </w:rPr>
                                    <w:t>项目位置</w:t>
                                  </w:r>
                                </w:p>
                                <w:p w14:paraId="28E0ED24">
                                  <w:pPr>
                                    <w:pStyle w:val="3"/>
                                    <w:rPr>
                                      <w:rFonts w:hint="default"/>
                                      <w:sz w:val="21"/>
                                      <w:szCs w:val="21"/>
                                      <w:lang w:val="en-US" w:eastAsia="zh-CN"/>
                                    </w:rPr>
                                  </w:pPr>
                                  <w:r>
                                    <w:rPr>
                                      <w:rFonts w:hint="eastAsia"/>
                                      <w:sz w:val="21"/>
                                      <w:szCs w:val="21"/>
                                      <w:lang w:val="en-US" w:eastAsia="zh-CN"/>
                                    </w:rPr>
                                    <w:t xml:space="preserve">  比例尺  1:36111</w:t>
                                  </w:r>
                                </w:p>
                                <w:p w14:paraId="43750F13">
                                  <w:pPr>
                                    <w:pStyle w:val="3"/>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1pt;margin-top:149.75pt;height:57.9pt;width:115.35pt;z-index:251704320;mso-width-relative:page;mso-height-relative:page;" fillcolor="#FFFFFF [3201]" filled="t" stroked="t" coordsize="21600,21600" o:gfxdata="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cY&#10;PafYAAAACwEAAA8AAAAAAAAAAQAgAAAAIgAAAGRycy9kb3ducmV2LnhtbFBLAQIUABQAAAAIAIdO&#10;4kCUrQbxXAIAALkEAAAOAAAAAAAAAAEAIAAAACcBAABkcnMvZTJvRG9jLnhtbFBLBQYAAAAABgAG&#10;AFkBAAD1BQAAAAA=&#10;">
                      <v:fill on="t" focussize="0,0"/>
                      <v:stroke weight="0.5pt" color="#000000 [3204]" joinstyle="round"/>
                      <v:imagedata o:title=""/>
                      <o:lock v:ext="edit" aspectratio="f"/>
                      <v:textbox>
                        <w:txbxContent>
                          <w:p w14:paraId="375E88C4">
                            <w:pPr>
                              <w:jc w:val="center"/>
                              <w:rPr>
                                <w:rFonts w:hint="eastAsia"/>
                                <w:sz w:val="21"/>
                                <w:szCs w:val="21"/>
                                <w:lang w:eastAsia="zh-CN"/>
                              </w:rPr>
                            </w:pPr>
                            <w:r>
                              <w:rPr>
                                <w:rFonts w:hint="eastAsia"/>
                                <w:sz w:val="21"/>
                                <w:szCs w:val="21"/>
                                <w:lang w:eastAsia="zh-CN"/>
                              </w:rPr>
                              <w:t>图例</w:t>
                            </w:r>
                          </w:p>
                          <w:p w14:paraId="38F37714">
                            <w:pPr>
                              <w:pStyle w:val="2"/>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 xml:space="preserve">       </w:t>
                            </w:r>
                            <w:r>
                              <w:rPr>
                                <w:rFonts w:hint="eastAsia" w:ascii="Times New Roman" w:hAnsi="Times New Roman" w:eastAsia="宋体" w:cs="Times New Roman"/>
                                <w:kern w:val="2"/>
                                <w:sz w:val="21"/>
                                <w:szCs w:val="21"/>
                                <w:lang w:val="en-US" w:eastAsia="zh-CN" w:bidi="ar-SA"/>
                              </w:rPr>
                              <w:t>项目位置</w:t>
                            </w:r>
                          </w:p>
                          <w:p w14:paraId="28E0ED24">
                            <w:pPr>
                              <w:pStyle w:val="3"/>
                              <w:rPr>
                                <w:rFonts w:hint="default"/>
                                <w:sz w:val="21"/>
                                <w:szCs w:val="21"/>
                                <w:lang w:val="en-US" w:eastAsia="zh-CN"/>
                              </w:rPr>
                            </w:pPr>
                            <w:r>
                              <w:rPr>
                                <w:rFonts w:hint="eastAsia"/>
                                <w:sz w:val="21"/>
                                <w:szCs w:val="21"/>
                                <w:lang w:val="en-US" w:eastAsia="zh-CN"/>
                              </w:rPr>
                              <w:t xml:space="preserve">  比例尺  1:36111</w:t>
                            </w:r>
                          </w:p>
                          <w:p w14:paraId="43750F13">
                            <w:pPr>
                              <w:pStyle w:val="3"/>
                              <w:rPr>
                                <w:rFonts w:hint="default"/>
                                <w:lang w:val="en-US" w:eastAsia="zh-CN"/>
                              </w:rPr>
                            </w:pPr>
                          </w:p>
                        </w:txbxContent>
                      </v:textbox>
                    </v:shape>
                  </w:pict>
                </mc:Fallback>
              </mc:AlternateContent>
            </w:r>
            <w:r>
              <w:rPr>
                <w:rFonts w:hint="default" w:ascii="Times New Roman" w:hAnsi="Times New Roman" w:cs="Times New Roman"/>
                <w:highlight w:val="none"/>
              </w:rPr>
              <w:drawing>
                <wp:inline distT="0" distB="0" distL="114300" distR="114300">
                  <wp:extent cx="4652645" cy="2691130"/>
                  <wp:effectExtent l="0" t="0" r="14605" b="1397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9"/>
                          <a:stretch>
                            <a:fillRect/>
                          </a:stretch>
                        </pic:blipFill>
                        <pic:spPr>
                          <a:xfrm>
                            <a:off x="0" y="0"/>
                            <a:ext cx="4652645" cy="2691130"/>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anchor distT="0" distB="0" distL="114935" distR="114935" simplePos="0" relativeHeight="251708416" behindDoc="0" locked="0" layoutInCell="1" allowOverlap="1">
                  <wp:simplePos x="0" y="0"/>
                  <wp:positionH relativeFrom="column">
                    <wp:posOffset>4770120</wp:posOffset>
                  </wp:positionH>
                  <wp:positionV relativeFrom="paragraph">
                    <wp:posOffset>-28575</wp:posOffset>
                  </wp:positionV>
                  <wp:extent cx="671195" cy="661670"/>
                  <wp:effectExtent l="0" t="0" r="14605" b="5080"/>
                  <wp:wrapNone/>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16"/>
                          <a:stretch>
                            <a:fillRect/>
                          </a:stretch>
                        </pic:blipFill>
                        <pic:spPr>
                          <a:xfrm>
                            <a:off x="0" y="0"/>
                            <a:ext cx="671195" cy="661670"/>
                          </a:xfrm>
                          <a:prstGeom prst="rect">
                            <a:avLst/>
                          </a:prstGeom>
                          <a:noFill/>
                          <a:ln>
                            <a:noFill/>
                          </a:ln>
                        </pic:spPr>
                      </pic:pic>
                    </a:graphicData>
                  </a:graphic>
                </wp:anchor>
              </w:drawing>
            </w:r>
          </w:p>
          <w:p w14:paraId="1F9ABC18">
            <w:pPr>
              <w:pStyle w:val="45"/>
              <w:bidi w:val="0"/>
              <w:rPr>
                <w:rFonts w:hint="default" w:ascii="Times New Roman" w:hAnsi="Times New Roman" w:cs="Times New Roman" w:eastAsiaTheme="minorEastAsia"/>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2"/>
                <w:sz w:val="24"/>
                <w:szCs w:val="24"/>
                <w:highlight w:val="none"/>
                <w:lang w:val="en-US" w:eastAsia="zh-CN"/>
                <w14:textFill>
                  <w14:solidFill>
                    <w14:schemeClr w14:val="tx1"/>
                  </w14:solidFill>
                </w14:textFill>
              </w:rPr>
              <w:t>图3-2 项目周边水系</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w:t>
            </w:r>
          </w:p>
          <w:p w14:paraId="59C51403">
            <w:pPr>
              <w:spacing w:line="360" w:lineRule="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3、声环境</w:t>
            </w:r>
          </w:p>
          <w:p w14:paraId="70FE1E97">
            <w:pPr>
              <w:spacing w:line="360" w:lineRule="auto"/>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本项目厂区周围50m范围内没有声环境敏感点，因此未进行监测。本项目区域声环境质量良好</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，根据《鸡西市中心城区声环境功能区划分方案》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，本项目区域声环境执行《声环境质量标准》（GB3096-2008）</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类标准。</w:t>
            </w:r>
          </w:p>
        </w:tc>
      </w:tr>
      <w:tr w14:paraId="380FB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80" w:hRule="atLeast"/>
          <w:jc w:val="center"/>
        </w:trPr>
        <w:tc>
          <w:tcPr>
            <w:tcW w:w="722" w:type="dxa"/>
            <w:vAlign w:val="center"/>
          </w:tcPr>
          <w:p w14:paraId="3F4FC839">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环境</w:t>
            </w:r>
          </w:p>
          <w:p w14:paraId="09F633DD">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保护</w:t>
            </w:r>
          </w:p>
          <w:p w14:paraId="278ACC00">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目标</w:t>
            </w:r>
          </w:p>
        </w:tc>
        <w:tc>
          <w:tcPr>
            <w:tcW w:w="8904" w:type="dxa"/>
            <w:vAlign w:val="center"/>
          </w:tcPr>
          <w:p w14:paraId="6594D093">
            <w:pPr>
              <w:pStyle w:val="2"/>
              <w:spacing w:line="360" w:lineRule="auto"/>
              <w:ind w:firstLine="480"/>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项目选址不属于生活饮用水源保护区、风景名胜区、温泉疗养区、水产养殖区、基本农田保护区、自然保护区等需要特殊保护区域</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。项目厂界外50m范围内</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声环境保护目标。项目厂界外500 m范围内无地下水集中式饮用水水源和热水、矿泉水、温泉等特殊地下水资源，</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大气保护目标见表3-4。</w:t>
            </w:r>
          </w:p>
          <w:p w14:paraId="00AC8CFD">
            <w:pPr>
              <w:jc w:val="cente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表3-</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环境空气保护目标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424"/>
              <w:gridCol w:w="1319"/>
              <w:gridCol w:w="1125"/>
              <w:gridCol w:w="1140"/>
              <w:gridCol w:w="945"/>
              <w:gridCol w:w="1230"/>
              <w:gridCol w:w="1092"/>
            </w:tblGrid>
            <w:tr w14:paraId="2ABE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1" w:type="dxa"/>
                  <w:vMerge w:val="restart"/>
                  <w:vAlign w:val="center"/>
                </w:tcPr>
                <w:p w14:paraId="002DBEC2">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名称</w:t>
                  </w:r>
                </w:p>
              </w:tc>
              <w:tc>
                <w:tcPr>
                  <w:tcW w:w="2175" w:type="dxa"/>
                  <w:gridSpan w:val="2"/>
                  <w:vAlign w:val="center"/>
                </w:tcPr>
                <w:p w14:paraId="689323D3">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坐标</w:t>
                  </w:r>
                </w:p>
              </w:tc>
              <w:tc>
                <w:tcPr>
                  <w:tcW w:w="1125" w:type="dxa"/>
                  <w:vMerge w:val="restart"/>
                  <w:vAlign w:val="center"/>
                </w:tcPr>
                <w:p w14:paraId="409B3A0F">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保护对象</w:t>
                  </w:r>
                </w:p>
              </w:tc>
              <w:tc>
                <w:tcPr>
                  <w:tcW w:w="1140" w:type="dxa"/>
                  <w:vMerge w:val="restart"/>
                  <w:vAlign w:val="center"/>
                </w:tcPr>
                <w:p w14:paraId="77BDA0CF">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保护内容</w:t>
                  </w:r>
                </w:p>
              </w:tc>
              <w:tc>
                <w:tcPr>
                  <w:tcW w:w="945" w:type="dxa"/>
                  <w:vMerge w:val="restart"/>
                  <w:vAlign w:val="center"/>
                </w:tcPr>
                <w:p w14:paraId="48DD179B">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环境功能区</w:t>
                  </w:r>
                </w:p>
              </w:tc>
              <w:tc>
                <w:tcPr>
                  <w:tcW w:w="1230" w:type="dxa"/>
                  <w:vMerge w:val="restart"/>
                  <w:vAlign w:val="center"/>
                </w:tcPr>
                <w:p w14:paraId="25C7668C">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相对厂址方位</w:t>
                  </w:r>
                </w:p>
              </w:tc>
              <w:tc>
                <w:tcPr>
                  <w:tcW w:w="1092" w:type="dxa"/>
                  <w:vMerge w:val="restart"/>
                  <w:vAlign w:val="center"/>
                </w:tcPr>
                <w:p w14:paraId="7005B3E4">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相对厂界距离/m</w:t>
                  </w:r>
                </w:p>
              </w:tc>
            </w:tr>
            <w:tr w14:paraId="7C52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1" w:type="dxa"/>
                  <w:vMerge w:val="continue"/>
                  <w:vAlign w:val="center"/>
                </w:tcPr>
                <w:p w14:paraId="1B0EEB8A">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p>
              </w:tc>
              <w:tc>
                <w:tcPr>
                  <w:tcW w:w="1080" w:type="dxa"/>
                  <w:vAlign w:val="center"/>
                </w:tcPr>
                <w:p w14:paraId="60B03BE2">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经度</w:t>
                  </w:r>
                </w:p>
              </w:tc>
              <w:tc>
                <w:tcPr>
                  <w:tcW w:w="1095" w:type="dxa"/>
                  <w:vAlign w:val="center"/>
                </w:tcPr>
                <w:p w14:paraId="52AE96AE">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纬度</w:t>
                  </w:r>
                </w:p>
              </w:tc>
              <w:tc>
                <w:tcPr>
                  <w:tcW w:w="1125" w:type="dxa"/>
                  <w:vMerge w:val="continue"/>
                  <w:vAlign w:val="center"/>
                </w:tcPr>
                <w:p w14:paraId="7229C656">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p>
              </w:tc>
              <w:tc>
                <w:tcPr>
                  <w:tcW w:w="1140" w:type="dxa"/>
                  <w:vMerge w:val="continue"/>
                  <w:vAlign w:val="center"/>
                </w:tcPr>
                <w:p w14:paraId="4E9705A4">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p>
              </w:tc>
              <w:tc>
                <w:tcPr>
                  <w:tcW w:w="945" w:type="dxa"/>
                  <w:vMerge w:val="continue"/>
                  <w:vAlign w:val="center"/>
                </w:tcPr>
                <w:p w14:paraId="7FE883A8">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p>
              </w:tc>
              <w:tc>
                <w:tcPr>
                  <w:tcW w:w="1230" w:type="dxa"/>
                  <w:vMerge w:val="continue"/>
                  <w:vAlign w:val="center"/>
                </w:tcPr>
                <w:p w14:paraId="06C842CA">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p>
              </w:tc>
              <w:tc>
                <w:tcPr>
                  <w:tcW w:w="1092" w:type="dxa"/>
                  <w:vMerge w:val="continue"/>
                  <w:vAlign w:val="center"/>
                </w:tcPr>
                <w:p w14:paraId="7E27B3C2">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p>
              </w:tc>
            </w:tr>
            <w:tr w14:paraId="40A0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1" w:type="dxa"/>
                  <w:vAlign w:val="center"/>
                </w:tcPr>
                <w:p w14:paraId="085C97E2">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梁家村</w:t>
                  </w:r>
                </w:p>
              </w:tc>
              <w:tc>
                <w:tcPr>
                  <w:tcW w:w="1080" w:type="dxa"/>
                  <w:vAlign w:val="center"/>
                </w:tcPr>
                <w:p w14:paraId="56D8ED9A">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130.89081287</w:t>
                  </w:r>
                </w:p>
              </w:tc>
              <w:tc>
                <w:tcPr>
                  <w:tcW w:w="1095" w:type="dxa"/>
                  <w:vAlign w:val="center"/>
                </w:tcPr>
                <w:p w14:paraId="44D51168">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45.32193330</w:t>
                  </w:r>
                </w:p>
              </w:tc>
              <w:tc>
                <w:tcPr>
                  <w:tcW w:w="1125" w:type="dxa"/>
                  <w:vAlign w:val="center"/>
                </w:tcPr>
                <w:p w14:paraId="299D214B">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居民</w:t>
                  </w:r>
                </w:p>
              </w:tc>
              <w:tc>
                <w:tcPr>
                  <w:tcW w:w="1140" w:type="dxa"/>
                  <w:vAlign w:val="center"/>
                </w:tcPr>
                <w:p w14:paraId="48CB130D">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居住区</w:t>
                  </w:r>
                </w:p>
              </w:tc>
              <w:tc>
                <w:tcPr>
                  <w:tcW w:w="945" w:type="dxa"/>
                  <w:vAlign w:val="center"/>
                </w:tcPr>
                <w:p w14:paraId="771EA820">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二类</w:t>
                  </w:r>
                </w:p>
              </w:tc>
              <w:tc>
                <w:tcPr>
                  <w:tcW w:w="1230" w:type="dxa"/>
                  <w:vAlign w:val="center"/>
                </w:tcPr>
                <w:p w14:paraId="54CFCACA">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NW</w:t>
                  </w:r>
                </w:p>
              </w:tc>
              <w:tc>
                <w:tcPr>
                  <w:tcW w:w="1092" w:type="dxa"/>
                  <w:vAlign w:val="center"/>
                </w:tcPr>
                <w:p w14:paraId="16DC54B7">
                  <w:pPr>
                    <w:jc w:val="cente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14:textFill>
                        <w14:solidFill>
                          <w14:schemeClr w14:val="tx1"/>
                        </w14:solidFill>
                      </w14:textFill>
                    </w:rPr>
                    <w:t>365</w:t>
                  </w:r>
                </w:p>
              </w:tc>
            </w:tr>
          </w:tbl>
          <w:p w14:paraId="01D50FB2">
            <w:pP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pPr>
          </w:p>
        </w:tc>
      </w:tr>
      <w:tr w14:paraId="644B7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tcMar>
              <w:left w:w="28" w:type="dxa"/>
              <w:right w:w="28" w:type="dxa"/>
            </w:tcMar>
            <w:vAlign w:val="center"/>
          </w:tcPr>
          <w:p w14:paraId="2E70AD62">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污染</w:t>
            </w:r>
          </w:p>
          <w:p w14:paraId="42D3FE59">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物排</w:t>
            </w:r>
          </w:p>
          <w:p w14:paraId="115DE9FF">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放控</w:t>
            </w:r>
          </w:p>
          <w:p w14:paraId="32FDEC7D">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制标</w:t>
            </w:r>
          </w:p>
          <w:p w14:paraId="7E07E13A">
            <w:pPr>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准</w:t>
            </w:r>
          </w:p>
        </w:tc>
        <w:tc>
          <w:tcPr>
            <w:tcW w:w="8904" w:type="dxa"/>
            <w:vAlign w:val="center"/>
          </w:tcPr>
          <w:p w14:paraId="5207A332">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废气</w:t>
            </w:r>
          </w:p>
          <w:p w14:paraId="5715CAB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本项目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施工期无组织</w:t>
            </w:r>
            <w:r>
              <w:rPr>
                <w:rFonts w:hint="default" w:ascii="Times New Roman" w:hAnsi="Times New Roman" w:cs="Times New Roman"/>
                <w:color w:val="000000" w:themeColor="text1"/>
                <w:kern w:val="0"/>
                <w:sz w:val="24"/>
                <w:highlight w:val="none"/>
                <w14:textFill>
                  <w14:solidFill>
                    <w14:schemeClr w14:val="tx1"/>
                  </w14:solidFill>
                </w14:textFill>
              </w:rPr>
              <w:t>颗粒物执行《大气污染物综合排放标准》（GB16297-1996）表2中无组织排放监控浓度限值要求</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运营期无组织颗粒物执行《煤炭工业污染物排放标准》（</w:t>
            </w:r>
            <w:r>
              <w:rPr>
                <w:rFonts w:hint="default" w:ascii="Times New Roman" w:hAnsi="Times New Roman" w:cs="Times New Roman"/>
                <w:color w:val="000000" w:themeColor="text1"/>
                <w:kern w:val="0"/>
                <w:sz w:val="24"/>
                <w:highlight w:val="none"/>
                <w14:textFill>
                  <w14:solidFill>
                    <w14:schemeClr w14:val="tx1"/>
                  </w14:solidFill>
                </w14:textFill>
              </w:rPr>
              <w:t>GB20426-2006</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）表5煤炭工业无组织排放限值</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大气污染物综合排放标准</w:t>
            </w:r>
            <w:r>
              <w:rPr>
                <w:rFonts w:hint="default" w:ascii="Times New Roman" w:hAnsi="Times New Roman" w:cs="Times New Roman"/>
                <w:color w:val="000000" w:themeColor="text1"/>
                <w:kern w:val="0"/>
                <w:sz w:val="24"/>
                <w:highlight w:val="none"/>
                <w14:textFill>
                  <w14:solidFill>
                    <w14:schemeClr w14:val="tx1"/>
                  </w14:solidFill>
                </w14:textFill>
              </w:rPr>
              <w:t>见表3-</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5，煤炭工业污染物排放标准见表3-6</w:t>
            </w:r>
            <w:r>
              <w:rPr>
                <w:rFonts w:hint="default" w:ascii="Times New Roman" w:hAnsi="Times New Roman" w:cs="Times New Roman"/>
                <w:color w:val="000000" w:themeColor="text1"/>
                <w:kern w:val="0"/>
                <w:sz w:val="24"/>
                <w:highlight w:val="none"/>
                <w14:textFill>
                  <w14:solidFill>
                    <w14:schemeClr w14:val="tx1"/>
                  </w14:solidFill>
                </w14:textFill>
              </w:rPr>
              <w:t>，具体见下表。</w:t>
            </w:r>
          </w:p>
          <w:p w14:paraId="6A3AF481">
            <w:pPr>
              <w:pStyle w:val="52"/>
              <w:jc w:val="center"/>
              <w:rPr>
                <w:rFonts w:hint="default" w:ascii="Times New Roman" w:hAnsi="Times New Roman" w:cs="Times New Roman"/>
                <w:bCs/>
                <w:color w:val="000000" w:themeColor="text1"/>
                <w:kern w:val="2"/>
                <w:sz w:val="24"/>
                <w:szCs w:val="24"/>
                <w:highlight w:val="none"/>
                <w14:textFill>
                  <w14:solidFill>
                    <w14:schemeClr w14:val="tx1"/>
                  </w14:solidFill>
                </w14:textFill>
              </w:rPr>
            </w:pPr>
            <w:r>
              <w:rPr>
                <w:rFonts w:hint="default" w:ascii="Times New Roman" w:hAnsi="Times New Roman" w:cs="Times New Roman"/>
                <w:bCs/>
                <w:color w:val="000000" w:themeColor="text1"/>
                <w:kern w:val="2"/>
                <w:sz w:val="24"/>
                <w:szCs w:val="24"/>
                <w:highlight w:val="none"/>
                <w14:textFill>
                  <w14:solidFill>
                    <w14:schemeClr w14:val="tx1"/>
                  </w14:solidFill>
                </w14:textFill>
              </w:rPr>
              <w:t>表3-</w:t>
            </w:r>
            <w:r>
              <w:rPr>
                <w:rFonts w:hint="default" w:ascii="Times New Roman" w:hAnsi="Times New Roman" w:cs="Times New Roman"/>
                <w:bCs/>
                <w:color w:val="000000" w:themeColor="text1"/>
                <w:kern w:val="2"/>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kern w:val="2"/>
                <w:sz w:val="24"/>
                <w:szCs w:val="24"/>
                <w:highlight w:val="none"/>
                <w14:textFill>
                  <w14:solidFill>
                    <w14:schemeClr w14:val="tx1"/>
                  </w14:solidFill>
                </w14:textFill>
              </w:rPr>
              <w:t xml:space="preserve"> 大气污染物综合排放标准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494"/>
            </w:tblGrid>
            <w:tr w14:paraId="01C59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5" w:hRule="atLeast"/>
                <w:jc w:val="center"/>
              </w:trPr>
              <w:tc>
                <w:tcPr>
                  <w:tcW w:w="2598" w:type="pct"/>
                  <w:vAlign w:val="center"/>
                </w:tcPr>
                <w:p w14:paraId="79A2AC00">
                  <w:pPr>
                    <w:spacing w:line="240" w:lineRule="auto"/>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二级</w:t>
                  </w:r>
                </w:p>
              </w:tc>
              <w:tc>
                <w:tcPr>
                  <w:tcW w:w="2401" w:type="pct"/>
                  <w:vMerge w:val="restart"/>
                  <w:vAlign w:val="center"/>
                </w:tcPr>
                <w:p w14:paraId="06F6783B">
                  <w:pPr>
                    <w:spacing w:line="240" w:lineRule="auto"/>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无组织排放监控浓度限值（mg/m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p>
              </w:tc>
            </w:tr>
            <w:tr w14:paraId="19D02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598" w:type="pct"/>
                  <w:tcBorders>
                    <w:tl2br w:val="single" w:color="auto" w:sz="4" w:space="0"/>
                  </w:tcBorders>
                  <w:vAlign w:val="center"/>
                </w:tcPr>
                <w:p w14:paraId="7EF8F298">
                  <w:pPr>
                    <w:spacing w:line="240" w:lineRule="auto"/>
                    <w:jc w:val="righ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指标</w:t>
                  </w:r>
                </w:p>
                <w:p w14:paraId="3F762A9B">
                  <w:pPr>
                    <w:pStyle w:val="2"/>
                    <w:spacing w:line="240" w:lineRule="auto"/>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污染物</w:t>
                  </w:r>
                </w:p>
              </w:tc>
              <w:tc>
                <w:tcPr>
                  <w:tcW w:w="2401" w:type="pct"/>
                  <w:vMerge w:val="continue"/>
                  <w:vAlign w:val="center"/>
                </w:tcPr>
                <w:p w14:paraId="0A98D5B1">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769D5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598" w:type="pct"/>
                  <w:vAlign w:val="center"/>
                </w:tcPr>
                <w:p w14:paraId="6FDD4259">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highlight w:val="none"/>
                      <w14:textFill>
                        <w14:solidFill>
                          <w14:schemeClr w14:val="tx1"/>
                        </w14:solidFill>
                      </w14:textFill>
                    </w:rPr>
                    <w:t>颗粒物</w:t>
                  </w:r>
                </w:p>
              </w:tc>
              <w:tc>
                <w:tcPr>
                  <w:tcW w:w="2401" w:type="pct"/>
                  <w:vAlign w:val="center"/>
                </w:tcPr>
                <w:p w14:paraId="65E95391">
                  <w:pPr>
                    <w:spacing w:line="240" w:lineRule="auto"/>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r>
          </w:tbl>
          <w:p w14:paraId="7F73A688">
            <w:pPr>
              <w:pStyle w:val="52"/>
              <w:rPr>
                <w:rFonts w:hint="default" w:ascii="Times New Roman" w:hAnsi="Times New Roman" w:cs="Times New Roman"/>
                <w:bCs/>
                <w:color w:val="000000" w:themeColor="text1"/>
                <w:kern w:val="2"/>
                <w:sz w:val="24"/>
                <w:szCs w:val="24"/>
                <w:highlight w:val="none"/>
                <w14:textFill>
                  <w14:solidFill>
                    <w14:schemeClr w14:val="tx1"/>
                  </w14:solidFill>
                </w14:textFill>
              </w:rPr>
            </w:pPr>
            <w:r>
              <w:rPr>
                <w:rFonts w:hint="default" w:ascii="Times New Roman" w:hAnsi="Times New Roman" w:cs="Times New Roman"/>
                <w:bCs/>
                <w:color w:val="000000" w:themeColor="text1"/>
                <w:kern w:val="2"/>
                <w:sz w:val="24"/>
                <w:szCs w:val="24"/>
                <w:highlight w:val="none"/>
                <w14:textFill>
                  <w14:solidFill>
                    <w14:schemeClr w14:val="tx1"/>
                  </w14:solidFill>
                </w14:textFill>
              </w:rPr>
              <w:t>表3-</w:t>
            </w:r>
            <w:r>
              <w:rPr>
                <w:rFonts w:hint="default" w:ascii="Times New Roman" w:hAnsi="Times New Roman" w:cs="Times New Roman"/>
                <w:bCs/>
                <w:color w:val="000000" w:themeColor="text1"/>
                <w:kern w:val="2"/>
                <w:sz w:val="24"/>
                <w:szCs w:val="24"/>
                <w:highlight w:val="none"/>
                <w:lang w:val="en-US" w:eastAsia="zh-CN"/>
                <w14:textFill>
                  <w14:solidFill>
                    <w14:schemeClr w14:val="tx1"/>
                  </w14:solidFill>
                </w14:textFill>
              </w:rPr>
              <w:t>6</w:t>
            </w:r>
            <w:r>
              <w:rPr>
                <w:rFonts w:hint="default" w:ascii="Times New Roman" w:hAnsi="Times New Roman" w:cs="Times New Roman"/>
                <w:bCs/>
                <w:color w:val="000000" w:themeColor="text1"/>
                <w:kern w:val="2"/>
                <w:sz w:val="24"/>
                <w:szCs w:val="24"/>
                <w:highlight w:val="none"/>
                <w14:textFill>
                  <w14:solidFill>
                    <w14:schemeClr w14:val="tx1"/>
                  </w14:solidFill>
                </w14:textFill>
              </w:rPr>
              <w:t xml:space="preserve"> </w:t>
            </w:r>
            <w:r>
              <w:rPr>
                <w:rFonts w:hint="default" w:ascii="Times New Roman" w:hAnsi="Times New Roman" w:cs="Times New Roman"/>
                <w:bCs/>
                <w:color w:val="000000" w:themeColor="text1"/>
                <w:kern w:val="2"/>
                <w:sz w:val="24"/>
                <w:szCs w:val="24"/>
                <w:highlight w:val="none"/>
                <w:lang w:val="en-US" w:eastAsia="zh-CN"/>
                <w14:textFill>
                  <w14:solidFill>
                    <w14:schemeClr w14:val="tx1"/>
                  </w14:solidFill>
                </w14:textFill>
              </w:rPr>
              <w:t>煤炭工业污染物排放标准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501"/>
              <w:gridCol w:w="3164"/>
              <w:gridCol w:w="3334"/>
            </w:tblGrid>
            <w:tr w14:paraId="4ACEF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25" w:type="pct"/>
                  <w:vMerge w:val="restart"/>
                  <w:vAlign w:val="center"/>
                </w:tcPr>
                <w:p w14:paraId="0E410B46">
                  <w:pPr>
                    <w:pStyle w:val="2"/>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污染物</w:t>
                  </w:r>
                </w:p>
              </w:tc>
              <w:tc>
                <w:tcPr>
                  <w:tcW w:w="802" w:type="pct"/>
                  <w:vMerge w:val="restart"/>
                  <w:vAlign w:val="center"/>
                </w:tcPr>
                <w:p w14:paraId="79A8DD10">
                  <w:pPr>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监控点</w:t>
                  </w:r>
                </w:p>
              </w:tc>
              <w:tc>
                <w:tcPr>
                  <w:tcW w:w="3471" w:type="pct"/>
                  <w:gridSpan w:val="2"/>
                  <w:vAlign w:val="center"/>
                </w:tcPr>
                <w:p w14:paraId="573ABF23">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作业场所</w:t>
                  </w:r>
                </w:p>
              </w:tc>
            </w:tr>
            <w:tr w14:paraId="09677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25" w:type="pct"/>
                  <w:vMerge w:val="continue"/>
                  <w:vAlign w:val="center"/>
                </w:tcPr>
                <w:p w14:paraId="0B1F454E">
                  <w:pPr>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802" w:type="pct"/>
                  <w:vMerge w:val="continue"/>
                  <w:vAlign w:val="center"/>
                </w:tcPr>
                <w:p w14:paraId="6DF6CD20">
                  <w:pPr>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1690" w:type="pct"/>
                  <w:vAlign w:val="center"/>
                </w:tcPr>
                <w:p w14:paraId="2DB374F3">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煤炭工业所属装卸场所</w:t>
                  </w:r>
                </w:p>
              </w:tc>
              <w:tc>
                <w:tcPr>
                  <w:tcW w:w="1781" w:type="pct"/>
                  <w:vAlign w:val="center"/>
                </w:tcPr>
                <w:p w14:paraId="7A11E727">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煤炭贮存场所、</w:t>
                  </w:r>
                  <w:r>
                    <w:rPr>
                      <w:rFonts w:hint="default" w:ascii="Times New Roman" w:hAnsi="Times New Roman" w:cs="Times New Roman"/>
                      <w:color w:val="000000" w:themeColor="text1"/>
                      <w:highlight w:val="none"/>
                      <w:lang w:val="en-US" w:eastAsia="zh-CN"/>
                      <w14:textFill>
                        <w14:solidFill>
                          <w14:schemeClr w14:val="tx1"/>
                        </w14:solidFill>
                      </w14:textFill>
                    </w:rPr>
                    <w:t>筛上料</w:t>
                  </w:r>
                  <w:r>
                    <w:rPr>
                      <w:rFonts w:hint="default" w:ascii="Times New Roman" w:hAnsi="Times New Roman" w:cs="Times New Roman"/>
                      <w:color w:val="000000" w:themeColor="text1"/>
                      <w:highlight w:val="none"/>
                      <w14:textFill>
                        <w14:solidFill>
                          <w14:schemeClr w14:val="tx1"/>
                        </w14:solidFill>
                      </w14:textFill>
                    </w:rPr>
                    <w:t>堆置场</w:t>
                  </w:r>
                </w:p>
              </w:tc>
            </w:tr>
            <w:tr w14:paraId="6B63B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25" w:type="pct"/>
                  <w:vMerge w:val="continue"/>
                  <w:vAlign w:val="center"/>
                </w:tcPr>
                <w:p w14:paraId="56CFBD40">
                  <w:pPr>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802" w:type="pct"/>
                  <w:vMerge w:val="continue"/>
                  <w:vAlign w:val="center"/>
                </w:tcPr>
                <w:p w14:paraId="1AA76F43">
                  <w:pPr>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c>
                <w:tcPr>
                  <w:tcW w:w="1690" w:type="pct"/>
                  <w:vAlign w:val="center"/>
                </w:tcPr>
                <w:p w14:paraId="613E756F">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无组织排放限值/(mg/Nm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p>
                <w:p w14:paraId="382B7B91">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(监控点与参考点浓度差值)</w:t>
                  </w:r>
                </w:p>
              </w:tc>
              <w:tc>
                <w:tcPr>
                  <w:tcW w:w="1781" w:type="pct"/>
                  <w:vAlign w:val="center"/>
                </w:tcPr>
                <w:p w14:paraId="7E0088E2">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无组织排放限值/(mg/Nm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p>
                <w:p w14:paraId="10E4FBD7">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(监控点与参考点浓度差值)</w:t>
                  </w:r>
                </w:p>
              </w:tc>
            </w:tr>
            <w:tr w14:paraId="6B311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25" w:type="pct"/>
                  <w:vAlign w:val="center"/>
                </w:tcPr>
                <w:p w14:paraId="65D57EFA">
                  <w:pPr>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颗粒物</w:t>
                  </w:r>
                </w:p>
              </w:tc>
              <w:tc>
                <w:tcPr>
                  <w:tcW w:w="802" w:type="pct"/>
                  <w:vAlign w:val="center"/>
                </w:tcPr>
                <w:p w14:paraId="74CE9CF4">
                  <w:pPr>
                    <w:spacing w:line="240" w:lineRule="auto"/>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周界外浓度最高点</w:t>
                  </w:r>
                </w:p>
              </w:tc>
              <w:tc>
                <w:tcPr>
                  <w:tcW w:w="1690" w:type="pct"/>
                  <w:vAlign w:val="center"/>
                </w:tcPr>
                <w:p w14:paraId="2C00DEB6">
                  <w:pPr>
                    <w:spacing w:line="240" w:lineRule="auto"/>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1781" w:type="pct"/>
                  <w:vAlign w:val="center"/>
                </w:tcPr>
                <w:p w14:paraId="17B7F92B">
                  <w:pPr>
                    <w:spacing w:line="24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r>
          </w:tbl>
          <w:p w14:paraId="08A8E01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2、废水</w:t>
            </w:r>
          </w:p>
          <w:p w14:paraId="5A392BA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本项目无生产废水，生活污水排入防渗旱厕，定期清掏外运。</w:t>
            </w:r>
          </w:p>
          <w:p w14:paraId="2A659358">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3、噪声</w:t>
            </w:r>
          </w:p>
          <w:p w14:paraId="3A0D213D">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施工期执行《建筑施工场界环境噪声排放标准》（GB12523-2011）；</w:t>
            </w:r>
            <w:r>
              <w:rPr>
                <w:rFonts w:hint="default" w:ascii="Times New Roman" w:hAnsi="Times New Roman" w:cs="Times New Roman"/>
                <w:color w:val="000000" w:themeColor="text1"/>
                <w:kern w:val="0"/>
                <w:sz w:val="24"/>
                <w:highlight w:val="none"/>
                <w14:textFill>
                  <w14:solidFill>
                    <w14:schemeClr w14:val="tx1"/>
                  </w14:solidFill>
                </w14:textFill>
              </w:rPr>
              <w:t>项目厂界噪声执行《工业企业厂界环境噪声排放标准》（GB12348-2008）中的</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类标准，标准值见表3-</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color w:val="000000" w:themeColor="text1"/>
                <w:kern w:val="0"/>
                <w:sz w:val="24"/>
                <w:highlight w:val="none"/>
                <w14:textFill>
                  <w14:solidFill>
                    <w14:schemeClr w14:val="tx1"/>
                  </w14:solidFill>
                </w14:textFill>
              </w:rPr>
              <w:t>。</w:t>
            </w:r>
            <w:bookmarkStart w:id="16" w:name="_Ref196743448"/>
          </w:p>
          <w:p w14:paraId="041A39BF">
            <w:pPr>
              <w:adjustRightInd w:val="0"/>
              <w:snapToGrid w:val="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w:t>
            </w:r>
            <w:bookmarkEnd w:id="16"/>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噪声排放标准</w:t>
            </w:r>
            <w:r>
              <w:rPr>
                <w:rFonts w:hint="default" w:ascii="Times New Roman" w:hAnsi="Times New Roman" w:cs="Times New Roman"/>
                <w:b/>
                <w:bCs/>
                <w:color w:val="000000" w:themeColor="text1"/>
                <w:kern w:val="0"/>
                <w:szCs w:val="21"/>
                <w:highlight w:val="none"/>
                <w14:textFill>
                  <w14:solidFill>
                    <w14:schemeClr w14:val="tx1"/>
                  </w14:solidFill>
                </w14:textFill>
              </w:rPr>
              <w:t xml:space="preserve">  单位：dB（A）</w:t>
            </w:r>
          </w:p>
          <w:tbl>
            <w:tblPr>
              <w:tblStyle w:val="20"/>
              <w:tblW w:w="5000" w:type="pct"/>
              <w:jc w:val="center"/>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340"/>
              <w:gridCol w:w="2340"/>
              <w:gridCol w:w="2340"/>
              <w:gridCol w:w="2340"/>
            </w:tblGrid>
            <w:tr w14:paraId="53A7B894">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250" w:type="pct"/>
                  <w:vMerge w:val="restart"/>
                  <w:noWrap w:val="0"/>
                  <w:tcMar>
                    <w:top w:w="17" w:type="dxa"/>
                    <w:left w:w="17" w:type="dxa"/>
                    <w:bottom w:w="0" w:type="dxa"/>
                    <w:right w:w="17" w:type="dxa"/>
                  </w:tcMar>
                  <w:vAlign w:val="center"/>
                </w:tcPr>
                <w:p w14:paraId="7574F733">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时段</w:t>
                  </w:r>
                </w:p>
              </w:tc>
              <w:tc>
                <w:tcPr>
                  <w:tcW w:w="1250" w:type="pct"/>
                  <w:vMerge w:val="restart"/>
                  <w:noWrap w:val="0"/>
                  <w:tcMar>
                    <w:top w:w="17" w:type="dxa"/>
                    <w:left w:w="17" w:type="dxa"/>
                    <w:bottom w:w="0" w:type="dxa"/>
                    <w:right w:w="17" w:type="dxa"/>
                  </w:tcMar>
                  <w:vAlign w:val="center"/>
                </w:tcPr>
                <w:p w14:paraId="029777B7">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标准</w:t>
                  </w:r>
                </w:p>
              </w:tc>
              <w:tc>
                <w:tcPr>
                  <w:tcW w:w="2501" w:type="pct"/>
                  <w:gridSpan w:val="2"/>
                  <w:noWrap w:val="0"/>
                  <w:tcMar>
                    <w:top w:w="17" w:type="dxa"/>
                    <w:left w:w="17" w:type="dxa"/>
                    <w:bottom w:w="0" w:type="dxa"/>
                    <w:right w:w="17" w:type="dxa"/>
                  </w:tcMar>
                  <w:vAlign w:val="center"/>
                </w:tcPr>
                <w:p w14:paraId="72C63057">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标准值</w:t>
                  </w:r>
                </w:p>
              </w:tc>
            </w:tr>
            <w:tr w14:paraId="22BAA786">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250" w:type="pct"/>
                  <w:vMerge w:val="continue"/>
                  <w:noWrap w:val="0"/>
                  <w:vAlign w:val="center"/>
                </w:tcPr>
                <w:p w14:paraId="76524B19">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50" w:type="pct"/>
                  <w:vMerge w:val="continue"/>
                  <w:noWrap w:val="0"/>
                  <w:vAlign w:val="center"/>
                </w:tcPr>
                <w:p w14:paraId="332B5DF9">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50" w:type="pct"/>
                  <w:noWrap w:val="0"/>
                  <w:tcMar>
                    <w:top w:w="17" w:type="dxa"/>
                    <w:left w:w="17" w:type="dxa"/>
                    <w:bottom w:w="0" w:type="dxa"/>
                    <w:right w:w="17" w:type="dxa"/>
                  </w:tcMar>
                  <w:vAlign w:val="center"/>
                </w:tcPr>
                <w:p w14:paraId="0A42A1CB">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昼间</w:t>
                  </w:r>
                </w:p>
              </w:tc>
              <w:tc>
                <w:tcPr>
                  <w:tcW w:w="1251" w:type="pct"/>
                  <w:noWrap w:val="0"/>
                  <w:tcMar>
                    <w:top w:w="17" w:type="dxa"/>
                    <w:left w:w="17" w:type="dxa"/>
                    <w:bottom w:w="0" w:type="dxa"/>
                    <w:right w:w="17" w:type="dxa"/>
                  </w:tcMar>
                  <w:vAlign w:val="center"/>
                </w:tcPr>
                <w:p w14:paraId="690EDBA7">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夜间</w:t>
                  </w:r>
                </w:p>
              </w:tc>
            </w:tr>
            <w:tr w14:paraId="2F0429A8">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250" w:type="pct"/>
                  <w:noWrap w:val="0"/>
                  <w:vAlign w:val="center"/>
                </w:tcPr>
                <w:p w14:paraId="0C04737C">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施工期</w:t>
                  </w:r>
                </w:p>
              </w:tc>
              <w:tc>
                <w:tcPr>
                  <w:tcW w:w="1250" w:type="pct"/>
                  <w:noWrap w:val="0"/>
                  <w:vAlign w:val="center"/>
                </w:tcPr>
                <w:p w14:paraId="11101712">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GB12523-2011</w:t>
                  </w:r>
                </w:p>
              </w:tc>
              <w:tc>
                <w:tcPr>
                  <w:tcW w:w="1250" w:type="pct"/>
                  <w:noWrap w:val="0"/>
                  <w:tcMar>
                    <w:top w:w="17" w:type="dxa"/>
                    <w:left w:w="17" w:type="dxa"/>
                    <w:bottom w:w="0" w:type="dxa"/>
                    <w:right w:w="17" w:type="dxa"/>
                  </w:tcMar>
                  <w:vAlign w:val="center"/>
                </w:tcPr>
                <w:p w14:paraId="3B3EA0A7">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70</w:t>
                  </w:r>
                </w:p>
              </w:tc>
              <w:tc>
                <w:tcPr>
                  <w:tcW w:w="1251" w:type="pct"/>
                  <w:noWrap w:val="0"/>
                  <w:tcMar>
                    <w:top w:w="17" w:type="dxa"/>
                    <w:left w:w="17" w:type="dxa"/>
                    <w:bottom w:w="0" w:type="dxa"/>
                    <w:right w:w="17" w:type="dxa"/>
                  </w:tcMar>
                  <w:vAlign w:val="center"/>
                </w:tcPr>
                <w:p w14:paraId="5DB29D26">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55</w:t>
                  </w:r>
                </w:p>
              </w:tc>
            </w:tr>
            <w:tr w14:paraId="60C8AF81">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250" w:type="pct"/>
                  <w:noWrap w:val="0"/>
                  <w:vAlign w:val="center"/>
                </w:tcPr>
                <w:p w14:paraId="79E09E33">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运营期</w:t>
                  </w:r>
                </w:p>
              </w:tc>
              <w:tc>
                <w:tcPr>
                  <w:tcW w:w="1250" w:type="pct"/>
                  <w:noWrap w:val="0"/>
                  <w:vAlign w:val="center"/>
                </w:tcPr>
                <w:p w14:paraId="035D85D5">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GB12348-2008 </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Cs w:val="21"/>
                      <w:highlight w:val="none"/>
                      <w14:textFill>
                        <w14:solidFill>
                          <w14:schemeClr w14:val="tx1"/>
                        </w14:solidFill>
                      </w14:textFill>
                    </w:rPr>
                    <w:t>类</w:t>
                  </w:r>
                </w:p>
              </w:tc>
              <w:tc>
                <w:tcPr>
                  <w:tcW w:w="1250" w:type="pct"/>
                  <w:noWrap w:val="0"/>
                  <w:tcMar>
                    <w:top w:w="17" w:type="dxa"/>
                    <w:left w:w="17" w:type="dxa"/>
                    <w:bottom w:w="0" w:type="dxa"/>
                    <w:right w:w="17" w:type="dxa"/>
                  </w:tcMar>
                  <w:vAlign w:val="center"/>
                </w:tcPr>
                <w:p w14:paraId="7EE52B63">
                  <w:pPr>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6</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0</w:t>
                  </w:r>
                </w:p>
              </w:tc>
              <w:tc>
                <w:tcPr>
                  <w:tcW w:w="1251" w:type="pct"/>
                  <w:noWrap w:val="0"/>
                  <w:tcMar>
                    <w:top w:w="17" w:type="dxa"/>
                    <w:left w:w="17" w:type="dxa"/>
                    <w:bottom w:w="0" w:type="dxa"/>
                    <w:right w:w="17" w:type="dxa"/>
                  </w:tcMar>
                  <w:vAlign w:val="center"/>
                </w:tcPr>
                <w:p w14:paraId="11FFA48A">
                  <w:pPr>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5</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0</w:t>
                  </w:r>
                </w:p>
              </w:tc>
            </w:tr>
          </w:tbl>
          <w:p w14:paraId="12BF4155">
            <w:pPr>
              <w:spacing w:line="360" w:lineRule="auto"/>
              <w:ind w:firstLine="482" w:firstLineChars="200"/>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固体废物</w:t>
            </w:r>
          </w:p>
          <w:p w14:paraId="10A6014A">
            <w:pPr>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一般工业固废贮存执行《一般工业固体废物贮存和填埋污染控制标准》(GB18599-2020)</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auto"/>
                <w:kern w:val="2"/>
                <w:sz w:val="24"/>
                <w:szCs w:val="24"/>
                <w:highlight w:val="none"/>
                <w:lang w:val="en-US" w:eastAsia="zh-CN" w:bidi="ar-SA"/>
              </w:rPr>
              <w:t>《固体废物分类与代码目录》（公告2024年第4号）</w:t>
            </w:r>
            <w:r>
              <w:rPr>
                <w:rFonts w:hint="default" w:ascii="Times New Roman" w:hAnsi="Times New Roman" w:cs="Times New Roman"/>
                <w:color w:val="000000" w:themeColor="text1"/>
                <w:sz w:val="24"/>
                <w:highlight w:val="none"/>
                <w14:textFill>
                  <w14:solidFill>
                    <w14:schemeClr w14:val="tx1"/>
                  </w14:solidFill>
                </w14:textFill>
              </w:rPr>
              <w:t>要求</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auto"/>
                <w:sz w:val="24"/>
                <w:szCs w:val="28"/>
                <w:highlight w:val="none"/>
              </w:rPr>
              <w:t>危险废物贮存执行《危险废物贮存污染控制标准》（GB18597-20</w:t>
            </w:r>
            <w:r>
              <w:rPr>
                <w:rFonts w:hint="default" w:ascii="Times New Roman" w:hAnsi="Times New Roman" w:cs="Times New Roman"/>
                <w:color w:val="auto"/>
                <w:sz w:val="24"/>
                <w:szCs w:val="28"/>
                <w:highlight w:val="none"/>
                <w:lang w:val="en-US" w:eastAsia="zh-CN"/>
              </w:rPr>
              <w:t>23</w:t>
            </w:r>
            <w:r>
              <w:rPr>
                <w:rFonts w:hint="default" w:ascii="Times New Roman" w:hAnsi="Times New Roman" w:cs="Times New Roman"/>
                <w:color w:val="auto"/>
                <w:sz w:val="24"/>
                <w:szCs w:val="28"/>
                <w:highlight w:val="none"/>
              </w:rPr>
              <w:t>）</w:t>
            </w:r>
            <w:r>
              <w:rPr>
                <w:rFonts w:hint="default" w:ascii="Times New Roman" w:hAnsi="Times New Roman" w:cs="Times New Roman"/>
                <w:color w:val="auto"/>
                <w:sz w:val="24"/>
                <w:szCs w:val="28"/>
                <w:highlight w:val="none"/>
                <w:lang w:val="en-US" w:eastAsia="zh-CN"/>
              </w:rPr>
              <w:t>标准要求</w:t>
            </w:r>
            <w:r>
              <w:rPr>
                <w:rFonts w:hint="default" w:ascii="Times New Roman" w:hAnsi="Times New Roman" w:cs="Times New Roman"/>
                <w:color w:val="auto"/>
                <w:sz w:val="24"/>
                <w:szCs w:val="24"/>
                <w:highlight w:val="none"/>
              </w:rPr>
              <w:t>。</w:t>
            </w:r>
          </w:p>
        </w:tc>
      </w:tr>
      <w:tr w14:paraId="028AA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62720CEE">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总量</w:t>
            </w:r>
          </w:p>
          <w:p w14:paraId="5052F269">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控制</w:t>
            </w:r>
          </w:p>
          <w:p w14:paraId="57BFFCFD">
            <w:pP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指标</w:t>
            </w:r>
          </w:p>
        </w:tc>
        <w:tc>
          <w:tcPr>
            <w:tcW w:w="8904" w:type="dxa"/>
            <w:vAlign w:val="center"/>
          </w:tcPr>
          <w:p w14:paraId="361AC555">
            <w:pPr>
              <w:pStyle w:val="34"/>
              <w:autoSpaceDE w:val="0"/>
              <w:autoSpaceDN w:val="0"/>
              <w:spacing w:line="360" w:lineRule="auto"/>
              <w:ind w:firstLine="480" w:firstLineChars="20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根据《关于做好“十四五”主要污染物总量减排工作的通知》(环办综合函〔2021〕323号)中污染物排放总量控制管理要求，十四五期间主要控制污染物为氮氧化物、挥发性有机物、化学需氧量、氨氮。</w:t>
            </w:r>
            <w:r>
              <w:rPr>
                <w:rFonts w:hint="default" w:ascii="Times New Roman" w:hAnsi="Times New Roman" w:eastAsia="宋体" w:cs="Times New Roman"/>
                <w:color w:val="000000" w:themeColor="text1"/>
                <w:kern w:val="2"/>
                <w:sz w:val="24"/>
                <w:szCs w:val="24"/>
                <w:highlight w:val="none"/>
                <w:lang w:val="en-US" w:eastAsia="zh-Hans" w:bidi="ar-SA"/>
                <w14:textFill>
                  <w14:solidFill>
                    <w14:schemeClr w14:val="tx1"/>
                  </w14:solidFill>
                </w14:textFill>
              </w:rPr>
              <w:t>结合本项目实际污染物排放情况，确定本项</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目无需申请</w:t>
            </w:r>
            <w:r>
              <w:rPr>
                <w:rFonts w:hint="default" w:ascii="Times New Roman" w:hAnsi="Times New Roman" w:eastAsia="宋体" w:cs="Times New Roman"/>
                <w:color w:val="000000" w:themeColor="text1"/>
                <w:kern w:val="2"/>
                <w:sz w:val="24"/>
                <w:szCs w:val="24"/>
                <w:highlight w:val="none"/>
                <w:lang w:val="en-US" w:eastAsia="zh-Hans" w:bidi="ar-SA"/>
                <w14:textFill>
                  <w14:solidFill>
                    <w14:schemeClr w14:val="tx1"/>
                  </w14:solidFill>
                </w14:textFill>
              </w:rPr>
              <w:t>总量控制指标</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r>
    </w:tbl>
    <w:p w14:paraId="6F1DB251">
      <w:pPr>
        <w:pStyle w:val="17"/>
        <w:jc w:val="center"/>
        <w:outlineLvl w:val="0"/>
        <w:rPr>
          <w:rStyle w:val="49"/>
          <w:rFonts w:hint="eastAsia" w:ascii="宋体" w:hAnsi="宋体" w:eastAsia="宋体" w:cs="宋体"/>
          <w:color w:val="000000" w:themeColor="text1"/>
          <w:highlight w:val="none"/>
          <w14:textFill>
            <w14:solidFill>
              <w14:schemeClr w14:val="tx1"/>
            </w14:solidFill>
          </w14:textFill>
        </w:rPr>
      </w:pPr>
      <w: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br w:type="page"/>
      </w:r>
      <w:bookmarkStart w:id="17" w:name="_Toc2498"/>
      <w:bookmarkStart w:id="18" w:name="_Toc12897"/>
      <w:r>
        <w:rPr>
          <w:rStyle w:val="49"/>
          <w:rFonts w:hint="eastAsia" w:ascii="宋体" w:hAnsi="宋体" w:eastAsia="宋体" w:cs="宋体"/>
          <w:color w:val="000000" w:themeColor="text1"/>
          <w:highlight w:val="none"/>
          <w14:textFill>
            <w14:solidFill>
              <w14:schemeClr w14:val="tx1"/>
            </w14:solidFill>
          </w14:textFill>
        </w:rPr>
        <w:t>四、主要环境影响和保护措施</w:t>
      </w:r>
      <w:bookmarkEnd w:id="17"/>
      <w:bookmarkEnd w:id="18"/>
    </w:p>
    <w:tbl>
      <w:tblPr>
        <w:tblStyle w:val="20"/>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9003"/>
      </w:tblGrid>
      <w:tr w14:paraId="2EF08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35" w:type="dxa"/>
            <w:tcMar>
              <w:left w:w="28" w:type="dxa"/>
              <w:right w:w="28" w:type="dxa"/>
            </w:tcMar>
            <w:vAlign w:val="center"/>
          </w:tcPr>
          <w:p w14:paraId="44C98A09">
            <w:pPr>
              <w:pStyle w:val="17"/>
              <w:adjustRightInd w:val="0"/>
              <w:snapToGrid w:val="0"/>
              <w:spacing w:before="0" w:beforeAutospacing="0" w:after="0" w:afterAutospacing="0"/>
              <w:jc w:val="center"/>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施工</w:t>
            </w:r>
          </w:p>
          <w:p w14:paraId="27D59C08">
            <w:pPr>
              <w:pStyle w:val="17"/>
              <w:adjustRightInd w:val="0"/>
              <w:snapToGrid w:val="0"/>
              <w:spacing w:before="0" w:beforeAutospacing="0" w:after="0" w:afterAutospacing="0"/>
              <w:jc w:val="center"/>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期环</w:t>
            </w:r>
          </w:p>
          <w:p w14:paraId="4A9CBEF1">
            <w:pPr>
              <w:pStyle w:val="17"/>
              <w:adjustRightInd w:val="0"/>
              <w:snapToGrid w:val="0"/>
              <w:spacing w:before="0" w:beforeAutospacing="0" w:after="0" w:afterAutospacing="0"/>
              <w:jc w:val="center"/>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境保</w:t>
            </w:r>
          </w:p>
          <w:p w14:paraId="4089C4AE">
            <w:pPr>
              <w:pStyle w:val="17"/>
              <w:adjustRightInd w:val="0"/>
              <w:snapToGrid w:val="0"/>
              <w:spacing w:before="0" w:beforeAutospacing="0" w:after="0" w:afterAutospacing="0"/>
              <w:jc w:val="center"/>
              <w:rPr>
                <w:rFonts w:hint="default" w:ascii="Times New Roman" w:hAnsi="Times New Roman" w:cs="Times New Roman"/>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护措</w:t>
            </w:r>
          </w:p>
          <w:p w14:paraId="587FD021">
            <w:pPr>
              <w:pStyle w:val="17"/>
              <w:adjustRightInd w:val="0"/>
              <w:snapToGrid w:val="0"/>
              <w:spacing w:before="0" w:beforeAutospacing="0" w:after="0" w:afterAutospacing="0"/>
              <w:jc w:val="center"/>
              <w:rPr>
                <w:rFonts w:hint="default" w:ascii="Times New Roman" w:hAnsi="Times New Roman" w:cs="Times New Roman"/>
                <w:bCs/>
                <w:color w:val="000000" w:themeColor="text1"/>
                <w:kern w:val="2"/>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施</w:t>
            </w:r>
          </w:p>
        </w:tc>
        <w:tc>
          <w:tcPr>
            <w:tcW w:w="9003" w:type="dxa"/>
            <w:vAlign w:val="top"/>
          </w:tcPr>
          <w:p w14:paraId="238FD6E6">
            <w:pPr>
              <w:numPr>
                <w:ilvl w:val="0"/>
                <w:numId w:val="0"/>
              </w:num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本次主要建设内容为场地平整、地面硬化，建设煤炭储存配套相应环保设施。</w:t>
            </w:r>
            <w:r>
              <w:rPr>
                <w:rFonts w:hint="default" w:ascii="Times New Roman" w:hAnsi="Times New Roman" w:cs="Times New Roman"/>
                <w:bCs/>
                <w:color w:val="000000" w:themeColor="text1"/>
                <w:sz w:val="24"/>
                <w:highlight w:val="none"/>
                <w:lang w:val="en-US" w:eastAsia="zh-CN"/>
                <w14:textFill>
                  <w14:solidFill>
                    <w14:schemeClr w14:val="tx1"/>
                  </w14:solidFill>
                </w14:textFill>
              </w:rPr>
              <w:t>在未利用土地上进行建设。</w:t>
            </w:r>
          </w:p>
          <w:p w14:paraId="022EBD62">
            <w:pPr>
              <w:numPr>
                <w:ilvl w:val="0"/>
                <w:numId w:val="0"/>
              </w:numPr>
              <w:adjustRightInd w:val="0"/>
              <w:snapToGrid w:val="0"/>
              <w:spacing w:line="360" w:lineRule="auto"/>
              <w:jc w:val="both"/>
              <w:rPr>
                <w:rFonts w:hint="default" w:ascii="Times New Roman" w:hAnsi="Times New Roman" w:cs="Times New Roman"/>
                <w:b/>
                <w:color w:val="000000" w:themeColor="text1"/>
                <w:sz w:val="24"/>
                <w:szCs w:val="28"/>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8"/>
                <w:highlight w:val="none"/>
                <w:lang w:val="en-US" w:eastAsia="zh-CN" w:bidi="ar-SA"/>
                <w14:textFill>
                  <w14:solidFill>
                    <w14:schemeClr w14:val="tx1"/>
                  </w14:solidFill>
                </w14:textFill>
              </w:rPr>
              <w:t>1、</w:t>
            </w:r>
            <w:r>
              <w:rPr>
                <w:rFonts w:hint="default" w:ascii="Times New Roman" w:hAnsi="Times New Roman" w:cs="Times New Roman"/>
                <w:b/>
                <w:color w:val="000000" w:themeColor="text1"/>
                <w:sz w:val="24"/>
                <w:szCs w:val="28"/>
                <w:highlight w:val="none"/>
                <w14:textFill>
                  <w14:solidFill>
                    <w14:schemeClr w14:val="tx1"/>
                  </w14:solidFill>
                </w14:textFill>
              </w:rPr>
              <w:t>施工扬尘</w:t>
            </w:r>
          </w:p>
          <w:p w14:paraId="3F848B31">
            <w:pPr>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为了减少施工期的环境空气污染，施工现场周边应设置围挡，对施工现场内的施工道路进行硬质覆盖；</w:t>
            </w:r>
            <w:r>
              <w:rPr>
                <w:rFonts w:hint="default" w:ascii="Times New Roman" w:hAnsi="Times New Roman" w:cs="Times New Roman"/>
                <w:color w:val="000000" w:themeColor="text1"/>
                <w:sz w:val="24"/>
                <w:highlight w:val="none"/>
                <w:lang w:val="en-US" w:eastAsia="zh-CN"/>
                <w14:textFill>
                  <w14:solidFill>
                    <w14:schemeClr w14:val="tx1"/>
                  </w14:solidFill>
                </w14:textFill>
              </w:rPr>
              <w:t>施工</w:t>
            </w:r>
            <w:r>
              <w:rPr>
                <w:rFonts w:hint="default" w:ascii="Times New Roman" w:hAnsi="Times New Roman" w:cs="Times New Roman"/>
                <w:color w:val="000000" w:themeColor="text1"/>
                <w:sz w:val="24"/>
                <w:highlight w:val="none"/>
                <w14:textFill>
                  <w14:solidFill>
                    <w14:schemeClr w14:val="tx1"/>
                  </w14:solidFill>
                </w14:textFill>
              </w:rPr>
              <w:t>材料</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如砂石等</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采取遮盖措施；建筑材料运输车要用苫布盖好；现场装卸产生扬尘的物质、清理平整场地等活动时应当采取湿式作业等有效防尘措施。施工单位应当按照有关规定使用预拌混凝土，不得擅自在施工现场搅拌混凝土。施工车辆必须装有尾气净化装置，使污染降到最低。严格执行文明施工，建筑材料不允许乱堆乱放，弃土石渣每天清除。</w:t>
            </w:r>
            <w:r>
              <w:rPr>
                <w:rFonts w:hint="default" w:ascii="Times New Roman" w:hAnsi="Times New Roman" w:cs="Times New Roman"/>
                <w:color w:val="000000" w:themeColor="text1"/>
                <w:sz w:val="24"/>
                <w:highlight w:val="none"/>
                <w:lang w:val="en-US" w:eastAsia="zh-CN"/>
                <w14:textFill>
                  <w14:solidFill>
                    <w14:schemeClr w14:val="tx1"/>
                  </w14:solidFill>
                </w14:textFill>
              </w:rPr>
              <w:t>在落实以上措施后，施工期废气</w:t>
            </w:r>
            <w:r>
              <w:rPr>
                <w:rFonts w:hint="default" w:ascii="Times New Roman" w:hAnsi="Times New Roman" w:cs="Times New Roman"/>
                <w:bCs/>
                <w:color w:val="000000" w:themeColor="text1"/>
                <w:sz w:val="24"/>
                <w:highlight w:val="none"/>
                <w14:textFill>
                  <w14:solidFill>
                    <w14:schemeClr w14:val="tx1"/>
                  </w14:solidFill>
                </w14:textFill>
              </w:rPr>
              <w:t>排放浓度</w:t>
            </w:r>
            <w:r>
              <w:rPr>
                <w:rFonts w:hint="default" w:ascii="Times New Roman" w:hAnsi="Times New Roman" w:cs="Times New Roman"/>
                <w:bCs/>
                <w:color w:val="000000" w:themeColor="text1"/>
                <w:sz w:val="24"/>
                <w:highlight w:val="none"/>
                <w:lang w:val="en-US" w:eastAsia="zh-CN"/>
                <w14:textFill>
                  <w14:solidFill>
                    <w14:schemeClr w14:val="tx1"/>
                  </w14:solidFill>
                </w14:textFill>
              </w:rPr>
              <w:t>能够</w:t>
            </w:r>
            <w:r>
              <w:rPr>
                <w:rFonts w:hint="default" w:ascii="Times New Roman" w:hAnsi="Times New Roman" w:cs="Times New Roman"/>
                <w:bCs/>
                <w:color w:val="000000" w:themeColor="text1"/>
                <w:sz w:val="24"/>
                <w:highlight w:val="none"/>
                <w14:textFill>
                  <w14:solidFill>
                    <w14:schemeClr w14:val="tx1"/>
                  </w14:solidFill>
                </w14:textFill>
              </w:rPr>
              <w:t>满足《大气污染物综合排放标准》（GB16297-1996）表2中的无组织排放限值，对周围环境影响较小</w:t>
            </w:r>
            <w:r>
              <w:rPr>
                <w:rFonts w:hint="default" w:ascii="Times New Roman" w:hAnsi="Times New Roman" w:cs="Times New Roman"/>
                <w:bCs/>
                <w:color w:val="000000" w:themeColor="text1"/>
                <w:sz w:val="24"/>
                <w:highlight w:val="none"/>
                <w:lang w:eastAsia="zh-CN"/>
                <w14:textFill>
                  <w14:solidFill>
                    <w14:schemeClr w14:val="tx1"/>
                  </w14:solidFill>
                </w14:textFill>
              </w:rPr>
              <w:t>。</w:t>
            </w:r>
          </w:p>
          <w:p w14:paraId="23D841FE">
            <w:pPr>
              <w:numPr>
                <w:ilvl w:val="0"/>
                <w:numId w:val="0"/>
              </w:numPr>
              <w:adjustRightInd w:val="0"/>
              <w:snapToGrid w:val="0"/>
              <w:spacing w:line="360" w:lineRule="auto"/>
              <w:jc w:val="both"/>
              <w:rPr>
                <w:rFonts w:hint="default" w:ascii="Times New Roman" w:hAnsi="Times New Roman" w:cs="Times New Roman"/>
                <w:b/>
                <w:color w:val="000000" w:themeColor="text1"/>
                <w:sz w:val="24"/>
                <w:szCs w:val="28"/>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8"/>
                <w:highlight w:val="none"/>
                <w:lang w:val="en-US" w:eastAsia="zh-CN" w:bidi="ar-SA"/>
                <w14:textFill>
                  <w14:solidFill>
                    <w14:schemeClr w14:val="tx1"/>
                  </w14:solidFill>
                </w14:textFill>
              </w:rPr>
              <w:t>2、</w:t>
            </w:r>
            <w:r>
              <w:rPr>
                <w:rFonts w:hint="default" w:ascii="Times New Roman" w:hAnsi="Times New Roman" w:cs="Times New Roman"/>
                <w:b/>
                <w:color w:val="000000" w:themeColor="text1"/>
                <w:sz w:val="24"/>
                <w:szCs w:val="28"/>
                <w:highlight w:val="none"/>
                <w14:textFill>
                  <w14:solidFill>
                    <w14:schemeClr w14:val="tx1"/>
                  </w14:solidFill>
                </w14:textFill>
              </w:rPr>
              <w:t>废水</w:t>
            </w:r>
          </w:p>
          <w:p w14:paraId="66894CAB">
            <w:pPr>
              <w:adjustRightInd w:val="0"/>
              <w:snapToGrid w:val="0"/>
              <w:spacing w:line="360" w:lineRule="auto"/>
              <w:ind w:firstLine="480" w:firstLineChars="200"/>
              <w:jc w:val="both"/>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color w:val="auto"/>
                <w:sz w:val="24"/>
                <w:highlight w:val="none"/>
                <w:lang w:val="en-US" w:eastAsia="zh-CN"/>
              </w:rPr>
              <w:t>施工废水主要包括施工人员的生活污水，以及运输车辆轮胎的冲洗废水。生活污水将排入临时防渗旱厕，定期清掏外运进行堆肥处理，不外排。施工期间设置临时洗车区域及沉淀池，运输车辆轮胎的冲洗废水排入沉淀池，经沉淀后全部回用于混凝土养护、场地洒水降尘等环节，做到废水不外排，施工期所产生的废水均能妥善处理，不会对周边环境造成不良影响。</w:t>
            </w:r>
          </w:p>
          <w:p w14:paraId="2F11D542">
            <w:pPr>
              <w:numPr>
                <w:ilvl w:val="0"/>
                <w:numId w:val="0"/>
              </w:numPr>
              <w:adjustRightInd w:val="0"/>
              <w:snapToGrid w:val="0"/>
              <w:spacing w:line="360" w:lineRule="auto"/>
              <w:jc w:val="both"/>
              <w:rPr>
                <w:rFonts w:hint="default" w:ascii="Times New Roman" w:hAnsi="Times New Roman" w:cs="Times New Roman"/>
                <w:b/>
                <w:color w:val="000000" w:themeColor="text1"/>
                <w:sz w:val="24"/>
                <w:szCs w:val="28"/>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8"/>
                <w:highlight w:val="none"/>
                <w:lang w:val="en-US" w:eastAsia="zh-CN" w:bidi="ar-SA"/>
                <w14:textFill>
                  <w14:solidFill>
                    <w14:schemeClr w14:val="tx1"/>
                  </w14:solidFill>
                </w14:textFill>
              </w:rPr>
              <w:t>3、</w:t>
            </w:r>
            <w:r>
              <w:rPr>
                <w:rFonts w:hint="default" w:ascii="Times New Roman" w:hAnsi="Times New Roman" w:cs="Times New Roman"/>
                <w:b/>
                <w:color w:val="000000" w:themeColor="text1"/>
                <w:sz w:val="24"/>
                <w:szCs w:val="28"/>
                <w:highlight w:val="none"/>
                <w14:textFill>
                  <w14:solidFill>
                    <w14:schemeClr w14:val="tx1"/>
                  </w14:solidFill>
                </w14:textFill>
              </w:rPr>
              <w:t>噪声</w:t>
            </w:r>
          </w:p>
          <w:p w14:paraId="7CC4AD14">
            <w:pPr>
              <w:adjustRightInd w:val="0"/>
              <w:snapToGrid w:val="0"/>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过程中要做到文明施工，施工机械要采取减振措施，使用低噪声设备，大型施工机械应异地使用，对不能异地使用的应采取封闭措施，如高噪声的施工设备圆锯等必须封闭使用或四周加设隔声屏障，杜绝夜间施工现象。采取上述措施，施工场界噪声能够达到《建筑施工场界环境噪声排放标准》</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GB12523-2011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标准值，故施工期噪声对周围环境影响会减小。</w:t>
            </w:r>
          </w:p>
          <w:p w14:paraId="078E9B39">
            <w:pPr>
              <w:numPr>
                <w:ilvl w:val="0"/>
                <w:numId w:val="0"/>
              </w:numPr>
              <w:adjustRightInd w:val="0"/>
              <w:snapToGrid w:val="0"/>
              <w:spacing w:line="360" w:lineRule="auto"/>
              <w:jc w:val="both"/>
              <w:rPr>
                <w:rFonts w:hint="default" w:ascii="Times New Roman" w:hAnsi="Times New Roman" w:cs="Times New Roman"/>
                <w:b/>
                <w:color w:val="000000" w:themeColor="text1"/>
                <w:sz w:val="24"/>
                <w:szCs w:val="28"/>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8"/>
                <w:highlight w:val="none"/>
                <w:lang w:val="en-US" w:eastAsia="zh-CN" w:bidi="ar-SA"/>
                <w14:textFill>
                  <w14:solidFill>
                    <w14:schemeClr w14:val="tx1"/>
                  </w14:solidFill>
                </w14:textFill>
              </w:rPr>
              <w:t>4、</w:t>
            </w:r>
            <w:r>
              <w:rPr>
                <w:rFonts w:hint="default" w:ascii="Times New Roman" w:hAnsi="Times New Roman" w:cs="Times New Roman"/>
                <w:b/>
                <w:color w:val="000000" w:themeColor="text1"/>
                <w:sz w:val="24"/>
                <w:szCs w:val="28"/>
                <w:highlight w:val="none"/>
                <w14:textFill>
                  <w14:solidFill>
                    <w14:schemeClr w14:val="tx1"/>
                  </w14:solidFill>
                </w14:textFill>
              </w:rPr>
              <w:t>固废</w:t>
            </w:r>
          </w:p>
          <w:p w14:paraId="403E8320">
            <w:pPr>
              <w:adjustRightInd w:val="0"/>
              <w:snapToGrid w:val="0"/>
              <w:spacing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建筑垃圾及生活垃圾要随产随清，驶出施工现场的车辆，应清除轮胎上的泥土。将建筑垃圾运至市政指定地点倾倒，生活垃圾及时清运至指定地点</w:t>
            </w:r>
            <w:r>
              <w:rPr>
                <w:rFonts w:hint="default" w:ascii="Times New Roman" w:hAnsi="Times New Roman" w:cs="Times New Roman"/>
                <w:color w:val="000000" w:themeColor="text1"/>
                <w:sz w:val="24"/>
                <w:highlight w:val="none"/>
                <w:lang w:eastAsia="zh-CN"/>
                <w14:textFill>
                  <w14:solidFill>
                    <w14:schemeClr w14:val="tx1"/>
                  </w14:solidFill>
                </w14:textFill>
              </w:rPr>
              <w:t>。</w:t>
            </w:r>
          </w:p>
        </w:tc>
      </w:tr>
      <w:tr w14:paraId="0972A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2" w:hRule="atLeast"/>
          <w:jc w:val="center"/>
        </w:trPr>
        <w:tc>
          <w:tcPr>
            <w:tcW w:w="635" w:type="dxa"/>
            <w:tcMar>
              <w:left w:w="28" w:type="dxa"/>
              <w:right w:w="28" w:type="dxa"/>
            </w:tcMar>
            <w:vAlign w:val="center"/>
          </w:tcPr>
          <w:p w14:paraId="251F5204">
            <w:pPr>
              <w:adjustRightInd w:val="0"/>
              <w:snapToGrid w:val="0"/>
              <w:jc w:val="center"/>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运营</w:t>
            </w:r>
          </w:p>
          <w:p w14:paraId="3DFC282C">
            <w:pPr>
              <w:adjustRightInd w:val="0"/>
              <w:snapToGrid w:val="0"/>
              <w:jc w:val="center"/>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期环</w:t>
            </w:r>
          </w:p>
          <w:p w14:paraId="1D676A0B">
            <w:pPr>
              <w:adjustRightInd w:val="0"/>
              <w:snapToGrid w:val="0"/>
              <w:jc w:val="center"/>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境影</w:t>
            </w:r>
          </w:p>
          <w:p w14:paraId="3215D68B">
            <w:pPr>
              <w:adjustRightInd w:val="0"/>
              <w:snapToGrid w:val="0"/>
              <w:jc w:val="center"/>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响和</w:t>
            </w:r>
          </w:p>
          <w:p w14:paraId="28554E6F">
            <w:pPr>
              <w:adjustRightInd w:val="0"/>
              <w:snapToGrid w:val="0"/>
              <w:jc w:val="center"/>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保护</w:t>
            </w:r>
          </w:p>
          <w:p w14:paraId="0F4E940F">
            <w:pPr>
              <w:adjustRightInd w:val="0"/>
              <w:snapToGrid w:val="0"/>
              <w:jc w:val="center"/>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措施</w:t>
            </w:r>
          </w:p>
        </w:tc>
        <w:tc>
          <w:tcPr>
            <w:tcW w:w="9003" w:type="dxa"/>
          </w:tcPr>
          <w:p w14:paraId="7DA3ECC0">
            <w:pPr>
              <w:adjustRightInd w:val="0"/>
              <w:snapToGrid w:val="0"/>
              <w:spacing w:line="36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1、废气</w:t>
            </w:r>
          </w:p>
          <w:p w14:paraId="6034F60F">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highlight w:val="none"/>
                <w14:textFill>
                  <w14:solidFill>
                    <w14:schemeClr w14:val="tx1"/>
                  </w14:solidFill>
                </w14:textFill>
              </w:rPr>
              <w:t>）项目废气污染源</w:t>
            </w:r>
          </w:p>
          <w:p w14:paraId="32E9FB15">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eastAsia="zh-CN"/>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①</w:t>
            </w:r>
            <w:r>
              <w:rPr>
                <w:rFonts w:hint="default" w:ascii="Times New Roman" w:hAnsi="Times New Roman" w:cs="Times New Roman"/>
                <w:bCs/>
                <w:color w:val="000000" w:themeColor="text1"/>
                <w:sz w:val="24"/>
                <w:highlight w:val="none"/>
                <w:lang w:val="en-US" w:eastAsia="zh-CN"/>
                <w14:textFill>
                  <w14:solidFill>
                    <w14:schemeClr w14:val="tx1"/>
                  </w14:solidFill>
                </w14:textFill>
              </w:rPr>
              <w:t>储煤场扬尘</w:t>
            </w:r>
          </w:p>
          <w:p w14:paraId="73582C6B">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根据《扬尘源颗粒物排放清单编制技术指南》（试行），</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储煤场</w:t>
            </w:r>
            <w:r>
              <w:rPr>
                <w:rFonts w:hint="default" w:ascii="Times New Roman" w:hAnsi="Times New Roman" w:eastAsia="宋体" w:cs="Times New Roman"/>
                <w:bCs/>
                <w:color w:val="000000" w:themeColor="text1"/>
                <w:sz w:val="24"/>
                <w:highlight w:val="none"/>
                <w14:textFill>
                  <w14:solidFill>
                    <w14:schemeClr w14:val="tx1"/>
                  </w14:solidFill>
                </w14:textFill>
              </w:rPr>
              <w:t>的扬尘源排放量是装卸、运输引起的扬尘与堆积存放期间风蚀的加和，计算公式如下：</w:t>
            </w:r>
          </w:p>
          <w:p w14:paraId="1B844EA1">
            <w:pPr>
              <w:spacing w:line="360" w:lineRule="auto"/>
              <w:ind w:firstLine="420"/>
              <w:rPr>
                <w:rFonts w:hint="default" w:ascii="Times New Roman" w:hAnsi="Times New Roman" w:cs="Times New Roman"/>
                <w:color w:val="000000" w:themeColor="text1"/>
                <w:sz w:val="21"/>
                <w:szCs w:val="22"/>
                <w:highlight w:val="none"/>
                <w14:textFill>
                  <w14:solidFill>
                    <w14:schemeClr w14:val="tx1"/>
                  </w14:solidFill>
                </w14:textFill>
              </w:rPr>
            </w:pPr>
            <w:r>
              <w:rPr>
                <w:rFonts w:hint="default" w:ascii="Times New Roman" w:hAnsi="Times New Roman" w:cs="Times New Roman"/>
                <w:color w:val="000000" w:themeColor="text1"/>
                <w:sz w:val="21"/>
                <w:szCs w:val="22"/>
                <w:highlight w:val="none"/>
                <w14:textFill>
                  <w14:solidFill>
                    <w14:schemeClr w14:val="tx1"/>
                  </w14:solidFill>
                </w14:textFill>
              </w:rPr>
              <w:t xml:space="preserve">      </w:t>
            </w:r>
            <w:r>
              <w:rPr>
                <w:rFonts w:hint="default" w:ascii="Times New Roman" w:hAnsi="Times New Roman" w:cs="Times New Roman"/>
                <w:color w:val="000000" w:themeColor="text1"/>
                <w:sz w:val="21"/>
                <w:szCs w:val="22"/>
                <w:highlight w:val="none"/>
                <w14:textFill>
                  <w14:solidFill>
                    <w14:schemeClr w14:val="tx1"/>
                  </w14:solidFill>
                </w14:textFill>
              </w:rPr>
              <w:drawing>
                <wp:inline distT="0" distB="0" distL="114300" distR="114300">
                  <wp:extent cx="3779520" cy="716280"/>
                  <wp:effectExtent l="0" t="0" r="11430" b="762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0"/>
                          <a:stretch>
                            <a:fillRect/>
                          </a:stretch>
                        </pic:blipFill>
                        <pic:spPr>
                          <a:xfrm>
                            <a:off x="0" y="0"/>
                            <a:ext cx="3779520" cy="716280"/>
                          </a:xfrm>
                          <a:prstGeom prst="rect">
                            <a:avLst/>
                          </a:prstGeom>
                          <a:noFill/>
                          <a:ln>
                            <a:noFill/>
                          </a:ln>
                        </pic:spPr>
                      </pic:pic>
                    </a:graphicData>
                  </a:graphic>
                </wp:inline>
              </w:drawing>
            </w:r>
          </w:p>
          <w:p w14:paraId="1886C91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式中：</w:t>
            </w:r>
            <w:r>
              <w:rPr>
                <w:rFonts w:hint="default" w:ascii="Times New Roman" w:hAnsi="Times New Roman" w:cs="Times New Roman"/>
                <w:color w:val="000000" w:themeColor="text1"/>
                <w:sz w:val="24"/>
                <w:szCs w:val="32"/>
                <w:highlight w:val="none"/>
                <w14:textFill>
                  <w14:solidFill>
                    <w14:schemeClr w14:val="tx1"/>
                  </w14:solidFill>
                </w14:textFill>
              </w:rPr>
              <w:t>W</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Y</w:t>
            </w:r>
            <w:r>
              <w:rPr>
                <w:rFonts w:hint="default" w:ascii="Times New Roman" w:hAnsi="Times New Roman" w:cs="Times New Roman"/>
                <w:color w:val="000000" w:themeColor="text1"/>
                <w:sz w:val="24"/>
                <w:szCs w:val="32"/>
                <w:highlight w:val="none"/>
                <w14:textFill>
                  <w14:solidFill>
                    <w14:schemeClr w14:val="tx1"/>
                  </w14:solidFill>
                </w14:textFill>
              </w:rPr>
              <w:t>——堆场扬尘源中颗粒物总排放量，t/a；</w:t>
            </w:r>
          </w:p>
          <w:p w14:paraId="59D21EE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E</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h</w:t>
            </w:r>
            <w:r>
              <w:rPr>
                <w:rFonts w:hint="default" w:ascii="Times New Roman" w:hAnsi="Times New Roman" w:cs="Times New Roman"/>
                <w:color w:val="000000" w:themeColor="text1"/>
                <w:sz w:val="24"/>
                <w:szCs w:val="32"/>
                <w:highlight w:val="none"/>
                <w14:textFill>
                  <w14:solidFill>
                    <w14:schemeClr w14:val="tx1"/>
                  </w14:solidFill>
                </w14:textFill>
              </w:rPr>
              <w:t>——堆场装卸运输过程的扬尘颗粒物排放系数，kg/t；</w:t>
            </w:r>
          </w:p>
          <w:p w14:paraId="1346263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m——每年料堆物料装卸总次数；</w:t>
            </w:r>
          </w:p>
          <w:p w14:paraId="5B4740C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G</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Yi</w:t>
            </w:r>
            <w:r>
              <w:rPr>
                <w:rFonts w:hint="default" w:ascii="Times New Roman" w:hAnsi="Times New Roman" w:cs="Times New Roman"/>
                <w:color w:val="000000" w:themeColor="text1"/>
                <w:sz w:val="24"/>
                <w:szCs w:val="32"/>
                <w:highlight w:val="none"/>
                <w14:textFill>
                  <w14:solidFill>
                    <w14:schemeClr w14:val="tx1"/>
                  </w14:solidFill>
                </w14:textFill>
              </w:rPr>
              <w:t>——第i次装卸过程的物料装卸量t；</w:t>
            </w:r>
          </w:p>
          <w:p w14:paraId="75D2847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E</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w</w:t>
            </w:r>
            <w:r>
              <w:rPr>
                <w:rFonts w:hint="default" w:ascii="Times New Roman" w:hAnsi="Times New Roman" w:cs="Times New Roman"/>
                <w:color w:val="000000" w:themeColor="text1"/>
                <w:sz w:val="24"/>
                <w:szCs w:val="32"/>
                <w:highlight w:val="none"/>
                <w14:textFill>
                  <w14:solidFill>
                    <w14:schemeClr w14:val="tx1"/>
                  </w14:solidFill>
                </w14:textFill>
              </w:rPr>
              <w:t>——料堆受到风蚀作用的颗粒物排放系数，kg/m</w:t>
            </w:r>
            <w:r>
              <w:rPr>
                <w:rFonts w:hint="default" w:ascii="Times New Roman" w:hAnsi="Times New Roman" w:cs="Times New Roman"/>
                <w:color w:val="000000" w:themeColor="text1"/>
                <w:sz w:val="24"/>
                <w:szCs w:val="32"/>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32"/>
                <w:highlight w:val="none"/>
                <w14:textFill>
                  <w14:solidFill>
                    <w14:schemeClr w14:val="tx1"/>
                  </w14:solidFill>
                </w14:textFill>
              </w:rPr>
              <w:t>；</w:t>
            </w:r>
          </w:p>
          <w:p w14:paraId="188C464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A</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Y</w:t>
            </w:r>
            <w:r>
              <w:rPr>
                <w:rFonts w:hint="default" w:ascii="Times New Roman" w:hAnsi="Times New Roman" w:cs="Times New Roman"/>
                <w:color w:val="000000" w:themeColor="text1"/>
                <w:sz w:val="24"/>
                <w:szCs w:val="32"/>
                <w:highlight w:val="none"/>
                <w14:textFill>
                  <w14:solidFill>
                    <w14:schemeClr w14:val="tx1"/>
                  </w14:solidFill>
                </w14:textFill>
              </w:rPr>
              <w:t>——料堆表面积；</w:t>
            </w:r>
          </w:p>
          <w:p w14:paraId="44B20BC1">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装卸、运输物料过程</w:t>
            </w:r>
          </w:p>
          <w:p w14:paraId="461AC1E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扬尘排放系数的估算：</w:t>
            </w:r>
          </w:p>
          <w:p w14:paraId="22A09C44">
            <w:pPr>
              <w:adjustRightInd w:val="0"/>
              <w:snapToGrid w:val="0"/>
              <w:spacing w:line="360" w:lineRule="auto"/>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 w:val="24"/>
                <w:szCs w:val="20"/>
                <w:highlight w:val="none"/>
                <w14:textFill>
                  <w14:solidFill>
                    <w14:schemeClr w14:val="tx1"/>
                  </w14:solidFill>
                </w14:textFill>
              </w:rPr>
              <w:drawing>
                <wp:inline distT="0" distB="0" distL="114300" distR="114300">
                  <wp:extent cx="2546350" cy="735965"/>
                  <wp:effectExtent l="0" t="0" r="6350" b="698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1"/>
                          <a:stretch>
                            <a:fillRect/>
                          </a:stretch>
                        </pic:blipFill>
                        <pic:spPr>
                          <a:xfrm>
                            <a:off x="0" y="0"/>
                            <a:ext cx="2546350" cy="735965"/>
                          </a:xfrm>
                          <a:prstGeom prst="rect">
                            <a:avLst/>
                          </a:prstGeom>
                          <a:noFill/>
                          <a:ln>
                            <a:noFill/>
                          </a:ln>
                        </pic:spPr>
                      </pic:pic>
                    </a:graphicData>
                  </a:graphic>
                </wp:inline>
              </w:drawing>
            </w:r>
          </w:p>
          <w:p w14:paraId="0E22441B">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式中：E</w:t>
            </w:r>
            <w:r>
              <w:rPr>
                <w:rFonts w:hint="default" w:ascii="Times New Roman" w:hAnsi="Times New Roman" w:cs="Times New Roman"/>
                <w:bCs/>
                <w:color w:val="000000" w:themeColor="text1"/>
                <w:sz w:val="24"/>
                <w:highlight w:val="none"/>
                <w:vertAlign w:val="subscript"/>
                <w14:textFill>
                  <w14:solidFill>
                    <w14:schemeClr w14:val="tx1"/>
                  </w14:solidFill>
                </w14:textFill>
              </w:rPr>
              <w:t>h</w:t>
            </w:r>
            <w:r>
              <w:rPr>
                <w:rFonts w:hint="default" w:ascii="Times New Roman" w:hAnsi="Times New Roman" w:cs="Times New Roman"/>
                <w:bCs/>
                <w:color w:val="000000" w:themeColor="text1"/>
                <w:sz w:val="24"/>
                <w:highlight w:val="none"/>
                <w14:textFill>
                  <w14:solidFill>
                    <w14:schemeClr w14:val="tx1"/>
                  </w14:solidFill>
                </w14:textFill>
              </w:rPr>
              <w:t>为堆场装卸扬尘的排放系数，kg/t；</w:t>
            </w:r>
          </w:p>
          <w:p w14:paraId="7F5DC207">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k</w:t>
            </w:r>
            <w:r>
              <w:rPr>
                <w:rFonts w:hint="default" w:ascii="Times New Roman" w:hAnsi="Times New Roman" w:cs="Times New Roman"/>
                <w:bCs/>
                <w:color w:val="000000" w:themeColor="text1"/>
                <w:sz w:val="24"/>
                <w:highlight w:val="none"/>
                <w:vertAlign w:val="subscript"/>
                <w14:textFill>
                  <w14:solidFill>
                    <w14:schemeClr w14:val="tx1"/>
                  </w14:solidFill>
                </w14:textFill>
              </w:rPr>
              <w:t>i</w:t>
            </w:r>
            <w:r>
              <w:rPr>
                <w:rFonts w:hint="default" w:ascii="Times New Roman" w:hAnsi="Times New Roman" w:cs="Times New Roman"/>
                <w:bCs/>
                <w:color w:val="000000" w:themeColor="text1"/>
                <w:sz w:val="24"/>
                <w:highlight w:val="none"/>
                <w14:textFill>
                  <w14:solidFill>
                    <w14:schemeClr w14:val="tx1"/>
                  </w14:solidFill>
                </w14:textFill>
              </w:rPr>
              <w:t>为物料的粒度乘数，根据《扬尘源颗粒物排放清单编制技术指南》（试行）中表10，TSP取0.74；</w:t>
            </w:r>
          </w:p>
          <w:p w14:paraId="539DF41E">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u为地面平均风速，m/s，本次评价u取当地年平均风速u=2.59m/s；</w:t>
            </w:r>
          </w:p>
          <w:p w14:paraId="3365D9F3">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M为物料含水率，%。根据《扬尘源颗粒物排放清单编制技术指南》（试行）中表11各种行业堆场物料的含水率参考值，取</w:t>
            </w:r>
            <w:r>
              <w:rPr>
                <w:rFonts w:hint="default" w:ascii="Times New Roman" w:hAnsi="Times New Roman" w:cs="Times New Roman"/>
                <w:bCs/>
                <w:color w:val="000000" w:themeColor="text1"/>
                <w:sz w:val="24"/>
                <w:highlight w:val="none"/>
                <w:lang w:val="en-US" w:eastAsia="zh-CN"/>
                <w14:textFill>
                  <w14:solidFill>
                    <w14:schemeClr w14:val="tx1"/>
                  </w14:solidFill>
                </w14:textFill>
              </w:rPr>
              <w:t>6.9</w:t>
            </w:r>
            <w:r>
              <w:rPr>
                <w:rFonts w:hint="default" w:ascii="Times New Roman" w:hAnsi="Times New Roman" w:cs="Times New Roman"/>
                <w:bCs/>
                <w:color w:val="000000" w:themeColor="text1"/>
                <w:sz w:val="24"/>
                <w:highlight w:val="none"/>
                <w14:textFill>
                  <w14:solidFill>
                    <w14:schemeClr w14:val="tx1"/>
                  </w14:solidFill>
                </w14:textFill>
              </w:rPr>
              <w:t>%；</w:t>
            </w:r>
          </w:p>
          <w:p w14:paraId="12F484E6">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η为污染控制技术对扬尘的去除效率，根据《扬尘源颗粒物排放清单编制技术指南》（试行）中表12，建筑料堆的三边用孔隙率50%的围挡遮围，TSP控制效率为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90</w:t>
            </w:r>
            <w:r>
              <w:rPr>
                <w:rFonts w:hint="default" w:ascii="Times New Roman" w:hAnsi="Times New Roman" w:cs="Times New Roman"/>
                <w:bCs/>
                <w:color w:val="000000" w:themeColor="text1"/>
                <w:sz w:val="24"/>
                <w:highlight w:val="none"/>
                <w14:textFill>
                  <w14:solidFill>
                    <w14:schemeClr w14:val="tx1"/>
                  </w14:solidFill>
                </w14:textFill>
              </w:rPr>
              <w:t>%。</w:t>
            </w:r>
          </w:p>
          <w:p w14:paraId="7320F99C">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堆场风蚀扬尘排放系数的计算方法：</w:t>
            </w:r>
          </w:p>
          <w:p w14:paraId="3DA79492">
            <w:pPr>
              <w:spacing w:line="240" w:lineRule="auto"/>
              <w:ind w:firstLine="420"/>
              <w:rPr>
                <w:rFonts w:hint="default" w:ascii="Times New Roman" w:hAnsi="Times New Roman" w:cs="Times New Roman"/>
                <w:color w:val="000000" w:themeColor="text1"/>
                <w:sz w:val="21"/>
                <w:szCs w:val="22"/>
                <w:highlight w:val="none"/>
                <w14:textFill>
                  <w14:solidFill>
                    <w14:schemeClr w14:val="tx1"/>
                  </w14:solidFill>
                </w14:textFill>
              </w:rPr>
            </w:pPr>
            <w:r>
              <w:rPr>
                <w:rFonts w:hint="default" w:ascii="Times New Roman" w:hAnsi="Times New Roman" w:cs="Times New Roman"/>
                <w:color w:val="000000" w:themeColor="text1"/>
                <w:sz w:val="21"/>
                <w:szCs w:val="22"/>
                <w:highlight w:val="none"/>
                <w14:textFill>
                  <w14:solidFill>
                    <w14:schemeClr w14:val="tx1"/>
                  </w14:solidFill>
                </w14:textFill>
              </w:rPr>
              <w:t xml:space="preserve">  </w:t>
            </w:r>
            <w:r>
              <w:rPr>
                <w:rFonts w:hint="default" w:ascii="Times New Roman" w:hAnsi="Times New Roman" w:cs="Times New Roman"/>
                <w:color w:val="000000" w:themeColor="text1"/>
                <w:sz w:val="21"/>
                <w:szCs w:val="22"/>
                <w:highlight w:val="none"/>
                <w14:textFill>
                  <w14:solidFill>
                    <w14:schemeClr w14:val="tx1"/>
                  </w14:solidFill>
                </w14:textFill>
              </w:rPr>
              <w:drawing>
                <wp:inline distT="0" distB="0" distL="114300" distR="114300">
                  <wp:extent cx="4404360" cy="1607820"/>
                  <wp:effectExtent l="0" t="0" r="15240" b="1143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22"/>
                          <a:stretch>
                            <a:fillRect/>
                          </a:stretch>
                        </pic:blipFill>
                        <pic:spPr>
                          <a:xfrm>
                            <a:off x="0" y="0"/>
                            <a:ext cx="4404360" cy="1607820"/>
                          </a:xfrm>
                          <a:prstGeom prst="rect">
                            <a:avLst/>
                          </a:prstGeom>
                          <a:noFill/>
                          <a:ln>
                            <a:noFill/>
                          </a:ln>
                        </pic:spPr>
                      </pic:pic>
                    </a:graphicData>
                  </a:graphic>
                </wp:inline>
              </w:drawing>
            </w:r>
          </w:p>
          <w:p w14:paraId="1CD39CAA">
            <w:pPr>
              <w:spacing w:line="240" w:lineRule="auto"/>
              <w:ind w:firstLine="420"/>
              <w:jc w:val="center"/>
              <w:rPr>
                <w:rFonts w:hint="default" w:ascii="Times New Roman" w:hAnsi="Times New Roman" w:cs="Times New Roman"/>
                <w:color w:val="000000" w:themeColor="text1"/>
                <w:sz w:val="21"/>
                <w:szCs w:val="22"/>
                <w:highlight w:val="none"/>
                <w14:textFill>
                  <w14:solidFill>
                    <w14:schemeClr w14:val="tx1"/>
                  </w14:solidFill>
                </w14:textFill>
              </w:rPr>
            </w:pPr>
            <w:r>
              <w:rPr>
                <w:rFonts w:hint="default" w:ascii="Times New Roman" w:hAnsi="Times New Roman" w:cs="Times New Roman"/>
                <w:color w:val="000000" w:themeColor="text1"/>
                <w:sz w:val="21"/>
                <w:szCs w:val="22"/>
                <w:highlight w:val="none"/>
                <w14:textFill>
                  <w14:solidFill>
                    <w14:schemeClr w14:val="tx1"/>
                  </w14:solidFill>
                </w14:textFill>
              </w:rPr>
              <w:drawing>
                <wp:inline distT="0" distB="0" distL="114300" distR="114300">
                  <wp:extent cx="2682240" cy="518160"/>
                  <wp:effectExtent l="0" t="0" r="3810" b="1524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23"/>
                          <a:stretch>
                            <a:fillRect/>
                          </a:stretch>
                        </pic:blipFill>
                        <pic:spPr>
                          <a:xfrm>
                            <a:off x="0" y="0"/>
                            <a:ext cx="2682240" cy="518160"/>
                          </a:xfrm>
                          <a:prstGeom prst="rect">
                            <a:avLst/>
                          </a:prstGeom>
                          <a:noFill/>
                          <a:ln>
                            <a:noFill/>
                          </a:ln>
                        </pic:spPr>
                      </pic:pic>
                    </a:graphicData>
                  </a:graphic>
                </wp:inline>
              </w:drawing>
            </w:r>
          </w:p>
          <w:p w14:paraId="5DFE612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式中：E</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w</w:t>
            </w:r>
            <w:r>
              <w:rPr>
                <w:rFonts w:hint="default" w:ascii="Times New Roman" w:hAnsi="Times New Roman" w:cs="Times New Roman"/>
                <w:color w:val="000000" w:themeColor="text1"/>
                <w:sz w:val="24"/>
                <w:szCs w:val="32"/>
                <w:highlight w:val="none"/>
                <w14:textFill>
                  <w14:solidFill>
                    <w14:schemeClr w14:val="tx1"/>
                  </w14:solidFill>
                </w14:textFill>
              </w:rPr>
              <w:t>——堆场风蚀扬尘的排放系数，kg/m</w:t>
            </w:r>
            <w:r>
              <w:rPr>
                <w:rFonts w:hint="default" w:ascii="Times New Roman" w:hAnsi="Times New Roman" w:cs="Times New Roman"/>
                <w:color w:val="000000" w:themeColor="text1"/>
                <w:sz w:val="24"/>
                <w:szCs w:val="32"/>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32"/>
                <w:highlight w:val="none"/>
                <w14:textFill>
                  <w14:solidFill>
                    <w14:schemeClr w14:val="tx1"/>
                  </w14:solidFill>
                </w14:textFill>
              </w:rPr>
              <w:t>；</w:t>
            </w:r>
          </w:p>
          <w:p w14:paraId="3B1D5621">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k</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i</w:t>
            </w:r>
            <w:r>
              <w:rPr>
                <w:rFonts w:hint="default" w:ascii="Times New Roman" w:hAnsi="Times New Roman" w:cs="Times New Roman"/>
                <w:color w:val="000000" w:themeColor="text1"/>
                <w:sz w:val="24"/>
                <w:szCs w:val="32"/>
                <w:highlight w:val="none"/>
                <w14:textFill>
                  <w14:solidFill>
                    <w14:schemeClr w14:val="tx1"/>
                  </w14:solidFill>
                </w14:textFill>
              </w:rPr>
              <w:t>——物料的粒度乘数，TSP取1.0；</w:t>
            </w:r>
          </w:p>
          <w:p w14:paraId="210789F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n——料堆每年受扰动的次数；</w:t>
            </w:r>
          </w:p>
          <w:p w14:paraId="7F2F4FE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P</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i</w:t>
            </w:r>
            <w:r>
              <w:rPr>
                <w:rFonts w:hint="default" w:ascii="Times New Roman" w:hAnsi="Times New Roman" w:cs="Times New Roman"/>
                <w:color w:val="000000" w:themeColor="text1"/>
                <w:sz w:val="24"/>
                <w:szCs w:val="32"/>
                <w:highlight w:val="none"/>
                <w14:textFill>
                  <w14:solidFill>
                    <w14:schemeClr w14:val="tx1"/>
                  </w14:solidFill>
                </w14:textFill>
              </w:rPr>
              <w:t>——第i次扰动中观测的最大风速的风蚀潜势，g/m</w:t>
            </w:r>
            <w:r>
              <w:rPr>
                <w:rFonts w:hint="default" w:ascii="Times New Roman" w:hAnsi="Times New Roman" w:cs="Times New Roman"/>
                <w:color w:val="000000" w:themeColor="text1"/>
                <w:sz w:val="24"/>
                <w:szCs w:val="32"/>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32"/>
                <w:highlight w:val="none"/>
                <w14:textFill>
                  <w14:solidFill>
                    <w14:schemeClr w14:val="tx1"/>
                  </w14:solidFill>
                </w14:textFill>
              </w:rPr>
              <w:t>；</w:t>
            </w:r>
          </w:p>
          <w:p w14:paraId="110C11F1">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drawing>
                <wp:inline distT="0" distB="0" distL="114300" distR="114300">
                  <wp:extent cx="121920" cy="213360"/>
                  <wp:effectExtent l="0" t="0" r="11430" b="1524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4"/>
                          <a:stretch>
                            <a:fillRect/>
                          </a:stretch>
                        </pic:blipFill>
                        <pic:spPr>
                          <a:xfrm>
                            <a:off x="0" y="0"/>
                            <a:ext cx="121920" cy="213360"/>
                          </a:xfrm>
                          <a:prstGeom prst="rect">
                            <a:avLst/>
                          </a:prstGeom>
                          <a:noFill/>
                          <a:ln>
                            <a:noFill/>
                          </a:ln>
                        </pic:spPr>
                      </pic:pic>
                    </a:graphicData>
                  </a:graphic>
                </wp:inline>
              </w:drawing>
            </w:r>
            <w:r>
              <w:rPr>
                <w:rFonts w:hint="default" w:ascii="Times New Roman" w:hAnsi="Times New Roman" w:cs="Times New Roman"/>
                <w:color w:val="000000" w:themeColor="text1"/>
                <w:sz w:val="24"/>
                <w:szCs w:val="32"/>
                <w:highlight w:val="none"/>
                <w14:textFill>
                  <w14:solidFill>
                    <w14:schemeClr w14:val="tx1"/>
                  </w14:solidFill>
                </w14:textFill>
              </w:rPr>
              <w:t>——污染控制技术对扬尘的去除效率；</w:t>
            </w:r>
          </w:p>
          <w:p w14:paraId="3AAE1C8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u*——摩擦风速，m/s；</w:t>
            </w:r>
          </w:p>
          <w:p w14:paraId="441B602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u</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t</w:t>
            </w:r>
            <w:r>
              <w:rPr>
                <w:rFonts w:hint="default" w:ascii="Times New Roman" w:hAnsi="Times New Roman" w:cs="Times New Roman"/>
                <w:color w:val="000000" w:themeColor="text1"/>
                <w:sz w:val="24"/>
                <w:szCs w:val="32"/>
                <w:highlight w:val="none"/>
                <w14:textFill>
                  <w14:solidFill>
                    <w14:schemeClr w14:val="tx1"/>
                  </w14:solidFill>
                </w14:textFill>
              </w:rPr>
              <w:t>*——阈值摩擦风速，即起尘的临界摩擦风速，取1.</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02</w:t>
            </w:r>
            <w:r>
              <w:rPr>
                <w:rFonts w:hint="default" w:ascii="Times New Roman" w:hAnsi="Times New Roman" w:cs="Times New Roman"/>
                <w:color w:val="000000" w:themeColor="text1"/>
                <w:sz w:val="24"/>
                <w:szCs w:val="32"/>
                <w:highlight w:val="none"/>
                <w14:textFill>
                  <w14:solidFill>
                    <w14:schemeClr w14:val="tx1"/>
                  </w14:solidFill>
                </w14:textFill>
              </w:rPr>
              <w:t>m/s；</w:t>
            </w:r>
          </w:p>
          <w:p w14:paraId="6EE5A0E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u（z）——地面风速；</w:t>
            </w:r>
          </w:p>
          <w:p w14:paraId="788B70F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z——地面风速检测高度，取</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32"/>
                <w:highlight w:val="none"/>
                <w14:textFill>
                  <w14:solidFill>
                    <w14:schemeClr w14:val="tx1"/>
                  </w14:solidFill>
                </w14:textFill>
              </w:rPr>
              <w:t>m；</w:t>
            </w:r>
          </w:p>
          <w:p w14:paraId="5781CCF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z</w:t>
            </w:r>
            <w:r>
              <w:rPr>
                <w:rFonts w:hint="default" w:ascii="Times New Roman" w:hAnsi="Times New Roman" w:cs="Times New Roman"/>
                <w:color w:val="000000" w:themeColor="text1"/>
                <w:sz w:val="24"/>
                <w:szCs w:val="32"/>
                <w:highlight w:val="none"/>
                <w:vertAlign w:val="subscript"/>
                <w14:textFill>
                  <w14:solidFill>
                    <w14:schemeClr w14:val="tx1"/>
                  </w14:solidFill>
                </w14:textFill>
              </w:rPr>
              <w:t>0</w:t>
            </w:r>
            <w:r>
              <w:rPr>
                <w:rFonts w:hint="default" w:ascii="Times New Roman" w:hAnsi="Times New Roman" w:cs="Times New Roman"/>
                <w:color w:val="000000" w:themeColor="text1"/>
                <w:sz w:val="24"/>
                <w:szCs w:val="32"/>
                <w:highlight w:val="none"/>
                <w14:textFill>
                  <w14:solidFill>
                    <w14:schemeClr w14:val="tx1"/>
                  </w14:solidFill>
                </w14:textFill>
              </w:rPr>
              <w:t>——地面粗糙度，m，郊区取值0.2；</w:t>
            </w:r>
          </w:p>
          <w:p w14:paraId="2F8381C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0.4——冯卡门常数，无量纲。</w:t>
            </w:r>
            <w:r>
              <w:rPr>
                <w:rFonts w:hint="default" w:ascii="Times New Roman" w:hAnsi="Times New Roman" w:cs="Times New Roman"/>
                <w:color w:val="000000" w:themeColor="text1"/>
                <w:sz w:val="24"/>
                <w:szCs w:val="32"/>
                <w:highlight w:val="none"/>
                <w:lang w:eastAsia="zh-CN"/>
                <w14:textFill>
                  <w14:solidFill>
                    <w14:schemeClr w14:val="tx1"/>
                  </w14:solidFill>
                </w14:textFill>
              </w:rPr>
              <w:t>；‘</w:t>
            </w:r>
          </w:p>
          <w:p w14:paraId="665CD0E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经计算：</w:t>
            </w:r>
          </w:p>
          <w:p w14:paraId="657CE58B">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项目所在区域u*=0.3</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82</w:t>
            </w:r>
            <w:r>
              <w:rPr>
                <w:rFonts w:hint="default" w:ascii="Times New Roman" w:hAnsi="Times New Roman" w:cs="Times New Roman"/>
                <w:color w:val="000000" w:themeColor="text1"/>
                <w:sz w:val="24"/>
                <w:szCs w:val="32"/>
                <w:highlight w:val="none"/>
                <w14:textFill>
                  <w14:solidFill>
                    <w14:schemeClr w14:val="tx1"/>
                  </w14:solidFill>
                </w14:textFill>
              </w:rPr>
              <w:t>＜ut*=1.</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02</w:t>
            </w:r>
            <w:r>
              <w:rPr>
                <w:rFonts w:hint="default" w:ascii="Times New Roman" w:hAnsi="Times New Roman" w:cs="Times New Roman"/>
                <w:color w:val="000000" w:themeColor="text1"/>
                <w:sz w:val="24"/>
                <w:szCs w:val="32"/>
                <w:highlight w:val="none"/>
                <w14:textFill>
                  <w14:solidFill>
                    <w14:schemeClr w14:val="tx1"/>
                  </w14:solidFill>
                </w14:textFill>
              </w:rPr>
              <w:t>，其Pi取0，因此不考虑堆场风蚀扬尘的排放。</w:t>
            </w:r>
          </w:p>
          <w:p w14:paraId="194971E8">
            <w:pPr>
              <w:adjustRightInd w:val="0"/>
              <w:snapToGrid w:val="0"/>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经计算可知，E</w:t>
            </w:r>
            <w:r>
              <w:rPr>
                <w:rFonts w:hint="default" w:ascii="Times New Roman" w:hAnsi="Times New Roman" w:cs="Times New Roman"/>
                <w:bCs/>
                <w:color w:val="000000" w:themeColor="text1"/>
                <w:sz w:val="24"/>
                <w:highlight w:val="none"/>
                <w:vertAlign w:val="subscript"/>
                <w14:textFill>
                  <w14:solidFill>
                    <w14:schemeClr w14:val="tx1"/>
                  </w14:solidFill>
                </w14:textFill>
              </w:rPr>
              <w:t>h</w:t>
            </w:r>
            <w:r>
              <w:rPr>
                <w:rFonts w:hint="default" w:ascii="Times New Roman" w:hAnsi="Times New Roman" w:cs="Times New Roman"/>
                <w:bCs/>
                <w:color w:val="000000" w:themeColor="text1"/>
                <w:sz w:val="24"/>
                <w:highlight w:val="none"/>
                <w14:textFill>
                  <w14:solidFill>
                    <w14:schemeClr w14:val="tx1"/>
                  </w14:solidFill>
                </w14:textFill>
              </w:rPr>
              <w:t>为0.</w:t>
            </w:r>
            <w:r>
              <w:rPr>
                <w:rFonts w:hint="default" w:ascii="Times New Roman" w:hAnsi="Times New Roman" w:cs="Times New Roman"/>
                <w:bCs/>
                <w:color w:val="000000" w:themeColor="text1"/>
                <w:sz w:val="24"/>
                <w:highlight w:val="none"/>
                <w:lang w:val="en-US" w:eastAsia="zh-CN"/>
                <w14:textFill>
                  <w14:solidFill>
                    <w14:schemeClr w14:val="tx1"/>
                  </w14:solidFill>
                </w14:textFill>
              </w:rPr>
              <w:t>016</w:t>
            </w:r>
            <w:r>
              <w:rPr>
                <w:rFonts w:hint="default" w:ascii="Times New Roman" w:hAnsi="Times New Roman" w:cs="Times New Roman"/>
                <w:bCs/>
                <w:color w:val="000000" w:themeColor="text1"/>
                <w:sz w:val="24"/>
                <w:highlight w:val="none"/>
                <w14:textFill>
                  <w14:solidFill>
                    <w14:schemeClr w14:val="tx1"/>
                  </w14:solidFill>
                </w14:textFill>
              </w:rPr>
              <w:t>kg/t，</w:t>
            </w:r>
            <w:r>
              <w:rPr>
                <w:rFonts w:hint="default" w:ascii="Times New Roman" w:hAnsi="Times New Roman" w:cs="Times New Roman"/>
                <w:bCs/>
                <w:color w:val="000000" w:themeColor="text1"/>
                <w:sz w:val="24"/>
                <w:highlight w:val="none"/>
                <w:lang w:val="en-US" w:eastAsia="zh-CN"/>
                <w14:textFill>
                  <w14:solidFill>
                    <w14:schemeClr w14:val="tx1"/>
                  </w14:solidFill>
                </w14:textFill>
              </w:rPr>
              <w:t>储煤场用于煤炭堆放</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储煤场四周设置抑尘网进行围挡，运输车辆日常装卸过程中</w:t>
            </w:r>
            <w:r>
              <w:rPr>
                <w:rFonts w:hint="default" w:ascii="Times New Roman" w:hAnsi="Times New Roman" w:cs="Times New Roman"/>
                <w:color w:val="000000" w:themeColor="text1"/>
                <w:sz w:val="24"/>
                <w:highlight w:val="none"/>
                <w:lang w:val="en-US" w:eastAsia="zh-CN"/>
                <w14:textFill>
                  <w14:solidFill>
                    <w14:schemeClr w14:val="tx1"/>
                  </w14:solidFill>
                </w14:textFill>
              </w:rPr>
              <w:t>装车使用洒水车对装车过程进行降尘，卸料过程尽量减少煤炭落料过程中高差</w:t>
            </w:r>
            <w:r>
              <w:rPr>
                <w:rFonts w:hint="default" w:ascii="Times New Roman" w:hAnsi="Times New Roman" w:cs="Times New Roman"/>
                <w:bCs/>
                <w:color w:val="000000" w:themeColor="text1"/>
                <w:sz w:val="24"/>
                <w:highlight w:val="none"/>
                <w:lang w:val="en-US" w:eastAsia="zh-CN"/>
                <w14:textFill>
                  <w14:solidFill>
                    <w14:schemeClr w14:val="tx1"/>
                  </w14:solidFill>
                </w14:textFill>
              </w:rPr>
              <w:t>，煤场日常运行中进行</w:t>
            </w:r>
            <w:r>
              <w:rPr>
                <w:rFonts w:hint="default" w:ascii="Times New Roman" w:hAnsi="Times New Roman" w:cs="Times New Roman"/>
                <w:bCs/>
                <w:color w:val="000000" w:themeColor="text1"/>
                <w:sz w:val="24"/>
                <w:highlight w:val="none"/>
                <w14:textFill>
                  <w14:solidFill>
                    <w14:schemeClr w14:val="tx1"/>
                  </w14:solidFill>
                </w14:textFill>
              </w:rPr>
              <w:t>洒水降尘，</w:t>
            </w:r>
            <w:r>
              <w:rPr>
                <w:rFonts w:hint="default" w:ascii="Times New Roman" w:hAnsi="Times New Roman" w:cs="Times New Roman"/>
                <w:bCs/>
                <w:color w:val="000000" w:themeColor="text1"/>
                <w:sz w:val="24"/>
                <w:highlight w:val="none"/>
                <w:lang w:val="en-US" w:eastAsia="zh-CN"/>
                <w14:textFill>
                  <w14:solidFill>
                    <w14:schemeClr w14:val="tx1"/>
                  </w14:solidFill>
                </w14:textFill>
              </w:rPr>
              <w:t>对储存煤炭使用绿网苫盖，</w:t>
            </w:r>
            <w:r>
              <w:rPr>
                <w:rFonts w:hint="default" w:ascii="Times New Roman" w:hAnsi="Times New Roman" w:cs="Times New Roman"/>
                <w:bCs/>
                <w:color w:val="000000" w:themeColor="text1"/>
                <w:sz w:val="24"/>
                <w:highlight w:val="none"/>
                <w14:textFill>
                  <w14:solidFill>
                    <w14:schemeClr w14:val="tx1"/>
                  </w14:solidFill>
                </w14:textFill>
              </w:rPr>
              <w:t>对粉尘控制效率为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90</w:t>
            </w:r>
            <w:r>
              <w:rPr>
                <w:rFonts w:hint="default" w:ascii="Times New Roman" w:hAnsi="Times New Roman" w:cs="Times New Roman"/>
                <w:bCs/>
                <w:color w:val="000000" w:themeColor="text1"/>
                <w:sz w:val="24"/>
                <w:highlight w:val="none"/>
                <w14:textFill>
                  <w14:solidFill>
                    <w14:schemeClr w14:val="tx1"/>
                  </w14:solidFill>
                </w14:textFill>
              </w:rPr>
              <w:t>%。项目年装卸量约为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140000</w:t>
            </w:r>
            <w:r>
              <w:rPr>
                <w:rFonts w:hint="default" w:ascii="Times New Roman" w:hAnsi="Times New Roman" w:cs="Times New Roman"/>
                <w:bCs/>
                <w:color w:val="000000" w:themeColor="text1"/>
                <w:sz w:val="24"/>
                <w:highlight w:val="none"/>
                <w14:textFill>
                  <w14:solidFill>
                    <w14:schemeClr w14:val="tx1"/>
                  </w14:solidFill>
                </w14:textFill>
              </w:rPr>
              <w:t>t，</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储煤场年装卸车辆4667车次，</w:t>
            </w:r>
            <w:r>
              <w:rPr>
                <w:rFonts w:hint="default" w:ascii="Times New Roman" w:hAnsi="Times New Roman" w:cs="Times New Roman"/>
                <w:bCs/>
                <w:color w:val="000000" w:themeColor="text1"/>
                <w:sz w:val="24"/>
                <w:highlight w:val="none"/>
                <w14:textFill>
                  <w14:solidFill>
                    <w14:schemeClr w14:val="tx1"/>
                  </w14:solidFill>
                </w14:textFill>
              </w:rPr>
              <w:t>经计算本项目卸料时粉尘产生量为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22.402</w:t>
            </w:r>
            <w:r>
              <w:rPr>
                <w:rFonts w:hint="default" w:ascii="Times New Roman" w:hAnsi="Times New Roman" w:cs="Times New Roman"/>
                <w:bCs/>
                <w:color w:val="000000" w:themeColor="text1"/>
                <w:sz w:val="24"/>
                <w:highlight w:val="none"/>
                <w14:textFill>
                  <w14:solidFill>
                    <w14:schemeClr w14:val="tx1"/>
                  </w14:solidFill>
                </w14:textFill>
              </w:rPr>
              <w:t>t/a，排放量为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2.240</w:t>
            </w:r>
            <w:r>
              <w:rPr>
                <w:rFonts w:hint="default" w:ascii="Times New Roman" w:hAnsi="Times New Roman" w:cs="Times New Roman"/>
                <w:bCs/>
                <w:color w:val="000000" w:themeColor="text1"/>
                <w:sz w:val="24"/>
                <w:highlight w:val="none"/>
                <w14:textFill>
                  <w14:solidFill>
                    <w14:schemeClr w14:val="tx1"/>
                  </w14:solidFill>
                </w14:textFill>
              </w:rPr>
              <w:t>t/a</w:t>
            </w:r>
            <w:r>
              <w:rPr>
                <w:rFonts w:hint="default" w:ascii="Times New Roman" w:hAnsi="Times New Roman" w:cs="Times New Roman"/>
                <w:bCs/>
                <w:color w:val="000000" w:themeColor="text1"/>
                <w:sz w:val="24"/>
                <w:highlight w:val="none"/>
                <w:lang w:val="en-US" w:eastAsia="zh-CN"/>
                <w14:textFill>
                  <w14:solidFill>
                    <w14:schemeClr w14:val="tx1"/>
                  </w14:solidFill>
                </w14:textFill>
              </w:rPr>
              <w:t>。</w:t>
            </w:r>
          </w:p>
          <w:p w14:paraId="700E6CF9">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②运输车辆过程扬尘</w:t>
            </w:r>
          </w:p>
          <w:p w14:paraId="7E13E058">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产品由厂区自有运输车运输。运输产生的颗粒物主要是沿途抛洒及道路行驶引起的扬尘，属于无组织排放源。根据《逸散性工业粉尘粉尘控制技术》“工厂道路和停车场”，铺砌路面的车辆的特定排放因子计算方法如下：</w:t>
            </w:r>
          </w:p>
          <w:p w14:paraId="32C89838">
            <w:pPr>
              <w:pStyle w:val="29"/>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3286125" cy="28575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5"/>
                          <a:stretch>
                            <a:fillRect/>
                          </a:stretch>
                        </pic:blipFill>
                        <pic:spPr>
                          <a:xfrm>
                            <a:off x="0" y="0"/>
                            <a:ext cx="3286125" cy="285750"/>
                          </a:xfrm>
                          <a:prstGeom prst="rect">
                            <a:avLst/>
                          </a:prstGeom>
                          <a:noFill/>
                          <a:ln>
                            <a:noFill/>
                          </a:ln>
                        </pic:spPr>
                      </pic:pic>
                    </a:graphicData>
                  </a:graphic>
                </wp:inline>
              </w:drawing>
            </w:r>
          </w:p>
          <w:p w14:paraId="15115AF5">
            <w:pPr>
              <w:spacing w:line="560" w:lineRule="exact"/>
              <w:rPr>
                <w:rFonts w:hint="default" w:ascii="Times New Roman" w:hAnsi="Times New Roman" w:cs="Times New Roman"/>
                <w:color w:val="000000" w:themeColor="text1"/>
                <w:kern w:val="0"/>
                <w:sz w:val="24"/>
                <w:szCs w:val="20"/>
                <w:highlight w:val="none"/>
                <w14:textFill>
                  <w14:solidFill>
                    <w14:schemeClr w14:val="tx1"/>
                  </w14:solidFill>
                </w14:textFill>
              </w:rPr>
            </w:pPr>
            <w:r>
              <w:rPr>
                <w:rFonts w:hint="default" w:ascii="Times New Roman" w:hAnsi="Times New Roman" w:cs="Times New Roman"/>
                <w:color w:val="000000" w:themeColor="text1"/>
                <w:kern w:val="0"/>
                <w:sz w:val="24"/>
                <w:szCs w:val="20"/>
                <w:highlight w:val="none"/>
                <w14:textFill>
                  <w14:solidFill>
                    <w14:schemeClr w14:val="tx1"/>
                  </w14:solidFill>
                </w14:textFill>
              </w:rPr>
              <w:t>式中：EF—排放因子，车辆里程（单位：g/km）；</w:t>
            </w:r>
          </w:p>
          <w:p w14:paraId="45EB2DEA">
            <w:pPr>
              <w:spacing w:line="560" w:lineRule="exact"/>
              <w:ind w:firstLine="720" w:firstLineChars="300"/>
              <w:rPr>
                <w:rFonts w:hint="default" w:ascii="Times New Roman" w:hAnsi="Times New Roman" w:cs="Times New Roman"/>
                <w:color w:val="000000" w:themeColor="text1"/>
                <w:kern w:val="0"/>
                <w:sz w:val="24"/>
                <w:szCs w:val="20"/>
                <w:highlight w:val="none"/>
                <w14:textFill>
                  <w14:solidFill>
                    <w14:schemeClr w14:val="tx1"/>
                  </w14:solidFill>
                </w14:textFill>
              </w:rPr>
            </w:pPr>
            <w:r>
              <w:rPr>
                <w:rFonts w:hint="default" w:ascii="Times New Roman" w:hAnsi="Times New Roman" w:cs="Times New Roman"/>
                <w:color w:val="000000" w:themeColor="text1"/>
                <w:kern w:val="0"/>
                <w:sz w:val="24"/>
                <w:szCs w:val="20"/>
                <w:highlight w:val="none"/>
                <w14:textFill>
                  <w14:solidFill>
                    <w14:schemeClr w14:val="tx1"/>
                  </w14:solidFill>
                </w14:textFill>
              </w:rPr>
              <w:t>P—来自铺砌路面并保持悬浮状态的颗粒物（直径小于30μm）的分数，0.90；</w:t>
            </w:r>
          </w:p>
          <w:p w14:paraId="78E40A2D">
            <w:pPr>
              <w:spacing w:line="560" w:lineRule="exact"/>
              <w:ind w:firstLine="720" w:firstLineChars="300"/>
              <w:rPr>
                <w:rFonts w:hint="default" w:ascii="Times New Roman" w:hAnsi="Times New Roman" w:cs="Times New Roman"/>
                <w:color w:val="000000" w:themeColor="text1"/>
                <w:kern w:val="0"/>
                <w:sz w:val="24"/>
                <w:szCs w:val="20"/>
                <w:highlight w:val="none"/>
                <w14:textFill>
                  <w14:solidFill>
                    <w14:schemeClr w14:val="tx1"/>
                  </w14:solidFill>
                </w14:textFill>
              </w:rPr>
            </w:pPr>
            <w:r>
              <w:rPr>
                <w:rFonts w:hint="default" w:ascii="Times New Roman" w:hAnsi="Times New Roman" w:cs="Times New Roman"/>
                <w:color w:val="000000" w:themeColor="text1"/>
                <w:kern w:val="0"/>
                <w:sz w:val="24"/>
                <w:szCs w:val="20"/>
                <w:highlight w:val="none"/>
                <w14:textFill>
                  <w14:solidFill>
                    <w14:schemeClr w14:val="tx1"/>
                  </w14:solidFill>
                </w14:textFill>
              </w:rPr>
              <w:t>E—来源于汽车尾气的颗粒物；</w:t>
            </w:r>
          </w:p>
          <w:p w14:paraId="7CEA4AD4">
            <w:pPr>
              <w:spacing w:line="560" w:lineRule="exact"/>
              <w:ind w:firstLine="720" w:firstLineChars="300"/>
              <w:rPr>
                <w:rFonts w:hint="default" w:ascii="Times New Roman" w:hAnsi="Times New Roman" w:cs="Times New Roman"/>
                <w:color w:val="000000" w:themeColor="text1"/>
                <w:kern w:val="0"/>
                <w:sz w:val="24"/>
                <w:szCs w:val="20"/>
                <w:highlight w:val="none"/>
                <w14:textFill>
                  <w14:solidFill>
                    <w14:schemeClr w14:val="tx1"/>
                  </w14:solidFill>
                </w14:textFill>
              </w:rPr>
            </w:pPr>
            <w:r>
              <w:rPr>
                <w:rFonts w:hint="default" w:ascii="Times New Roman" w:hAnsi="Times New Roman" w:cs="Times New Roman"/>
                <w:color w:val="000000" w:themeColor="text1"/>
                <w:kern w:val="0"/>
                <w:sz w:val="24"/>
                <w:szCs w:val="20"/>
                <w:highlight w:val="none"/>
                <w14:textFill>
                  <w14:solidFill>
                    <w14:schemeClr w14:val="tx1"/>
                  </w14:solidFill>
                </w14:textFill>
              </w:rPr>
              <w:t>T—平均每辆车的轮胎数。</w:t>
            </w:r>
          </w:p>
          <w:p w14:paraId="574C6045">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color w:val="000000" w:themeColor="text1"/>
                <w:kern w:val="0"/>
                <w:sz w:val="24"/>
                <w:szCs w:val="20"/>
                <w:highlight w:val="none"/>
                <w14:textFill>
                  <w14:solidFill>
                    <w14:schemeClr w14:val="tx1"/>
                  </w14:solidFill>
                </w14:textFill>
              </w:rPr>
              <w:t>本项目P来自铺砌路面并保持悬浮状态的颗粒物（直径小于30μm）的分数，取0.90；E来源于汽车尾气的颗粒物，根据《逸散性工业粉尘粉尘控制技术》“工厂道路和停车场”表1-1</w:t>
            </w:r>
            <w:r>
              <w:rPr>
                <w:rFonts w:hint="default" w:ascii="Times New Roman" w:hAnsi="Times New Roman" w:cs="Times New Roman"/>
                <w:color w:val="000000" w:themeColor="text1"/>
                <w:kern w:val="0"/>
                <w:sz w:val="24"/>
                <w:szCs w:val="20"/>
                <w:highlight w:val="none"/>
                <w:lang w:eastAsia="zh-CN"/>
                <w14:textFill>
                  <w14:solidFill>
                    <w14:schemeClr w14:val="tx1"/>
                  </w14:solidFill>
                </w14:textFill>
              </w:rPr>
              <w:t>铺砌</w:t>
            </w:r>
            <w:r>
              <w:rPr>
                <w:rFonts w:hint="default" w:ascii="Times New Roman" w:hAnsi="Times New Roman" w:cs="Times New Roman"/>
                <w:color w:val="000000" w:themeColor="text1"/>
                <w:kern w:val="0"/>
                <w:sz w:val="24"/>
                <w:szCs w:val="20"/>
                <w:highlight w:val="none"/>
                <w14:textFill>
                  <w14:solidFill>
                    <w14:schemeClr w14:val="tx1"/>
                  </w14:solidFill>
                </w14:textFill>
              </w:rPr>
              <w:t>路面来往车辆的排放因子，重载汽油车（10轮），取0.57g/km；T平均每辆车的轮胎数，取10。经计算EF排放因子为7.87g/km。本项目运输车次为2</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334</w:t>
            </w:r>
            <w:r>
              <w:rPr>
                <w:rFonts w:hint="default" w:ascii="Times New Roman" w:hAnsi="Times New Roman" w:cs="Times New Roman"/>
                <w:color w:val="000000" w:themeColor="text1"/>
                <w:kern w:val="0"/>
                <w:sz w:val="24"/>
                <w:szCs w:val="20"/>
                <w:highlight w:val="none"/>
                <w14:textFill>
                  <w14:solidFill>
                    <w14:schemeClr w14:val="tx1"/>
                  </w14:solidFill>
                </w14:textFill>
              </w:rPr>
              <w:t>车次，</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项目厂区内道路约为0.26km，</w:t>
            </w:r>
            <w:r>
              <w:rPr>
                <w:rFonts w:hint="default" w:ascii="Times New Roman" w:hAnsi="Times New Roman" w:cs="Times New Roman"/>
                <w:color w:val="000000" w:themeColor="text1"/>
                <w:kern w:val="0"/>
                <w:sz w:val="24"/>
                <w:szCs w:val="20"/>
                <w:highlight w:val="none"/>
                <w14:textFill>
                  <w14:solidFill>
                    <w14:schemeClr w14:val="tx1"/>
                  </w14:solidFill>
                </w14:textFill>
              </w:rPr>
              <w:t>则本项目产品运输产生的颗粒物产生量为0.</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010</w:t>
            </w:r>
            <w:r>
              <w:rPr>
                <w:rFonts w:hint="default" w:ascii="Times New Roman" w:hAnsi="Times New Roman" w:cs="Times New Roman"/>
                <w:color w:val="000000" w:themeColor="text1"/>
                <w:kern w:val="0"/>
                <w:sz w:val="24"/>
                <w:szCs w:val="20"/>
                <w:highlight w:val="none"/>
                <w14:textFill>
                  <w14:solidFill>
                    <w14:schemeClr w14:val="tx1"/>
                  </w14:solidFill>
                </w14:textFill>
              </w:rPr>
              <w:t>t/a，排放速率为0.</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016</w:t>
            </w:r>
            <w:r>
              <w:rPr>
                <w:rFonts w:hint="default" w:ascii="Times New Roman" w:hAnsi="Times New Roman" w:cs="Times New Roman"/>
                <w:color w:val="000000" w:themeColor="text1"/>
                <w:kern w:val="0"/>
                <w:sz w:val="24"/>
                <w:szCs w:val="20"/>
                <w:highlight w:val="none"/>
                <w14:textFill>
                  <w14:solidFill>
                    <w14:schemeClr w14:val="tx1"/>
                  </w14:solidFill>
                </w14:textFill>
              </w:rPr>
              <w:t>kg/h。本项目要求原料及产品运输过程中采用苫布覆盖，防止物料洒落，</w:t>
            </w:r>
            <w:r>
              <w:rPr>
                <w:rFonts w:hint="default" w:ascii="Times New Roman" w:hAnsi="Times New Roman" w:cs="Times New Roman"/>
                <w:color w:val="000000" w:themeColor="text1"/>
                <w:kern w:val="0"/>
                <w:sz w:val="24"/>
                <w:szCs w:val="20"/>
                <w:highlight w:val="none"/>
                <w:lang w:eastAsia="zh-CN"/>
                <w14:textFill>
                  <w14:solidFill>
                    <w14:schemeClr w14:val="tx1"/>
                  </w14:solidFill>
                </w14:textFill>
              </w:rPr>
              <w:t>厂区道路洒水降尘，</w:t>
            </w:r>
            <w:r>
              <w:rPr>
                <w:rFonts w:hint="default" w:ascii="Times New Roman" w:hAnsi="Times New Roman" w:cs="Times New Roman"/>
                <w:color w:val="000000" w:themeColor="text1"/>
                <w:kern w:val="0"/>
                <w:sz w:val="24"/>
                <w:szCs w:val="20"/>
                <w:highlight w:val="none"/>
                <w14:textFill>
                  <w14:solidFill>
                    <w14:schemeClr w14:val="tx1"/>
                  </w14:solidFill>
                </w14:textFill>
              </w:rPr>
              <w:t>减少运输过程中粉尘排放量。则本项目综合去除效率为80%，则无组织颗粒物排放量为0.0</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02</w:t>
            </w:r>
            <w:r>
              <w:rPr>
                <w:rFonts w:hint="default" w:ascii="Times New Roman" w:hAnsi="Times New Roman" w:cs="Times New Roman"/>
                <w:color w:val="000000" w:themeColor="text1"/>
                <w:kern w:val="0"/>
                <w:sz w:val="24"/>
                <w:szCs w:val="20"/>
                <w:highlight w:val="none"/>
                <w14:textFill>
                  <w14:solidFill>
                    <w14:schemeClr w14:val="tx1"/>
                  </w14:solidFill>
                </w14:textFill>
              </w:rPr>
              <w:t>t/a，排放速率为0.0</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03</w:t>
            </w:r>
            <w:r>
              <w:rPr>
                <w:rFonts w:hint="default" w:ascii="Times New Roman" w:hAnsi="Times New Roman" w:cs="Times New Roman"/>
                <w:color w:val="000000" w:themeColor="text1"/>
                <w:kern w:val="0"/>
                <w:sz w:val="24"/>
                <w:szCs w:val="20"/>
                <w:highlight w:val="none"/>
                <w14:textFill>
                  <w14:solidFill>
                    <w14:schemeClr w14:val="tx1"/>
                  </w14:solidFill>
                </w14:textFill>
              </w:rPr>
              <w:t>kg/h。</w:t>
            </w:r>
          </w:p>
          <w:p w14:paraId="014A0328">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表4-1  废气源强核算表</w:t>
            </w:r>
          </w:p>
          <w:tbl>
            <w:tblPr>
              <w:tblStyle w:val="20"/>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494"/>
              <w:gridCol w:w="709"/>
              <w:gridCol w:w="646"/>
              <w:gridCol w:w="826"/>
              <w:gridCol w:w="903"/>
              <w:gridCol w:w="1181"/>
              <w:gridCol w:w="607"/>
              <w:gridCol w:w="658"/>
              <w:gridCol w:w="700"/>
              <w:gridCol w:w="778"/>
              <w:gridCol w:w="757"/>
            </w:tblGrid>
            <w:tr w14:paraId="637B94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Merge w:val="restart"/>
                  <w:noWrap w:val="0"/>
                  <w:vAlign w:val="center"/>
                </w:tcPr>
                <w:p w14:paraId="39F00271">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排放源</w:t>
                  </w:r>
                </w:p>
              </w:tc>
              <w:tc>
                <w:tcPr>
                  <w:tcW w:w="494" w:type="dxa"/>
                  <w:vMerge w:val="restart"/>
                  <w:noWrap w:val="0"/>
                  <w:vAlign w:val="center"/>
                </w:tcPr>
                <w:p w14:paraId="15B44053">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污染物</w:t>
                  </w:r>
                </w:p>
              </w:tc>
              <w:tc>
                <w:tcPr>
                  <w:tcW w:w="3084" w:type="dxa"/>
                  <w:gridSpan w:val="4"/>
                  <w:noWrap w:val="0"/>
                  <w:vAlign w:val="center"/>
                </w:tcPr>
                <w:p w14:paraId="6F781447">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污染物产生</w:t>
                  </w:r>
                </w:p>
              </w:tc>
              <w:tc>
                <w:tcPr>
                  <w:tcW w:w="1788" w:type="dxa"/>
                  <w:gridSpan w:val="2"/>
                  <w:noWrap w:val="0"/>
                  <w:vAlign w:val="center"/>
                </w:tcPr>
                <w:p w14:paraId="7D1EAB9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治理措施</w:t>
                  </w:r>
                </w:p>
              </w:tc>
              <w:tc>
                <w:tcPr>
                  <w:tcW w:w="2893" w:type="dxa"/>
                  <w:gridSpan w:val="4"/>
                  <w:noWrap w:val="0"/>
                  <w:vAlign w:val="center"/>
                </w:tcPr>
                <w:p w14:paraId="339FD7E8">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污染物排放</w:t>
                  </w:r>
                </w:p>
              </w:tc>
            </w:tr>
            <w:tr w14:paraId="16692C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528" w:type="dxa"/>
                  <w:vMerge w:val="continue"/>
                  <w:noWrap w:val="0"/>
                  <w:vAlign w:val="center"/>
                </w:tcPr>
                <w:p w14:paraId="18E4729B">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94" w:type="dxa"/>
                  <w:vMerge w:val="continue"/>
                  <w:noWrap w:val="0"/>
                  <w:vAlign w:val="center"/>
                </w:tcPr>
                <w:p w14:paraId="50EAA081">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09" w:type="dxa"/>
                  <w:noWrap w:val="0"/>
                  <w:vAlign w:val="center"/>
                </w:tcPr>
                <w:p w14:paraId="0D6A544E">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核算方法</w:t>
                  </w:r>
                </w:p>
              </w:tc>
              <w:tc>
                <w:tcPr>
                  <w:tcW w:w="646" w:type="dxa"/>
                  <w:noWrap w:val="0"/>
                  <w:vAlign w:val="center"/>
                </w:tcPr>
                <w:p w14:paraId="1AFE088E">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废气量m</w:t>
                  </w:r>
                  <w:r>
                    <w:rPr>
                      <w:rFonts w:hint="default" w:ascii="Times New Roman" w:hAnsi="Times New Roman" w:cs="Times New Roman"/>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/h</w:t>
                  </w:r>
                </w:p>
              </w:tc>
              <w:tc>
                <w:tcPr>
                  <w:tcW w:w="826" w:type="dxa"/>
                  <w:noWrap w:val="0"/>
                  <w:vAlign w:val="center"/>
                </w:tcPr>
                <w:p w14:paraId="686DE4E8">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产生浓度mg/m</w:t>
                  </w:r>
                  <w:r>
                    <w:rPr>
                      <w:rFonts w:hint="default" w:ascii="Times New Roman" w:hAnsi="Times New Roman" w:cs="Times New Roman"/>
                      <w:color w:val="000000" w:themeColor="text1"/>
                      <w:kern w:val="0"/>
                      <w:szCs w:val="21"/>
                      <w:highlight w:val="none"/>
                      <w:vertAlign w:val="superscript"/>
                      <w14:textFill>
                        <w14:solidFill>
                          <w14:schemeClr w14:val="tx1"/>
                        </w14:solidFill>
                      </w14:textFill>
                    </w:rPr>
                    <w:t>3</w:t>
                  </w:r>
                </w:p>
              </w:tc>
              <w:tc>
                <w:tcPr>
                  <w:tcW w:w="903" w:type="dxa"/>
                  <w:noWrap w:val="0"/>
                  <w:vAlign w:val="center"/>
                </w:tcPr>
                <w:p w14:paraId="0C54B777">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产生量t/a</w:t>
                  </w:r>
                </w:p>
              </w:tc>
              <w:tc>
                <w:tcPr>
                  <w:tcW w:w="1181" w:type="dxa"/>
                  <w:noWrap w:val="0"/>
                  <w:vAlign w:val="center"/>
                </w:tcPr>
                <w:p w14:paraId="01F5D721">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工艺</w:t>
                  </w:r>
                </w:p>
              </w:tc>
              <w:tc>
                <w:tcPr>
                  <w:tcW w:w="607" w:type="dxa"/>
                  <w:noWrap w:val="0"/>
                  <w:vAlign w:val="center"/>
                </w:tcPr>
                <w:p w14:paraId="27098341">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效率</w:t>
                  </w:r>
                </w:p>
              </w:tc>
              <w:tc>
                <w:tcPr>
                  <w:tcW w:w="658" w:type="dxa"/>
                  <w:noWrap w:val="0"/>
                  <w:vAlign w:val="center"/>
                </w:tcPr>
                <w:p w14:paraId="16025456">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核算方法</w:t>
                  </w:r>
                </w:p>
              </w:tc>
              <w:tc>
                <w:tcPr>
                  <w:tcW w:w="700" w:type="dxa"/>
                  <w:noWrap w:val="0"/>
                  <w:vAlign w:val="center"/>
                </w:tcPr>
                <w:p w14:paraId="5FF4B655">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废气量m</w:t>
                  </w:r>
                  <w:r>
                    <w:rPr>
                      <w:rFonts w:hint="default" w:ascii="Times New Roman" w:hAnsi="Times New Roman" w:cs="Times New Roman"/>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/h</w:t>
                  </w:r>
                </w:p>
              </w:tc>
              <w:tc>
                <w:tcPr>
                  <w:tcW w:w="778" w:type="dxa"/>
                  <w:noWrap w:val="0"/>
                  <w:vAlign w:val="center"/>
                </w:tcPr>
                <w:p w14:paraId="75F98F2F">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排放</w:t>
                  </w:r>
                </w:p>
                <w:p w14:paraId="141782FA">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浓度mg/m</w:t>
                  </w:r>
                  <w:r>
                    <w:rPr>
                      <w:rFonts w:hint="default" w:ascii="Times New Roman" w:hAnsi="Times New Roman" w:cs="Times New Roman"/>
                      <w:color w:val="000000" w:themeColor="text1"/>
                      <w:kern w:val="0"/>
                      <w:szCs w:val="21"/>
                      <w:highlight w:val="none"/>
                      <w:vertAlign w:val="superscript"/>
                      <w14:textFill>
                        <w14:solidFill>
                          <w14:schemeClr w14:val="tx1"/>
                        </w14:solidFill>
                      </w14:textFill>
                    </w:rPr>
                    <w:t>3</w:t>
                  </w:r>
                </w:p>
              </w:tc>
              <w:tc>
                <w:tcPr>
                  <w:tcW w:w="757" w:type="dxa"/>
                  <w:noWrap w:val="0"/>
                  <w:vAlign w:val="center"/>
                </w:tcPr>
                <w:p w14:paraId="50333568">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排放量t/a</w:t>
                  </w:r>
                </w:p>
              </w:tc>
            </w:tr>
            <w:tr w14:paraId="6F60A2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28" w:type="dxa"/>
                  <w:noWrap w:val="0"/>
                  <w:vAlign w:val="center"/>
                </w:tcPr>
                <w:p w14:paraId="09F5F10E">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堆场扬尘</w:t>
                  </w:r>
                </w:p>
              </w:tc>
              <w:tc>
                <w:tcPr>
                  <w:tcW w:w="494" w:type="dxa"/>
                  <w:noWrap w:val="0"/>
                  <w:vAlign w:val="center"/>
                </w:tcPr>
                <w:p w14:paraId="54FDB05A">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09" w:type="dxa"/>
                  <w:noWrap w:val="0"/>
                  <w:vAlign w:val="center"/>
                </w:tcPr>
                <w:p w14:paraId="0D79825C">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系数法</w:t>
                  </w:r>
                </w:p>
              </w:tc>
              <w:tc>
                <w:tcPr>
                  <w:tcW w:w="646" w:type="dxa"/>
                  <w:noWrap w:val="0"/>
                  <w:vAlign w:val="center"/>
                </w:tcPr>
                <w:p w14:paraId="52BA846C">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826" w:type="dxa"/>
                  <w:noWrap w:val="0"/>
                  <w:vAlign w:val="center"/>
                </w:tcPr>
                <w:p w14:paraId="0AD6FF50">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903" w:type="dxa"/>
                  <w:noWrap w:val="0"/>
                  <w:vAlign w:val="center"/>
                </w:tcPr>
                <w:p w14:paraId="47743A0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22.402</w:t>
                  </w:r>
                </w:p>
              </w:tc>
              <w:tc>
                <w:tcPr>
                  <w:tcW w:w="1181" w:type="dxa"/>
                  <w:noWrap w:val="0"/>
                  <w:vAlign w:val="center"/>
                </w:tcPr>
                <w:p w14:paraId="1B8139BC">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储煤场四周设置防风抑尘网，定期洒水降尘</w:t>
                  </w:r>
                  <w:r>
                    <w:rPr>
                      <w:rFonts w:hint="default" w:ascii="Times New Roman" w:hAnsi="Times New Roman" w:cs="Times New Roman"/>
                      <w:color w:val="000000" w:themeColor="text1"/>
                      <w:kern w:val="0"/>
                      <w:szCs w:val="21"/>
                      <w:highlight w:val="none"/>
                      <w14:textFill>
                        <w14:solidFill>
                          <w14:schemeClr w14:val="tx1"/>
                        </w14:solidFill>
                      </w14:textFill>
                    </w:rPr>
                    <w:t>效率</w:t>
                  </w:r>
                </w:p>
              </w:tc>
              <w:tc>
                <w:tcPr>
                  <w:tcW w:w="607" w:type="dxa"/>
                  <w:noWrap w:val="0"/>
                  <w:vAlign w:val="center"/>
                </w:tcPr>
                <w:p w14:paraId="67D7EC14">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9</w:t>
                  </w:r>
                  <w:r>
                    <w:rPr>
                      <w:rFonts w:hint="default" w:ascii="Times New Roman" w:hAnsi="Times New Roman" w:cs="Times New Roman"/>
                      <w:color w:val="000000" w:themeColor="text1"/>
                      <w:kern w:val="0"/>
                      <w:szCs w:val="21"/>
                      <w:highlight w:val="none"/>
                      <w14:textFill>
                        <w14:solidFill>
                          <w14:schemeClr w14:val="tx1"/>
                        </w14:solidFill>
                      </w14:textFill>
                    </w:rPr>
                    <w:t>0%</w:t>
                  </w:r>
                </w:p>
              </w:tc>
              <w:tc>
                <w:tcPr>
                  <w:tcW w:w="658" w:type="dxa"/>
                  <w:noWrap w:val="0"/>
                  <w:vAlign w:val="center"/>
                </w:tcPr>
                <w:p w14:paraId="3ADC9294">
                  <w:pPr>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系数法</w:t>
                  </w:r>
                </w:p>
              </w:tc>
              <w:tc>
                <w:tcPr>
                  <w:tcW w:w="700" w:type="dxa"/>
                  <w:noWrap w:val="0"/>
                  <w:vAlign w:val="center"/>
                </w:tcPr>
                <w:p w14:paraId="4F1D1A56">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778" w:type="dxa"/>
                  <w:noWrap w:val="0"/>
                  <w:vAlign w:val="center"/>
                </w:tcPr>
                <w:p w14:paraId="5D6EA2D3">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757" w:type="dxa"/>
                  <w:noWrap w:val="0"/>
                  <w:vAlign w:val="center"/>
                </w:tcPr>
                <w:p w14:paraId="4B39E95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2.240</w:t>
                  </w:r>
                </w:p>
              </w:tc>
            </w:tr>
            <w:tr w14:paraId="331A1E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28" w:type="dxa"/>
                  <w:noWrap w:val="0"/>
                  <w:vAlign w:val="center"/>
                </w:tcPr>
                <w:p w14:paraId="7D4BA755">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运输扬尘</w:t>
                  </w:r>
                </w:p>
              </w:tc>
              <w:tc>
                <w:tcPr>
                  <w:tcW w:w="494" w:type="dxa"/>
                  <w:noWrap w:val="0"/>
                  <w:vAlign w:val="center"/>
                </w:tcPr>
                <w:p w14:paraId="7C3AFDB3">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709" w:type="dxa"/>
                  <w:noWrap w:val="0"/>
                  <w:vAlign w:val="center"/>
                </w:tcPr>
                <w:p w14:paraId="45BA23FB">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系数法</w:t>
                  </w:r>
                </w:p>
              </w:tc>
              <w:tc>
                <w:tcPr>
                  <w:tcW w:w="646" w:type="dxa"/>
                  <w:noWrap w:val="0"/>
                  <w:vAlign w:val="center"/>
                </w:tcPr>
                <w:p w14:paraId="6F6AC751">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826" w:type="dxa"/>
                  <w:noWrap w:val="0"/>
                  <w:vAlign w:val="center"/>
                </w:tcPr>
                <w:p w14:paraId="2D245DC0">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903" w:type="dxa"/>
                  <w:noWrap w:val="0"/>
                  <w:vAlign w:val="center"/>
                </w:tcPr>
                <w:p w14:paraId="3D5E698C">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0.010</w:t>
                  </w:r>
                </w:p>
              </w:tc>
              <w:tc>
                <w:tcPr>
                  <w:tcW w:w="1181" w:type="dxa"/>
                  <w:noWrap w:val="0"/>
                  <w:vAlign w:val="center"/>
                </w:tcPr>
                <w:p w14:paraId="25C3F87C">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加盖苫布、控制车速、道路洒水抑尘</w:t>
                  </w:r>
                </w:p>
              </w:tc>
              <w:tc>
                <w:tcPr>
                  <w:tcW w:w="607" w:type="dxa"/>
                  <w:noWrap w:val="0"/>
                  <w:vAlign w:val="center"/>
                </w:tcPr>
                <w:p w14:paraId="06567CA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80</w:t>
                  </w:r>
                  <w:r>
                    <w:rPr>
                      <w:rFonts w:hint="default" w:ascii="Times New Roman" w:hAnsi="Times New Roman" w:cs="Times New Roman"/>
                      <w:color w:val="000000" w:themeColor="text1"/>
                      <w:szCs w:val="21"/>
                      <w:highlight w:val="none"/>
                      <w14:textFill>
                        <w14:solidFill>
                          <w14:schemeClr w14:val="tx1"/>
                        </w14:solidFill>
                      </w14:textFill>
                    </w:rPr>
                    <w:t>%</w:t>
                  </w:r>
                </w:p>
              </w:tc>
              <w:tc>
                <w:tcPr>
                  <w:tcW w:w="658" w:type="dxa"/>
                  <w:noWrap w:val="0"/>
                  <w:vAlign w:val="center"/>
                </w:tcPr>
                <w:p w14:paraId="08CCA71C">
                  <w:pPr>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系数法</w:t>
                  </w:r>
                </w:p>
              </w:tc>
              <w:tc>
                <w:tcPr>
                  <w:tcW w:w="700" w:type="dxa"/>
                  <w:noWrap w:val="0"/>
                  <w:vAlign w:val="center"/>
                </w:tcPr>
                <w:p w14:paraId="38ACEBDB">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778" w:type="dxa"/>
                  <w:noWrap w:val="0"/>
                  <w:vAlign w:val="center"/>
                </w:tcPr>
                <w:p w14:paraId="59F18B99">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757" w:type="dxa"/>
                  <w:noWrap w:val="0"/>
                  <w:vAlign w:val="center"/>
                </w:tcPr>
                <w:p w14:paraId="751091A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0.002</w:t>
                  </w:r>
                </w:p>
              </w:tc>
            </w:tr>
          </w:tbl>
          <w:p w14:paraId="0789C306">
            <w:pPr>
              <w:numPr>
                <w:ilvl w:val="0"/>
                <w:numId w:val="0"/>
              </w:num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大气环境影响分析</w:t>
            </w:r>
          </w:p>
          <w:p w14:paraId="1EEF461F">
            <w:pPr>
              <w:numPr>
                <w:ilvl w:val="0"/>
                <w:numId w:val="0"/>
              </w:num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eastAsia="zh-CN"/>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本项目所在区域为环境质量达标区，本项目</w:t>
            </w:r>
            <w:r>
              <w:rPr>
                <w:rFonts w:hint="default" w:ascii="Times New Roman" w:hAnsi="Times New Roman" w:cs="Times New Roman"/>
                <w:bCs/>
                <w:color w:val="000000" w:themeColor="text1"/>
                <w:sz w:val="24"/>
                <w:highlight w:val="none"/>
                <w:lang w:val="en-US" w:eastAsia="zh-CN"/>
                <w14:textFill>
                  <w14:solidFill>
                    <w14:schemeClr w14:val="tx1"/>
                  </w14:solidFill>
                </w14:textFill>
              </w:rPr>
              <w:t>仅用于煤炭储存和转运</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项目仅在</w:t>
            </w:r>
            <w:r>
              <w:rPr>
                <w:rFonts w:hint="default" w:ascii="Times New Roman" w:hAnsi="Times New Roman" w:cs="Times New Roman"/>
                <w:bCs/>
                <w:color w:val="000000" w:themeColor="text1"/>
                <w:sz w:val="24"/>
                <w:highlight w:val="none"/>
                <w14:textFill>
                  <w14:solidFill>
                    <w14:schemeClr w14:val="tx1"/>
                  </w14:solidFill>
                </w14:textFill>
              </w:rPr>
              <w:t>物料装卸、堆存</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运输过程中产生粉尘，储煤场四周均设有防风抑尘网，储煤场内部地面硬化，洒水车定期对煤场</w:t>
            </w:r>
            <w:r>
              <w:rPr>
                <w:rFonts w:hint="default" w:ascii="Times New Roman" w:hAnsi="Times New Roman" w:cs="Times New Roman"/>
                <w:bCs/>
                <w:color w:val="000000" w:themeColor="text1"/>
                <w:sz w:val="24"/>
                <w:highlight w:val="none"/>
                <w14:textFill>
                  <w14:solidFill>
                    <w14:schemeClr w14:val="tx1"/>
                  </w14:solidFill>
                </w14:textFill>
              </w:rPr>
              <w:t>进行洒水</w:t>
            </w:r>
            <w:r>
              <w:rPr>
                <w:rFonts w:hint="default" w:ascii="Times New Roman" w:hAnsi="Times New Roman" w:cs="Times New Roman"/>
                <w:bCs/>
                <w:color w:val="000000" w:themeColor="text1"/>
                <w:sz w:val="24"/>
                <w:highlight w:val="none"/>
                <w:lang w:val="en-US" w:eastAsia="zh-CN"/>
                <w14:textFill>
                  <w14:solidFill>
                    <w14:schemeClr w14:val="tx1"/>
                  </w14:solidFill>
                </w14:textFill>
              </w:rPr>
              <w:t>降尘防燃</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储存煤炭使用绿网进行苫盖，并</w:t>
            </w:r>
            <w:r>
              <w:rPr>
                <w:rFonts w:hint="default" w:ascii="Times New Roman" w:hAnsi="Times New Roman" w:cs="Times New Roman"/>
                <w:bCs/>
                <w:color w:val="000000" w:themeColor="text1"/>
                <w:sz w:val="24"/>
                <w:highlight w:val="none"/>
                <w14:textFill>
                  <w14:solidFill>
                    <w14:schemeClr w14:val="tx1"/>
                  </w14:solidFill>
                </w14:textFill>
              </w:rPr>
              <w:t>保持地面清洁，对运输车辆进行苫盖</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定期去外部指定洗车点对运输车辆进行清洗，保持车辆清洁。根据类比《七台河市瑞峰能源科技有限公司储煤场建设项目竣工环境保护验收监测报告表》对无组织颗粒物的监测数据，厂界颗粒物最大浓度为0.497mg/m</w:t>
            </w:r>
            <w:r>
              <w:rPr>
                <w:rFonts w:hint="default"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lang w:val="en-US" w:eastAsia="zh-CN"/>
                <w14:textFill>
                  <w14:solidFill>
                    <w14:schemeClr w14:val="tx1"/>
                  </w14:solidFill>
                </w14:textFill>
              </w:rPr>
              <w:t>。该项目为储煤场项目，储存能力为3万吨/年，处理措施为防风抑尘网+苫布遮盖+洒水降尘，措施与本项目相同。本项目储煤能力为3万吨/年，周转7万吨/年，故本项目类比可行。</w:t>
            </w:r>
            <w:r>
              <w:rPr>
                <w:rFonts w:hint="default" w:ascii="Times New Roman" w:hAnsi="Times New Roman" w:cs="Times New Roman"/>
                <w:bCs/>
                <w:color w:val="auto"/>
                <w:sz w:val="24"/>
                <w:highlight w:val="none"/>
                <w:lang w:val="en-US" w:eastAsia="zh-CN"/>
              </w:rPr>
              <w:t>粉尘排放浓度满足《煤炭工业污染物排放标准》（GB20426-2006）表5煤炭工业无组织排放限值，对周围环境影响较小。</w:t>
            </w:r>
          </w:p>
          <w:p w14:paraId="3797CE11">
            <w:pPr>
              <w:numPr>
                <w:ilvl w:val="0"/>
                <w:numId w:val="0"/>
              </w:num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环保措施有效性分析</w:t>
            </w:r>
          </w:p>
          <w:p w14:paraId="3D16DCE9">
            <w:pPr>
              <w:numPr>
                <w:ilvl w:val="0"/>
                <w:numId w:val="0"/>
              </w:num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本环评要求项目储煤场四周均设有闭合的防风抑尘网，防风抑尘网高度3m，长720m（孔隙率50％），贮存的煤炭使用绿网进行苫盖，对储煤场进行洒水降尘（一天一次）、储煤场厂区地面硬化，对进出储煤场运输车辆进行苫盖，运输车辆日常装卸煤炭过程中</w:t>
            </w:r>
            <w:r>
              <w:rPr>
                <w:rFonts w:hint="default" w:ascii="Times New Roman" w:hAnsi="Times New Roman" w:cs="Times New Roman"/>
                <w:color w:val="000000" w:themeColor="text1"/>
                <w:sz w:val="24"/>
                <w:highlight w:val="none"/>
                <w:lang w:val="en-US" w:eastAsia="zh-CN"/>
                <w14:textFill>
                  <w14:solidFill>
                    <w14:schemeClr w14:val="tx1"/>
                  </w14:solidFill>
                </w14:textFill>
              </w:rPr>
              <w:t>装车使用洒水车对装车过程进行降尘，卸料过程尽量减少煤炭落料过程中高差</w:t>
            </w:r>
            <w:r>
              <w:rPr>
                <w:rFonts w:hint="default" w:ascii="Times New Roman" w:hAnsi="Times New Roman" w:cs="Times New Roman"/>
                <w:bCs/>
                <w:color w:val="000000" w:themeColor="text1"/>
                <w:sz w:val="24"/>
                <w:highlight w:val="none"/>
                <w:lang w:val="en-US" w:eastAsia="zh-CN"/>
                <w14:textFill>
                  <w14:solidFill>
                    <w14:schemeClr w14:val="tx1"/>
                  </w14:solidFill>
                </w14:textFill>
              </w:rPr>
              <w:t>，煤场日常运行中进行</w:t>
            </w:r>
            <w:r>
              <w:rPr>
                <w:rFonts w:hint="default" w:ascii="Times New Roman" w:hAnsi="Times New Roman" w:cs="Times New Roman"/>
                <w:bCs/>
                <w:color w:val="000000" w:themeColor="text1"/>
                <w:sz w:val="24"/>
                <w:highlight w:val="none"/>
                <w14:textFill>
                  <w14:solidFill>
                    <w14:schemeClr w14:val="tx1"/>
                  </w14:solidFill>
                </w14:textFill>
              </w:rPr>
              <w:t>洒水降尘</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一天一次</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禁止在重污染天气、大风天气进行作业，本项目应加强防风抑尘网的运行维护，制订巡检制度，各措施出现损坏而不能正常发挥效能时，应及时进行维修或更换，在严格落实以上措施后，项目能够满足《中华人民共和国大气污染防治法》、《鸡西市洗煤厂、储煤场环境综合整治验收标准》中大气污染治理措施要求。</w:t>
            </w:r>
          </w:p>
          <w:p w14:paraId="662CD29F">
            <w:pPr>
              <w:numPr>
                <w:ilvl w:val="0"/>
                <w:numId w:val="0"/>
              </w:num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监测要求</w:t>
            </w:r>
          </w:p>
          <w:p w14:paraId="23B88D65">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根据《排污单位自行监测技术指南 总则》（HJ819-2017），废气监测要求详见表4-</w:t>
            </w:r>
            <w:r>
              <w:rPr>
                <w:rFonts w:hint="default" w:ascii="Times New Roman" w:hAnsi="Times New Roman" w:cs="Times New Roman"/>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Cs/>
                <w:color w:val="000000" w:themeColor="text1"/>
                <w:sz w:val="24"/>
                <w:highlight w:val="none"/>
                <w14:textFill>
                  <w14:solidFill>
                    <w14:schemeClr w14:val="tx1"/>
                  </w14:solidFill>
                </w14:textFill>
              </w:rPr>
              <w:t>。</w:t>
            </w:r>
          </w:p>
          <w:p w14:paraId="5B87EF59">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表4-2  监测要求</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138"/>
              <w:gridCol w:w="1150"/>
              <w:gridCol w:w="1237"/>
              <w:gridCol w:w="4148"/>
            </w:tblGrid>
            <w:tr w14:paraId="3B7B08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noWrap w:val="0"/>
                  <w:vAlign w:val="center"/>
                </w:tcPr>
                <w:p w14:paraId="404E1DD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监测类别</w:t>
                  </w:r>
                </w:p>
              </w:tc>
              <w:tc>
                <w:tcPr>
                  <w:tcW w:w="1138" w:type="dxa"/>
                  <w:noWrap w:val="0"/>
                  <w:vAlign w:val="center"/>
                </w:tcPr>
                <w:p w14:paraId="7F4CA82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监测点位</w:t>
                  </w:r>
                </w:p>
              </w:tc>
              <w:tc>
                <w:tcPr>
                  <w:tcW w:w="1150" w:type="dxa"/>
                  <w:noWrap w:val="0"/>
                  <w:vAlign w:val="center"/>
                </w:tcPr>
                <w:p w14:paraId="0E97449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监测因子</w:t>
                  </w:r>
                </w:p>
              </w:tc>
              <w:tc>
                <w:tcPr>
                  <w:tcW w:w="1237" w:type="dxa"/>
                  <w:noWrap w:val="0"/>
                  <w:vAlign w:val="center"/>
                </w:tcPr>
                <w:p w14:paraId="1CCEB048">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监测频次</w:t>
                  </w:r>
                </w:p>
              </w:tc>
              <w:tc>
                <w:tcPr>
                  <w:tcW w:w="4148" w:type="dxa"/>
                  <w:noWrap w:val="0"/>
                  <w:vAlign w:val="center"/>
                </w:tcPr>
                <w:p w14:paraId="003525C4">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执行标准</w:t>
                  </w:r>
                </w:p>
              </w:tc>
            </w:tr>
            <w:tr w14:paraId="6C60BE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noWrap w:val="0"/>
                  <w:vAlign w:val="center"/>
                </w:tcPr>
                <w:p w14:paraId="5714A6B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无组织废气</w:t>
                  </w:r>
                </w:p>
              </w:tc>
              <w:tc>
                <w:tcPr>
                  <w:tcW w:w="1138" w:type="dxa"/>
                  <w:noWrap w:val="0"/>
                  <w:vAlign w:val="center"/>
                </w:tcPr>
                <w:p w14:paraId="18AEE229">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厂界</w:t>
                  </w:r>
                </w:p>
              </w:tc>
              <w:tc>
                <w:tcPr>
                  <w:tcW w:w="1150" w:type="dxa"/>
                  <w:noWrap w:val="0"/>
                  <w:vAlign w:val="center"/>
                </w:tcPr>
                <w:p w14:paraId="1E97CA77">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颗粒物</w:t>
                  </w:r>
                </w:p>
              </w:tc>
              <w:tc>
                <w:tcPr>
                  <w:tcW w:w="1237" w:type="dxa"/>
                  <w:noWrap w:val="0"/>
                  <w:vAlign w:val="center"/>
                </w:tcPr>
                <w:p w14:paraId="3DC77DE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1次/年</w:t>
                  </w:r>
                </w:p>
              </w:tc>
              <w:tc>
                <w:tcPr>
                  <w:tcW w:w="4148" w:type="dxa"/>
                  <w:noWrap w:val="0"/>
                  <w:vAlign w:val="center"/>
                </w:tcPr>
                <w:p w14:paraId="4A7F17C1">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auto"/>
                      <w:szCs w:val="21"/>
                      <w:highlight w:val="none"/>
                    </w:rPr>
                    <w:t>《煤炭工业污染物排放标准》（GB20426-2006）</w:t>
                  </w:r>
                </w:p>
              </w:tc>
            </w:tr>
          </w:tbl>
          <w:p w14:paraId="6E33202B">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lang w:eastAsia="zh-CN"/>
              </w:rPr>
              <w:t>非正常工况</w:t>
            </w:r>
          </w:p>
          <w:p w14:paraId="259419C4">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lang w:val="en-US" w:eastAsia="zh-CN"/>
              </w:rPr>
              <w:t>本项目可能发生最不利的非正常工况是防风抑尘网故障、苫布破损，按最不利情况计算，仅有洒水降尘措施，去除效率为74%，则堆场风蚀扬尘颗粒物排放速率为0.809kg/h。本项目在非正常工况下和重污染天气期间、大风天气时不进行作业。本项目应加强防风抑尘网的运行维护，制订巡检制度，采取上述措施后，可有效降低非正常工况的发生概率，降低对周边环境影响。</w:t>
            </w:r>
          </w:p>
          <w:p w14:paraId="77D905EF">
            <w:pPr>
              <w:adjustRightInd w:val="0"/>
              <w:snapToGrid w:val="0"/>
              <w:spacing w:line="360" w:lineRule="auto"/>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2、废水</w:t>
            </w:r>
          </w:p>
          <w:p w14:paraId="6F0207A4">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highlight w:val="none"/>
                <w14:textFill>
                  <w14:solidFill>
                    <w14:schemeClr w14:val="tx1"/>
                  </w14:solidFill>
                </w14:textFill>
              </w:rPr>
              <w:t>）项目废</w:t>
            </w:r>
            <w:r>
              <w:rPr>
                <w:rFonts w:hint="default" w:ascii="Times New Roman" w:hAnsi="Times New Roman" w:cs="Times New Roman"/>
                <w:bCs/>
                <w:color w:val="000000" w:themeColor="text1"/>
                <w:sz w:val="24"/>
                <w:highlight w:val="none"/>
                <w:lang w:val="en-US" w:eastAsia="zh-CN"/>
                <w14:textFill>
                  <w14:solidFill>
                    <w14:schemeClr w14:val="tx1"/>
                  </w14:solidFill>
                </w14:textFill>
              </w:rPr>
              <w:t>水源强</w:t>
            </w:r>
          </w:p>
          <w:p w14:paraId="68855B3F">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用水外购，</w:t>
            </w:r>
            <w:r>
              <w:rPr>
                <w:rFonts w:hint="default" w:ascii="Times New Roman" w:hAnsi="Times New Roman" w:cs="Times New Roman"/>
                <w:color w:val="000000" w:themeColor="text1"/>
                <w:sz w:val="24"/>
                <w:szCs w:val="24"/>
                <w:highlight w:val="none"/>
                <w14:textFill>
                  <w14:solidFill>
                    <w14:schemeClr w14:val="tx1"/>
                  </w14:solidFill>
                </w14:textFill>
              </w:rPr>
              <w:t>运营期用水主要为职工生活用水</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堆场及道路洒水</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79E6EFB3">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生活污水</w:t>
            </w:r>
          </w:p>
          <w:p w14:paraId="239DDC0C">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生活污水产生量为0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.512</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/d，年产生量为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153.6</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，排入防渗旱厕，</w:t>
            </w:r>
            <w:r>
              <w:rPr>
                <w:rFonts w:hint="default" w:ascii="Times New Roman" w:hAnsi="Times New Roman" w:cs="Times New Roman"/>
                <w:bCs/>
                <w:color w:val="000000" w:themeColor="text1"/>
                <w:sz w:val="24"/>
                <w:highlight w:val="none"/>
                <w14:textFill>
                  <w14:solidFill>
                    <w14:schemeClr w14:val="tx1"/>
                  </w14:solidFill>
                </w14:textFill>
              </w:rPr>
              <w:t>定期清掏外运，不外排。</w:t>
            </w:r>
          </w:p>
          <w:p w14:paraId="7822D1F9">
            <w:pPr>
              <w:numPr>
                <w:ilvl w:val="0"/>
                <w:numId w:val="0"/>
              </w:num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Cs/>
                <w:color w:val="000000" w:themeColor="text1"/>
                <w:sz w:val="24"/>
                <w:highlight w:val="none"/>
                <w:lang w:val="en-US" w:eastAsia="zh-CN"/>
                <w14:textFill>
                  <w14:solidFill>
                    <w14:schemeClr w14:val="tx1"/>
                  </w14:solidFill>
                </w14:textFill>
              </w:rPr>
              <w:t>道路及堆场洒</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水</w:t>
            </w:r>
          </w:p>
          <w:p w14:paraId="1B412CE1">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储煤场日常工作中通过对堆场及道路进行洒水降尘，减少粉尘产生。</w:t>
            </w:r>
            <w:r>
              <w:rPr>
                <w:rFonts w:hint="default" w:ascii="Times New Roman" w:hAnsi="Times New Roman" w:cs="Times New Roman"/>
                <w:bCs/>
                <w:color w:val="000000" w:themeColor="text1"/>
                <w:sz w:val="24"/>
                <w:highlight w:val="none"/>
                <w:lang w:val="en-US" w:eastAsia="zh-CN"/>
                <w14:textFill>
                  <w14:solidFill>
                    <w14:schemeClr w14:val="tx1"/>
                  </w14:solidFill>
                </w14:textFill>
              </w:rPr>
              <w:t>道路及堆场洒</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随空气蒸发，不外排。</w:t>
            </w:r>
          </w:p>
          <w:p w14:paraId="2EEDC0CD">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3）径流</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雨水</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煤泥水</w:t>
            </w:r>
            <w:r>
              <w:rPr>
                <w:rFonts w:hint="default" w:ascii="Times New Roman" w:hAnsi="Times New Roman" w:cs="Times New Roman"/>
                <w:bCs/>
                <w:color w:val="000000" w:themeColor="text1"/>
                <w:sz w:val="24"/>
                <w:highlight w:val="none"/>
                <w:lang w:eastAsia="zh-CN"/>
                <w14:textFill>
                  <w14:solidFill>
                    <w14:schemeClr w14:val="tx1"/>
                  </w14:solidFill>
                </w14:textFill>
              </w:rPr>
              <w:t>）</w:t>
            </w:r>
          </w:p>
          <w:p w14:paraId="58944EA5">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本项目堆场汇集雨水主要污染因子均为SS，类比调查平均SS浓度为700mg/L。雨水收集至雨水收集池，回用于堆场洒水以及道路洒水抑尘等用水，不外排。</w:t>
            </w:r>
          </w:p>
          <w:p w14:paraId="77586153">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在鸡西市</w:t>
            </w:r>
            <w:r>
              <w:rPr>
                <w:rFonts w:hint="default" w:ascii="Times New Roman" w:hAnsi="Times New Roman" w:cs="Times New Roman"/>
                <w:color w:val="000000" w:themeColor="text1"/>
                <w:sz w:val="24"/>
                <w:szCs w:val="24"/>
                <w:highlight w:val="none"/>
                <w:lang w:eastAsia="zh-CN"/>
                <w14:textFill>
                  <w14:solidFill>
                    <w14:schemeClr w14:val="tx1"/>
                  </w14:solidFill>
                </w14:textFill>
              </w:rPr>
              <w:t>近十年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年均</w:t>
            </w:r>
            <w:r>
              <w:rPr>
                <w:rFonts w:hint="default" w:ascii="Times New Roman" w:hAnsi="Times New Roman" w:cs="Times New Roman"/>
                <w:color w:val="000000" w:themeColor="text1"/>
                <w:sz w:val="24"/>
                <w:szCs w:val="24"/>
                <w:highlight w:val="none"/>
                <w:lang w:eastAsia="zh-CN"/>
                <w14:textFill>
                  <w14:solidFill>
                    <w14:schemeClr w14:val="tx1"/>
                  </w14:solidFill>
                </w14:textFill>
              </w:rPr>
              <w:t>降雨量为55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lang w:eastAsia="zh-CN"/>
                <w14:textFill>
                  <w14:solidFill>
                    <w14:schemeClr w14:val="tx1"/>
                  </w14:solidFill>
                </w14:textFill>
              </w:rPr>
              <w:t>mm，</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径流系数取0.6，年均收集雨水量计算公式如下：</w:t>
            </w:r>
          </w:p>
          <w:p w14:paraId="5D20BE7F">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年均雨水量=年均降雨量*径流系数*汇水面积                   </w:t>
            </w:r>
          </w:p>
          <w:p w14:paraId="54385434">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由上式计算可知，储煤场年雨水量7532m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，鸡西市年均降雨天数为70-80天，本项目保守估计取60天，计算得单次雨水量为125.5m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根据上文水平衡可知，堆场及道路洒水年使用量808.2m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，雨水收集池收集雨水能够满足生产用水需求。</w:t>
            </w:r>
          </w:p>
          <w:p w14:paraId="2D2B29D9">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根据厂区地势，雨水收集池建设在厂区地势较低的东北侧，本项目设置容积为170m</w:t>
            </w:r>
            <w:r>
              <w:rPr>
                <w:rFonts w:hint="default"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lang w:val="en-US" w:eastAsia="zh-CN"/>
                <w14:textFill>
                  <w14:solidFill>
                    <w14:schemeClr w14:val="tx1"/>
                  </w14:solidFill>
                </w14:textFill>
              </w:rPr>
              <w:t>（10*10*1.7）雨水收集池用于收集径流雨水，收集沉淀后用于降尘用水。</w:t>
            </w:r>
          </w:p>
          <w:p w14:paraId="49589673">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（2）水环境影响分析</w:t>
            </w:r>
          </w:p>
          <w:p w14:paraId="4F454858">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本项目产生的生活污水排入防渗旱厕，定期清掏外运堆肥；生产抑尘用水全部进入物料中挥发，不外排；径流雨水导入雨水收集池沉淀后回用于生产，不外排。因此，本项目产生的废水均不会排放至外环境，项目对地表水的影响在可接受范围内。</w:t>
            </w:r>
          </w:p>
          <w:p w14:paraId="4EC2B88A">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（3）环保措施可行性分析</w:t>
            </w:r>
          </w:p>
          <w:p w14:paraId="6CED1411">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本项目在厂区西北侧设置雨水收集池及四周设置导流沟（长650m，宽0.2m，深0.2m）对雨水进行收集，收集后的雨水经沉淀后回用于洒水降尘。</w:t>
            </w:r>
          </w:p>
          <w:p w14:paraId="0BBCA66F">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雨水：在鸡西市近十年年均降雨量为559mm，径流系数取0.6，年均收集雨水量计算公式如下：</w:t>
            </w:r>
          </w:p>
          <w:p w14:paraId="4F7B94C4">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年均雨水量=年均降雨量*径流系数*汇水面积                   </w:t>
            </w:r>
          </w:p>
          <w:p w14:paraId="3E182524">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由上式计算可知，储煤场年雨水量7532m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，鸡西市年均降雨天数为70-80天，本项目保守估计取60天，计算得单次雨水量为125.5m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，根据上文水平衡可知，堆场及道路洒水年使用量8084.52m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，雨水收集池收集雨水可全部被消纳。</w:t>
            </w:r>
          </w:p>
          <w:p w14:paraId="064F7660">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废水污染物排放源</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000"/>
              <w:gridCol w:w="1293"/>
              <w:gridCol w:w="1444"/>
              <w:gridCol w:w="1357"/>
              <w:gridCol w:w="2576"/>
            </w:tblGrid>
            <w:tr w14:paraId="1D543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noWrap w:val="0"/>
                  <w:vAlign w:val="center"/>
                </w:tcPr>
                <w:p w14:paraId="308B2EBB">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产排污环节</w:t>
                  </w:r>
                </w:p>
              </w:tc>
              <w:tc>
                <w:tcPr>
                  <w:tcW w:w="569" w:type="pct"/>
                  <w:noWrap w:val="0"/>
                  <w:vAlign w:val="center"/>
                </w:tcPr>
                <w:p w14:paraId="45009FB0">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污染物种类</w:t>
                  </w:r>
                </w:p>
              </w:tc>
              <w:tc>
                <w:tcPr>
                  <w:tcW w:w="736" w:type="pct"/>
                  <w:noWrap w:val="0"/>
                  <w:vAlign w:val="center"/>
                </w:tcPr>
                <w:p w14:paraId="684696B7">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污染物产生量t/a</w:t>
                  </w:r>
                </w:p>
              </w:tc>
              <w:tc>
                <w:tcPr>
                  <w:tcW w:w="822" w:type="pct"/>
                  <w:noWrap w:val="0"/>
                  <w:vAlign w:val="center"/>
                </w:tcPr>
                <w:p w14:paraId="1D63A112">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污染物产生浓度mg/L</w:t>
                  </w:r>
                </w:p>
              </w:tc>
              <w:tc>
                <w:tcPr>
                  <w:tcW w:w="772" w:type="pct"/>
                  <w:noWrap w:val="0"/>
                  <w:vAlign w:val="center"/>
                </w:tcPr>
                <w:p w14:paraId="4A7AA32E">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排放形式</w:t>
                  </w:r>
                </w:p>
              </w:tc>
              <w:tc>
                <w:tcPr>
                  <w:tcW w:w="1466" w:type="pct"/>
                  <w:noWrap w:val="0"/>
                  <w:vAlign w:val="center"/>
                </w:tcPr>
                <w:p w14:paraId="0DAFE8FD">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治理设施</w:t>
                  </w:r>
                </w:p>
              </w:tc>
            </w:tr>
            <w:tr w14:paraId="284DF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restart"/>
                  <w:noWrap w:val="0"/>
                  <w:vAlign w:val="center"/>
                </w:tcPr>
                <w:p w14:paraId="0CEFCDD5">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生活污水</w:t>
                  </w:r>
                </w:p>
              </w:tc>
              <w:tc>
                <w:tcPr>
                  <w:tcW w:w="569" w:type="pct"/>
                  <w:noWrap w:val="0"/>
                  <w:vAlign w:val="center"/>
                </w:tcPr>
                <w:p w14:paraId="53C86225">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COD</w:t>
                  </w:r>
                </w:p>
              </w:tc>
              <w:tc>
                <w:tcPr>
                  <w:tcW w:w="736" w:type="pct"/>
                  <w:noWrap w:val="0"/>
                  <w:vAlign w:val="center"/>
                </w:tcPr>
                <w:p w14:paraId="306F8948">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0.0461</w:t>
                  </w:r>
                </w:p>
              </w:tc>
              <w:tc>
                <w:tcPr>
                  <w:tcW w:w="822" w:type="pct"/>
                  <w:noWrap w:val="0"/>
                  <w:vAlign w:val="center"/>
                </w:tcPr>
                <w:p w14:paraId="39CA35E6">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300</w:t>
                  </w:r>
                </w:p>
              </w:tc>
              <w:tc>
                <w:tcPr>
                  <w:tcW w:w="772" w:type="pct"/>
                  <w:noWrap w:val="0"/>
                  <w:vAlign w:val="center"/>
                </w:tcPr>
                <w:p w14:paraId="5E47A788">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不排放</w:t>
                  </w:r>
                </w:p>
              </w:tc>
              <w:tc>
                <w:tcPr>
                  <w:tcW w:w="1466" w:type="pct"/>
                  <w:vMerge w:val="restart"/>
                  <w:noWrap w:val="0"/>
                  <w:vAlign w:val="center"/>
                </w:tcPr>
                <w:p w14:paraId="470DF77E">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排入防渗旱厕、定期清掏</w:t>
                  </w:r>
                </w:p>
              </w:tc>
            </w:tr>
            <w:tr w14:paraId="506C2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vMerge w:val="continue"/>
                  <w:noWrap w:val="0"/>
                  <w:vAlign w:val="center"/>
                </w:tcPr>
                <w:p w14:paraId="0BEBBB22">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569" w:type="pct"/>
                  <w:noWrap w:val="0"/>
                  <w:vAlign w:val="center"/>
                </w:tcPr>
                <w:p w14:paraId="62C3CEA9">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氨氮</w:t>
                  </w:r>
                </w:p>
              </w:tc>
              <w:tc>
                <w:tcPr>
                  <w:tcW w:w="736" w:type="pct"/>
                  <w:noWrap w:val="0"/>
                  <w:vAlign w:val="center"/>
                </w:tcPr>
                <w:p w14:paraId="4F09DDED">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0.0031</w:t>
                  </w:r>
                </w:p>
              </w:tc>
              <w:tc>
                <w:tcPr>
                  <w:tcW w:w="822" w:type="pct"/>
                  <w:noWrap w:val="0"/>
                  <w:vAlign w:val="center"/>
                </w:tcPr>
                <w:p w14:paraId="7AD3464B">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20</w:t>
                  </w:r>
                </w:p>
              </w:tc>
              <w:tc>
                <w:tcPr>
                  <w:tcW w:w="772" w:type="pct"/>
                  <w:noWrap w:val="0"/>
                  <w:vAlign w:val="center"/>
                </w:tcPr>
                <w:p w14:paraId="07C4E54B">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不排放</w:t>
                  </w:r>
                </w:p>
              </w:tc>
              <w:tc>
                <w:tcPr>
                  <w:tcW w:w="1466" w:type="pct"/>
                  <w:vMerge w:val="continue"/>
                  <w:noWrap w:val="0"/>
                  <w:vAlign w:val="center"/>
                </w:tcPr>
                <w:p w14:paraId="09C7690C">
                  <w:pPr>
                    <w:adjustRightInd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r>
            <w:tr w14:paraId="023AF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noWrap w:val="0"/>
                  <w:vAlign w:val="center"/>
                </w:tcPr>
                <w:p w14:paraId="36B2BA55">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雨水</w:t>
                  </w:r>
                </w:p>
              </w:tc>
              <w:tc>
                <w:tcPr>
                  <w:tcW w:w="569" w:type="pct"/>
                  <w:noWrap w:val="0"/>
                  <w:vAlign w:val="center"/>
                </w:tcPr>
                <w:p w14:paraId="2C9CAB8F">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SS</w:t>
                  </w:r>
                </w:p>
              </w:tc>
              <w:tc>
                <w:tcPr>
                  <w:tcW w:w="736" w:type="pct"/>
                  <w:noWrap w:val="0"/>
                  <w:vAlign w:val="center"/>
                </w:tcPr>
                <w:p w14:paraId="2399E4CD">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5.272</w:t>
                  </w:r>
                </w:p>
              </w:tc>
              <w:tc>
                <w:tcPr>
                  <w:tcW w:w="822" w:type="pct"/>
                  <w:noWrap w:val="0"/>
                  <w:vAlign w:val="center"/>
                </w:tcPr>
                <w:p w14:paraId="14BB0BE4">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700</w:t>
                  </w:r>
                </w:p>
              </w:tc>
              <w:tc>
                <w:tcPr>
                  <w:tcW w:w="772" w:type="pct"/>
                  <w:noWrap w:val="0"/>
                  <w:vAlign w:val="center"/>
                </w:tcPr>
                <w:p w14:paraId="2C3868AF">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不排放</w:t>
                  </w:r>
                </w:p>
              </w:tc>
              <w:tc>
                <w:tcPr>
                  <w:tcW w:w="1466" w:type="pct"/>
                  <w:noWrap w:val="0"/>
                  <w:vAlign w:val="center"/>
                </w:tcPr>
                <w:p w14:paraId="2849A118">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洒水降尘</w:t>
                  </w:r>
                </w:p>
              </w:tc>
            </w:tr>
          </w:tbl>
          <w:p w14:paraId="6B411E39">
            <w:pPr>
              <w:pStyle w:val="30"/>
              <w:spacing w:before="0" w:beforeLines="0" w:after="0" w:afterLines="0" w:line="360" w:lineRule="auto"/>
              <w:ind w:firstLine="0" w:firstLineChars="0"/>
              <w:textAlignment w:val="baseline"/>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3</w:t>
            </w:r>
            <w:r>
              <w:rPr>
                <w:rFonts w:hint="default" w:ascii="Times New Roman" w:hAnsi="Times New Roman" w:cs="Times New Roman"/>
                <w:b/>
                <w:bCs/>
                <w:color w:val="000000" w:themeColor="text1"/>
                <w:highlight w:val="none"/>
                <w14:textFill>
                  <w14:solidFill>
                    <w14:schemeClr w14:val="tx1"/>
                  </w14:solidFill>
                </w14:textFill>
              </w:rPr>
              <w:t>、噪声</w:t>
            </w:r>
          </w:p>
          <w:p w14:paraId="2EF05D63">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（1）噪声污染源源强</w:t>
            </w:r>
          </w:p>
          <w:p w14:paraId="246629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本项目噪声主要</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厂区内铲车、运输车辆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备运行产生的机械噪声。本项目针对各种机械设备的噪声，采取的治理措施有：企业在购买时选用低噪声设备；平时加强设备的维护，使设备长期运行在良好状态，为了减少噪声对周围环境的影响。根据类比调查，噪声源强在65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5dB</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，根据工程设备噪声源强分析及对其采取噪声控制措施，通过公式计算厂界噪声值。</w:t>
            </w:r>
          </w:p>
          <w:p w14:paraId="4FC57A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噪声预测按照《环境影响评价技术导则 声环境》（HJ2.4-2021）进行。</w:t>
            </w:r>
          </w:p>
          <w:p w14:paraId="0380D26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如果声源处于半自由声场，计算公式如下：</w:t>
            </w:r>
          </w:p>
          <w:p w14:paraId="0C13C17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position w:val="-14"/>
                <w:sz w:val="24"/>
                <w:szCs w:val="24"/>
                <w:highlight w:val="none"/>
                <w14:textFill>
                  <w14:solidFill>
                    <w14:schemeClr w14:val="tx1"/>
                  </w14:solidFill>
                </w14:textFill>
              </w:rPr>
              <w:object>
                <v:shape id="_x0000_i1025" o:spt="75" type="#_x0000_t75" style="height:18.8pt;width:110.2pt;" o:ole="t" filled="f" o:preferrelative="t" stroked="f" coordsize="21600,21600">
                  <v:path/>
                  <v:fill on="f" focussize="0,0"/>
                  <v:stroke on="f" joinstyle="miter"/>
                  <v:imagedata r:id="rId27" o:title=""/>
                  <o:lock v:ext="edit" aspectratio="t"/>
                  <w10:wrap type="none"/>
                  <w10:anchorlock/>
                </v:shape>
                <o:OLEObject Type="Embed" ProgID="Equation.3" ShapeID="_x0000_i1025" DrawAspect="Content" ObjectID="_1468075725" r:id="rId26">
                  <o:LockedField>false</o:LockedField>
                </o:OLEObject>
              </w:object>
            </w:r>
          </w:p>
          <w:p w14:paraId="66B0E72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式中：L</w:t>
            </w:r>
            <w:r>
              <w:rPr>
                <w:rFonts w:hint="default" w:ascii="Times New Roman" w:hAnsi="Times New Roman" w:cs="Times New Roman"/>
                <w:bCs/>
                <w:color w:val="000000" w:themeColor="text1"/>
                <w:sz w:val="24"/>
                <w:szCs w:val="24"/>
                <w:highlight w:val="none"/>
                <w:vertAlign w:val="subscript"/>
                <w14:textFill>
                  <w14:solidFill>
                    <w14:schemeClr w14:val="tx1"/>
                  </w14:solidFill>
                </w14:textFill>
              </w:rPr>
              <w:t>p</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r</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——预测点处声压级，dB；</w:t>
            </w:r>
          </w:p>
          <w:p w14:paraId="527CD8A2">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L</w:t>
            </w:r>
            <w:r>
              <w:rPr>
                <w:rFonts w:hint="default" w:ascii="Times New Roman" w:hAnsi="Times New Roman" w:cs="Times New Roman"/>
                <w:bCs/>
                <w:color w:val="000000" w:themeColor="text1"/>
                <w:sz w:val="24"/>
                <w:szCs w:val="24"/>
                <w:highlight w:val="none"/>
                <w:vertAlign w:val="subscript"/>
                <w14:textFill>
                  <w14:solidFill>
                    <w14:schemeClr w14:val="tx1"/>
                  </w14:solidFill>
                </w14:textFill>
              </w:rPr>
              <w:t>w</w:t>
            </w:r>
            <w:r>
              <w:rPr>
                <w:rFonts w:hint="default" w:ascii="Times New Roman" w:hAnsi="Times New Roman" w:cs="Times New Roman"/>
                <w:bCs/>
                <w:color w:val="000000" w:themeColor="text1"/>
                <w:sz w:val="24"/>
                <w:szCs w:val="24"/>
                <w:highlight w:val="none"/>
                <w14:textFill>
                  <w14:solidFill>
                    <w14:schemeClr w14:val="tx1"/>
                  </w14:solidFill>
                </w14:textFill>
              </w:rPr>
              <w:t>——由点声源产生的倍频带声功率级，dB；</w:t>
            </w:r>
          </w:p>
          <w:p w14:paraId="4D6C0FFA">
            <w:pPr>
              <w:keepNext w:val="0"/>
              <w:keepLines w:val="0"/>
              <w:suppressLineNumbers w:val="0"/>
              <w:adjustRightInd w:val="0"/>
              <w:snapToGrid w:val="0"/>
              <w:spacing w:before="0" w:beforeAutospacing="0" w:after="0" w:afterAutospacing="0" w:line="360" w:lineRule="auto"/>
              <w:ind w:left="0" w:right="0" w:firstLine="1200" w:firstLineChars="5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r——预测点距声源的距离。</w:t>
            </w:r>
          </w:p>
          <w:p w14:paraId="1C4F74F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噪声贡献值</w:t>
            </w:r>
            <w:r>
              <w:rPr>
                <w:rFonts w:hint="default" w:ascii="Times New Roman" w:hAnsi="Times New Roman" w:cs="Times New Roman"/>
                <w:color w:val="000000" w:themeColor="text1"/>
                <w:sz w:val="24"/>
                <w:szCs w:val="24"/>
                <w:highlight w:val="none"/>
                <w14:textFill>
                  <w14:solidFill>
                    <w14:schemeClr w14:val="tx1"/>
                  </w14:solidFill>
                </w14:textFill>
              </w:rPr>
              <w:t>计算公式</w:t>
            </w:r>
            <w:r>
              <w:rPr>
                <w:rFonts w:hint="default" w:ascii="Times New Roman" w:hAnsi="Times New Roman" w:cs="Times New Roman"/>
                <w:bCs/>
                <w:color w:val="000000" w:themeColor="text1"/>
                <w:sz w:val="24"/>
                <w:szCs w:val="24"/>
                <w:highlight w:val="none"/>
                <w14:textFill>
                  <w14:solidFill>
                    <w14:schemeClr w14:val="tx1"/>
                  </w14:solidFill>
                </w14:textFill>
              </w:rPr>
              <w:t>：</w:t>
            </w:r>
          </w:p>
          <w:p w14:paraId="690F5F9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position w:val="-34"/>
                <w:sz w:val="24"/>
                <w:szCs w:val="24"/>
                <w:highlight w:val="none"/>
                <w14:textFill>
                  <w14:solidFill>
                    <w14:schemeClr w14:val="tx1"/>
                  </w14:solidFill>
                </w14:textFill>
              </w:rPr>
              <w:object>
                <v:shape id="_x0000_i1026" o:spt="75" type="#_x0000_t75" style="height:40.05pt;width:204.75pt;" o:ole="t" filled="f" o:preferrelative="t" stroked="f" coordsize="21600,21600">
                  <v:path/>
                  <v:fill on="f" focussize="0,0"/>
                  <v:stroke on="f" joinstyle="miter"/>
                  <v:imagedata r:id="rId29" o:title=""/>
                  <o:lock v:ext="edit" aspectratio="t"/>
                  <w10:wrap type="none"/>
                  <w10:anchorlock/>
                </v:shape>
                <o:OLEObject Type="Embed" ProgID="Equation.3" ShapeID="_x0000_i1026" DrawAspect="Content" ObjectID="_1468075726" r:id="rId28">
                  <o:LockedField>false</o:LockedField>
                </o:OLEObject>
              </w:object>
            </w:r>
          </w:p>
          <w:p w14:paraId="327CB42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式中：L</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eqg</w:t>
            </w:r>
            <w:r>
              <w:rPr>
                <w:rFonts w:hint="default" w:ascii="Times New Roman" w:hAnsi="Times New Roman" w:cs="Times New Roman"/>
                <w:color w:val="000000" w:themeColor="text1"/>
                <w:sz w:val="24"/>
                <w:szCs w:val="24"/>
                <w:highlight w:val="none"/>
                <w14:textFill>
                  <w14:solidFill>
                    <w14:schemeClr w14:val="tx1"/>
                  </w14:solidFill>
                </w14:textFill>
              </w:rPr>
              <w:t>——建设项目声源在预测点产生的噪声贡献值，dB；</w:t>
            </w:r>
          </w:p>
          <w:p w14:paraId="3C29A4EC">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T——用于计算等效声级的时间，s；</w:t>
            </w:r>
          </w:p>
          <w:p w14:paraId="6050FE2A">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N——室外声源个数；</w:t>
            </w:r>
          </w:p>
          <w:p w14:paraId="1F535377">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t</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cs="Times New Roman"/>
                <w:color w:val="000000" w:themeColor="text1"/>
                <w:sz w:val="24"/>
                <w:szCs w:val="24"/>
                <w:highlight w:val="none"/>
                <w14:textFill>
                  <w14:solidFill>
                    <w14:schemeClr w14:val="tx1"/>
                  </w14:solidFill>
                </w14:textFill>
              </w:rPr>
              <w:t>——在T时间内i声源工作时间，s；</w:t>
            </w:r>
          </w:p>
          <w:p w14:paraId="2CC46655">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M——等效室外声源个数；</w:t>
            </w:r>
          </w:p>
          <w:p w14:paraId="320D995E">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t</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j</w:t>
            </w:r>
            <w:r>
              <w:rPr>
                <w:rFonts w:hint="default" w:ascii="Times New Roman" w:hAnsi="Times New Roman" w:cs="Times New Roman"/>
                <w:color w:val="000000" w:themeColor="text1"/>
                <w:sz w:val="24"/>
                <w:szCs w:val="24"/>
                <w:highlight w:val="none"/>
                <w14:textFill>
                  <w14:solidFill>
                    <w14:schemeClr w14:val="tx1"/>
                  </w14:solidFill>
                </w14:textFill>
              </w:rPr>
              <w:t>——在T时间内j声源工作时间，s。</w:t>
            </w:r>
          </w:p>
          <w:p w14:paraId="3DCA35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噪声预测按照《环境影响评价技术导则 声环境》（HJ2.4-2021）进行，按主要噪声源即生产设备同时运行的不利工况进行预测分析。根据总图布置，采用噪声叠加公式和点声源噪声衰减模式预测经采取治理措施后到厂界的贡献值，并判断是否达标。预测结果见下表。</w:t>
            </w:r>
          </w:p>
          <w:p w14:paraId="6B059136">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表4-</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噪声源源强核算结果及相关参数一览表</w:t>
            </w:r>
          </w:p>
          <w:tbl>
            <w:tblPr>
              <w:tblStyle w:val="20"/>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910"/>
              <w:gridCol w:w="591"/>
              <w:gridCol w:w="566"/>
              <w:gridCol w:w="566"/>
              <w:gridCol w:w="566"/>
              <w:gridCol w:w="1667"/>
              <w:gridCol w:w="2249"/>
              <w:gridCol w:w="1085"/>
            </w:tblGrid>
            <w:tr w14:paraId="268513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tcBorders>
                    <w:tl2br w:val="nil"/>
                    <w:tr2bl w:val="nil"/>
                  </w:tcBorders>
                  <w:noWrap w:val="0"/>
                  <w:vAlign w:val="center"/>
                </w:tcPr>
                <w:p w14:paraId="2BA57DFC">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none"/>
                      <w:lang w:val="en-US" w:eastAsia="zh-CN"/>
                      <w14:textFill>
                        <w14:solidFill>
                          <w14:schemeClr w14:val="tx1"/>
                        </w14:solidFill>
                      </w14:textFill>
                    </w:rPr>
                    <w:t>序号</w:t>
                  </w:r>
                </w:p>
              </w:tc>
              <w:tc>
                <w:tcPr>
                  <w:tcW w:w="0" w:type="auto"/>
                  <w:vMerge w:val="restart"/>
                  <w:tcBorders>
                    <w:tl2br w:val="nil"/>
                    <w:tr2bl w:val="nil"/>
                  </w:tcBorders>
                  <w:noWrap w:val="0"/>
                  <w:vAlign w:val="center"/>
                </w:tcPr>
                <w:p w14:paraId="6EDA153C">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声源名称</w:t>
                  </w:r>
                </w:p>
              </w:tc>
              <w:tc>
                <w:tcPr>
                  <w:tcW w:w="0" w:type="auto"/>
                  <w:vMerge w:val="restart"/>
                  <w:tcBorders>
                    <w:tl2br w:val="nil"/>
                    <w:tr2bl w:val="nil"/>
                  </w:tcBorders>
                  <w:noWrap w:val="0"/>
                  <w:vAlign w:val="center"/>
                </w:tcPr>
                <w:p w14:paraId="1C72FE16">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型号</w:t>
                  </w:r>
                </w:p>
              </w:tc>
              <w:tc>
                <w:tcPr>
                  <w:tcW w:w="0" w:type="auto"/>
                  <w:gridSpan w:val="3"/>
                  <w:tcBorders>
                    <w:tl2br w:val="nil"/>
                    <w:tr2bl w:val="nil"/>
                  </w:tcBorders>
                  <w:noWrap w:val="0"/>
                  <w:vAlign w:val="center"/>
                </w:tcPr>
                <w:p w14:paraId="419A3922">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空间相对位置/m</w:t>
                  </w:r>
                </w:p>
              </w:tc>
              <w:tc>
                <w:tcPr>
                  <w:tcW w:w="0" w:type="auto"/>
                  <w:tcBorders>
                    <w:tl2br w:val="nil"/>
                    <w:tr2bl w:val="nil"/>
                  </w:tcBorders>
                  <w:noWrap w:val="0"/>
                  <w:vAlign w:val="center"/>
                </w:tcPr>
                <w:p w14:paraId="20C98122">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声源源强</w:t>
                  </w:r>
                </w:p>
              </w:tc>
              <w:tc>
                <w:tcPr>
                  <w:tcW w:w="0" w:type="auto"/>
                  <w:vMerge w:val="restart"/>
                  <w:tcBorders>
                    <w:tl2br w:val="nil"/>
                    <w:tr2bl w:val="nil"/>
                  </w:tcBorders>
                  <w:noWrap w:val="0"/>
                  <w:vAlign w:val="center"/>
                </w:tcPr>
                <w:p w14:paraId="438B036F">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none"/>
                      <w:lang w:val="en-US" w:eastAsia="zh-CN"/>
                      <w14:textFill>
                        <w14:solidFill>
                          <w14:schemeClr w14:val="tx1"/>
                        </w14:solidFill>
                      </w14:textFill>
                    </w:rPr>
                    <w:t>声源控制措施</w:t>
                  </w:r>
                </w:p>
              </w:tc>
              <w:tc>
                <w:tcPr>
                  <w:tcW w:w="0" w:type="auto"/>
                  <w:vMerge w:val="restart"/>
                  <w:tcBorders>
                    <w:tl2br w:val="nil"/>
                    <w:tr2bl w:val="nil"/>
                  </w:tcBorders>
                  <w:noWrap w:val="0"/>
                  <w:vAlign w:val="center"/>
                </w:tcPr>
                <w:p w14:paraId="55FF8044">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cs="Times New Roman"/>
                      <w:color w:val="000000" w:themeColor="text1"/>
                      <w:kern w:val="0"/>
                      <w:sz w:val="21"/>
                      <w:szCs w:val="21"/>
                      <w:highlight w:val="none"/>
                      <w:u w:val="none"/>
                      <w14:textFill>
                        <w14:solidFill>
                          <w14:schemeClr w14:val="tx1"/>
                        </w14:solidFill>
                      </w14:textFill>
                    </w:rPr>
                    <w:t>持续时间/h</w:t>
                  </w:r>
                </w:p>
              </w:tc>
            </w:tr>
            <w:tr w14:paraId="4DFB57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noWrap w:val="0"/>
                  <w:vAlign w:val="center"/>
                </w:tcPr>
                <w:p w14:paraId="73C0890D">
                  <w:pPr>
                    <w:keepNext w:val="0"/>
                    <w:keepLines w:val="0"/>
                    <w:pageBreakBefore w:val="0"/>
                    <w:widowControl/>
                    <w:kinsoku/>
                    <w:wordWrap/>
                    <w:overflowPunct/>
                    <w:topLinePunct w:val="0"/>
                    <w:autoSpaceDE/>
                    <w:autoSpaceDN/>
                    <w:bidi w:val="0"/>
                    <w:snapToGrid/>
                    <w:ind w:left="0" w:leftChars="0" w:right="0" w:rightChars="0"/>
                    <w:jc w:val="left"/>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0" w:type="auto"/>
                  <w:vMerge w:val="continue"/>
                  <w:tcBorders>
                    <w:tl2br w:val="nil"/>
                    <w:tr2bl w:val="nil"/>
                  </w:tcBorders>
                  <w:noWrap w:val="0"/>
                  <w:vAlign w:val="center"/>
                </w:tcPr>
                <w:p w14:paraId="7C2C063C">
                  <w:pPr>
                    <w:keepNext w:val="0"/>
                    <w:keepLines w:val="0"/>
                    <w:pageBreakBefore w:val="0"/>
                    <w:widowControl/>
                    <w:kinsoku/>
                    <w:wordWrap/>
                    <w:overflowPunct/>
                    <w:topLinePunct w:val="0"/>
                    <w:autoSpaceDE/>
                    <w:autoSpaceDN/>
                    <w:bidi w:val="0"/>
                    <w:snapToGrid/>
                    <w:ind w:left="0" w:leftChars="0" w:right="0" w:rightChars="0"/>
                    <w:jc w:val="left"/>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0" w:type="auto"/>
                  <w:vMerge w:val="continue"/>
                  <w:tcBorders>
                    <w:tl2br w:val="nil"/>
                    <w:tr2bl w:val="nil"/>
                  </w:tcBorders>
                  <w:noWrap w:val="0"/>
                  <w:vAlign w:val="center"/>
                </w:tcPr>
                <w:p w14:paraId="113D0540">
                  <w:pPr>
                    <w:keepNext w:val="0"/>
                    <w:keepLines w:val="0"/>
                    <w:pageBreakBefore w:val="0"/>
                    <w:widowControl/>
                    <w:kinsoku/>
                    <w:wordWrap/>
                    <w:overflowPunct/>
                    <w:topLinePunct w:val="0"/>
                    <w:autoSpaceDE/>
                    <w:autoSpaceDN/>
                    <w:bidi w:val="0"/>
                    <w:snapToGrid/>
                    <w:ind w:left="0" w:leftChars="0" w:right="0" w:rightChars="0"/>
                    <w:jc w:val="left"/>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0" w:type="auto"/>
                  <w:tcBorders>
                    <w:tl2br w:val="nil"/>
                    <w:tr2bl w:val="nil"/>
                  </w:tcBorders>
                  <w:noWrap w:val="0"/>
                  <w:vAlign w:val="center"/>
                </w:tcPr>
                <w:p w14:paraId="60D7D2FD">
                  <w:pPr>
                    <w:keepNext w:val="0"/>
                    <w:keepLines w:val="0"/>
                    <w:pageBreakBefore w:val="0"/>
                    <w:widowControl/>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X</w:t>
                  </w:r>
                </w:p>
              </w:tc>
              <w:tc>
                <w:tcPr>
                  <w:tcW w:w="0" w:type="auto"/>
                  <w:tcBorders>
                    <w:tl2br w:val="nil"/>
                    <w:tr2bl w:val="nil"/>
                  </w:tcBorders>
                  <w:noWrap w:val="0"/>
                  <w:vAlign w:val="center"/>
                </w:tcPr>
                <w:p w14:paraId="0A86D87B">
                  <w:pPr>
                    <w:keepNext w:val="0"/>
                    <w:keepLines w:val="0"/>
                    <w:pageBreakBefore w:val="0"/>
                    <w:widowControl/>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Y</w:t>
                  </w:r>
                </w:p>
              </w:tc>
              <w:tc>
                <w:tcPr>
                  <w:tcW w:w="0" w:type="auto"/>
                  <w:tcBorders>
                    <w:tl2br w:val="nil"/>
                    <w:tr2bl w:val="nil"/>
                  </w:tcBorders>
                  <w:noWrap w:val="0"/>
                  <w:vAlign w:val="center"/>
                </w:tcPr>
                <w:p w14:paraId="2CE2EA5F">
                  <w:pPr>
                    <w:keepNext w:val="0"/>
                    <w:keepLines w:val="0"/>
                    <w:pageBreakBefore w:val="0"/>
                    <w:widowControl/>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Z</w:t>
                  </w:r>
                </w:p>
              </w:tc>
              <w:tc>
                <w:tcPr>
                  <w:tcW w:w="0" w:type="auto"/>
                  <w:tcBorders>
                    <w:tl2br w:val="nil"/>
                    <w:tr2bl w:val="nil"/>
                  </w:tcBorders>
                  <w:noWrap w:val="0"/>
                  <w:vAlign w:val="center"/>
                </w:tcPr>
                <w:p w14:paraId="503264F9">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none"/>
                      <w:lang w:val="en-US" w:eastAsia="zh-CN"/>
                      <w14:textFill>
                        <w14:solidFill>
                          <w14:schemeClr w14:val="tx1"/>
                        </w14:solidFill>
                      </w14:textFill>
                    </w:rPr>
                    <w:t>声功率级/dB（A）</w:t>
                  </w:r>
                </w:p>
              </w:tc>
              <w:tc>
                <w:tcPr>
                  <w:tcW w:w="0" w:type="auto"/>
                  <w:vMerge w:val="continue"/>
                  <w:tcBorders>
                    <w:tl2br w:val="nil"/>
                    <w:tr2bl w:val="nil"/>
                  </w:tcBorders>
                  <w:noWrap w:val="0"/>
                  <w:vAlign w:val="center"/>
                </w:tcPr>
                <w:p w14:paraId="5305B2CD">
                  <w:pPr>
                    <w:keepNext w:val="0"/>
                    <w:keepLines w:val="0"/>
                    <w:pageBreakBefore w:val="0"/>
                    <w:kinsoku/>
                    <w:wordWrap/>
                    <w:overflowPunct/>
                    <w:topLinePunct w:val="0"/>
                    <w:autoSpaceDE/>
                    <w:autoSpaceDN/>
                    <w:bidi w:val="0"/>
                    <w:snapToGrid/>
                    <w:ind w:left="0" w:leftChars="0" w:right="0" w:rightChars="0"/>
                    <w:jc w:val="center"/>
                    <w:rPr>
                      <w:rFonts w:hint="default" w:ascii="Times New Roman" w:hAnsi="Times New Roman" w:cs="Times New Roman"/>
                      <w:color w:val="000000" w:themeColor="text1"/>
                      <w:sz w:val="21"/>
                      <w:szCs w:val="21"/>
                      <w:highlight w:val="none"/>
                      <w:u w:val="none"/>
                      <w14:textFill>
                        <w14:solidFill>
                          <w14:schemeClr w14:val="tx1"/>
                        </w14:solidFill>
                      </w14:textFill>
                    </w:rPr>
                  </w:pPr>
                </w:p>
              </w:tc>
              <w:tc>
                <w:tcPr>
                  <w:tcW w:w="0" w:type="auto"/>
                  <w:vMerge w:val="continue"/>
                  <w:tcBorders>
                    <w:tl2br w:val="nil"/>
                    <w:tr2bl w:val="nil"/>
                  </w:tcBorders>
                  <w:noWrap w:val="0"/>
                  <w:vAlign w:val="center"/>
                </w:tcPr>
                <w:p w14:paraId="6EE44BC4">
                  <w:pPr>
                    <w:keepNext w:val="0"/>
                    <w:keepLines w:val="0"/>
                    <w:pageBreakBefore w:val="0"/>
                    <w:widowControl/>
                    <w:kinsoku/>
                    <w:wordWrap/>
                    <w:overflowPunct/>
                    <w:topLinePunct w:val="0"/>
                    <w:autoSpaceDE/>
                    <w:autoSpaceDN/>
                    <w:bidi w:val="0"/>
                    <w:snapToGrid/>
                    <w:ind w:left="0" w:leftChars="0" w:right="0" w:rightChars="0"/>
                    <w:jc w:val="left"/>
                    <w:rPr>
                      <w:rFonts w:hint="default" w:ascii="Times New Roman" w:hAnsi="Times New Roman" w:cs="Times New Roman"/>
                      <w:color w:val="000000" w:themeColor="text1"/>
                      <w:kern w:val="0"/>
                      <w:sz w:val="21"/>
                      <w:szCs w:val="21"/>
                      <w:highlight w:val="none"/>
                      <w:u w:val="none"/>
                      <w14:textFill>
                        <w14:solidFill>
                          <w14:schemeClr w14:val="tx1"/>
                        </w14:solidFill>
                      </w14:textFill>
                    </w:rPr>
                  </w:pPr>
                </w:p>
              </w:tc>
            </w:tr>
            <w:tr w14:paraId="15F7CA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noWrap w:val="0"/>
                  <w:vAlign w:val="center"/>
                </w:tcPr>
                <w:p w14:paraId="63A84E60">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1</w:t>
                  </w:r>
                </w:p>
              </w:tc>
              <w:tc>
                <w:tcPr>
                  <w:tcW w:w="0" w:type="auto"/>
                  <w:tcBorders>
                    <w:tl2br w:val="nil"/>
                    <w:tr2bl w:val="nil"/>
                  </w:tcBorders>
                  <w:noWrap w:val="0"/>
                  <w:vAlign w:val="center"/>
                </w:tcPr>
                <w:p w14:paraId="129C737C">
                  <w:pPr>
                    <w:jc w:val="center"/>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铲车</w:t>
                  </w:r>
                </w:p>
              </w:tc>
              <w:tc>
                <w:tcPr>
                  <w:tcW w:w="0" w:type="auto"/>
                  <w:tcBorders>
                    <w:tl2br w:val="nil"/>
                    <w:tr2bl w:val="nil"/>
                  </w:tcBorders>
                  <w:noWrap w:val="0"/>
                  <w:vAlign w:val="center"/>
                </w:tcPr>
                <w:p w14:paraId="645635FC">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73E631FD">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7A586183">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1DB08499">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369D8B57">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80</w:t>
                  </w:r>
                </w:p>
              </w:tc>
              <w:tc>
                <w:tcPr>
                  <w:tcW w:w="2249" w:type="dxa"/>
                  <w:vMerge w:val="restart"/>
                  <w:tcBorders>
                    <w:tl2br w:val="nil"/>
                    <w:tr2bl w:val="nil"/>
                  </w:tcBorders>
                  <w:noWrap w:val="0"/>
                  <w:vAlign w:val="center"/>
                </w:tcPr>
                <w:p w14:paraId="5513CBD2">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低噪设备、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加强维护、减速</w:t>
                  </w:r>
                </w:p>
              </w:tc>
              <w:tc>
                <w:tcPr>
                  <w:tcW w:w="1085" w:type="dxa"/>
                  <w:vMerge w:val="restart"/>
                  <w:tcBorders>
                    <w:tl2br w:val="nil"/>
                    <w:tr2bl w:val="nil"/>
                  </w:tcBorders>
                  <w:noWrap w:val="0"/>
                  <w:vAlign w:val="center"/>
                </w:tcPr>
                <w:p w14:paraId="5EDA3EC0">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2400</w:t>
                  </w:r>
                </w:p>
              </w:tc>
            </w:tr>
            <w:tr w14:paraId="186880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noWrap w:val="0"/>
                  <w:vAlign w:val="center"/>
                </w:tcPr>
                <w:p w14:paraId="00834C4C">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2</w:t>
                  </w:r>
                </w:p>
              </w:tc>
              <w:tc>
                <w:tcPr>
                  <w:tcW w:w="0" w:type="auto"/>
                  <w:tcBorders>
                    <w:tl2br w:val="nil"/>
                    <w:tr2bl w:val="nil"/>
                  </w:tcBorders>
                  <w:noWrap w:val="0"/>
                  <w:vAlign w:val="center"/>
                </w:tcPr>
                <w:p w14:paraId="7F5DE12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铲车</w:t>
                  </w:r>
                </w:p>
              </w:tc>
              <w:tc>
                <w:tcPr>
                  <w:tcW w:w="0" w:type="auto"/>
                  <w:tcBorders>
                    <w:tl2br w:val="nil"/>
                    <w:tr2bl w:val="nil"/>
                  </w:tcBorders>
                  <w:noWrap w:val="0"/>
                  <w:vAlign w:val="center"/>
                </w:tcPr>
                <w:p w14:paraId="5D8B28F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1CE573A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117AF3F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516EC75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2CD58FCB">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80</w:t>
                  </w:r>
                </w:p>
              </w:tc>
              <w:tc>
                <w:tcPr>
                  <w:tcW w:w="2249" w:type="dxa"/>
                  <w:vMerge w:val="continue"/>
                  <w:tcBorders>
                    <w:tl2br w:val="nil"/>
                    <w:tr2bl w:val="nil"/>
                  </w:tcBorders>
                  <w:noWrap w:val="0"/>
                  <w:vAlign w:val="center"/>
                </w:tcPr>
                <w:p w14:paraId="0239EAF9">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p>
              </w:tc>
              <w:tc>
                <w:tcPr>
                  <w:tcW w:w="1085" w:type="dxa"/>
                  <w:vMerge w:val="continue"/>
                  <w:tcBorders>
                    <w:tl2br w:val="nil"/>
                    <w:tr2bl w:val="nil"/>
                  </w:tcBorders>
                  <w:noWrap w:val="0"/>
                  <w:vAlign w:val="center"/>
                </w:tcPr>
                <w:p w14:paraId="261B7969">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r>
            <w:tr w14:paraId="58F7C6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noWrap w:val="0"/>
                  <w:vAlign w:val="center"/>
                </w:tcPr>
                <w:p w14:paraId="17B68248">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3</w:t>
                  </w:r>
                </w:p>
              </w:tc>
              <w:tc>
                <w:tcPr>
                  <w:tcW w:w="0" w:type="auto"/>
                  <w:tcBorders>
                    <w:tl2br w:val="nil"/>
                    <w:tr2bl w:val="nil"/>
                  </w:tcBorders>
                  <w:noWrap w:val="0"/>
                  <w:vAlign w:val="center"/>
                </w:tcPr>
                <w:p w14:paraId="17CEE81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洒水车</w:t>
                  </w:r>
                </w:p>
              </w:tc>
              <w:tc>
                <w:tcPr>
                  <w:tcW w:w="0" w:type="auto"/>
                  <w:tcBorders>
                    <w:tl2br w:val="nil"/>
                    <w:tr2bl w:val="nil"/>
                  </w:tcBorders>
                  <w:noWrap w:val="0"/>
                  <w:vAlign w:val="center"/>
                </w:tcPr>
                <w:p w14:paraId="678B745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3C274AB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3A40F3A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2F3E696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3EF6BD79">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70</w:t>
                  </w:r>
                </w:p>
              </w:tc>
              <w:tc>
                <w:tcPr>
                  <w:tcW w:w="2249" w:type="dxa"/>
                  <w:vMerge w:val="continue"/>
                  <w:tcBorders>
                    <w:tl2br w:val="nil"/>
                    <w:tr2bl w:val="nil"/>
                  </w:tcBorders>
                  <w:noWrap w:val="0"/>
                  <w:vAlign w:val="center"/>
                </w:tcPr>
                <w:p w14:paraId="7BC2A03A">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085" w:type="dxa"/>
                  <w:vMerge w:val="continue"/>
                  <w:tcBorders>
                    <w:tl2br w:val="nil"/>
                    <w:tr2bl w:val="nil"/>
                  </w:tcBorders>
                  <w:noWrap w:val="0"/>
                  <w:vAlign w:val="center"/>
                </w:tcPr>
                <w:p w14:paraId="741FCDCD">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r>
            <w:tr w14:paraId="41E55F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noWrap w:val="0"/>
                  <w:vAlign w:val="center"/>
                </w:tcPr>
                <w:p w14:paraId="498E2124">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4</w:t>
                  </w:r>
                </w:p>
              </w:tc>
              <w:tc>
                <w:tcPr>
                  <w:tcW w:w="0" w:type="auto"/>
                  <w:tcBorders>
                    <w:tl2br w:val="nil"/>
                    <w:tr2bl w:val="nil"/>
                  </w:tcBorders>
                  <w:noWrap w:val="0"/>
                  <w:vAlign w:val="center"/>
                </w:tcPr>
                <w:p w14:paraId="295BD19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洒水车</w:t>
                  </w:r>
                </w:p>
              </w:tc>
              <w:tc>
                <w:tcPr>
                  <w:tcW w:w="591" w:type="dxa"/>
                  <w:tcBorders>
                    <w:tl2br w:val="nil"/>
                    <w:tr2bl w:val="nil"/>
                  </w:tcBorders>
                  <w:noWrap w:val="0"/>
                  <w:vAlign w:val="center"/>
                </w:tcPr>
                <w:p w14:paraId="7DE056F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66" w:type="dxa"/>
                  <w:tcBorders>
                    <w:tl2br w:val="nil"/>
                    <w:tr2bl w:val="nil"/>
                  </w:tcBorders>
                  <w:noWrap w:val="0"/>
                  <w:vAlign w:val="center"/>
                </w:tcPr>
                <w:p w14:paraId="4B62132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66" w:type="dxa"/>
                  <w:tcBorders>
                    <w:tl2br w:val="nil"/>
                    <w:tr2bl w:val="nil"/>
                  </w:tcBorders>
                  <w:noWrap w:val="0"/>
                  <w:vAlign w:val="center"/>
                </w:tcPr>
                <w:p w14:paraId="63C981B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66" w:type="dxa"/>
                  <w:tcBorders>
                    <w:tl2br w:val="nil"/>
                    <w:tr2bl w:val="nil"/>
                  </w:tcBorders>
                  <w:noWrap w:val="0"/>
                  <w:vAlign w:val="center"/>
                </w:tcPr>
                <w:p w14:paraId="42580F8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579FAF91">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70</w:t>
                  </w:r>
                </w:p>
              </w:tc>
              <w:tc>
                <w:tcPr>
                  <w:tcW w:w="2249" w:type="dxa"/>
                  <w:vMerge w:val="continue"/>
                  <w:tcBorders>
                    <w:tl2br w:val="nil"/>
                    <w:tr2bl w:val="nil"/>
                  </w:tcBorders>
                  <w:noWrap w:val="0"/>
                  <w:vAlign w:val="center"/>
                </w:tcPr>
                <w:p w14:paraId="369578A2">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085" w:type="dxa"/>
                  <w:vMerge w:val="continue"/>
                  <w:tcBorders>
                    <w:tl2br w:val="nil"/>
                    <w:tr2bl w:val="nil"/>
                  </w:tcBorders>
                  <w:noWrap w:val="0"/>
                  <w:vAlign w:val="center"/>
                </w:tcPr>
                <w:p w14:paraId="23533401">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r>
            <w:tr w14:paraId="5DE26A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noWrap w:val="0"/>
                  <w:vAlign w:val="center"/>
                </w:tcPr>
                <w:p w14:paraId="7B4C7BEF">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5</w:t>
                  </w:r>
                </w:p>
              </w:tc>
              <w:tc>
                <w:tcPr>
                  <w:tcW w:w="0" w:type="auto"/>
                  <w:tcBorders>
                    <w:tl2br w:val="nil"/>
                    <w:tr2bl w:val="nil"/>
                  </w:tcBorders>
                  <w:noWrap w:val="0"/>
                  <w:vAlign w:val="center"/>
                </w:tcPr>
                <w:p w14:paraId="6953B76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水泵</w:t>
                  </w:r>
                </w:p>
              </w:tc>
              <w:tc>
                <w:tcPr>
                  <w:tcW w:w="591" w:type="dxa"/>
                  <w:tcBorders>
                    <w:tl2br w:val="nil"/>
                    <w:tr2bl w:val="nil"/>
                  </w:tcBorders>
                  <w:noWrap w:val="0"/>
                  <w:vAlign w:val="center"/>
                </w:tcPr>
                <w:p w14:paraId="157D214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66" w:type="dxa"/>
                  <w:tcBorders>
                    <w:tl2br w:val="nil"/>
                    <w:tr2bl w:val="nil"/>
                  </w:tcBorders>
                  <w:noWrap w:val="0"/>
                  <w:vAlign w:val="center"/>
                </w:tcPr>
                <w:p w14:paraId="2C11271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66" w:type="dxa"/>
                  <w:tcBorders>
                    <w:tl2br w:val="nil"/>
                    <w:tr2bl w:val="nil"/>
                  </w:tcBorders>
                  <w:noWrap w:val="0"/>
                  <w:vAlign w:val="center"/>
                </w:tcPr>
                <w:p w14:paraId="286E842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66" w:type="dxa"/>
                  <w:tcBorders>
                    <w:tl2br w:val="nil"/>
                    <w:tr2bl w:val="nil"/>
                  </w:tcBorders>
                  <w:noWrap w:val="0"/>
                  <w:vAlign w:val="center"/>
                </w:tcPr>
                <w:p w14:paraId="5FE16C2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tcBorders>
                    <w:tl2br w:val="nil"/>
                    <w:tr2bl w:val="nil"/>
                  </w:tcBorders>
                  <w:noWrap w:val="0"/>
                  <w:vAlign w:val="center"/>
                </w:tcPr>
                <w:p w14:paraId="6AADEBD8">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t>75</w:t>
                  </w:r>
                </w:p>
              </w:tc>
              <w:tc>
                <w:tcPr>
                  <w:tcW w:w="2249" w:type="dxa"/>
                  <w:vMerge w:val="continue"/>
                  <w:tcBorders>
                    <w:tl2br w:val="nil"/>
                    <w:tr2bl w:val="nil"/>
                  </w:tcBorders>
                  <w:noWrap w:val="0"/>
                  <w:vAlign w:val="center"/>
                </w:tcPr>
                <w:p w14:paraId="4CE6DA95">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c>
                <w:tcPr>
                  <w:tcW w:w="1085" w:type="dxa"/>
                  <w:vMerge w:val="continue"/>
                  <w:tcBorders>
                    <w:tl2br w:val="nil"/>
                    <w:tr2bl w:val="nil"/>
                  </w:tcBorders>
                  <w:noWrap w:val="0"/>
                  <w:vAlign w:val="center"/>
                </w:tcPr>
                <w:p w14:paraId="17D61C31">
                  <w:pPr>
                    <w:keepNext w:val="0"/>
                    <w:keepLines w:val="0"/>
                    <w:pageBreakBefore w:val="0"/>
                    <w:kinsoku/>
                    <w:wordWrap/>
                    <w:overflowPunct/>
                    <w:topLinePunct w:val="0"/>
                    <w:autoSpaceDE/>
                    <w:autoSpaceDN/>
                    <w:bidi w:val="0"/>
                    <w:snapToGrid/>
                    <w:ind w:left="0" w:leftChars="0" w:right="0" w:rightChars="0"/>
                    <w:jc w:val="center"/>
                    <w:textAlignment w:val="center"/>
                    <w:rPr>
                      <w:rFonts w:hint="default" w:ascii="Times New Roman" w:hAnsi="Times New Roman" w:cs="Times New Roman"/>
                      <w:color w:val="000000" w:themeColor="text1"/>
                      <w:sz w:val="21"/>
                      <w:szCs w:val="21"/>
                      <w:highlight w:val="none"/>
                      <w:u w:val="none"/>
                      <w:lang w:val="en-US" w:eastAsia="zh-CN"/>
                      <w14:textFill>
                        <w14:solidFill>
                          <w14:schemeClr w14:val="tx1"/>
                        </w14:solidFill>
                      </w14:textFill>
                    </w:rPr>
                  </w:pPr>
                </w:p>
              </w:tc>
            </w:tr>
          </w:tbl>
          <w:p w14:paraId="34100E33">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厂界噪声预测结果表    </w:t>
            </w:r>
          </w:p>
          <w:p w14:paraId="4ADB1002">
            <w:pPr>
              <w:adjustRightInd w:val="0"/>
              <w:snapToGrid w:val="0"/>
              <w:jc w:val="right"/>
              <w:rPr>
                <w:rFonts w:hint="default" w:ascii="Times New Roman" w:hAnsi="Times New Roman" w:eastAsia="宋体" w:cs="Times New Roman"/>
                <w:b/>
                <w:bCs w:val="0"/>
                <w:color w:val="000000" w:themeColor="text1"/>
                <w:spacing w:val="0"/>
                <w:kern w:val="2"/>
                <w:sz w:val="16"/>
                <w:szCs w:val="16"/>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pacing w:val="0"/>
                <w:kern w:val="2"/>
                <w:sz w:val="16"/>
                <w:szCs w:val="16"/>
                <w:highlight w:val="none"/>
                <w:lang w:val="en-US" w:eastAsia="zh-CN" w:bidi="ar-SA"/>
                <w14:textFill>
                  <w14:solidFill>
                    <w14:schemeClr w14:val="tx1"/>
                  </w14:solidFill>
                </w14:textFill>
              </w:rPr>
              <w:t>单位：Leq</w:t>
            </w:r>
            <w:r>
              <w:rPr>
                <w:rFonts w:hint="default" w:ascii="Times New Roman" w:hAnsi="Times New Roman" w:cs="Times New Roman"/>
                <w:b/>
                <w:bCs w:val="0"/>
                <w:color w:val="000000" w:themeColor="text1"/>
                <w:spacing w:val="0"/>
                <w:kern w:val="2"/>
                <w:sz w:val="16"/>
                <w:szCs w:val="16"/>
                <w:highlight w:val="none"/>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spacing w:val="0"/>
                <w:kern w:val="2"/>
                <w:sz w:val="16"/>
                <w:szCs w:val="16"/>
                <w:highlight w:val="none"/>
                <w:lang w:val="en-US" w:eastAsia="zh-CN" w:bidi="ar-SA"/>
                <w14:textFill>
                  <w14:solidFill>
                    <w14:schemeClr w14:val="tx1"/>
                  </w14:solidFill>
                </w14:textFill>
              </w:rPr>
              <w:t>dB</w:t>
            </w:r>
            <w:r>
              <w:rPr>
                <w:rFonts w:hint="default" w:ascii="Times New Roman" w:hAnsi="Times New Roman" w:cs="Times New Roman"/>
                <w:b/>
                <w:bCs w:val="0"/>
                <w:color w:val="000000" w:themeColor="text1"/>
                <w:spacing w:val="0"/>
                <w:kern w:val="2"/>
                <w:sz w:val="16"/>
                <w:szCs w:val="16"/>
                <w:highlight w:val="none"/>
                <w:lang w:val="en-US" w:eastAsia="zh-CN" w:bidi="ar-SA"/>
                <w14:textFill>
                  <w14:solidFill>
                    <w14:schemeClr w14:val="tx1"/>
                  </w14:solidFill>
                </w14:textFill>
              </w:rPr>
              <w:t>）</w:t>
            </w:r>
          </w:p>
          <w:tbl>
            <w:tblPr>
              <w:tblStyle w:val="20"/>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2271"/>
              <w:gridCol w:w="1621"/>
              <w:gridCol w:w="1622"/>
              <w:gridCol w:w="1622"/>
              <w:gridCol w:w="1646"/>
            </w:tblGrid>
            <w:tr w14:paraId="345C59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293" w:type="pct"/>
                  <w:tcBorders>
                    <w:tl2br w:val="nil"/>
                    <w:tr2bl w:val="nil"/>
                  </w:tcBorders>
                  <w:noWrap w:val="0"/>
                  <w:vAlign w:val="center"/>
                </w:tcPr>
                <w:p w14:paraId="0071F0B9">
                  <w:pPr>
                    <w:widowControl/>
                    <w:spacing w:line="0" w:lineRule="atLeas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位置</w:t>
                  </w:r>
                </w:p>
              </w:tc>
              <w:tc>
                <w:tcPr>
                  <w:tcW w:w="923" w:type="pct"/>
                  <w:tcBorders>
                    <w:tl2br w:val="nil"/>
                    <w:tr2bl w:val="nil"/>
                  </w:tcBorders>
                  <w:noWrap w:val="0"/>
                  <w:vAlign w:val="center"/>
                </w:tcPr>
                <w:p w14:paraId="06AE895E">
                  <w:pPr>
                    <w:widowControl/>
                    <w:spacing w:line="0" w:lineRule="atLeas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东侧</w:t>
                  </w:r>
                  <w:r>
                    <w:rPr>
                      <w:rFonts w:hint="default" w:ascii="Times New Roman" w:hAnsi="Times New Roman" w:cs="Times New Roman"/>
                      <w:color w:val="000000" w:themeColor="text1"/>
                      <w:sz w:val="21"/>
                      <w:szCs w:val="21"/>
                      <w:highlight w:val="none"/>
                      <w14:textFill>
                        <w14:solidFill>
                          <w14:schemeClr w14:val="tx1"/>
                        </w14:solidFill>
                      </w14:textFill>
                    </w:rPr>
                    <w:t>厂界</w:t>
                  </w:r>
                </w:p>
              </w:tc>
              <w:tc>
                <w:tcPr>
                  <w:tcW w:w="923" w:type="pct"/>
                  <w:tcBorders>
                    <w:tl2br w:val="nil"/>
                    <w:tr2bl w:val="nil"/>
                  </w:tcBorders>
                  <w:noWrap w:val="0"/>
                  <w:vAlign w:val="center"/>
                </w:tcPr>
                <w:p w14:paraId="1C79EAFC">
                  <w:pPr>
                    <w:widowControl/>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南侧厂界</w:t>
                  </w:r>
                </w:p>
              </w:tc>
              <w:tc>
                <w:tcPr>
                  <w:tcW w:w="923" w:type="pct"/>
                  <w:tcBorders>
                    <w:tl2br w:val="nil"/>
                    <w:tr2bl w:val="nil"/>
                  </w:tcBorders>
                  <w:noWrap w:val="0"/>
                  <w:vAlign w:val="center"/>
                </w:tcPr>
                <w:p w14:paraId="6A65D914">
                  <w:pPr>
                    <w:widowControl/>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西侧厂界</w:t>
                  </w:r>
                </w:p>
              </w:tc>
              <w:tc>
                <w:tcPr>
                  <w:tcW w:w="936" w:type="pct"/>
                  <w:tcBorders>
                    <w:tl2br w:val="nil"/>
                    <w:tr2bl w:val="nil"/>
                  </w:tcBorders>
                  <w:noWrap w:val="0"/>
                  <w:vAlign w:val="center"/>
                </w:tcPr>
                <w:p w14:paraId="7E24F527">
                  <w:pPr>
                    <w:widowControl/>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北侧厂界</w:t>
                  </w:r>
                </w:p>
              </w:tc>
            </w:tr>
            <w:tr w14:paraId="4203B4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293" w:type="pct"/>
                  <w:tcBorders>
                    <w:tl2br w:val="nil"/>
                    <w:tr2bl w:val="nil"/>
                  </w:tcBorders>
                  <w:noWrap w:val="0"/>
                  <w:vAlign w:val="center"/>
                </w:tcPr>
                <w:p w14:paraId="66A387B0">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贡献值</w:t>
                  </w:r>
                </w:p>
              </w:tc>
              <w:tc>
                <w:tcPr>
                  <w:tcW w:w="923" w:type="pct"/>
                  <w:tcBorders>
                    <w:tl2br w:val="nil"/>
                    <w:tr2bl w:val="nil"/>
                  </w:tcBorders>
                  <w:noWrap w:val="0"/>
                  <w:vAlign w:val="center"/>
                </w:tcPr>
                <w:p w14:paraId="532EFA79">
                  <w:pPr>
                    <w:widowControl/>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30.7</w:t>
                  </w:r>
                </w:p>
              </w:tc>
              <w:tc>
                <w:tcPr>
                  <w:tcW w:w="923" w:type="pct"/>
                  <w:tcBorders>
                    <w:tl2br w:val="nil"/>
                    <w:tr2bl w:val="nil"/>
                  </w:tcBorders>
                  <w:noWrap w:val="0"/>
                  <w:vAlign w:val="center"/>
                </w:tcPr>
                <w:p w14:paraId="4B4AF3A0">
                  <w:pPr>
                    <w:widowControl/>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37.0</w:t>
                  </w:r>
                </w:p>
              </w:tc>
              <w:tc>
                <w:tcPr>
                  <w:tcW w:w="923" w:type="pct"/>
                  <w:tcBorders>
                    <w:tl2br w:val="nil"/>
                    <w:tr2bl w:val="nil"/>
                  </w:tcBorders>
                  <w:noWrap w:val="0"/>
                  <w:vAlign w:val="center"/>
                </w:tcPr>
                <w:p w14:paraId="23989F6D">
                  <w:pPr>
                    <w:widowControl/>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30.6</w:t>
                  </w:r>
                </w:p>
              </w:tc>
              <w:tc>
                <w:tcPr>
                  <w:tcW w:w="936" w:type="pct"/>
                  <w:tcBorders>
                    <w:tl2br w:val="nil"/>
                    <w:tr2bl w:val="nil"/>
                  </w:tcBorders>
                  <w:noWrap w:val="0"/>
                  <w:vAlign w:val="center"/>
                </w:tcPr>
                <w:p w14:paraId="19195F99">
                  <w:pPr>
                    <w:widowControl/>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38.2</w:t>
                  </w:r>
                </w:p>
              </w:tc>
            </w:tr>
            <w:tr w14:paraId="771D9E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293" w:type="pct"/>
                  <w:tcBorders>
                    <w:tl2br w:val="nil"/>
                    <w:tr2bl w:val="nil"/>
                  </w:tcBorders>
                  <w:noWrap w:val="0"/>
                  <w:vAlign w:val="center"/>
                </w:tcPr>
                <w:p w14:paraId="263C37F3">
                  <w:pPr>
                    <w:widowControl/>
                    <w:spacing w:line="0" w:lineRule="atLeast"/>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标准值</w:t>
                  </w:r>
                </w:p>
              </w:tc>
              <w:tc>
                <w:tcPr>
                  <w:tcW w:w="3706" w:type="pct"/>
                  <w:gridSpan w:val="4"/>
                  <w:tcBorders>
                    <w:tl2br w:val="nil"/>
                    <w:tr2bl w:val="nil"/>
                  </w:tcBorders>
                  <w:noWrap w:val="0"/>
                  <w:vAlign w:val="center"/>
                </w:tcPr>
                <w:p w14:paraId="5D722C64">
                  <w:pPr>
                    <w:widowControl/>
                    <w:spacing w:line="0" w:lineRule="atLeast"/>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昼间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60</w:t>
                  </w:r>
                </w:p>
              </w:tc>
            </w:tr>
          </w:tbl>
          <w:p w14:paraId="35E840EF">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本项目的噪声主要为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铲车</w:t>
            </w:r>
            <w:r>
              <w:rPr>
                <w:rFonts w:hint="default" w:ascii="Times New Roman" w:hAnsi="Times New Roman" w:cs="Times New Roman"/>
                <w:bCs/>
                <w:color w:val="000000" w:themeColor="text1"/>
                <w:sz w:val="24"/>
                <w:highlight w:val="none"/>
                <w14:textFill>
                  <w14:solidFill>
                    <w14:schemeClr w14:val="tx1"/>
                  </w14:solidFill>
                </w14:textFill>
              </w:rPr>
              <w:t>、装卸车辆的噪声，在</w:t>
            </w:r>
            <w:r>
              <w:rPr>
                <w:rFonts w:hint="default" w:ascii="Times New Roman" w:hAnsi="Times New Roman" w:cs="Times New Roman"/>
                <w:bCs/>
                <w:color w:val="000000" w:themeColor="text1"/>
                <w:sz w:val="24"/>
                <w:highlight w:val="none"/>
                <w:lang w:val="en-US" w:eastAsia="zh-CN"/>
                <w14:textFill>
                  <w14:solidFill>
                    <w14:schemeClr w14:val="tx1"/>
                  </w14:solidFill>
                </w14:textFill>
              </w:rPr>
              <w:t>70</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80</w:t>
            </w:r>
            <w:r>
              <w:rPr>
                <w:rFonts w:hint="default" w:ascii="Times New Roman" w:hAnsi="Times New Roman" w:cs="Times New Roman"/>
                <w:bCs/>
                <w:color w:val="000000" w:themeColor="text1"/>
                <w:sz w:val="24"/>
                <w:highlight w:val="none"/>
                <w14:textFill>
                  <w14:solidFill>
                    <w14:schemeClr w14:val="tx1"/>
                  </w14:solidFill>
                </w14:textFill>
              </w:rPr>
              <w:t>dB</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A</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左右。</w:t>
            </w:r>
            <w:r>
              <w:rPr>
                <w:rFonts w:hint="default" w:ascii="Times New Roman" w:hAnsi="Times New Roman" w:cs="Times New Roman"/>
                <w:bCs/>
                <w:color w:val="000000" w:themeColor="text1"/>
                <w:sz w:val="24"/>
                <w:highlight w:val="none"/>
                <w:lang w:val="en-US" w:eastAsia="zh-CN"/>
                <w14:textFill>
                  <w14:solidFill>
                    <w14:schemeClr w14:val="tx1"/>
                  </w14:solidFill>
                </w14:textFill>
              </w:rPr>
              <w:t>车辆采用低噪声设备、加强车辆维护、厂区内限速，夜间不生产</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在采取以上</w:t>
            </w:r>
            <w:r>
              <w:rPr>
                <w:rFonts w:hint="default" w:ascii="Times New Roman" w:hAnsi="Times New Roman" w:cs="Times New Roman"/>
                <w:bCs/>
                <w:color w:val="000000" w:themeColor="text1"/>
                <w:sz w:val="24"/>
                <w:highlight w:val="none"/>
                <w14:textFill>
                  <w14:solidFill>
                    <w14:schemeClr w14:val="tx1"/>
                  </w14:solidFill>
                </w14:textFill>
              </w:rPr>
              <w:t>降噪措施后，项目厂界噪声满足《工业企业厂界环境噪声排放标准》（GB12348-2008）中2类标准，本项目对周围声环境影响较小。</w:t>
            </w:r>
          </w:p>
          <w:p w14:paraId="4AE3C9EA">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本项目运营期运输噪声主要表现为汽车运输对沿途村庄居民生活的影响，如发动机声、鸣笛声。运营期运输车辆车流量较小，且一般都是分开运行，极少同时运行，环评要求建设单位应加强调度管理，禁止夜间运输，运输车辆要减速行驶，禁止鸣笛。采取以上措施后，运输噪声对周围村庄影响较小。</w:t>
            </w:r>
          </w:p>
          <w:p w14:paraId="4102D087">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（2）监测要求</w:t>
            </w:r>
          </w:p>
          <w:p w14:paraId="52BD80A8">
            <w:pPr>
              <w:adjustRightInd w:val="0"/>
              <w:snapToGrid w:val="0"/>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根据《排污单位自行监测技术指南 总则》（HJ819-2017），噪声监测要求详见表4-</w:t>
            </w:r>
            <w:r>
              <w:rPr>
                <w:rFonts w:hint="default" w:ascii="Times New Roman" w:hAnsi="Times New Roman" w:cs="Times New Roman"/>
                <w:bCs/>
                <w:color w:val="000000" w:themeColor="text1"/>
                <w:sz w:val="24"/>
                <w:highlight w:val="none"/>
                <w:lang w:val="en-US" w:eastAsia="zh-CN"/>
                <w14:textFill>
                  <w14:solidFill>
                    <w14:schemeClr w14:val="tx1"/>
                  </w14:solidFill>
                </w14:textFill>
              </w:rPr>
              <w:t>6</w:t>
            </w:r>
            <w:r>
              <w:rPr>
                <w:rFonts w:hint="default" w:ascii="Times New Roman" w:hAnsi="Times New Roman" w:cs="Times New Roman"/>
                <w:bCs/>
                <w:color w:val="000000" w:themeColor="text1"/>
                <w:sz w:val="24"/>
                <w:highlight w:val="none"/>
                <w14:textFill>
                  <w14:solidFill>
                    <w14:schemeClr w14:val="tx1"/>
                  </w14:solidFill>
                </w14:textFill>
              </w:rPr>
              <w:t>。</w:t>
            </w:r>
          </w:p>
          <w:p w14:paraId="606FE424">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监测要求</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493"/>
              <w:gridCol w:w="1162"/>
              <w:gridCol w:w="1414"/>
              <w:gridCol w:w="3448"/>
            </w:tblGrid>
            <w:tr w14:paraId="3DA79D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center"/>
                </w:tcPr>
                <w:p w14:paraId="322321C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监测类别</w:t>
                  </w:r>
                </w:p>
              </w:tc>
              <w:tc>
                <w:tcPr>
                  <w:tcW w:w="1493" w:type="dxa"/>
                  <w:noWrap w:val="0"/>
                  <w:vAlign w:val="center"/>
                </w:tcPr>
                <w:p w14:paraId="1D7319ED">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监测点位</w:t>
                  </w:r>
                </w:p>
              </w:tc>
              <w:tc>
                <w:tcPr>
                  <w:tcW w:w="1162" w:type="dxa"/>
                  <w:noWrap w:val="0"/>
                  <w:vAlign w:val="center"/>
                </w:tcPr>
                <w:p w14:paraId="5F23202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监测指标</w:t>
                  </w:r>
                </w:p>
              </w:tc>
              <w:tc>
                <w:tcPr>
                  <w:tcW w:w="1414" w:type="dxa"/>
                  <w:noWrap w:val="0"/>
                  <w:vAlign w:val="center"/>
                </w:tcPr>
                <w:p w14:paraId="160DF77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监测频次</w:t>
                  </w:r>
                </w:p>
              </w:tc>
              <w:tc>
                <w:tcPr>
                  <w:tcW w:w="3448" w:type="dxa"/>
                  <w:noWrap w:val="0"/>
                  <w:vAlign w:val="center"/>
                </w:tcPr>
                <w:p w14:paraId="0DAE62AE">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执行标准</w:t>
                  </w:r>
                </w:p>
              </w:tc>
            </w:tr>
            <w:tr w14:paraId="4C61C5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center"/>
                </w:tcPr>
                <w:p w14:paraId="591E570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声环境</w:t>
                  </w:r>
                </w:p>
              </w:tc>
              <w:tc>
                <w:tcPr>
                  <w:tcW w:w="1493" w:type="dxa"/>
                  <w:noWrap w:val="0"/>
                  <w:vAlign w:val="center"/>
                </w:tcPr>
                <w:p w14:paraId="5B8EF6C5">
                  <w:pPr>
                    <w:adjustRightInd w:val="0"/>
                    <w:snapToGrid w:val="0"/>
                    <w:jc w:val="center"/>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储煤场</w:t>
                  </w:r>
                  <w:r>
                    <w:rPr>
                      <w:rFonts w:hint="default" w:ascii="Times New Roman" w:hAnsi="Times New Roman" w:cs="Times New Roman"/>
                      <w:bCs/>
                      <w:color w:val="000000" w:themeColor="text1"/>
                      <w:szCs w:val="21"/>
                      <w:highlight w:val="none"/>
                      <w14:textFill>
                        <w14:solidFill>
                          <w14:schemeClr w14:val="tx1"/>
                        </w14:solidFill>
                      </w14:textFill>
                    </w:rPr>
                    <w:t>四周外1m布设</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监测点</w:t>
                  </w:r>
                </w:p>
              </w:tc>
              <w:tc>
                <w:tcPr>
                  <w:tcW w:w="1162" w:type="dxa"/>
                  <w:noWrap w:val="0"/>
                  <w:vAlign w:val="center"/>
                </w:tcPr>
                <w:p w14:paraId="66EDF39E">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连续等效A声级</w:t>
                  </w:r>
                </w:p>
              </w:tc>
              <w:tc>
                <w:tcPr>
                  <w:tcW w:w="1414" w:type="dxa"/>
                  <w:noWrap w:val="0"/>
                  <w:vAlign w:val="center"/>
                </w:tcPr>
                <w:p w14:paraId="54C31A6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每季度开展1次昼</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间</w:t>
                  </w:r>
                  <w:r>
                    <w:rPr>
                      <w:rFonts w:hint="default" w:ascii="Times New Roman" w:hAnsi="Times New Roman" w:cs="Times New Roman"/>
                      <w:bCs/>
                      <w:color w:val="000000" w:themeColor="text1"/>
                      <w:szCs w:val="21"/>
                      <w:highlight w:val="none"/>
                      <w14:textFill>
                        <w14:solidFill>
                          <w14:schemeClr w14:val="tx1"/>
                        </w14:solidFill>
                      </w14:textFill>
                    </w:rPr>
                    <w:t>监测</w:t>
                  </w:r>
                </w:p>
              </w:tc>
              <w:tc>
                <w:tcPr>
                  <w:tcW w:w="3448" w:type="dxa"/>
                  <w:noWrap w:val="0"/>
                  <w:vAlign w:val="center"/>
                </w:tcPr>
                <w:p w14:paraId="203976B4">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边界噪声满足《工业企业厂界环境噪声排放标准》（GB12348-2008）中的2类声环境功能区排放限值</w:t>
                  </w:r>
                </w:p>
              </w:tc>
            </w:tr>
          </w:tbl>
          <w:p w14:paraId="266A1735">
            <w:pPr>
              <w:spacing w:line="360" w:lineRule="auto"/>
              <w:jc w:val="left"/>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4</w:t>
            </w:r>
            <w:r>
              <w:rPr>
                <w:rFonts w:hint="default" w:ascii="Times New Roman" w:hAnsi="Times New Roman" w:cs="Times New Roman"/>
                <w:b/>
                <w:color w:val="000000" w:themeColor="text1"/>
                <w:sz w:val="24"/>
                <w:highlight w:val="none"/>
                <w14:textFill>
                  <w14:solidFill>
                    <w14:schemeClr w14:val="tx1"/>
                  </w14:solidFill>
                </w14:textFill>
              </w:rPr>
              <w:t>、固体废物</w:t>
            </w:r>
          </w:p>
          <w:p w14:paraId="31A83E08">
            <w:pPr>
              <w:pStyle w:val="29"/>
              <w:spacing w:line="360" w:lineRule="auto"/>
              <w:ind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固体废物排放信息</w:t>
            </w:r>
          </w:p>
          <w:p w14:paraId="599CA093">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highlight w:val="none"/>
                <w14:textFill>
                  <w14:solidFill>
                    <w14:schemeClr w14:val="tx1"/>
                  </w14:solidFill>
                </w14:textFill>
              </w:rPr>
              <w:t>生活垃圾</w:t>
            </w:r>
          </w:p>
          <w:p w14:paraId="28923AD3">
            <w:pPr>
              <w:pStyle w:val="6"/>
              <w:spacing w:line="360" w:lineRule="auto"/>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本项目员工</w:t>
            </w:r>
            <w:r>
              <w:rPr>
                <w:rFonts w:hint="default" w:ascii="Times New Roman" w:hAnsi="Times New Roman" w:cs="Times New Roman"/>
                <w:color w:val="000000" w:themeColor="text1"/>
                <w:sz w:val="24"/>
                <w:highlight w:val="none"/>
                <w:lang w:val="en-US" w:eastAsia="zh-CN"/>
                <w14:textFill>
                  <w14:solidFill>
                    <w14:schemeClr w14:val="tx1"/>
                  </w14:solidFill>
                </w14:textFill>
              </w:rPr>
              <w:t>合计8</w:t>
            </w:r>
            <w:r>
              <w:rPr>
                <w:rFonts w:hint="default" w:ascii="Times New Roman" w:hAnsi="Times New Roman" w:cs="Times New Roman"/>
                <w:color w:val="000000" w:themeColor="text1"/>
                <w:sz w:val="24"/>
                <w:highlight w:val="none"/>
                <w14:textFill>
                  <w14:solidFill>
                    <w14:schemeClr w14:val="tx1"/>
                  </w14:solidFill>
                </w14:textFill>
              </w:rPr>
              <w:t>人，生活垃圾按照0.5kg/人•d计，生产天数为</w:t>
            </w:r>
            <w:r>
              <w:rPr>
                <w:rFonts w:hint="default" w:ascii="Times New Roman" w:hAnsi="Times New Roman" w:cs="Times New Roman"/>
                <w:color w:val="000000" w:themeColor="text1"/>
                <w:sz w:val="24"/>
                <w:highlight w:val="none"/>
                <w:lang w:val="en-US" w:eastAsia="zh-CN"/>
                <w14:textFill>
                  <w14:solidFill>
                    <w14:schemeClr w14:val="tx1"/>
                  </w14:solidFill>
                </w14:textFill>
              </w:rPr>
              <w:t>300</w:t>
            </w:r>
            <w:r>
              <w:rPr>
                <w:rFonts w:hint="default" w:ascii="Times New Roman" w:hAnsi="Times New Roman" w:cs="Times New Roman"/>
                <w:color w:val="000000" w:themeColor="text1"/>
                <w:sz w:val="24"/>
                <w:highlight w:val="none"/>
                <w14:textFill>
                  <w14:solidFill>
                    <w14:schemeClr w14:val="tx1"/>
                  </w14:solidFill>
                </w14:textFill>
              </w:rPr>
              <w:t>天，则产生的生活垃圾量为</w:t>
            </w:r>
            <w:r>
              <w:rPr>
                <w:rFonts w:hint="default" w:ascii="Times New Roman" w:hAnsi="Times New Roman" w:cs="Times New Roman"/>
                <w:color w:val="000000" w:themeColor="text1"/>
                <w:sz w:val="24"/>
                <w:highlight w:val="none"/>
                <w:lang w:val="en-US" w:eastAsia="zh-CN"/>
                <w14:textFill>
                  <w14:solidFill>
                    <w14:schemeClr w14:val="tx1"/>
                  </w14:solidFill>
                </w14:textFill>
              </w:rPr>
              <w:t>1.2</w:t>
            </w:r>
            <w:r>
              <w:rPr>
                <w:rFonts w:hint="default" w:ascii="Times New Roman" w:hAnsi="Times New Roman" w:cs="Times New Roman"/>
                <w:color w:val="000000" w:themeColor="text1"/>
                <w:sz w:val="24"/>
                <w:highlight w:val="none"/>
                <w14:textFill>
                  <w14:solidFill>
                    <w14:schemeClr w14:val="tx1"/>
                  </w14:solidFill>
                </w14:textFill>
              </w:rPr>
              <w:t>t/a，集中收集，由所在地环卫部门清运处理</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固体废物产生情况见表4-</w:t>
            </w:r>
            <w:r>
              <w:rPr>
                <w:rFonts w:hint="default" w:ascii="Times New Roman" w:hAnsi="Times New Roman" w:cs="Times New Roman"/>
                <w:color w:val="000000" w:themeColor="text1"/>
                <w:sz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highlight w:val="none"/>
                <w14:textFill>
                  <w14:solidFill>
                    <w14:schemeClr w14:val="tx1"/>
                  </w14:solidFill>
                </w14:textFill>
              </w:rPr>
              <w:t>。</w:t>
            </w:r>
          </w:p>
          <w:p w14:paraId="45C438BE">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2）雨水收集池沉渣</w:t>
            </w:r>
          </w:p>
          <w:p w14:paraId="1A566CB8">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项目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收集雨水</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经沉淀处理后循环使用，</w:t>
            </w:r>
            <w:r>
              <w:rPr>
                <w:rFonts w:hint="default" w:ascii="Times New Roman" w:hAnsi="Times New Roman" w:cs="Times New Roman"/>
                <w:bCs/>
                <w:color w:val="000000" w:themeColor="text1"/>
                <w:sz w:val="24"/>
                <w:highlight w:val="none"/>
                <w:lang w:eastAsia="zh-CN"/>
                <w14:textFill>
                  <w14:solidFill>
                    <w14:schemeClr w14:val="tx1"/>
                  </w14:solidFill>
                </w14:textFill>
              </w:rPr>
              <w:t>雨水收集池</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会产生少量的沉渣，主要为煤渣、</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沉渣等物质</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，沉渣的产生量约为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0.8</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t/a，定期清理后</w:t>
            </w:r>
            <w:r>
              <w:rPr>
                <w:rFonts w:hint="default" w:ascii="Times New Roman" w:hAnsi="Times New Roman" w:cs="Times New Roman"/>
                <w:bCs/>
                <w:color w:val="000000" w:themeColor="text1"/>
                <w:sz w:val="24"/>
                <w:highlight w:val="none"/>
                <w:lang w:val="en-US" w:eastAsia="zh-CN"/>
                <w14:textFill>
                  <w14:solidFill>
                    <w14:schemeClr w14:val="tx1"/>
                  </w14:solidFill>
                </w14:textFill>
              </w:rPr>
              <w:t>放置堆场一同外售利用</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p>
          <w:p w14:paraId="1935C86B">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）危险</w:t>
            </w:r>
            <w:r>
              <w:rPr>
                <w:rFonts w:hint="default" w:ascii="Times New Roman" w:hAnsi="Times New Roman" w:cs="Times New Roman"/>
                <w:bCs/>
                <w:color w:val="auto"/>
                <w:sz w:val="24"/>
                <w:highlight w:val="none"/>
                <w:lang w:val="en-US" w:eastAsia="zh-CN"/>
              </w:rPr>
              <w:t>废物</w:t>
            </w:r>
          </w:p>
          <w:p w14:paraId="5D86FB3D">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bCs/>
                <w:color w:val="auto"/>
                <w:sz w:val="24"/>
                <w:highlight w:val="none"/>
                <w:lang w:val="en-US" w:eastAsia="zh-CN"/>
              </w:rPr>
              <w:t>废机油、含油抹布手套等</w:t>
            </w:r>
            <w:r>
              <w:rPr>
                <w:rFonts w:hint="default" w:ascii="Times New Roman" w:hAnsi="Times New Roman" w:eastAsia="宋体" w:cs="Times New Roman"/>
                <w:bCs/>
                <w:color w:val="auto"/>
                <w:sz w:val="24"/>
                <w:highlight w:val="none"/>
                <w:lang w:val="en-US" w:eastAsia="zh-CN"/>
              </w:rPr>
              <w:t>统一储存在</w:t>
            </w:r>
            <w:r>
              <w:rPr>
                <w:rFonts w:hint="default" w:ascii="Times New Roman" w:hAnsi="Times New Roman" w:cs="Times New Roman"/>
                <w:bCs/>
                <w:color w:val="auto"/>
                <w:sz w:val="24"/>
                <w:highlight w:val="none"/>
                <w:lang w:val="en-US" w:eastAsia="zh-CN"/>
              </w:rPr>
              <w:t>危险废物贮存点</w:t>
            </w:r>
            <w:r>
              <w:rPr>
                <w:rFonts w:hint="default" w:ascii="Times New Roman" w:hAnsi="Times New Roman" w:eastAsia="宋体" w:cs="Times New Roman"/>
                <w:bCs/>
                <w:color w:val="auto"/>
                <w:sz w:val="24"/>
                <w:highlight w:val="none"/>
                <w:lang w:val="en-US" w:eastAsia="zh-CN"/>
              </w:rPr>
              <w:t>内</w:t>
            </w:r>
            <w:r>
              <w:rPr>
                <w:rFonts w:hint="default" w:ascii="Times New Roman" w:hAnsi="Times New Roman" w:cs="Times New Roman"/>
                <w:bCs/>
                <w:color w:val="auto"/>
                <w:sz w:val="24"/>
                <w:highlight w:val="none"/>
                <w:lang w:val="en-US" w:eastAsia="zh-CN"/>
              </w:rPr>
              <w:t>密闭废油桶、容器内</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产生量</w:t>
            </w:r>
            <w:r>
              <w:rPr>
                <w:rFonts w:hint="default" w:ascii="Times New Roman" w:hAnsi="Times New Roman" w:eastAsia="宋体" w:cs="Times New Roman"/>
                <w:bCs/>
                <w:color w:val="auto"/>
                <w:sz w:val="24"/>
                <w:highlight w:val="none"/>
                <w:lang w:val="en-US" w:eastAsia="zh-CN"/>
              </w:rPr>
              <w:t>0.0</w:t>
            </w:r>
            <w:r>
              <w:rPr>
                <w:rFonts w:hint="default" w:ascii="Times New Roman" w:hAnsi="Times New Roman"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t/a，集中收集后</w:t>
            </w:r>
            <w:r>
              <w:rPr>
                <w:rFonts w:hint="default" w:ascii="Times New Roman" w:hAnsi="Times New Roman" w:eastAsia="宋体" w:cs="Times New Roman"/>
                <w:bCs/>
                <w:color w:val="auto"/>
                <w:sz w:val="24"/>
                <w:highlight w:val="none"/>
                <w:lang w:eastAsia="zh-CN"/>
              </w:rPr>
              <w:t>，定期</w:t>
            </w:r>
            <w:r>
              <w:rPr>
                <w:rFonts w:hint="default" w:ascii="Times New Roman" w:hAnsi="Times New Roman" w:eastAsia="宋体" w:cs="Times New Roman"/>
                <w:bCs/>
                <w:color w:val="auto"/>
                <w:sz w:val="24"/>
                <w:highlight w:val="none"/>
                <w:lang w:val="en-US" w:eastAsia="zh-CN"/>
              </w:rPr>
              <w:t>交由有资质单位处理。</w:t>
            </w:r>
            <w:r>
              <w:rPr>
                <w:rFonts w:hint="default" w:ascii="Times New Roman" w:hAnsi="Times New Roman" w:cs="Times New Roman"/>
                <w:bCs/>
                <w:color w:val="auto"/>
                <w:sz w:val="24"/>
                <w:highlight w:val="none"/>
                <w:lang w:val="en-US" w:eastAsia="zh-CN"/>
              </w:rPr>
              <w:t>危险废物贮存点</w:t>
            </w:r>
            <w:r>
              <w:rPr>
                <w:rFonts w:hint="default" w:ascii="Times New Roman" w:hAnsi="Times New Roman" w:eastAsia="宋体" w:cs="Times New Roman"/>
                <w:bCs/>
                <w:color w:val="auto"/>
                <w:sz w:val="24"/>
                <w:highlight w:val="none"/>
                <w:lang w:val="en-US" w:eastAsia="zh-CN"/>
              </w:rPr>
              <w:t>必须地面与裙脚要用坚固、防渗的建筑材料建造，防渗层为至少2mm厚的防渗人工材料，防渗系数≤10</w:t>
            </w:r>
            <w:r>
              <w:rPr>
                <w:rFonts w:hint="default" w:ascii="Times New Roman" w:hAnsi="Times New Roman" w:eastAsia="宋体" w:cs="Times New Roman"/>
                <w:bCs/>
                <w:color w:val="auto"/>
                <w:sz w:val="24"/>
                <w:highlight w:val="none"/>
                <w:vertAlign w:val="superscript"/>
                <w:lang w:val="en-US" w:eastAsia="zh-CN"/>
              </w:rPr>
              <w:t>-</w:t>
            </w:r>
            <w:r>
              <w:rPr>
                <w:rFonts w:hint="default" w:ascii="Times New Roman" w:hAnsi="Times New Roman" w:cs="Times New Roman"/>
                <w:bCs/>
                <w:color w:val="auto"/>
                <w:sz w:val="24"/>
                <w:highlight w:val="none"/>
                <w:vertAlign w:val="superscript"/>
                <w:lang w:val="en-US" w:eastAsia="zh-CN"/>
              </w:rPr>
              <w:t>10</w:t>
            </w:r>
            <w:r>
              <w:rPr>
                <w:rFonts w:hint="default" w:ascii="Times New Roman" w:hAnsi="Times New Roman" w:eastAsia="宋体" w:cs="Times New Roman"/>
                <w:bCs/>
                <w:color w:val="auto"/>
                <w:sz w:val="24"/>
                <w:highlight w:val="none"/>
                <w:lang w:val="en-US" w:eastAsia="zh-CN"/>
              </w:rPr>
              <w:t>cm/s，危险废物须做好危险废物情况的记录、记录上须标明危险废物的名</w:t>
            </w:r>
            <w:r>
              <w:rPr>
                <w:rFonts w:hint="default" w:ascii="Times New Roman" w:hAnsi="Times New Roman" w:cs="Times New Roman"/>
                <w:color w:val="auto"/>
                <w:sz w:val="24"/>
                <w:szCs w:val="24"/>
                <w:highlight w:val="none"/>
                <w:lang w:val="en-US" w:eastAsia="zh-CN"/>
              </w:rPr>
              <w:t>称、来源、数量、入库时间、废物出库日期及接受单位名称。危险废物经过统一收集后再交给有资质的危险废物处置单位处理。</w:t>
            </w:r>
          </w:p>
          <w:p w14:paraId="1FDC4936">
            <w:pPr>
              <w:pStyle w:val="2"/>
              <w:ind w:firstLine="480" w:firstLineChars="20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auto"/>
                <w:kern w:val="0"/>
                <w:sz w:val="24"/>
                <w:szCs w:val="24"/>
                <w:highlight w:val="none"/>
                <w:lang w:val="en-US" w:eastAsia="zh-CN" w:bidi="ar-SA"/>
              </w:rPr>
              <w:t>采取上述措施后，运营期产生的固体废物可以得到有效处理处置，不会对周边环境产生危害性影响。</w:t>
            </w:r>
          </w:p>
          <w:p w14:paraId="3234AE29">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固体废物排放信息</w:t>
            </w:r>
          </w:p>
          <w:tbl>
            <w:tblPr>
              <w:tblStyle w:val="20"/>
              <w:tblW w:w="4993"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973"/>
              <w:gridCol w:w="1228"/>
              <w:gridCol w:w="1528"/>
              <w:gridCol w:w="875"/>
              <w:gridCol w:w="1237"/>
              <w:gridCol w:w="1312"/>
              <w:gridCol w:w="868"/>
            </w:tblGrid>
            <w:tr w14:paraId="35D88E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noWrap w:val="0"/>
                  <w:vAlign w:val="center"/>
                </w:tcPr>
                <w:p w14:paraId="3A068549">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产生环节</w:t>
                  </w:r>
                </w:p>
              </w:tc>
              <w:tc>
                <w:tcPr>
                  <w:tcW w:w="554" w:type="pct"/>
                  <w:noWrap w:val="0"/>
                  <w:vAlign w:val="center"/>
                </w:tcPr>
                <w:p w14:paraId="5482EE2B">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名称</w:t>
                  </w:r>
                </w:p>
              </w:tc>
              <w:tc>
                <w:tcPr>
                  <w:tcW w:w="699" w:type="pct"/>
                  <w:noWrap w:val="0"/>
                  <w:vAlign w:val="center"/>
                </w:tcPr>
                <w:p w14:paraId="04FE45F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性质</w:t>
                  </w:r>
                </w:p>
              </w:tc>
              <w:tc>
                <w:tcPr>
                  <w:tcW w:w="870" w:type="pct"/>
                  <w:noWrap w:val="0"/>
                  <w:vAlign w:val="center"/>
                </w:tcPr>
                <w:p w14:paraId="6285C3BD">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代码</w:t>
                  </w:r>
                </w:p>
              </w:tc>
              <w:tc>
                <w:tcPr>
                  <w:tcW w:w="498" w:type="pct"/>
                  <w:noWrap w:val="0"/>
                  <w:vAlign w:val="center"/>
                </w:tcPr>
                <w:p w14:paraId="5E07ED7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年产生量t/a</w:t>
                  </w:r>
                </w:p>
              </w:tc>
              <w:tc>
                <w:tcPr>
                  <w:tcW w:w="704" w:type="pct"/>
                  <w:noWrap w:val="0"/>
                  <w:vAlign w:val="center"/>
                </w:tcPr>
                <w:p w14:paraId="60D259B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贮存方式</w:t>
                  </w:r>
                </w:p>
              </w:tc>
              <w:tc>
                <w:tcPr>
                  <w:tcW w:w="747" w:type="pct"/>
                  <w:noWrap w:val="0"/>
                  <w:vAlign w:val="center"/>
                </w:tcPr>
                <w:p w14:paraId="4EE9FAEE">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处置方式和去向</w:t>
                  </w:r>
                </w:p>
              </w:tc>
              <w:tc>
                <w:tcPr>
                  <w:tcW w:w="494" w:type="pct"/>
                  <w:noWrap w:val="0"/>
                  <w:vAlign w:val="center"/>
                </w:tcPr>
                <w:p w14:paraId="2E3AAFC8">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处置或利用量t/a</w:t>
                  </w:r>
                </w:p>
              </w:tc>
            </w:tr>
            <w:tr w14:paraId="5FF152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29" w:type="pct"/>
                  <w:noWrap w:val="0"/>
                  <w:vAlign w:val="center"/>
                </w:tcPr>
                <w:p w14:paraId="26B1EC20">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日常生活</w:t>
                  </w:r>
                </w:p>
              </w:tc>
              <w:tc>
                <w:tcPr>
                  <w:tcW w:w="554" w:type="pct"/>
                  <w:noWrap w:val="0"/>
                  <w:vAlign w:val="center"/>
                </w:tcPr>
                <w:p w14:paraId="042E9118">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生活垃圾</w:t>
                  </w:r>
                </w:p>
              </w:tc>
              <w:tc>
                <w:tcPr>
                  <w:tcW w:w="699" w:type="pct"/>
                  <w:noWrap w:val="0"/>
                  <w:vAlign w:val="center"/>
                </w:tcPr>
                <w:p w14:paraId="2B3FA6C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一般固体废物</w:t>
                  </w:r>
                </w:p>
              </w:tc>
              <w:tc>
                <w:tcPr>
                  <w:tcW w:w="870" w:type="pct"/>
                  <w:noWrap w:val="0"/>
                  <w:vAlign w:val="center"/>
                </w:tcPr>
                <w:p w14:paraId="2E1FBB33">
                  <w:pPr>
                    <w:adjustRightInd w:val="0"/>
                    <w:snapToGrid w:val="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900-099-S64</w:t>
                  </w:r>
                </w:p>
              </w:tc>
              <w:tc>
                <w:tcPr>
                  <w:tcW w:w="498" w:type="pct"/>
                  <w:noWrap w:val="0"/>
                  <w:vAlign w:val="center"/>
                </w:tcPr>
                <w:p w14:paraId="26F1C3C7">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1.2</w:t>
                  </w:r>
                </w:p>
              </w:tc>
              <w:tc>
                <w:tcPr>
                  <w:tcW w:w="704" w:type="pct"/>
                  <w:noWrap w:val="0"/>
                  <w:vAlign w:val="center"/>
                </w:tcPr>
                <w:p w14:paraId="71B176AF">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垃圾箱</w:t>
                  </w:r>
                </w:p>
              </w:tc>
              <w:tc>
                <w:tcPr>
                  <w:tcW w:w="747" w:type="pct"/>
                  <w:noWrap w:val="0"/>
                  <w:vAlign w:val="center"/>
                </w:tcPr>
                <w:p w14:paraId="2DEEF267">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环卫部门</w:t>
                  </w:r>
                </w:p>
              </w:tc>
              <w:tc>
                <w:tcPr>
                  <w:tcW w:w="494" w:type="pct"/>
                  <w:noWrap w:val="0"/>
                  <w:vAlign w:val="center"/>
                </w:tcPr>
                <w:p w14:paraId="3C7925C7">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1.2</w:t>
                  </w:r>
                </w:p>
              </w:tc>
            </w:tr>
            <w:tr w14:paraId="3FA5E0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29" w:type="pct"/>
                  <w:noWrap w:val="0"/>
                  <w:vAlign w:val="center"/>
                </w:tcPr>
                <w:p w14:paraId="615218F5">
                  <w:pPr>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生产</w:t>
                  </w:r>
                </w:p>
              </w:tc>
              <w:tc>
                <w:tcPr>
                  <w:tcW w:w="554" w:type="pct"/>
                  <w:noWrap w:val="0"/>
                  <w:vAlign w:val="center"/>
                </w:tcPr>
                <w:p w14:paraId="7FE679B7">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沉渣</w:t>
                  </w:r>
                </w:p>
              </w:tc>
              <w:tc>
                <w:tcPr>
                  <w:tcW w:w="699" w:type="pct"/>
                  <w:noWrap w:val="0"/>
                  <w:vAlign w:val="center"/>
                </w:tcPr>
                <w:p w14:paraId="75F1B019">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一般固体废物</w:t>
                  </w:r>
                </w:p>
              </w:tc>
              <w:tc>
                <w:tcPr>
                  <w:tcW w:w="870" w:type="pct"/>
                  <w:noWrap w:val="0"/>
                  <w:vAlign w:val="center"/>
                </w:tcPr>
                <w:p w14:paraId="32D37351">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900-099-S07</w:t>
                  </w:r>
                </w:p>
              </w:tc>
              <w:tc>
                <w:tcPr>
                  <w:tcW w:w="498" w:type="pct"/>
                  <w:noWrap w:val="0"/>
                  <w:vAlign w:val="center"/>
                </w:tcPr>
                <w:p w14:paraId="737B468C">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0.8</w:t>
                  </w:r>
                </w:p>
              </w:tc>
              <w:tc>
                <w:tcPr>
                  <w:tcW w:w="704" w:type="pct"/>
                  <w:noWrap w:val="0"/>
                  <w:vAlign w:val="center"/>
                </w:tcPr>
                <w:p w14:paraId="1C5A694B">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c>
                <w:tcPr>
                  <w:tcW w:w="747" w:type="pct"/>
                  <w:noWrap w:val="0"/>
                  <w:vAlign w:val="center"/>
                </w:tcPr>
                <w:p w14:paraId="69FD818F">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外售综合利用</w:t>
                  </w:r>
                </w:p>
              </w:tc>
              <w:tc>
                <w:tcPr>
                  <w:tcW w:w="494" w:type="pct"/>
                  <w:noWrap w:val="0"/>
                  <w:vAlign w:val="center"/>
                </w:tcPr>
                <w:p w14:paraId="3C16E353">
                  <w:pPr>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0.8</w:t>
                  </w:r>
                </w:p>
              </w:tc>
            </w:tr>
            <w:tr w14:paraId="3EB0D2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29" w:type="pct"/>
                  <w:vMerge w:val="restart"/>
                  <w:noWrap w:val="0"/>
                  <w:vAlign w:val="center"/>
                </w:tcPr>
                <w:p w14:paraId="5F63D183">
                  <w:pPr>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维护</w:t>
                  </w:r>
                </w:p>
              </w:tc>
              <w:tc>
                <w:tcPr>
                  <w:tcW w:w="554" w:type="pct"/>
                  <w:noWrap w:val="0"/>
                  <w:vAlign w:val="center"/>
                </w:tcPr>
                <w:p w14:paraId="6519F956">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废机油</w:t>
                  </w:r>
                </w:p>
              </w:tc>
              <w:tc>
                <w:tcPr>
                  <w:tcW w:w="699" w:type="pct"/>
                  <w:noWrap w:val="0"/>
                  <w:vAlign w:val="center"/>
                </w:tcPr>
                <w:p w14:paraId="2C2CDFFF">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auto"/>
                      <w:szCs w:val="21"/>
                      <w:highlight w:val="none"/>
                      <w:lang w:val="en-US" w:eastAsia="zh-CN"/>
                    </w:rPr>
                    <w:t>危险废物</w:t>
                  </w:r>
                </w:p>
              </w:tc>
              <w:tc>
                <w:tcPr>
                  <w:tcW w:w="870" w:type="pct"/>
                  <w:noWrap w:val="0"/>
                  <w:vAlign w:val="center"/>
                </w:tcPr>
                <w:p w14:paraId="29C7F1C5">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900-217-08</w:t>
                  </w:r>
                </w:p>
              </w:tc>
              <w:tc>
                <w:tcPr>
                  <w:tcW w:w="498" w:type="pct"/>
                  <w:noWrap w:val="0"/>
                  <w:vAlign w:val="center"/>
                </w:tcPr>
                <w:p w14:paraId="1682C873">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0.01</w:t>
                  </w:r>
                </w:p>
              </w:tc>
              <w:tc>
                <w:tcPr>
                  <w:tcW w:w="704" w:type="pct"/>
                  <w:noWrap w:val="0"/>
                  <w:vAlign w:val="center"/>
                </w:tcPr>
                <w:p w14:paraId="76BBBCF1">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auto"/>
                      <w:szCs w:val="21"/>
                      <w:highlight w:val="none"/>
                      <w:lang w:val="en-US" w:eastAsia="zh-CN"/>
                    </w:rPr>
                    <w:t>暂存</w:t>
                  </w:r>
                  <w:r>
                    <w:rPr>
                      <w:rFonts w:hint="default" w:ascii="Times New Roman" w:hAnsi="Times New Roman" w:cs="Times New Roman"/>
                      <w:color w:val="auto"/>
                      <w:highlight w:val="none"/>
                      <w:lang w:val="en-US" w:eastAsia="zh-CN"/>
                    </w:rPr>
                    <w:t>危险废物贮存点</w:t>
                  </w:r>
                  <w:r>
                    <w:rPr>
                      <w:rFonts w:hint="default" w:ascii="Times New Roman" w:hAnsi="Times New Roman" w:eastAsia="宋体" w:cs="Times New Roman"/>
                      <w:bCs/>
                      <w:color w:val="auto"/>
                      <w:szCs w:val="21"/>
                      <w:highlight w:val="none"/>
                      <w:lang w:val="en-US" w:eastAsia="zh-CN"/>
                    </w:rPr>
                    <w:t>内</w:t>
                  </w:r>
                  <w:r>
                    <w:rPr>
                      <w:rFonts w:hint="default" w:ascii="Times New Roman" w:hAnsi="Times New Roman" w:cs="Times New Roman"/>
                      <w:bCs/>
                      <w:color w:val="auto"/>
                      <w:szCs w:val="21"/>
                      <w:highlight w:val="none"/>
                      <w:lang w:val="en-US" w:eastAsia="zh-CN"/>
                    </w:rPr>
                    <w:t>密闭废油桶</w:t>
                  </w:r>
                </w:p>
              </w:tc>
              <w:tc>
                <w:tcPr>
                  <w:tcW w:w="747" w:type="pct"/>
                  <w:vMerge w:val="restart"/>
                  <w:noWrap w:val="0"/>
                  <w:vAlign w:val="center"/>
                </w:tcPr>
                <w:p w14:paraId="4F1069D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auto"/>
                      <w:highlight w:val="none"/>
                    </w:rPr>
                    <w:t>委托有资质单位处置</w:t>
                  </w:r>
                </w:p>
              </w:tc>
              <w:tc>
                <w:tcPr>
                  <w:tcW w:w="494" w:type="pct"/>
                  <w:vMerge w:val="restart"/>
                  <w:noWrap w:val="0"/>
                  <w:vAlign w:val="center"/>
                </w:tcPr>
                <w:p w14:paraId="0E5FA8B5">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0.02</w:t>
                  </w:r>
                </w:p>
              </w:tc>
            </w:tr>
            <w:tr w14:paraId="65C3B7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29" w:type="pct"/>
                  <w:vMerge w:val="continue"/>
                  <w:noWrap w:val="0"/>
                  <w:vAlign w:val="center"/>
                </w:tcPr>
                <w:p w14:paraId="1E66A843">
                  <w:pPr>
                    <w:jc w:val="center"/>
                    <w:rPr>
                      <w:rFonts w:hint="default" w:ascii="Times New Roman" w:hAnsi="Times New Roman" w:cs="Times New Roman"/>
                      <w:highlight w:val="none"/>
                    </w:rPr>
                  </w:pPr>
                </w:p>
              </w:tc>
              <w:tc>
                <w:tcPr>
                  <w:tcW w:w="554" w:type="pct"/>
                  <w:noWrap w:val="0"/>
                  <w:vAlign w:val="center"/>
                </w:tcPr>
                <w:p w14:paraId="3514D88B">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废弃含油抹布手套</w:t>
                  </w:r>
                </w:p>
              </w:tc>
              <w:tc>
                <w:tcPr>
                  <w:tcW w:w="699" w:type="pct"/>
                  <w:noWrap w:val="0"/>
                  <w:vAlign w:val="center"/>
                </w:tcPr>
                <w:p w14:paraId="4466B501">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危险废物</w:t>
                  </w:r>
                </w:p>
              </w:tc>
              <w:tc>
                <w:tcPr>
                  <w:tcW w:w="870" w:type="pct"/>
                  <w:noWrap w:val="0"/>
                  <w:vAlign w:val="center"/>
                </w:tcPr>
                <w:p w14:paraId="3C55788C">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900-041-49</w:t>
                  </w:r>
                </w:p>
              </w:tc>
              <w:tc>
                <w:tcPr>
                  <w:tcW w:w="498" w:type="pct"/>
                  <w:noWrap w:val="0"/>
                  <w:vAlign w:val="center"/>
                </w:tcPr>
                <w:p w14:paraId="468995FA">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0.01</w:t>
                  </w:r>
                </w:p>
              </w:tc>
              <w:tc>
                <w:tcPr>
                  <w:tcW w:w="704" w:type="pct"/>
                  <w:noWrap w:val="0"/>
                  <w:vAlign w:val="center"/>
                </w:tcPr>
                <w:p w14:paraId="3DC65556">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auto"/>
                      <w:szCs w:val="21"/>
                      <w:highlight w:val="none"/>
                      <w:lang w:val="en-US" w:eastAsia="zh-CN"/>
                    </w:rPr>
                    <w:t>暂存</w:t>
                  </w:r>
                  <w:r>
                    <w:rPr>
                      <w:rFonts w:hint="default" w:ascii="Times New Roman" w:hAnsi="Times New Roman" w:cs="Times New Roman"/>
                      <w:color w:val="auto"/>
                      <w:highlight w:val="none"/>
                      <w:lang w:val="en-US" w:eastAsia="zh-CN"/>
                    </w:rPr>
                    <w:t>危险废物贮存点</w:t>
                  </w:r>
                  <w:r>
                    <w:rPr>
                      <w:rFonts w:hint="default" w:ascii="Times New Roman" w:hAnsi="Times New Roman" w:eastAsia="宋体" w:cs="Times New Roman"/>
                      <w:bCs/>
                      <w:color w:val="auto"/>
                      <w:szCs w:val="21"/>
                      <w:highlight w:val="none"/>
                      <w:lang w:val="en-US" w:eastAsia="zh-CN"/>
                    </w:rPr>
                    <w:t>内</w:t>
                  </w:r>
                  <w:r>
                    <w:rPr>
                      <w:rFonts w:hint="default" w:ascii="Times New Roman" w:hAnsi="Times New Roman" w:cs="Times New Roman"/>
                      <w:bCs/>
                      <w:color w:val="auto"/>
                      <w:szCs w:val="21"/>
                      <w:highlight w:val="none"/>
                      <w:lang w:val="en-US" w:eastAsia="zh-CN"/>
                    </w:rPr>
                    <w:t>密闭容器内</w:t>
                  </w:r>
                </w:p>
              </w:tc>
              <w:tc>
                <w:tcPr>
                  <w:tcW w:w="747" w:type="pct"/>
                  <w:vMerge w:val="continue"/>
                  <w:noWrap w:val="0"/>
                  <w:vAlign w:val="center"/>
                </w:tcPr>
                <w:p w14:paraId="72353FFE">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p>
              </w:tc>
              <w:tc>
                <w:tcPr>
                  <w:tcW w:w="494" w:type="pct"/>
                  <w:vMerge w:val="continue"/>
                  <w:noWrap w:val="0"/>
                  <w:vAlign w:val="center"/>
                </w:tcPr>
                <w:p w14:paraId="295EE84B">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p>
              </w:tc>
            </w:tr>
          </w:tbl>
          <w:p w14:paraId="4A30A68F">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（2）危险废物处置措施</w:t>
            </w:r>
          </w:p>
          <w:p w14:paraId="655DFD9A">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w:t>
            </w:r>
            <w:r>
              <w:rPr>
                <w:rFonts w:hint="default" w:ascii="Times New Roman" w:hAnsi="Times New Roman" w:cs="Times New Roman"/>
                <w:bCs/>
                <w:color w:val="auto"/>
                <w:sz w:val="24"/>
                <w:highlight w:val="none"/>
                <w:lang w:val="en-US" w:eastAsia="zh-CN"/>
              </w:rPr>
              <w:t>危险废物贮存点</w:t>
            </w:r>
            <w:r>
              <w:rPr>
                <w:rFonts w:hint="default" w:ascii="Times New Roman" w:hAnsi="Times New Roman" w:eastAsia="宋体" w:cs="Times New Roman"/>
                <w:bCs/>
                <w:color w:val="auto"/>
                <w:sz w:val="24"/>
                <w:highlight w:val="none"/>
                <w:lang w:val="en-US" w:eastAsia="zh-CN"/>
              </w:rPr>
              <w:t>设置要求</w:t>
            </w:r>
          </w:p>
          <w:p w14:paraId="08700E9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bCs/>
                <w:color w:val="auto"/>
                <w:sz w:val="24"/>
                <w:highlight w:val="none"/>
                <w:lang w:val="en-US" w:eastAsia="zh-CN"/>
              </w:rPr>
              <w:t>危险废物贮存点</w:t>
            </w:r>
            <w:r>
              <w:rPr>
                <w:rFonts w:hint="default" w:ascii="Times New Roman" w:hAnsi="Times New Roman" w:eastAsia="宋体" w:cs="Times New Roman"/>
                <w:bCs/>
                <w:color w:val="auto"/>
                <w:sz w:val="24"/>
                <w:highlight w:val="none"/>
                <w:lang w:val="en-US" w:eastAsia="zh-CN"/>
              </w:rPr>
              <w:t>应做到防风、防雨、防晒、防渗漏，贮存设施地面与裙脚应采取表面防渗措施</w:t>
            </w:r>
            <w:r>
              <w:rPr>
                <w:rFonts w:hint="default" w:ascii="Times New Roman" w:hAnsi="Times New Roman" w:cs="Times New Roman"/>
                <w:bCs/>
                <w:color w:val="auto"/>
                <w:sz w:val="24"/>
                <w:highlight w:val="none"/>
                <w:lang w:val="en-US" w:eastAsia="zh-CN"/>
              </w:rPr>
              <w:t>，防渗、防腐材料应覆盖所有可能与废物及其渗滤液、渗漏液等接触的构筑物表面。</w:t>
            </w:r>
            <w:r>
              <w:rPr>
                <w:rFonts w:hint="default" w:ascii="Times New Roman" w:hAnsi="Times New Roman" w:eastAsia="宋体" w:cs="Times New Roman"/>
                <w:bCs/>
                <w:color w:val="auto"/>
                <w:sz w:val="24"/>
                <w:highlight w:val="none"/>
                <w:lang w:val="en-US" w:eastAsia="zh-CN"/>
              </w:rPr>
              <w:t>严格按照《危险废物贮存污染控制标准》（GB18597-20</w:t>
            </w:r>
            <w:r>
              <w:rPr>
                <w:rFonts w:hint="default" w:ascii="Times New Roman" w:hAnsi="Times New Roman" w:cs="Times New Roman"/>
                <w:bCs/>
                <w:color w:val="auto"/>
                <w:sz w:val="24"/>
                <w:highlight w:val="none"/>
                <w:lang w:val="en-US" w:eastAsia="zh-CN"/>
              </w:rPr>
              <w:t>23</w:t>
            </w:r>
            <w:r>
              <w:rPr>
                <w:rFonts w:hint="default" w:ascii="Times New Roman" w:hAnsi="Times New Roman" w:eastAsia="宋体" w:cs="Times New Roman"/>
                <w:bCs/>
                <w:color w:val="auto"/>
                <w:sz w:val="24"/>
                <w:highlight w:val="none"/>
                <w:lang w:val="en-US" w:eastAsia="zh-CN"/>
              </w:rPr>
              <w:t>）的要求进行防渗、防漏</w:t>
            </w:r>
            <w:r>
              <w:rPr>
                <w:rFonts w:hint="default" w:ascii="Times New Roman" w:hAnsi="Times New Roman" w:cs="Times New Roman"/>
                <w:bCs/>
                <w:color w:val="auto"/>
                <w:sz w:val="24"/>
                <w:highlight w:val="none"/>
                <w:lang w:val="en-US" w:eastAsia="zh-CN"/>
              </w:rPr>
              <w:t>。</w:t>
            </w:r>
          </w:p>
          <w:p w14:paraId="0941B0BC">
            <w:pPr>
              <w:adjustRightInd w:val="0"/>
              <w:snapToGrid w:val="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default" w:ascii="Times New Roman" w:hAnsi="Times New Roman"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kern w:val="2"/>
                <w:sz w:val="24"/>
                <w:szCs w:val="24"/>
                <w:highlight w:val="none"/>
                <w:lang w:val="en-US" w:eastAsia="zh-CN" w:bidi="ar-SA"/>
              </w:rPr>
              <w:t xml:space="preserve">  危险废物贮存场所基本情况</w:t>
            </w:r>
          </w:p>
          <w:tbl>
            <w:tblPr>
              <w:tblStyle w:val="2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346"/>
              <w:gridCol w:w="1424"/>
              <w:gridCol w:w="1094"/>
              <w:gridCol w:w="1680"/>
              <w:gridCol w:w="983"/>
              <w:gridCol w:w="978"/>
            </w:tblGrid>
            <w:tr w14:paraId="6C53FC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82" w:type="dxa"/>
                  <w:tcBorders>
                    <w:tl2br w:val="nil"/>
                    <w:tr2bl w:val="nil"/>
                  </w:tcBorders>
                  <w:noWrap w:val="0"/>
                  <w:vAlign w:val="center"/>
                </w:tcPr>
                <w:p w14:paraId="46299BE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危险废物名称</w:t>
                  </w:r>
                </w:p>
              </w:tc>
              <w:tc>
                <w:tcPr>
                  <w:tcW w:w="1346" w:type="dxa"/>
                  <w:tcBorders>
                    <w:tl2br w:val="nil"/>
                    <w:tr2bl w:val="nil"/>
                  </w:tcBorders>
                  <w:noWrap w:val="0"/>
                  <w:vAlign w:val="center"/>
                </w:tcPr>
                <w:p w14:paraId="611BAFDE">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危险废物类别</w:t>
                  </w:r>
                </w:p>
              </w:tc>
              <w:tc>
                <w:tcPr>
                  <w:tcW w:w="1424" w:type="dxa"/>
                  <w:tcBorders>
                    <w:tl2br w:val="nil"/>
                    <w:tr2bl w:val="nil"/>
                  </w:tcBorders>
                  <w:noWrap w:val="0"/>
                  <w:vAlign w:val="center"/>
                </w:tcPr>
                <w:p w14:paraId="4020758F">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危险废物代码</w:t>
                  </w:r>
                </w:p>
              </w:tc>
              <w:tc>
                <w:tcPr>
                  <w:tcW w:w="1094" w:type="dxa"/>
                  <w:tcBorders>
                    <w:tl2br w:val="nil"/>
                    <w:tr2bl w:val="nil"/>
                  </w:tcBorders>
                  <w:noWrap w:val="0"/>
                  <w:vAlign w:val="center"/>
                </w:tcPr>
                <w:p w14:paraId="5DE1A32A">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年产生量</w:t>
                  </w:r>
                </w:p>
              </w:tc>
              <w:tc>
                <w:tcPr>
                  <w:tcW w:w="1680" w:type="dxa"/>
                  <w:tcBorders>
                    <w:tl2br w:val="nil"/>
                    <w:tr2bl w:val="nil"/>
                  </w:tcBorders>
                  <w:noWrap w:val="0"/>
                  <w:vAlign w:val="center"/>
                </w:tcPr>
                <w:p w14:paraId="13E5C7EE">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贮存方式</w:t>
                  </w:r>
                </w:p>
              </w:tc>
              <w:tc>
                <w:tcPr>
                  <w:tcW w:w="983" w:type="dxa"/>
                  <w:tcBorders>
                    <w:tl2br w:val="nil"/>
                    <w:tr2bl w:val="nil"/>
                  </w:tcBorders>
                  <w:noWrap w:val="0"/>
                  <w:vAlign w:val="center"/>
                </w:tcPr>
                <w:p w14:paraId="7CC62A03">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贮存能力</w:t>
                  </w:r>
                </w:p>
              </w:tc>
              <w:tc>
                <w:tcPr>
                  <w:tcW w:w="978" w:type="dxa"/>
                  <w:tcBorders>
                    <w:tl2br w:val="nil"/>
                    <w:tr2bl w:val="nil"/>
                  </w:tcBorders>
                  <w:noWrap w:val="0"/>
                  <w:vAlign w:val="center"/>
                </w:tcPr>
                <w:p w14:paraId="2F203AE8">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贮存周期</w:t>
                  </w:r>
                </w:p>
              </w:tc>
            </w:tr>
            <w:tr w14:paraId="11E952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82" w:type="dxa"/>
                  <w:tcBorders>
                    <w:tl2br w:val="nil"/>
                    <w:tr2bl w:val="nil"/>
                  </w:tcBorders>
                  <w:noWrap w:val="0"/>
                  <w:vAlign w:val="center"/>
                </w:tcPr>
                <w:p w14:paraId="53241F2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废机油</w:t>
                  </w:r>
                </w:p>
              </w:tc>
              <w:tc>
                <w:tcPr>
                  <w:tcW w:w="1346" w:type="dxa"/>
                  <w:tcBorders>
                    <w:tl2br w:val="nil"/>
                    <w:tr2bl w:val="nil"/>
                  </w:tcBorders>
                  <w:noWrap w:val="0"/>
                  <w:vAlign w:val="center"/>
                </w:tcPr>
                <w:p w14:paraId="1C69FE09">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HW08</w:t>
                  </w:r>
                </w:p>
              </w:tc>
              <w:tc>
                <w:tcPr>
                  <w:tcW w:w="1424" w:type="dxa"/>
                  <w:tcBorders>
                    <w:tl2br w:val="nil"/>
                    <w:tr2bl w:val="nil"/>
                  </w:tcBorders>
                  <w:noWrap w:val="0"/>
                  <w:vAlign w:val="center"/>
                </w:tcPr>
                <w:p w14:paraId="1CE55187">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900-217-08</w:t>
                  </w:r>
                </w:p>
              </w:tc>
              <w:tc>
                <w:tcPr>
                  <w:tcW w:w="1094" w:type="dxa"/>
                  <w:tcBorders>
                    <w:tl2br w:val="nil"/>
                    <w:tr2bl w:val="nil"/>
                  </w:tcBorders>
                  <w:noWrap w:val="0"/>
                  <w:vAlign w:val="center"/>
                </w:tcPr>
                <w:p w14:paraId="53680E4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w:t>
                  </w:r>
                  <w:r>
                    <w:rPr>
                      <w:rFonts w:hint="default" w:ascii="Times New Roman" w:hAnsi="Times New Roman" w:cs="Times New Roman"/>
                      <w:bCs/>
                      <w:color w:val="auto"/>
                      <w:szCs w:val="21"/>
                      <w:highlight w:val="none"/>
                      <w:lang w:val="en-US" w:eastAsia="zh-CN"/>
                    </w:rPr>
                    <w:t>01t</w:t>
                  </w:r>
                </w:p>
              </w:tc>
              <w:tc>
                <w:tcPr>
                  <w:tcW w:w="1680" w:type="dxa"/>
                  <w:tcBorders>
                    <w:tl2br w:val="nil"/>
                    <w:tr2bl w:val="nil"/>
                  </w:tcBorders>
                  <w:noWrap w:val="0"/>
                  <w:vAlign w:val="center"/>
                </w:tcPr>
                <w:p w14:paraId="20B23ECB">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暂存于</w:t>
                  </w:r>
                  <w:r>
                    <w:rPr>
                      <w:rFonts w:hint="default" w:ascii="Times New Roman" w:hAnsi="Times New Roman" w:cs="Times New Roman"/>
                      <w:color w:val="auto"/>
                      <w:highlight w:val="none"/>
                      <w:lang w:val="en-US" w:eastAsia="zh-CN"/>
                    </w:rPr>
                    <w:t>危险废物贮存点</w:t>
                  </w:r>
                </w:p>
              </w:tc>
              <w:tc>
                <w:tcPr>
                  <w:tcW w:w="983" w:type="dxa"/>
                  <w:tcBorders>
                    <w:tl2br w:val="nil"/>
                    <w:tr2bl w:val="nil"/>
                  </w:tcBorders>
                  <w:noWrap w:val="0"/>
                  <w:vAlign w:val="center"/>
                </w:tcPr>
                <w:p w14:paraId="55C0D95E">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10kg</w:t>
                  </w:r>
                </w:p>
              </w:tc>
              <w:tc>
                <w:tcPr>
                  <w:tcW w:w="978" w:type="dxa"/>
                  <w:tcBorders>
                    <w:tl2br w:val="nil"/>
                    <w:tr2bl w:val="nil"/>
                  </w:tcBorders>
                  <w:noWrap w:val="0"/>
                  <w:vAlign w:val="center"/>
                </w:tcPr>
                <w:p w14:paraId="19A343D9">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100</w:t>
                  </w:r>
                  <w:r>
                    <w:rPr>
                      <w:rFonts w:hint="default" w:ascii="Times New Roman" w:hAnsi="Times New Roman" w:eastAsia="宋体" w:cs="Times New Roman"/>
                      <w:bCs/>
                      <w:color w:val="auto"/>
                      <w:szCs w:val="21"/>
                      <w:highlight w:val="none"/>
                      <w:lang w:val="en-US" w:eastAsia="zh-CN"/>
                    </w:rPr>
                    <w:t>d</w:t>
                  </w:r>
                </w:p>
              </w:tc>
            </w:tr>
            <w:tr w14:paraId="4C1439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82" w:type="dxa"/>
                  <w:tcBorders>
                    <w:tl2br w:val="nil"/>
                    <w:tr2bl w:val="nil"/>
                  </w:tcBorders>
                  <w:shd w:val="clear" w:color="auto" w:fill="auto"/>
                  <w:noWrap w:val="0"/>
                  <w:vAlign w:val="center"/>
                </w:tcPr>
                <w:p w14:paraId="31872CBA">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废弃含油抹布手套</w:t>
                  </w:r>
                </w:p>
              </w:tc>
              <w:tc>
                <w:tcPr>
                  <w:tcW w:w="1346" w:type="dxa"/>
                  <w:tcBorders>
                    <w:tl2br w:val="nil"/>
                    <w:tr2bl w:val="nil"/>
                  </w:tcBorders>
                  <w:shd w:val="clear" w:color="auto" w:fill="auto"/>
                  <w:noWrap w:val="0"/>
                  <w:vAlign w:val="center"/>
                </w:tcPr>
                <w:p w14:paraId="2802334C">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HW08</w:t>
                  </w:r>
                </w:p>
              </w:tc>
              <w:tc>
                <w:tcPr>
                  <w:tcW w:w="1424" w:type="dxa"/>
                  <w:tcBorders>
                    <w:tl2br w:val="nil"/>
                    <w:tr2bl w:val="nil"/>
                  </w:tcBorders>
                  <w:shd w:val="clear" w:color="auto" w:fill="auto"/>
                  <w:noWrap w:val="0"/>
                  <w:vAlign w:val="center"/>
                </w:tcPr>
                <w:p w14:paraId="02A42699">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900-041-49</w:t>
                  </w:r>
                </w:p>
              </w:tc>
              <w:tc>
                <w:tcPr>
                  <w:tcW w:w="1094" w:type="dxa"/>
                  <w:tcBorders>
                    <w:tl2br w:val="nil"/>
                    <w:tr2bl w:val="nil"/>
                  </w:tcBorders>
                  <w:shd w:val="clear" w:color="auto" w:fill="auto"/>
                  <w:noWrap w:val="0"/>
                  <w:vAlign w:val="center"/>
                </w:tcPr>
                <w:p w14:paraId="2B5390BB">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0.01</w:t>
                  </w:r>
                </w:p>
              </w:tc>
              <w:tc>
                <w:tcPr>
                  <w:tcW w:w="1680" w:type="dxa"/>
                  <w:tcBorders>
                    <w:tl2br w:val="nil"/>
                    <w:tr2bl w:val="nil"/>
                  </w:tcBorders>
                  <w:shd w:val="clear" w:color="auto" w:fill="auto"/>
                  <w:noWrap w:val="0"/>
                  <w:vAlign w:val="center"/>
                </w:tcPr>
                <w:p w14:paraId="31D81ECD">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暂存</w:t>
                  </w:r>
                  <w:r>
                    <w:rPr>
                      <w:rFonts w:hint="default" w:ascii="Times New Roman" w:hAnsi="Times New Roman" w:cs="Times New Roman"/>
                      <w:color w:val="auto"/>
                      <w:highlight w:val="none"/>
                      <w:lang w:val="en-US" w:eastAsia="zh-CN"/>
                    </w:rPr>
                    <w:t>危险废物贮存点</w:t>
                  </w:r>
                  <w:r>
                    <w:rPr>
                      <w:rFonts w:hint="default" w:ascii="Times New Roman" w:hAnsi="Times New Roman" w:eastAsia="宋体" w:cs="Times New Roman"/>
                      <w:bCs/>
                      <w:color w:val="auto"/>
                      <w:szCs w:val="21"/>
                      <w:highlight w:val="none"/>
                      <w:lang w:val="en-US" w:eastAsia="zh-CN"/>
                    </w:rPr>
                    <w:t>内</w:t>
                  </w:r>
                  <w:r>
                    <w:rPr>
                      <w:rFonts w:hint="default" w:ascii="Times New Roman" w:hAnsi="Times New Roman" w:cs="Times New Roman"/>
                      <w:bCs/>
                      <w:color w:val="auto"/>
                      <w:szCs w:val="21"/>
                      <w:highlight w:val="none"/>
                      <w:lang w:val="en-US" w:eastAsia="zh-CN"/>
                    </w:rPr>
                    <w:t>密闭容器内</w:t>
                  </w:r>
                </w:p>
              </w:tc>
              <w:tc>
                <w:tcPr>
                  <w:tcW w:w="983" w:type="dxa"/>
                  <w:tcBorders>
                    <w:tl2br w:val="nil"/>
                    <w:tr2bl w:val="nil"/>
                  </w:tcBorders>
                  <w:shd w:val="clear" w:color="auto" w:fill="auto"/>
                  <w:noWrap w:val="0"/>
                  <w:vAlign w:val="center"/>
                </w:tcPr>
                <w:p w14:paraId="6A79E232">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10kg</w:t>
                  </w:r>
                </w:p>
              </w:tc>
              <w:tc>
                <w:tcPr>
                  <w:tcW w:w="978" w:type="dxa"/>
                  <w:tcBorders>
                    <w:tl2br w:val="nil"/>
                    <w:tr2bl w:val="nil"/>
                  </w:tcBorders>
                  <w:shd w:val="clear" w:color="auto" w:fill="auto"/>
                  <w:noWrap w:val="0"/>
                  <w:vAlign w:val="center"/>
                </w:tcPr>
                <w:p w14:paraId="0856F84B">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100</w:t>
                  </w:r>
                  <w:r>
                    <w:rPr>
                      <w:rFonts w:hint="default" w:ascii="Times New Roman" w:hAnsi="Times New Roman" w:eastAsia="宋体" w:cs="Times New Roman"/>
                      <w:bCs/>
                      <w:color w:val="auto"/>
                      <w:szCs w:val="21"/>
                      <w:highlight w:val="none"/>
                      <w:lang w:val="en-US" w:eastAsia="zh-CN"/>
                    </w:rPr>
                    <w:t>d</w:t>
                  </w:r>
                </w:p>
              </w:tc>
            </w:tr>
          </w:tbl>
          <w:p w14:paraId="11601ED1">
            <w:pPr>
              <w:pStyle w:val="27"/>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color w:val="auto"/>
                <w:kern w:val="2"/>
                <w:sz w:val="24"/>
                <w:szCs w:val="24"/>
                <w:highlight w:val="none"/>
                <w:lang w:val="en-US" w:eastAsia="zh-CN" w:bidi="ar-SA"/>
              </w:rPr>
              <w:t>2）危废</w:t>
            </w:r>
            <w:r>
              <w:rPr>
                <w:rFonts w:hint="default" w:ascii="Times New Roman" w:hAnsi="Times New Roman" w:cs="Times New Roman"/>
                <w:b w:val="0"/>
                <w:bCs/>
                <w:color w:val="auto"/>
                <w:sz w:val="24"/>
                <w:highlight w:val="none"/>
                <w:lang w:val="en-US" w:eastAsia="zh-CN"/>
              </w:rPr>
              <w:t>贮存点贮存可行性分析</w:t>
            </w:r>
          </w:p>
          <w:p w14:paraId="419602A5">
            <w:pPr>
              <w:pStyle w:val="27"/>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b w:val="0"/>
                <w:bCs/>
                <w:color w:val="auto"/>
                <w:sz w:val="24"/>
                <w:highlight w:val="none"/>
                <w:lang w:val="en-US" w:eastAsia="zh-CN"/>
              </w:rPr>
              <w:t>本项目危险废物产生量约为0.02t/a，新建危险废物贮存点位于办公室旁，面积4m</w:t>
            </w:r>
            <w:r>
              <w:rPr>
                <w:rFonts w:hint="default" w:ascii="Times New Roman" w:hAnsi="Times New Roman" w:cs="Times New Roman"/>
                <w:b w:val="0"/>
                <w:bCs/>
                <w:color w:val="auto"/>
                <w:sz w:val="24"/>
                <w:highlight w:val="none"/>
                <w:vertAlign w:val="superscript"/>
                <w:lang w:val="en-US" w:eastAsia="zh-CN"/>
              </w:rPr>
              <w:t>2</w:t>
            </w:r>
            <w:r>
              <w:rPr>
                <w:rFonts w:hint="default" w:ascii="Times New Roman" w:hAnsi="Times New Roman" w:cs="Times New Roman"/>
                <w:b w:val="0"/>
                <w:bCs/>
                <w:color w:val="auto"/>
                <w:sz w:val="24"/>
                <w:highlight w:val="none"/>
                <w:lang w:val="en-US" w:eastAsia="zh-CN"/>
              </w:rPr>
              <w:t>，危险废物贮存点地面及裙脚采用2mm厚的高密度聚乙烯+防渗混凝土进行防渗处理，渗透系数≤10</w:t>
            </w:r>
            <w:r>
              <w:rPr>
                <w:rFonts w:hint="default" w:ascii="Times New Roman" w:hAnsi="Times New Roman" w:cs="Times New Roman"/>
                <w:b w:val="0"/>
                <w:bCs/>
                <w:color w:val="auto"/>
                <w:sz w:val="24"/>
                <w:highlight w:val="none"/>
                <w:vertAlign w:val="superscript"/>
                <w:lang w:val="en-US" w:eastAsia="zh-CN"/>
              </w:rPr>
              <w:t>-10</w:t>
            </w:r>
            <w:r>
              <w:rPr>
                <w:rFonts w:hint="default" w:ascii="Times New Roman" w:hAnsi="Times New Roman" w:cs="Times New Roman"/>
                <w:b w:val="0"/>
                <w:bCs/>
                <w:color w:val="auto"/>
                <w:sz w:val="24"/>
                <w:highlight w:val="none"/>
                <w:lang w:val="en-US" w:eastAsia="zh-CN"/>
              </w:rPr>
              <w:t>cm/s，满足《危险废物贮存污染控制标准》（GB18597-2023）。废机油在储存过程中，采用专用的容器存储，容器外侧粘贴符合标准要求的醒目标签。建设单位对危废贮存场的设计、建设和管理严格按照《危险废物贮存污染控制标准》（GB18597-2023）、《环境保护图形标志、固体废物贮存（处置）场》（GB15562.2）和《危险废物收集、贮存、运输技术规范》（HJ2025-2012）的规定进行。因此，危险废物贮存点能够满足本项目要求。</w:t>
            </w:r>
          </w:p>
          <w:p w14:paraId="022B440E">
            <w:pPr>
              <w:keepNext w:val="0"/>
              <w:keepLines w:val="0"/>
              <w:pageBreakBefore w:val="0"/>
              <w:widowControl/>
              <w:numPr>
                <w:ilvl w:val="0"/>
                <w:numId w:val="0"/>
              </w:numPr>
              <w:kinsoku/>
              <w:wordWrap/>
              <w:overflowPunct/>
              <w:topLinePunct w:val="0"/>
              <w:autoSpaceDE/>
              <w:autoSpaceDN/>
              <w:bidi w:val="0"/>
              <w:spacing w:line="360" w:lineRule="auto"/>
              <w:ind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2"/>
                <w:sz w:val="24"/>
                <w:szCs w:val="24"/>
                <w:highlight w:val="none"/>
                <w:lang w:val="en-US" w:eastAsia="zh-CN" w:bidi="ar-SA"/>
              </w:rPr>
              <w:t>（3）</w:t>
            </w:r>
            <w:r>
              <w:rPr>
                <w:rFonts w:hint="default" w:ascii="Times New Roman" w:hAnsi="Times New Roman" w:eastAsia="宋体" w:cs="Times New Roman"/>
                <w:color w:val="auto"/>
                <w:sz w:val="24"/>
                <w:szCs w:val="24"/>
                <w:highlight w:val="none"/>
                <w:lang w:val="en-US" w:eastAsia="zh-CN"/>
              </w:rPr>
              <w:t>环境管理要求</w:t>
            </w:r>
          </w:p>
          <w:p w14:paraId="70EDCF34">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1）固体废物</w:t>
            </w:r>
          </w:p>
          <w:p w14:paraId="377E1F3C">
            <w:pPr>
              <w:pStyle w:val="51"/>
              <w:keepNext w:val="0"/>
              <w:keepLines w:val="0"/>
              <w:pageBreakBefore w:val="0"/>
              <w:kinsoku/>
              <w:wordWrap/>
              <w:overflowPunct/>
              <w:topLinePunct w:val="0"/>
              <w:autoSpaceDE/>
              <w:autoSpaceDN/>
              <w:bidi w:val="0"/>
              <w:spacing w:line="360" w:lineRule="auto"/>
              <w:ind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①一般工业固体废物暂存要求</w:t>
            </w:r>
          </w:p>
          <w:p w14:paraId="1CDF0B3B">
            <w:pPr>
              <w:pStyle w:val="51"/>
              <w:keepNext w:val="0"/>
              <w:keepLines w:val="0"/>
              <w:pageBreakBefore w:val="0"/>
              <w:kinsoku/>
              <w:wordWrap/>
              <w:overflowPunct/>
              <w:topLinePunct w:val="0"/>
              <w:autoSpaceDE/>
              <w:autoSpaceDN/>
              <w:bidi w:val="0"/>
              <w:spacing w:line="360" w:lineRule="auto"/>
              <w:ind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本项目产生的一般固体废物主要是煤泥，暂存于</w:t>
            </w:r>
            <w:r>
              <w:rPr>
                <w:rFonts w:hint="default" w:ascii="Times New Roman" w:hAnsi="Times New Roman" w:eastAsia="宋体" w:cs="Times New Roman"/>
                <w:color w:val="auto"/>
                <w:highlight w:val="none"/>
                <w:lang w:val="en-US" w:eastAsia="zh-CN"/>
              </w:rPr>
              <w:t>煤炭</w:t>
            </w:r>
            <w:r>
              <w:rPr>
                <w:rFonts w:hint="default" w:ascii="Times New Roman" w:hAnsi="Times New Roman" w:eastAsia="宋体" w:cs="Times New Roman"/>
                <w:color w:val="auto"/>
                <w:highlight w:val="none"/>
              </w:rPr>
              <w:t>堆场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与煤炭一同外售</w:t>
            </w:r>
            <w:r>
              <w:rPr>
                <w:rFonts w:hint="default" w:ascii="Times New Roman" w:hAnsi="Times New Roman" w:eastAsia="宋体" w:cs="Times New Roman"/>
                <w:color w:val="auto"/>
                <w:highlight w:val="none"/>
              </w:rPr>
              <w:t>。一般固体废物处理措施和处置方案需满足《一般工业固体废物贮存和填埋污染控制标准》（GB18599-2020）（2021年7月1日起实施）要求、《中华人民共和国固体废物污染环境防治法》的有关规定。</w:t>
            </w:r>
          </w:p>
          <w:p w14:paraId="45F9C6AA">
            <w:pPr>
              <w:pStyle w:val="51"/>
              <w:keepNext w:val="0"/>
              <w:keepLines w:val="0"/>
              <w:pageBreakBefore w:val="0"/>
              <w:kinsoku/>
              <w:wordWrap/>
              <w:overflowPunct/>
              <w:topLinePunct w:val="0"/>
              <w:autoSpaceDE/>
              <w:autoSpaceDN/>
              <w:bidi w:val="0"/>
              <w:spacing w:line="360" w:lineRule="auto"/>
              <w:ind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②生活垃圾</w:t>
            </w:r>
          </w:p>
          <w:p w14:paraId="0273776E">
            <w:pPr>
              <w:pStyle w:val="51"/>
              <w:keepNext w:val="0"/>
              <w:keepLines w:val="0"/>
              <w:pageBreakBefore w:val="0"/>
              <w:kinsoku/>
              <w:wordWrap/>
              <w:overflowPunct/>
              <w:topLinePunct w:val="0"/>
              <w:autoSpaceDE/>
              <w:autoSpaceDN/>
              <w:bidi w:val="0"/>
              <w:spacing w:line="360" w:lineRule="auto"/>
              <w:ind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生活垃圾集中收集后堆放至生活垃圾暂存区，应按以下原则进行收集、管理、运输及处置：</w:t>
            </w:r>
          </w:p>
          <w:p w14:paraId="05A361E6">
            <w:pPr>
              <w:pStyle w:val="51"/>
              <w:keepNext w:val="0"/>
              <w:keepLines w:val="0"/>
              <w:pageBreakBefore w:val="0"/>
              <w:numPr>
                <w:ilvl w:val="0"/>
                <w:numId w:val="0"/>
              </w:numPr>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highlight w:val="none"/>
              </w:rPr>
              <w:t>生活垃圾袋应当扎紧袋口，不能混入危险废物、工业固体废物、建筑垃圾和液体垃圾，在指定时间存放到指定地点；</w:t>
            </w:r>
          </w:p>
          <w:p w14:paraId="2A0093EF">
            <w:pPr>
              <w:pStyle w:val="51"/>
              <w:keepNext w:val="0"/>
              <w:keepLines w:val="0"/>
              <w:pageBreakBefore w:val="0"/>
              <w:numPr>
                <w:ilvl w:val="0"/>
                <w:numId w:val="0"/>
              </w:numPr>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B</w:t>
            </w:r>
            <w:r>
              <w:rPr>
                <w:rFonts w:hint="default" w:ascii="Times New Roman" w:hAnsi="Times New Roman" w:eastAsia="宋体" w:cs="Times New Roman"/>
                <w:color w:val="auto"/>
                <w:highlight w:val="none"/>
              </w:rPr>
              <w:t>不能使用破损袋盛装生活垃圾。对有可能造成垃圾袋破损的物品应单独存放；</w:t>
            </w:r>
          </w:p>
          <w:p w14:paraId="679A1BD6">
            <w:pPr>
              <w:pStyle w:val="51"/>
              <w:keepNext w:val="0"/>
              <w:keepLines w:val="0"/>
              <w:pageBreakBefore w:val="0"/>
              <w:numPr>
                <w:ilvl w:val="0"/>
                <w:numId w:val="0"/>
              </w:numPr>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C</w:t>
            </w:r>
            <w:r>
              <w:rPr>
                <w:rFonts w:hint="default" w:ascii="Times New Roman" w:hAnsi="Times New Roman" w:eastAsia="宋体" w:cs="Times New Roman"/>
                <w:color w:val="auto"/>
                <w:highlight w:val="none"/>
              </w:rPr>
              <w:t>产生生活废弃物的单位和个人应当按照市容环境行政管理部门规定的时间、地点和方式投放生活废弃物，不得随意倾倒、抛洒和堆放生活废弃物。</w:t>
            </w:r>
          </w:p>
          <w:p w14:paraId="50FD3C89">
            <w:pPr>
              <w:pStyle w:val="51"/>
              <w:keepNext w:val="0"/>
              <w:keepLines w:val="0"/>
              <w:pageBreakBefore w:val="0"/>
              <w:kinsoku/>
              <w:wordWrap/>
              <w:overflowPunct/>
              <w:topLinePunct w:val="0"/>
              <w:autoSpaceDE/>
              <w:autoSpaceDN/>
              <w:bidi w:val="0"/>
              <w:spacing w:line="360" w:lineRule="auto"/>
              <w:ind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综上，本项目在采取以上措施的情况下，固体废物处置措施合理、去向可行，不会对周围环境质量造成不利影响。</w:t>
            </w:r>
          </w:p>
          <w:p w14:paraId="7E09A57C">
            <w:pPr>
              <w:pStyle w:val="51"/>
              <w:keepNext w:val="0"/>
              <w:keepLines w:val="0"/>
              <w:pageBreakBefore w:val="0"/>
              <w:kinsoku/>
              <w:wordWrap/>
              <w:overflowPunct/>
              <w:topLinePunct w:val="0"/>
              <w:autoSpaceDE/>
              <w:autoSpaceDN/>
              <w:bidi w:val="0"/>
              <w:spacing w:line="360" w:lineRule="auto"/>
              <w:ind w:right="0"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2）危险废物</w:t>
            </w:r>
          </w:p>
          <w:p w14:paraId="023C6ECF">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w:t>
            </w:r>
            <w:r>
              <w:rPr>
                <w:rFonts w:hint="default" w:ascii="Times New Roman" w:hAnsi="Times New Roman" w:cs="Times New Roman"/>
                <w:bCs/>
                <w:color w:val="auto"/>
                <w:sz w:val="24"/>
                <w:highlight w:val="none"/>
                <w:lang w:eastAsia="zh-CN"/>
              </w:rPr>
              <w:t>危险废物贮存点</w:t>
            </w:r>
            <w:r>
              <w:rPr>
                <w:rFonts w:hint="default" w:ascii="Times New Roman" w:hAnsi="Times New Roman" w:cs="Times New Roman"/>
                <w:bCs/>
                <w:color w:val="auto"/>
                <w:sz w:val="24"/>
                <w:highlight w:val="none"/>
              </w:rPr>
              <w:t>的设置应按《危险废物贮存污染控制标准》（GB18597-20</w:t>
            </w:r>
            <w:r>
              <w:rPr>
                <w:rFonts w:hint="default" w:ascii="Times New Roman" w:hAnsi="Times New Roman" w:cs="Times New Roman"/>
                <w:bCs/>
                <w:color w:val="auto"/>
                <w:sz w:val="24"/>
                <w:highlight w:val="none"/>
                <w:lang w:val="en-US" w:eastAsia="zh-CN"/>
              </w:rPr>
              <w:t>23</w:t>
            </w:r>
            <w:r>
              <w:rPr>
                <w:rFonts w:hint="default" w:ascii="Times New Roman" w:hAnsi="Times New Roman" w:cs="Times New Roman"/>
                <w:bCs/>
                <w:color w:val="auto"/>
                <w:sz w:val="24"/>
                <w:highlight w:val="none"/>
              </w:rPr>
              <w:t>）相关要求进行设置，并做到以下几点：</w:t>
            </w:r>
          </w:p>
          <w:p w14:paraId="76AE7F93">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①贮存设施运行环境管理要求</w:t>
            </w:r>
          </w:p>
          <w:p w14:paraId="230D987C">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A</w:t>
            </w:r>
            <w:r>
              <w:rPr>
                <w:rFonts w:hint="default" w:ascii="Times New Roman" w:hAnsi="Times New Roman" w:eastAsia="宋体" w:cs="Times New Roman"/>
                <w:color w:val="auto"/>
                <w:kern w:val="2"/>
                <w:sz w:val="24"/>
                <w:szCs w:val="24"/>
                <w:highlight w:val="none"/>
                <w:lang w:val="en-US" w:eastAsia="zh-CN" w:bidi="ar-SA"/>
              </w:rPr>
              <w:t>危险废物存入贮存设施前应对危险废物类别和特性与危险废物标签等危险废物识别标志的一致性进行核验，不一致的或类别、特性不明的不应存入。</w:t>
            </w:r>
          </w:p>
          <w:p w14:paraId="35777087">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B</w:t>
            </w:r>
            <w:r>
              <w:rPr>
                <w:rFonts w:hint="default" w:ascii="Times New Roman" w:hAnsi="Times New Roman" w:eastAsia="宋体" w:cs="Times New Roman"/>
                <w:color w:val="auto"/>
                <w:kern w:val="2"/>
                <w:sz w:val="24"/>
                <w:szCs w:val="24"/>
                <w:highlight w:val="none"/>
                <w:lang w:val="en-US" w:eastAsia="zh-CN" w:bidi="ar-SA"/>
              </w:rPr>
              <w:t xml:space="preserve">应定期检查危险废物的贮存状况，及时清理贮存设施地面，更换破损泄漏的危险废物贮存容器和包装物，保证堆存危险废物的防雨、防风、防扬尘等设施功能完好。                              </w:t>
            </w:r>
          </w:p>
          <w:p w14:paraId="31AD64A6">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C</w:t>
            </w:r>
            <w:r>
              <w:rPr>
                <w:rFonts w:hint="default" w:ascii="Times New Roman" w:hAnsi="Times New Roman" w:eastAsia="宋体" w:cs="Times New Roman"/>
                <w:color w:val="auto"/>
                <w:kern w:val="2"/>
                <w:sz w:val="24"/>
                <w:szCs w:val="24"/>
                <w:highlight w:val="none"/>
                <w:lang w:val="en-US" w:eastAsia="zh-CN" w:bidi="ar-SA"/>
              </w:rPr>
              <w:t>作业设备及车辆等结束作业离开贮存设施时，应对其残留的危险废物进行清理，清理的废物或清洗废水应收集处理。</w:t>
            </w:r>
          </w:p>
          <w:p w14:paraId="63E5E22F">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bidi="ar-SA"/>
              </w:rPr>
              <w:t>贮存设施运行期间，应按国家有关标准和规定建立危险废物管理台账并保存。</w:t>
            </w:r>
          </w:p>
          <w:p w14:paraId="4E6BE3BE">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E</w:t>
            </w:r>
            <w:r>
              <w:rPr>
                <w:rFonts w:hint="default" w:ascii="Times New Roman" w:hAnsi="Times New Roman" w:eastAsia="宋体" w:cs="Times New Roman"/>
                <w:color w:val="auto"/>
                <w:kern w:val="2"/>
                <w:sz w:val="24"/>
                <w:szCs w:val="24"/>
                <w:highlight w:val="none"/>
                <w:lang w:val="en-US" w:eastAsia="zh-CN" w:bidi="ar-SA"/>
              </w:rPr>
              <w:t>贮存设施所有者或运营者应建立贮存设施环境管理制度、管理人员岗位职责制度、设施运行操作制度、人员岗位培训制度等。</w:t>
            </w:r>
          </w:p>
          <w:p w14:paraId="709FB43C">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F</w:t>
            </w:r>
            <w:r>
              <w:rPr>
                <w:rFonts w:hint="default" w:ascii="Times New Roman" w:hAnsi="Times New Roman" w:eastAsia="宋体" w:cs="Times New Roman"/>
                <w:color w:val="auto"/>
                <w:kern w:val="2"/>
                <w:sz w:val="24"/>
                <w:szCs w:val="24"/>
                <w:highlight w:val="none"/>
                <w:lang w:val="en-US" w:eastAsia="zh-CN" w:bidi="ar-SA"/>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111EE2B4">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G</w:t>
            </w:r>
            <w:r>
              <w:rPr>
                <w:rFonts w:hint="default" w:ascii="Times New Roman" w:hAnsi="Times New Roman" w:eastAsia="宋体" w:cs="Times New Roman"/>
                <w:color w:val="auto"/>
                <w:kern w:val="2"/>
                <w:sz w:val="24"/>
                <w:szCs w:val="24"/>
                <w:highlight w:val="none"/>
                <w:lang w:val="en-US" w:eastAsia="zh-CN" w:bidi="ar-SA"/>
              </w:rPr>
              <w:t>贮存设施所有者或运营者应建立贮存设施全部档案，包括设计、施工、验收、运行、监测和环境应急等，应按国家有关档案管理的法律法规进行整理和归档。</w:t>
            </w:r>
          </w:p>
          <w:p w14:paraId="3DC9A705">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②贮存点环境管理要求</w:t>
            </w:r>
          </w:p>
          <w:p w14:paraId="7D7328EE">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A</w:t>
            </w:r>
            <w:r>
              <w:rPr>
                <w:rFonts w:hint="default" w:ascii="Times New Roman" w:hAnsi="Times New Roman" w:eastAsia="宋体" w:cs="Times New Roman"/>
                <w:color w:val="auto"/>
                <w:kern w:val="2"/>
                <w:sz w:val="24"/>
                <w:szCs w:val="24"/>
                <w:highlight w:val="none"/>
                <w:lang w:val="en-US" w:eastAsia="zh-CN" w:bidi="ar-SA"/>
              </w:rPr>
              <w:t>贮存点应具有固定的区域边界，并应采取与其他区域进行隔离的措施。</w:t>
            </w:r>
          </w:p>
          <w:p w14:paraId="5F8B2FFC">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B</w:t>
            </w:r>
            <w:r>
              <w:rPr>
                <w:rFonts w:hint="default" w:ascii="Times New Roman" w:hAnsi="Times New Roman" w:eastAsia="宋体" w:cs="Times New Roman"/>
                <w:color w:val="auto"/>
                <w:kern w:val="2"/>
                <w:sz w:val="24"/>
                <w:szCs w:val="24"/>
                <w:highlight w:val="none"/>
                <w:lang w:val="en-US" w:eastAsia="zh-CN" w:bidi="ar-SA"/>
              </w:rPr>
              <w:t>贮存点应采取防风、防雨、防晒和防止危险废物流失、扬散等措施。</w:t>
            </w:r>
          </w:p>
          <w:p w14:paraId="2B92BFC4">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C</w:t>
            </w:r>
            <w:r>
              <w:rPr>
                <w:rFonts w:hint="default" w:ascii="Times New Roman" w:hAnsi="Times New Roman" w:eastAsia="宋体" w:cs="Times New Roman"/>
                <w:color w:val="auto"/>
                <w:kern w:val="2"/>
                <w:sz w:val="24"/>
                <w:szCs w:val="24"/>
                <w:highlight w:val="none"/>
                <w:lang w:val="en-US" w:eastAsia="zh-CN" w:bidi="ar-SA"/>
              </w:rPr>
              <w:t>贮存点应采取防风、防雨、防晒和防止危险废物流失、扬散等措施。</w:t>
            </w:r>
          </w:p>
          <w:p w14:paraId="3237FC4C">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bidi="ar-SA"/>
              </w:rPr>
              <w:t>贮存点应根据危险废物的形态、物理化学性质、包装形式等，采取防渗、防漏等污染防治措施或采用具有相应功能的装置。</w:t>
            </w:r>
          </w:p>
          <w:p w14:paraId="5387BC22">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highlight w:val="none"/>
                <w:lang w:val="en-US" w:eastAsia="zh-CN"/>
              </w:rPr>
              <w:t>E</w:t>
            </w:r>
            <w:r>
              <w:rPr>
                <w:rFonts w:hint="default" w:ascii="Times New Roman" w:hAnsi="Times New Roman" w:eastAsia="宋体" w:cs="Times New Roman"/>
                <w:color w:val="auto"/>
                <w:kern w:val="2"/>
                <w:sz w:val="24"/>
                <w:szCs w:val="24"/>
                <w:highlight w:val="none"/>
                <w:lang w:val="en-US" w:eastAsia="zh-CN" w:bidi="ar-SA"/>
              </w:rPr>
              <w:t>贮存点应及时清运贮存的危险废物，实时贮存量不应超过 3 吨。</w:t>
            </w:r>
          </w:p>
          <w:p w14:paraId="3C6A76DF">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③</w:t>
            </w:r>
            <w:r>
              <w:rPr>
                <w:rFonts w:hint="default" w:ascii="Times New Roman" w:hAnsi="Times New Roman" w:cs="Times New Roman"/>
                <w:bCs/>
                <w:color w:val="auto"/>
                <w:sz w:val="24"/>
                <w:highlight w:val="none"/>
              </w:rPr>
              <w:t>对于委托处理的固体废物，其运输转移过程中需做到以下几点：</w:t>
            </w:r>
          </w:p>
          <w:p w14:paraId="6D825042">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A</w:t>
            </w:r>
            <w:r>
              <w:rPr>
                <w:rFonts w:hint="default" w:ascii="Times New Roman" w:hAnsi="Times New Roman" w:cs="Times New Roman"/>
                <w:bCs/>
                <w:color w:val="auto"/>
                <w:sz w:val="24"/>
                <w:highlight w:val="none"/>
              </w:rPr>
              <w:t>本项目危险废物必须及时运送至危险废物处置单位进行处置，运输过程必须符合国家对危险废物的运输要求。应由固废接收单位的专用车进行运输，该运输车辆须经主管单位检查，并持有有关单位签发的许可证，负责运输的司机应通过培训，持有证明文件。承载危险废物的车辆须有明显的标志或适当的危险符号，以引起注意。运输过程中要注意危险废物安全单独运输，固废的包装容器要注意密闭，以免在运输途中发生泄漏，从而危害环境；</w:t>
            </w:r>
          </w:p>
          <w:p w14:paraId="23CD4BF4">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cs="Times New Roman"/>
                <w:bCs/>
                <w:color w:val="auto"/>
                <w:sz w:val="24"/>
                <w:highlight w:val="none"/>
                <w:lang w:val="en-US" w:eastAsia="zh-CN"/>
              </w:rPr>
              <w:t>B</w:t>
            </w:r>
            <w:r>
              <w:rPr>
                <w:rFonts w:hint="default" w:ascii="Times New Roman" w:hAnsi="Times New Roman" w:cs="Times New Roman"/>
                <w:bCs/>
                <w:color w:val="auto"/>
                <w:sz w:val="24"/>
                <w:highlight w:val="none"/>
              </w:rPr>
              <w:t>本项目在危险废物转移的过程中严格执行《危险废物转移管理办法》（生态环境部 公安部 交通运输部 部令 第23号），危险废物的转运必须填写</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五联单</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，且必须</w:t>
            </w:r>
            <w:r>
              <w:rPr>
                <w:rFonts w:hint="default" w:ascii="Times New Roman" w:hAnsi="Times New Roman" w:eastAsia="宋体" w:cs="Times New Roman"/>
                <w:bCs/>
                <w:color w:val="auto"/>
                <w:sz w:val="24"/>
                <w:highlight w:val="none"/>
              </w:rPr>
              <w:t>符合国家及</w:t>
            </w:r>
            <w:r>
              <w:rPr>
                <w:rFonts w:hint="default" w:ascii="Times New Roman" w:hAnsi="Times New Roman" w:eastAsia="宋体" w:cs="Times New Roman"/>
                <w:bCs/>
                <w:color w:val="auto"/>
                <w:sz w:val="24"/>
                <w:highlight w:val="none"/>
                <w:lang w:val="en-US" w:eastAsia="zh-CN"/>
              </w:rPr>
              <w:t>黑龙江</w:t>
            </w:r>
            <w:r>
              <w:rPr>
                <w:rFonts w:hint="default" w:ascii="Times New Roman" w:hAnsi="Times New Roman" w:eastAsia="宋体" w:cs="Times New Roman"/>
                <w:bCs/>
                <w:color w:val="auto"/>
                <w:sz w:val="24"/>
                <w:highlight w:val="none"/>
              </w:rPr>
              <w:t>省对危险废物转运的相关规定；</w:t>
            </w:r>
          </w:p>
          <w:p w14:paraId="29B5F9F7">
            <w:pPr>
              <w:keepNext w:val="0"/>
              <w:keepLines w:val="0"/>
              <w:pageBreakBefore w:val="0"/>
              <w:widowControl/>
              <w:numPr>
                <w:ilvl w:val="0"/>
                <w:numId w:val="0"/>
              </w:numPr>
              <w:kinsoku/>
              <w:wordWrap/>
              <w:overflowPunct/>
              <w:topLinePunct w:val="0"/>
              <w:autoSpaceDE/>
              <w:autoSpaceDN/>
              <w:bidi w:val="0"/>
              <w:spacing w:line="360" w:lineRule="auto"/>
              <w:ind w:right="0" w:firstLine="480" w:firstLineChars="200"/>
              <w:jc w:val="left"/>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C载有危险废物的车辆在公路上行驶时，需持有运输许可证，其上应注明废物来源、性质和运往地点。装载危险废物车辆的行驶路线须绕开人口密集的居民区和受保护的水体等环境保护目标。组织危险废物的运输单位，在事先需作出周密的运输计划和行驶路线，其中包括有效的废物泄露情况下的应急措施。</w:t>
            </w:r>
          </w:p>
          <w:p w14:paraId="7D404CEE">
            <w:pPr>
              <w:keepNext w:val="0"/>
              <w:keepLines w:val="0"/>
              <w:pageBreakBefore w:val="0"/>
              <w:widowControl/>
              <w:numPr>
                <w:ilvl w:val="0"/>
                <w:numId w:val="0"/>
              </w:numPr>
              <w:kinsoku/>
              <w:wordWrap/>
              <w:overflowPunct/>
              <w:topLinePunct w:val="0"/>
              <w:autoSpaceDE/>
              <w:autoSpaceDN/>
              <w:bidi w:val="0"/>
              <w:spacing w:line="360" w:lineRule="auto"/>
              <w:ind w:right="0" w:firstLine="480" w:firstLineChars="200"/>
              <w:jc w:val="left"/>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（4）环境影响分析</w:t>
            </w:r>
          </w:p>
          <w:p w14:paraId="703733B2">
            <w:pPr>
              <w:keepNext w:val="0"/>
              <w:keepLines w:val="0"/>
              <w:pageBreakBefore w:val="0"/>
              <w:widowControl/>
              <w:numPr>
                <w:ilvl w:val="0"/>
                <w:numId w:val="0"/>
              </w:numPr>
              <w:kinsoku/>
              <w:wordWrap/>
              <w:overflowPunct/>
              <w:topLinePunct w:val="0"/>
              <w:autoSpaceDE/>
              <w:autoSpaceDN/>
              <w:bidi w:val="0"/>
              <w:spacing w:line="360" w:lineRule="auto"/>
              <w:ind w:right="0" w:firstLine="480" w:firstLineChars="200"/>
              <w:jc w:val="left"/>
              <w:textAlignment w:val="auto"/>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auto"/>
                <w:kern w:val="2"/>
                <w:sz w:val="24"/>
                <w:szCs w:val="24"/>
                <w:highlight w:val="none"/>
                <w:lang w:val="en-US" w:eastAsia="zh-CN" w:bidi="ar-SA"/>
              </w:rPr>
              <w:t>本项目所产生的固体废物做到及时收集，妥善处置，本项目一般固体废物满足《一般工业固体废物贮存和填埋污染控制标准》（GB18599-2020）、《固体废物分类与代码目录》（公告2024年第4号），危险废物满足《危险废物贮存污染控制标准》（GB18597-2023），本项目产生的固体废物经过妥善处理后，处置率达到100%，不会影响周边环境。</w:t>
            </w:r>
          </w:p>
          <w:p w14:paraId="1F336AE0">
            <w:pPr>
              <w:spacing w:line="480" w:lineRule="exac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5</w:t>
            </w:r>
            <w:r>
              <w:rPr>
                <w:rFonts w:hint="default" w:ascii="Times New Roman" w:hAnsi="Times New Roman" w:cs="Times New Roman"/>
                <w:b/>
                <w:color w:val="000000" w:themeColor="text1"/>
                <w:sz w:val="24"/>
                <w:highlight w:val="none"/>
                <w14:textFill>
                  <w14:solidFill>
                    <w14:schemeClr w14:val="tx1"/>
                  </w14:solidFill>
                </w14:textFill>
              </w:rPr>
              <w:t>、地下水</w:t>
            </w:r>
            <w:r>
              <w:rPr>
                <w:rFonts w:hint="default" w:ascii="Times New Roman" w:hAnsi="Times New Roman" w:cs="Times New Roman"/>
                <w:b/>
                <w:color w:val="000000" w:themeColor="text1"/>
                <w:sz w:val="24"/>
                <w:highlight w:val="none"/>
                <w:lang w:eastAsia="zh-CN"/>
                <w14:textFill>
                  <w14:solidFill>
                    <w14:schemeClr w14:val="tx1"/>
                  </w14:solidFill>
                </w14:textFill>
              </w:rPr>
              <w:t>、</w:t>
            </w:r>
            <w:r>
              <w:rPr>
                <w:rFonts w:hint="default" w:ascii="Times New Roman" w:hAnsi="Times New Roman" w:cs="Times New Roman"/>
                <w:b/>
                <w:color w:val="000000" w:themeColor="text1"/>
                <w:sz w:val="24"/>
                <w:highlight w:val="none"/>
                <w:lang w:val="en-US" w:eastAsia="zh-CN"/>
                <w14:textFill>
                  <w14:solidFill>
                    <w14:schemeClr w14:val="tx1"/>
                  </w14:solidFill>
                </w14:textFill>
              </w:rPr>
              <w:t>土壤</w:t>
            </w:r>
          </w:p>
          <w:p w14:paraId="195DDD20">
            <w:pPr>
              <w:adjustRightInd w:val="0"/>
              <w:snapToGrid w:val="0"/>
              <w:spacing w:line="48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根据《建设项目环境影响报告表编制技术指南</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污染影响类</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试行</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》,本项目不涉及集中式饮用水水源和热水、矿泉水、温泉等特殊地下水资源保护区，可不开展地下水专项评价工作；土壤不开展专项评价工作。</w:t>
            </w:r>
          </w:p>
          <w:p w14:paraId="543A2D2E">
            <w:pPr>
              <w:adjustRightInd w:val="0"/>
              <w:snapToGrid w:val="0"/>
              <w:spacing w:line="48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污染源、污染途径</w:t>
            </w:r>
          </w:p>
          <w:p w14:paraId="7EC09127">
            <w:pPr>
              <w:adjustRightInd w:val="0"/>
              <w:snapToGrid w:val="0"/>
              <w:spacing w:line="48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本项目运营期废水主要为职工生活污水和厂区初期雨水。正常状况下，上述废水可做到无废水外排</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不存在对地下水和土壤污染的途径</w:t>
            </w:r>
            <w:r>
              <w:rPr>
                <w:rFonts w:hint="default" w:ascii="Times New Roman" w:hAnsi="Times New Roman" w:cs="Times New Roman"/>
                <w:color w:val="000000" w:themeColor="text1"/>
                <w:sz w:val="24"/>
                <w:highlight w:val="none"/>
                <w14:textFill>
                  <w14:solidFill>
                    <w14:schemeClr w14:val="tx1"/>
                  </w14:solidFill>
                </w14:textFill>
              </w:rPr>
              <w:t>。废水对地下水、土壤可能造成污染的主要途径为非正常状态</w:t>
            </w:r>
            <w:r>
              <w:rPr>
                <w:rFonts w:hint="default" w:ascii="Times New Roman" w:hAnsi="Times New Roman" w:cs="Times New Roman"/>
                <w:color w:val="000000" w:themeColor="text1"/>
                <w:sz w:val="24"/>
                <w:highlight w:val="none"/>
                <w:lang w:eastAsia="zh-CN"/>
                <w14:textFill>
                  <w14:solidFill>
                    <w14:schemeClr w14:val="tx1"/>
                  </w14:solidFill>
                </w14:textFill>
              </w:rPr>
              <w:t>雨水收集池</w:t>
            </w:r>
            <w:r>
              <w:rPr>
                <w:rFonts w:hint="default" w:ascii="Times New Roman" w:hAnsi="Times New Roman" w:cs="Times New Roman"/>
                <w:color w:val="000000" w:themeColor="text1"/>
                <w:sz w:val="24"/>
                <w:highlight w:val="none"/>
                <w14:textFill>
                  <w14:solidFill>
                    <w14:schemeClr w14:val="tx1"/>
                  </w14:solidFill>
                </w14:textFill>
              </w:rPr>
              <w:t>破损时发生的渗漏。</w:t>
            </w:r>
          </w:p>
          <w:p w14:paraId="470361FB">
            <w:pPr>
              <w:adjustRightInd w:val="0"/>
              <w:snapToGrid w:val="0"/>
              <w:spacing w:line="48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污染物类型</w:t>
            </w:r>
          </w:p>
          <w:p w14:paraId="1FFE7002">
            <w:pPr>
              <w:adjustRightInd w:val="0"/>
              <w:snapToGrid w:val="0"/>
              <w:spacing w:line="48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污染物通过土层垂直下渗首先经过表土，再进入包气带，在包气带污染物可以得到一定程度的净化，不能被净化或固定的污染物随入渗水进入地下水层。本项目废水污染物以有机物及悬浮物为主。</w:t>
            </w:r>
          </w:p>
          <w:p w14:paraId="617402B7">
            <w:pPr>
              <w:adjustRightInd w:val="0"/>
              <w:snapToGrid w:val="0"/>
              <w:spacing w:line="480" w:lineRule="exact"/>
              <w:ind w:firstLine="480" w:firstLineChars="200"/>
              <w:rPr>
                <w:rFonts w:hint="default" w:ascii="Times New Roman" w:hAnsi="Times New Roman" w:eastAsia="宋体" w:cs="Times New Roman"/>
                <w:color w:val="FF0000"/>
                <w:sz w:val="24"/>
                <w:highlight w:val="none"/>
                <w:lang w:eastAsia="zh-CN"/>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FF0000"/>
                <w:sz w:val="24"/>
                <w:highlight w:val="none"/>
                <w:lang w:eastAsia="zh-CN"/>
              </w:rPr>
              <w:t>地下水、土壤环境保护措施</w:t>
            </w:r>
          </w:p>
          <w:p w14:paraId="391E271C">
            <w:pPr>
              <w:adjustRightInd w:val="0"/>
              <w:snapToGrid w:val="0"/>
              <w:spacing w:line="480" w:lineRule="exact"/>
              <w:ind w:firstLine="480" w:firstLineChars="200"/>
              <w:rPr>
                <w:rFonts w:hint="default" w:ascii="Times New Roman" w:hAnsi="Times New Roman" w:eastAsia="宋体" w:cs="Times New Roman"/>
                <w:color w:val="FF0000"/>
                <w:sz w:val="24"/>
                <w:highlight w:val="none"/>
                <w:lang w:eastAsia="zh-CN"/>
              </w:rPr>
            </w:pPr>
            <w:r>
              <w:rPr>
                <w:rFonts w:hint="default" w:ascii="Times New Roman" w:hAnsi="Times New Roman" w:eastAsia="宋体" w:cs="Times New Roman"/>
                <w:color w:val="FF0000"/>
                <w:sz w:val="24"/>
                <w:highlight w:val="none"/>
                <w:lang w:eastAsia="zh-CN"/>
              </w:rPr>
              <w:t>①源头控制</w:t>
            </w:r>
          </w:p>
          <w:p w14:paraId="320C0BAB">
            <w:pPr>
              <w:adjustRightInd w:val="0"/>
              <w:snapToGrid w:val="0"/>
              <w:spacing w:line="480" w:lineRule="exact"/>
              <w:ind w:firstLine="480" w:firstLineChars="200"/>
              <w:rPr>
                <w:rFonts w:hint="default" w:ascii="Times New Roman" w:hAnsi="Times New Roman" w:eastAsia="宋体" w:cs="Times New Roman"/>
                <w:color w:val="FF0000"/>
                <w:sz w:val="24"/>
                <w:highlight w:val="none"/>
                <w:lang w:eastAsia="zh-CN"/>
              </w:rPr>
            </w:pPr>
            <w:r>
              <w:rPr>
                <w:rFonts w:hint="default" w:ascii="Times New Roman" w:hAnsi="Times New Roman" w:eastAsia="宋体" w:cs="Times New Roman"/>
                <w:color w:val="FF0000"/>
                <w:sz w:val="24"/>
                <w:highlight w:val="none"/>
                <w:lang w:eastAsia="zh-CN"/>
              </w:rPr>
              <w:t>源头控制措施主要包括在</w:t>
            </w:r>
            <w:r>
              <w:rPr>
                <w:rFonts w:hint="default" w:ascii="Times New Roman" w:hAnsi="Times New Roman" w:cs="Times New Roman"/>
                <w:color w:val="FF0000"/>
                <w:sz w:val="24"/>
                <w:highlight w:val="none"/>
                <w:lang w:eastAsia="zh-CN"/>
              </w:rPr>
              <w:t>雨水收集池</w:t>
            </w:r>
            <w:r>
              <w:rPr>
                <w:rFonts w:hint="default" w:ascii="Times New Roman" w:hAnsi="Times New Roman" w:eastAsia="宋体" w:cs="Times New Roman"/>
                <w:color w:val="FF0000"/>
                <w:sz w:val="24"/>
                <w:highlight w:val="none"/>
                <w:lang w:eastAsia="zh-CN"/>
              </w:rPr>
              <w:t>等构筑物采取相应措施，降低污染物渗漏的环境风险。本项目生活污水、初期雨水可以做到全部回用，无废水外排，从源头上减少了废水的排放量。</w:t>
            </w:r>
          </w:p>
          <w:p w14:paraId="16272922">
            <w:pPr>
              <w:adjustRightInd w:val="0"/>
              <w:snapToGrid w:val="0"/>
              <w:spacing w:line="480" w:lineRule="exact"/>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②分区防控</w:t>
            </w:r>
          </w:p>
          <w:p w14:paraId="72D93053">
            <w:pPr>
              <w:adjustRightInd w:val="0"/>
              <w:snapToGrid w:val="0"/>
              <w:spacing w:line="480" w:lineRule="exact"/>
              <w:ind w:firstLine="480" w:firstLineChars="20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根据建设项目场地天然包气带防污性能、污染控制难易程度和污染物特性，提出以下防渗技术要求。</w:t>
            </w:r>
          </w:p>
          <w:p w14:paraId="4C709473">
            <w:pPr>
              <w:adjustRightInd w:val="0"/>
              <w:snapToGrid w:val="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分区防控措施</w:t>
            </w:r>
          </w:p>
          <w:tbl>
            <w:tblPr>
              <w:tblStyle w:val="21"/>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738"/>
              <w:gridCol w:w="1312"/>
              <w:gridCol w:w="5236"/>
            </w:tblGrid>
            <w:tr w14:paraId="215BA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vAlign w:val="center"/>
                </w:tcPr>
                <w:p w14:paraId="499013C6">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序号</w:t>
                  </w:r>
                </w:p>
              </w:tc>
              <w:tc>
                <w:tcPr>
                  <w:tcW w:w="1738" w:type="dxa"/>
                  <w:tcBorders>
                    <w:tl2br w:val="nil"/>
                    <w:tr2bl w:val="nil"/>
                  </w:tcBorders>
                  <w:vAlign w:val="center"/>
                </w:tcPr>
                <w:p w14:paraId="52DCD100">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场地</w:t>
                  </w:r>
                </w:p>
              </w:tc>
              <w:tc>
                <w:tcPr>
                  <w:tcW w:w="1312" w:type="dxa"/>
                  <w:tcBorders>
                    <w:tl2br w:val="nil"/>
                    <w:tr2bl w:val="nil"/>
                  </w:tcBorders>
                  <w:vAlign w:val="center"/>
                </w:tcPr>
                <w:p w14:paraId="739AD593">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防渗分区</w:t>
                  </w:r>
                </w:p>
              </w:tc>
              <w:tc>
                <w:tcPr>
                  <w:tcW w:w="5236" w:type="dxa"/>
                  <w:tcBorders>
                    <w:tl2br w:val="nil"/>
                    <w:tr2bl w:val="nil"/>
                  </w:tcBorders>
                  <w:vAlign w:val="center"/>
                </w:tcPr>
                <w:p w14:paraId="105C7D3E">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防渗技术要求</w:t>
                  </w:r>
                </w:p>
              </w:tc>
            </w:tr>
            <w:tr w14:paraId="58E1C5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vAlign w:val="center"/>
                </w:tcPr>
                <w:p w14:paraId="2B3B70C5">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1</w:t>
                  </w:r>
                </w:p>
              </w:tc>
              <w:tc>
                <w:tcPr>
                  <w:tcW w:w="1738" w:type="dxa"/>
                  <w:tcBorders>
                    <w:tl2br w:val="nil"/>
                    <w:tr2bl w:val="nil"/>
                  </w:tcBorders>
                  <w:vAlign w:val="center"/>
                </w:tcPr>
                <w:p w14:paraId="6AE9DB71">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厂内旱厕</w:t>
                  </w:r>
                </w:p>
              </w:tc>
              <w:tc>
                <w:tcPr>
                  <w:tcW w:w="1312" w:type="dxa"/>
                  <w:vMerge w:val="restart"/>
                  <w:tcBorders>
                    <w:tl2br w:val="nil"/>
                    <w:tr2bl w:val="nil"/>
                  </w:tcBorders>
                  <w:vAlign w:val="center"/>
                </w:tcPr>
                <w:p w14:paraId="735BE018">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一般防渗区</w:t>
                  </w:r>
                </w:p>
              </w:tc>
              <w:tc>
                <w:tcPr>
                  <w:tcW w:w="5236" w:type="dxa"/>
                  <w:vMerge w:val="restart"/>
                  <w:tcBorders>
                    <w:tl2br w:val="nil"/>
                    <w:tr2bl w:val="nil"/>
                  </w:tcBorders>
                  <w:vAlign w:val="center"/>
                </w:tcPr>
                <w:p w14:paraId="39E7BFC1">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水泥硬化，</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等效粘土防渗层Mb≥1.5m，K</w:t>
                  </w:r>
                  <w:r>
                    <w:rPr>
                      <w:rFonts w:hint="default" w:ascii="Times New Roman" w:hAnsi="Times New Roman" w:eastAsia="宋体" w:cs="Times New Roman"/>
                      <w:color w:val="000000" w:themeColor="text1"/>
                      <w:sz w:val="21"/>
                      <w:szCs w:val="21"/>
                      <w:highlight w:val="none"/>
                      <w14:textFill>
                        <w14:solidFill>
                          <w14:schemeClr w14:val="tx1"/>
                        </w14:solidFill>
                      </w14:textFill>
                    </w:rPr>
                    <w:t>≤1.0×10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r>
            <w:tr w14:paraId="515ADB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vAlign w:val="center"/>
                </w:tcPr>
                <w:p w14:paraId="19E58ADF">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2</w:t>
                  </w:r>
                </w:p>
              </w:tc>
              <w:tc>
                <w:tcPr>
                  <w:tcW w:w="1738" w:type="dxa"/>
                  <w:tcBorders>
                    <w:tl2br w:val="nil"/>
                    <w:tr2bl w:val="nil"/>
                  </w:tcBorders>
                  <w:vAlign w:val="center"/>
                </w:tcPr>
                <w:p w14:paraId="3B45E578">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雨水收集池</w:t>
                  </w:r>
                </w:p>
              </w:tc>
              <w:tc>
                <w:tcPr>
                  <w:tcW w:w="1312" w:type="dxa"/>
                  <w:vMerge w:val="continue"/>
                  <w:tcBorders>
                    <w:tl2br w:val="nil"/>
                    <w:tr2bl w:val="nil"/>
                  </w:tcBorders>
                  <w:vAlign w:val="center"/>
                </w:tcPr>
                <w:p w14:paraId="6FF0F13D">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5236" w:type="dxa"/>
                  <w:vMerge w:val="continue"/>
                  <w:tcBorders>
                    <w:tl2br w:val="nil"/>
                    <w:tr2bl w:val="nil"/>
                  </w:tcBorders>
                  <w:vAlign w:val="center"/>
                </w:tcPr>
                <w:p w14:paraId="100A30BF">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14:paraId="3B8811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vAlign w:val="center"/>
                </w:tcPr>
                <w:p w14:paraId="7272737A">
                  <w:pPr>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3</w:t>
                  </w:r>
                </w:p>
              </w:tc>
              <w:tc>
                <w:tcPr>
                  <w:tcW w:w="1738" w:type="dxa"/>
                  <w:tcBorders>
                    <w:tl2br w:val="nil"/>
                    <w:tr2bl w:val="nil"/>
                  </w:tcBorders>
                  <w:vAlign w:val="center"/>
                </w:tcPr>
                <w:p w14:paraId="68468D70">
                  <w:pPr>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auto"/>
                      <w:szCs w:val="21"/>
                      <w:highlight w:val="none"/>
                      <w:lang w:val="en-US" w:eastAsia="zh-CN"/>
                    </w:rPr>
                    <w:t>危险废物贮存点</w:t>
                  </w:r>
                </w:p>
              </w:tc>
              <w:tc>
                <w:tcPr>
                  <w:tcW w:w="1312" w:type="dxa"/>
                  <w:tcBorders>
                    <w:tl2br w:val="nil"/>
                    <w:tr2bl w:val="nil"/>
                  </w:tcBorders>
                  <w:vAlign w:val="center"/>
                </w:tcPr>
                <w:p w14:paraId="3F9BCEE8">
                  <w:pPr>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auto"/>
                      <w:szCs w:val="21"/>
                      <w:highlight w:val="none"/>
                      <w:lang w:val="en-US" w:eastAsia="zh-CN"/>
                    </w:rPr>
                    <w:t>重点防渗区</w:t>
                  </w:r>
                </w:p>
              </w:tc>
              <w:tc>
                <w:tcPr>
                  <w:tcW w:w="5236" w:type="dxa"/>
                  <w:tcBorders>
                    <w:tl2br w:val="nil"/>
                    <w:tr2bl w:val="nil"/>
                  </w:tcBorders>
                  <w:vAlign w:val="center"/>
                </w:tcPr>
                <w:p w14:paraId="615290BF">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auto"/>
                      <w:sz w:val="21"/>
                      <w:szCs w:val="21"/>
                      <w:highlight w:val="none"/>
                      <w:lang w:val="en-US" w:eastAsia="zh-CN"/>
                    </w:rPr>
                    <w:t>至少2mm厚的防渗人工材料，防渗系数≤10</w:t>
                  </w:r>
                  <w:r>
                    <w:rPr>
                      <w:rFonts w:hint="default" w:ascii="Times New Roman" w:hAnsi="Times New Roman" w:eastAsia="宋体" w:cs="Times New Roman"/>
                      <w:bCs/>
                      <w:color w:val="auto"/>
                      <w:sz w:val="21"/>
                      <w:szCs w:val="21"/>
                      <w:highlight w:val="none"/>
                      <w:vertAlign w:val="superscript"/>
                      <w:lang w:val="en-US" w:eastAsia="zh-CN"/>
                    </w:rPr>
                    <w:t>-</w:t>
                  </w:r>
                  <w:r>
                    <w:rPr>
                      <w:rFonts w:hint="default" w:ascii="Times New Roman" w:hAnsi="Times New Roman" w:cs="Times New Roman"/>
                      <w:bCs/>
                      <w:color w:val="auto"/>
                      <w:sz w:val="21"/>
                      <w:szCs w:val="21"/>
                      <w:highlight w:val="none"/>
                      <w:vertAlign w:val="superscript"/>
                      <w:lang w:val="en-US" w:eastAsia="zh-CN"/>
                    </w:rPr>
                    <w:t>10</w:t>
                  </w:r>
                  <w:r>
                    <w:rPr>
                      <w:rFonts w:hint="default" w:ascii="Times New Roman" w:hAnsi="Times New Roman" w:eastAsia="宋体" w:cs="Times New Roman"/>
                      <w:bCs/>
                      <w:color w:val="auto"/>
                      <w:sz w:val="21"/>
                      <w:szCs w:val="21"/>
                      <w:highlight w:val="none"/>
                      <w:lang w:val="en-US" w:eastAsia="zh-CN"/>
                    </w:rPr>
                    <w:t>cm/s</w:t>
                  </w:r>
                </w:p>
              </w:tc>
            </w:tr>
            <w:tr w14:paraId="66DDBF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1" w:type="dxa"/>
                  <w:tcBorders>
                    <w:tl2br w:val="nil"/>
                    <w:tr2bl w:val="nil"/>
                  </w:tcBorders>
                  <w:vAlign w:val="center"/>
                </w:tcPr>
                <w:p w14:paraId="1B35012A">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4</w:t>
                  </w:r>
                </w:p>
              </w:tc>
              <w:tc>
                <w:tcPr>
                  <w:tcW w:w="1738" w:type="dxa"/>
                  <w:tcBorders>
                    <w:tl2br w:val="nil"/>
                    <w:tr2bl w:val="nil"/>
                  </w:tcBorders>
                  <w:vAlign w:val="center"/>
                </w:tcPr>
                <w:p w14:paraId="03647E1B">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其他区域</w:t>
                  </w:r>
                </w:p>
              </w:tc>
              <w:tc>
                <w:tcPr>
                  <w:tcW w:w="1312" w:type="dxa"/>
                  <w:tcBorders>
                    <w:tl2br w:val="nil"/>
                    <w:tr2bl w:val="nil"/>
                  </w:tcBorders>
                  <w:vAlign w:val="center"/>
                </w:tcPr>
                <w:p w14:paraId="61F50F13">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简单防渗区</w:t>
                  </w:r>
                </w:p>
              </w:tc>
              <w:tc>
                <w:tcPr>
                  <w:tcW w:w="5236" w:type="dxa"/>
                  <w:tcBorders>
                    <w:tl2br w:val="nil"/>
                    <w:tr2bl w:val="nil"/>
                  </w:tcBorders>
                  <w:vAlign w:val="center"/>
                </w:tcPr>
                <w:p w14:paraId="356D8FC6">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储煤场地面硬化，车辆进出口及主要通道使用水泥硬化</w:t>
                  </w:r>
                </w:p>
              </w:tc>
            </w:tr>
          </w:tbl>
          <w:p w14:paraId="236B7231">
            <w:pPr>
              <w:spacing w:line="480" w:lineRule="exac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6</w:t>
            </w:r>
            <w:r>
              <w:rPr>
                <w:rFonts w:hint="default" w:ascii="Times New Roman" w:hAnsi="Times New Roman" w:cs="Times New Roman"/>
                <w:b/>
                <w:color w:val="000000" w:themeColor="text1"/>
                <w:sz w:val="24"/>
                <w:highlight w:val="none"/>
                <w:lang w:val="en-US" w:eastAsia="zh-CN"/>
                <w14:textFill>
                  <w14:solidFill>
                    <w14:schemeClr w14:val="tx1"/>
                  </w14:solidFill>
                </w14:textFill>
              </w:rPr>
              <w:t>、生态影响</w:t>
            </w:r>
          </w:p>
          <w:p w14:paraId="63168E27">
            <w:pPr>
              <w:spacing w:line="480" w:lineRule="exact"/>
              <w:ind w:firstLine="48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本项目地块位于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黑龙江省鸡西市鸡冠区西郊乡梁家村铁路南侧</w:t>
            </w:r>
            <w:r>
              <w:rPr>
                <w:rFonts w:hint="default" w:ascii="Times New Roman" w:hAnsi="Times New Roman" w:cs="Times New Roman"/>
                <w:color w:val="000000" w:themeColor="text1"/>
                <w:sz w:val="24"/>
                <w:highlight w:val="none"/>
                <w:lang w:val="en-US" w:eastAsia="zh-CN"/>
                <w14:textFill>
                  <w14:solidFill>
                    <w14:schemeClr w14:val="tx1"/>
                  </w14:solidFill>
                </w14:textFill>
              </w:rPr>
              <w:t>，土地类型为采矿用地。</w:t>
            </w:r>
          </w:p>
          <w:p w14:paraId="72B04FA0">
            <w:pPr>
              <w:spacing w:line="480" w:lineRule="exact"/>
              <w:ind w:firstLine="48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项目地块面积22457m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，本地块仅用于煤炭的贮存、销售，</w:t>
            </w:r>
            <w:r>
              <w:rPr>
                <w:rFonts w:hint="default" w:ascii="Times New Roman" w:hAnsi="Times New Roman" w:cs="Times New Roman"/>
                <w:color w:val="000000" w:themeColor="text1"/>
                <w:sz w:val="24"/>
                <w:szCs w:val="21"/>
                <w:highlight w:val="none"/>
                <w14:textFill>
                  <w14:solidFill>
                    <w14:schemeClr w14:val="tx1"/>
                  </w14:solidFill>
                </w14:textFill>
              </w:rPr>
              <w:t>项目施</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工</w:t>
            </w:r>
            <w:r>
              <w:rPr>
                <w:rFonts w:hint="default" w:ascii="Times New Roman" w:hAnsi="Times New Roman" w:cs="Times New Roman"/>
                <w:color w:val="000000" w:themeColor="text1"/>
                <w:sz w:val="24"/>
                <w:szCs w:val="21"/>
                <w:highlight w:val="none"/>
                <w14:textFill>
                  <w14:solidFill>
                    <w14:schemeClr w14:val="tx1"/>
                  </w14:solidFill>
                </w14:textFill>
              </w:rPr>
              <w:t>运营过程中</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仅产</w:t>
            </w:r>
            <w:r>
              <w:rPr>
                <w:rFonts w:hint="default" w:ascii="Times New Roman" w:hAnsi="Times New Roman" w:cs="Times New Roman"/>
                <w:color w:val="000000" w:themeColor="text1"/>
                <w:sz w:val="24"/>
                <w:highlight w:val="none"/>
                <w:lang w:val="en-US" w:eastAsia="zh-CN"/>
                <w14:textFill>
                  <w14:solidFill>
                    <w14:schemeClr w14:val="tx1"/>
                  </w14:solidFill>
                </w14:textFill>
              </w:rPr>
              <w:t>生少量扬尘，在落实储煤点四周设置闭合防风抑尘网，场内堆存煤炭使用绿网苫盖；定期洒水降尘等措施后，运营期间产生的扬尘对生态环境</w:t>
            </w:r>
            <w:r>
              <w:rPr>
                <w:rFonts w:hint="default" w:ascii="Times New Roman" w:hAnsi="Times New Roman" w:cs="Times New Roman"/>
                <w:color w:val="000000" w:themeColor="text1"/>
                <w:sz w:val="24"/>
                <w:szCs w:val="21"/>
                <w:highlight w:val="none"/>
                <w14:textFill>
                  <w14:solidFill>
                    <w14:schemeClr w14:val="tx1"/>
                  </w14:solidFill>
                </w14:textFill>
              </w:rPr>
              <w:t>的影响很小</w:t>
            </w:r>
            <w:r>
              <w:rPr>
                <w:rFonts w:hint="default" w:ascii="Times New Roman" w:hAnsi="Times New Roman" w:cs="Times New Roman"/>
                <w:color w:val="000000" w:themeColor="text1"/>
                <w:sz w:val="24"/>
                <w:szCs w:val="21"/>
                <w:highlight w:val="none"/>
                <w:lang w:eastAsia="zh-CN"/>
                <w14:textFill>
                  <w14:solidFill>
                    <w14:schemeClr w14:val="tx1"/>
                  </w14:solidFill>
                </w14:textFill>
              </w:rPr>
              <w:t>；</w:t>
            </w:r>
            <w:r>
              <w:rPr>
                <w:rFonts w:hint="default" w:ascii="Times New Roman" w:hAnsi="Times New Roman" w:cs="Times New Roman"/>
                <w:color w:val="000000" w:themeColor="text1"/>
                <w:sz w:val="24"/>
                <w:szCs w:val="21"/>
                <w:highlight w:val="none"/>
                <w:lang w:val="en-US" w:eastAsia="zh-CN"/>
                <w14:textFill>
                  <w14:solidFill>
                    <w14:schemeClr w14:val="tx1"/>
                  </w14:solidFill>
                </w14:textFill>
              </w:rPr>
              <w:t>项目无生产废水产生，</w:t>
            </w:r>
            <w:r>
              <w:rPr>
                <w:rFonts w:hint="default" w:ascii="Times New Roman" w:hAnsi="Times New Roman" w:cs="Times New Roman"/>
                <w:color w:val="000000" w:themeColor="text1"/>
                <w:sz w:val="24"/>
                <w:highlight w:val="none"/>
                <w:lang w:val="en-US" w:eastAsia="zh-CN"/>
                <w14:textFill>
                  <w14:solidFill>
                    <w14:schemeClr w14:val="tx1"/>
                  </w14:solidFill>
                </w14:textFill>
              </w:rPr>
              <w:t>生活污水经防渗旱厕处理后，由当地居民定期清掏用作农家肥；固体废物分类处理，对生态影响小；生产设备产生的噪声对生态环境的影响不大；综上，项目营运期污染物均得到有效处理和处置，对周边影响不大。</w:t>
            </w:r>
          </w:p>
          <w:p w14:paraId="6CD46261">
            <w:pPr>
              <w:spacing w:line="480" w:lineRule="exac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、环境风险</w:t>
            </w:r>
          </w:p>
          <w:p w14:paraId="2047E5DC">
            <w:pPr>
              <w:adjustRightInd w:val="0"/>
              <w:snapToGrid w:val="0"/>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rPr>
              <w:t>（1）</w:t>
            </w:r>
            <w:r>
              <w:rPr>
                <w:rFonts w:hint="default" w:ascii="Times New Roman" w:hAnsi="Times New Roman" w:eastAsia="宋体" w:cs="Times New Roman"/>
                <w:color w:val="auto"/>
                <w:sz w:val="24"/>
                <w:highlight w:val="none"/>
                <w:lang w:val="en-US" w:eastAsia="zh-CN"/>
              </w:rPr>
              <w:t>环境风险识别</w:t>
            </w:r>
          </w:p>
          <w:p w14:paraId="60CC6FC1">
            <w:pPr>
              <w:adjustRightInd w:val="0"/>
              <w:snapToGrid w:val="0"/>
              <w:spacing w:line="480" w:lineRule="exact"/>
              <w:ind w:firstLine="480" w:firstLineChars="200"/>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依据《建设项目环境风险评价技术导则》（HJ169-2018）中的危险物质或危险化学品，对项目的环境风险物质进行判断，本项目风险物质主要</w:t>
            </w:r>
            <w:r>
              <w:rPr>
                <w:rFonts w:hint="default" w:ascii="Times New Roman" w:hAnsi="Times New Roman" w:eastAsia="宋体" w:cs="Times New Roman"/>
                <w:color w:val="auto"/>
                <w:sz w:val="24"/>
                <w:highlight w:val="none"/>
                <w:lang w:val="en-US" w:eastAsia="zh-CN"/>
              </w:rPr>
              <w:t>为废机油</w:t>
            </w:r>
            <w:r>
              <w:rPr>
                <w:rFonts w:hint="default" w:ascii="Times New Roman" w:hAnsi="Times New Roman" w:eastAsia="宋体" w:cs="Times New Roman"/>
                <w:color w:val="auto"/>
                <w:sz w:val="24"/>
                <w:highlight w:val="none"/>
                <w:lang w:val="en-US"/>
              </w:rPr>
              <w:t>。</w:t>
            </w:r>
          </w:p>
          <w:p w14:paraId="0953CB28">
            <w:pPr>
              <w:adjustRightInd w:val="0"/>
              <w:snapToGrid w:val="0"/>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（2）建设项目风险物质存储情况</w:t>
            </w:r>
          </w:p>
          <w:p w14:paraId="4C7ADF1E">
            <w:pPr>
              <w:adjustRightInd w:val="0"/>
              <w:snapToGrid w:val="0"/>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rPr>
              <w:t>根据《建设项目环境风险评价技术导则》（HJ 169-2018）附录B可知，本项目风险物质主要为</w:t>
            </w:r>
            <w:r>
              <w:rPr>
                <w:rFonts w:hint="default" w:ascii="Times New Roman" w:hAnsi="Times New Roman" w:eastAsia="宋体" w:cs="Times New Roman"/>
                <w:color w:val="auto"/>
                <w:sz w:val="24"/>
                <w:highlight w:val="none"/>
                <w:lang w:val="en-US" w:eastAsia="zh-CN"/>
              </w:rPr>
              <w:t>废机油，</w:t>
            </w:r>
            <w:r>
              <w:rPr>
                <w:rFonts w:hint="default" w:ascii="Times New Roman" w:hAnsi="Times New Roman" w:cs="Times New Roman"/>
                <w:color w:val="auto"/>
                <w:sz w:val="24"/>
                <w:szCs w:val="24"/>
                <w:highlight w:val="none"/>
                <w:lang w:val="en-US" w:eastAsia="zh-CN"/>
              </w:rPr>
              <w:t>产生的废机油暂存在内的危险废物贮存点，</w:t>
            </w:r>
            <w:r>
              <w:rPr>
                <w:rFonts w:hint="default" w:ascii="Times New Roman" w:hAnsi="Times New Roman" w:cs="Times New Roman"/>
                <w:color w:val="auto"/>
                <w:sz w:val="24"/>
                <w:highlight w:val="none"/>
                <w:lang w:val="en-US" w:eastAsia="zh-CN"/>
              </w:rPr>
              <w:t>危险废物贮存点</w:t>
            </w:r>
            <w:r>
              <w:rPr>
                <w:rFonts w:hint="default" w:ascii="Times New Roman" w:hAnsi="Times New Roman" w:eastAsia="宋体" w:cs="Times New Roman"/>
                <w:color w:val="auto"/>
                <w:sz w:val="24"/>
                <w:highlight w:val="none"/>
                <w:lang w:val="en-US" w:eastAsia="zh-CN"/>
              </w:rPr>
              <w:t>内最大储存量10kg</w:t>
            </w:r>
            <w:r>
              <w:rPr>
                <w:rFonts w:hint="default" w:ascii="Times New Roman" w:hAnsi="Times New Roman" w:cs="Times New Roman"/>
                <w:color w:val="auto"/>
                <w:sz w:val="24"/>
                <w:szCs w:val="24"/>
                <w:highlight w:val="none"/>
                <w:lang w:val="en-US" w:eastAsia="zh-CN"/>
              </w:rPr>
              <w:t>。</w:t>
            </w:r>
          </w:p>
          <w:p w14:paraId="472B0EDB">
            <w:pPr>
              <w:adjustRightInd w:val="0"/>
              <w:snapToGrid w:val="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表4-10  环境风险物质统计表</w:t>
            </w:r>
          </w:p>
          <w:tbl>
            <w:tblPr>
              <w:tblStyle w:val="20"/>
              <w:tblW w:w="4997"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59"/>
              <w:gridCol w:w="3452"/>
              <w:gridCol w:w="1112"/>
              <w:gridCol w:w="1581"/>
              <w:gridCol w:w="1282"/>
              <w:gridCol w:w="796"/>
            </w:tblGrid>
            <w:tr w14:paraId="1029A3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545" w:hRule="atLeast"/>
              </w:trPr>
              <w:tc>
                <w:tcPr>
                  <w:tcW w:w="318" w:type="pct"/>
                  <w:tcBorders>
                    <w:tl2br w:val="nil"/>
                    <w:tr2bl w:val="nil"/>
                  </w:tcBorders>
                  <w:noWrap w:val="0"/>
                  <w:vAlign w:val="center"/>
                </w:tcPr>
                <w:p w14:paraId="077DB47F">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965" w:type="pct"/>
                  <w:tcBorders>
                    <w:tl2br w:val="nil"/>
                    <w:tr2bl w:val="nil"/>
                  </w:tcBorders>
                  <w:noWrap w:val="0"/>
                  <w:vAlign w:val="center"/>
                </w:tcPr>
                <w:p w14:paraId="30F13A3B">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危险物质</w:t>
                  </w:r>
                </w:p>
              </w:tc>
              <w:tc>
                <w:tcPr>
                  <w:tcW w:w="633" w:type="pct"/>
                  <w:tcBorders>
                    <w:tl2br w:val="nil"/>
                    <w:tr2bl w:val="nil"/>
                  </w:tcBorders>
                  <w:noWrap w:val="0"/>
                  <w:vAlign w:val="center"/>
                </w:tcPr>
                <w:p w14:paraId="6A9DDD87">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CAS号</w:t>
                  </w:r>
                </w:p>
              </w:tc>
              <w:tc>
                <w:tcPr>
                  <w:tcW w:w="900" w:type="pct"/>
                  <w:tcBorders>
                    <w:tl2br w:val="nil"/>
                    <w:tr2bl w:val="nil"/>
                  </w:tcBorders>
                  <w:noWrap w:val="0"/>
                  <w:vAlign w:val="center"/>
                </w:tcPr>
                <w:p w14:paraId="7D3B9848">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最大储存量（t）</w:t>
                  </w:r>
                </w:p>
              </w:tc>
              <w:tc>
                <w:tcPr>
                  <w:tcW w:w="729" w:type="pct"/>
                  <w:tcBorders>
                    <w:tl2br w:val="nil"/>
                    <w:tr2bl w:val="nil"/>
                  </w:tcBorders>
                  <w:noWrap w:val="0"/>
                  <w:vAlign w:val="center"/>
                </w:tcPr>
                <w:p w14:paraId="03ED51DF">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临界量（t）</w:t>
                  </w:r>
                </w:p>
              </w:tc>
              <w:tc>
                <w:tcPr>
                  <w:tcW w:w="453" w:type="pct"/>
                  <w:tcBorders>
                    <w:tl2br w:val="nil"/>
                    <w:tr2bl w:val="nil"/>
                  </w:tcBorders>
                  <w:noWrap w:val="0"/>
                  <w:vAlign w:val="center"/>
                </w:tcPr>
                <w:p w14:paraId="51C30367">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q值</w:t>
                  </w:r>
                </w:p>
              </w:tc>
            </w:tr>
            <w:tr w14:paraId="592318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18" w:type="pct"/>
                  <w:tcBorders>
                    <w:tl2br w:val="nil"/>
                    <w:tr2bl w:val="nil"/>
                  </w:tcBorders>
                  <w:noWrap w:val="0"/>
                  <w:vAlign w:val="center"/>
                </w:tcPr>
                <w:p w14:paraId="4615E76C">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965" w:type="pct"/>
                  <w:tcBorders>
                    <w:tl2br w:val="nil"/>
                    <w:tr2bl w:val="nil"/>
                  </w:tcBorders>
                  <w:noWrap w:val="0"/>
                  <w:vAlign w:val="center"/>
                </w:tcPr>
                <w:p w14:paraId="6F2F6E42">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油类物质（矿物油类，如石油、汽油、柴油；生物柴油等）</w:t>
                  </w:r>
                </w:p>
              </w:tc>
              <w:tc>
                <w:tcPr>
                  <w:tcW w:w="633" w:type="pct"/>
                  <w:tcBorders>
                    <w:tl2br w:val="nil"/>
                    <w:tr2bl w:val="nil"/>
                  </w:tcBorders>
                  <w:noWrap w:val="0"/>
                  <w:vAlign w:val="center"/>
                </w:tcPr>
                <w:p w14:paraId="02DD2D35">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900" w:type="pct"/>
                  <w:tcBorders>
                    <w:tl2br w:val="nil"/>
                    <w:tr2bl w:val="nil"/>
                  </w:tcBorders>
                  <w:noWrap w:val="0"/>
                  <w:vAlign w:val="center"/>
                </w:tcPr>
                <w:p w14:paraId="4D487598">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w:t>
                  </w:r>
                </w:p>
              </w:tc>
              <w:tc>
                <w:tcPr>
                  <w:tcW w:w="729" w:type="pct"/>
                  <w:tcBorders>
                    <w:tl2br w:val="nil"/>
                    <w:tr2bl w:val="nil"/>
                  </w:tcBorders>
                  <w:noWrap w:val="0"/>
                  <w:vAlign w:val="center"/>
                </w:tcPr>
                <w:p w14:paraId="38F4F2EE">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2500</w:t>
                  </w:r>
                </w:p>
              </w:tc>
              <w:tc>
                <w:tcPr>
                  <w:tcW w:w="453" w:type="pct"/>
                  <w:tcBorders>
                    <w:tl2br w:val="nil"/>
                    <w:tr2bl w:val="nil"/>
                  </w:tcBorders>
                  <w:noWrap w:val="0"/>
                  <w:vAlign w:val="center"/>
                </w:tcPr>
                <w:p w14:paraId="02AEFB6F">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4.0×10</w:t>
                  </w:r>
                  <w:r>
                    <w:rPr>
                      <w:rFonts w:hint="default" w:ascii="Times New Roman" w:hAnsi="Times New Roman" w:cs="Times New Roman"/>
                      <w:color w:val="auto"/>
                      <w:highlight w:val="none"/>
                      <w:vertAlign w:val="superscript"/>
                      <w:lang w:val="en-US" w:eastAsia="zh-CN"/>
                    </w:rPr>
                    <w:t>-6</w:t>
                  </w:r>
                </w:p>
              </w:tc>
            </w:tr>
            <w:tr w14:paraId="20CDC67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46" w:type="pct"/>
                  <w:gridSpan w:val="5"/>
                  <w:tcBorders>
                    <w:tl2br w:val="nil"/>
                    <w:tr2bl w:val="nil"/>
                  </w:tcBorders>
                  <w:noWrap w:val="0"/>
                  <w:vAlign w:val="center"/>
                </w:tcPr>
                <w:p w14:paraId="0C631909">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453" w:type="pct"/>
                  <w:tcBorders>
                    <w:tl2br w:val="nil"/>
                    <w:tr2bl w:val="nil"/>
                  </w:tcBorders>
                  <w:noWrap w:val="0"/>
                  <w:vAlign w:val="center"/>
                </w:tcPr>
                <w:p w14:paraId="635A23DC">
                  <w:pPr>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4.0×10</w:t>
                  </w:r>
                  <w:r>
                    <w:rPr>
                      <w:rFonts w:hint="default" w:ascii="Times New Roman" w:hAnsi="Times New Roman" w:cs="Times New Roman"/>
                      <w:color w:val="auto"/>
                      <w:highlight w:val="none"/>
                      <w:vertAlign w:val="superscript"/>
                      <w:lang w:val="en-US" w:eastAsia="zh-CN"/>
                    </w:rPr>
                    <w:t>-6</w:t>
                  </w:r>
                </w:p>
              </w:tc>
            </w:tr>
          </w:tbl>
          <w:p w14:paraId="0C4DFF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（3）环境风险影响分析</w:t>
            </w:r>
          </w:p>
          <w:p w14:paraId="33C5F4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本项目选址不涉及环境敏感区，不存在重大危险源，风险水平值较低。项目运营期存在一定潜在的环境风险事故，主要为</w:t>
            </w:r>
            <w:r>
              <w:rPr>
                <w:rFonts w:hint="default" w:ascii="Times New Roman" w:hAnsi="Times New Roman" w:eastAsia="宋体" w:cs="Times New Roman"/>
                <w:color w:val="auto"/>
                <w:sz w:val="24"/>
                <w:highlight w:val="none"/>
                <w:lang w:val="en-US" w:eastAsia="zh-CN"/>
              </w:rPr>
              <w:t>废机油泄露对土壤、地下水造成污染</w:t>
            </w:r>
            <w:r>
              <w:rPr>
                <w:rFonts w:hint="default" w:ascii="Times New Roman" w:hAnsi="Times New Roman" w:eastAsia="宋体" w:cs="Times New Roman"/>
                <w:color w:val="auto"/>
                <w:sz w:val="24"/>
                <w:highlight w:val="none"/>
                <w:lang w:val="en-US"/>
              </w:rPr>
              <w:t>。</w:t>
            </w:r>
            <w:r>
              <w:rPr>
                <w:rFonts w:hint="default" w:ascii="Times New Roman" w:hAnsi="Times New Roman" w:eastAsia="宋体" w:cs="Times New Roman"/>
                <w:color w:val="auto"/>
                <w:sz w:val="24"/>
                <w:highlight w:val="none"/>
                <w:lang w:val="en-US" w:eastAsia="zh-CN"/>
              </w:rPr>
              <w:t>废机油储存</w:t>
            </w:r>
            <w:r>
              <w:rPr>
                <w:rFonts w:hint="default" w:ascii="Times New Roman" w:hAnsi="Times New Roman" w:cs="Times New Roman"/>
                <w:color w:val="auto"/>
                <w:sz w:val="24"/>
                <w:highlight w:val="none"/>
                <w:lang w:val="en-US" w:eastAsia="zh-CN"/>
              </w:rPr>
              <w:t>在危险废物贮存点</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危险废物贮存点</w:t>
            </w:r>
            <w:r>
              <w:rPr>
                <w:rFonts w:hint="default" w:ascii="Times New Roman" w:hAnsi="Times New Roman" w:eastAsia="宋体" w:cs="Times New Roman"/>
                <w:color w:val="auto"/>
                <w:sz w:val="24"/>
                <w:highlight w:val="none"/>
                <w:lang w:val="en-US" w:eastAsia="zh-CN"/>
              </w:rPr>
              <w:t>内地面硬化，</w:t>
            </w:r>
            <w:r>
              <w:rPr>
                <w:rFonts w:hint="default" w:ascii="Times New Roman" w:hAnsi="Times New Roman" w:eastAsia="宋体" w:cs="Times New Roman"/>
                <w:color w:val="auto"/>
                <w:sz w:val="24"/>
                <w:highlight w:val="none"/>
                <w:lang w:val="en-US"/>
              </w:rPr>
              <w:t>防渗性能不低于</w:t>
            </w:r>
            <w:r>
              <w:rPr>
                <w:rFonts w:hint="default" w:ascii="Times New Roman" w:hAnsi="Times New Roman" w:cs="Times New Roman"/>
                <w:color w:val="auto"/>
                <w:sz w:val="24"/>
                <w:highlight w:val="none"/>
                <w:lang w:val="en-US" w:eastAsia="zh-CN"/>
              </w:rPr>
              <w:t>2mm厚的防渗人工材料，防渗</w:t>
            </w:r>
            <w:r>
              <w:rPr>
                <w:rFonts w:hint="default" w:ascii="Times New Roman" w:hAnsi="Times New Roman" w:eastAsia="宋体" w:cs="Times New Roman"/>
                <w:color w:val="auto"/>
                <w:sz w:val="24"/>
                <w:highlight w:val="none"/>
                <w:lang w:val="en-US"/>
              </w:rPr>
              <w:t>系数为10</w:t>
            </w:r>
            <w:r>
              <w:rPr>
                <w:rFonts w:hint="default" w:ascii="Times New Roman" w:hAnsi="Times New Roman" w:cs="Times New Roman"/>
                <w:color w:val="auto"/>
                <w:sz w:val="24"/>
                <w:highlight w:val="none"/>
                <w:vertAlign w:val="superscript"/>
                <w:lang w:val="en-US" w:eastAsia="zh-CN"/>
              </w:rPr>
              <w:t>-10</w:t>
            </w:r>
            <w:r>
              <w:rPr>
                <w:rFonts w:hint="default" w:ascii="Times New Roman" w:hAnsi="Times New Roman" w:eastAsia="宋体" w:cs="Times New Roman"/>
                <w:color w:val="auto"/>
                <w:sz w:val="24"/>
                <w:highlight w:val="none"/>
                <w:lang w:val="en-US"/>
              </w:rPr>
              <w:t>cm/s</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只要建设单位加强风险管理，在项目建设、实施过程中认真落实各种环境风险防范措施，并在环境风险事故发生后，及时采取有效的风险应急措施，使环境风险事故得到有效的控制，将事故风险控制在可接受的范围内，项目环境风险值处于可接受水平范围内。</w:t>
            </w:r>
          </w:p>
          <w:p w14:paraId="54470E4D">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b/>
                <w:color w:val="auto"/>
                <w:kern w:val="0"/>
                <w:sz w:val="24"/>
                <w:szCs w:val="20"/>
                <w:highlight w:val="none"/>
                <w:lang w:val="en-US" w:eastAsia="zh-CN" w:bidi="ar-SA"/>
              </w:rPr>
              <w:t>8、运输线路环境影响</w:t>
            </w:r>
          </w:p>
          <w:p w14:paraId="1EB4C46E">
            <w:pPr>
              <w:pStyle w:val="1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（1）运输路线环境敏感目标</w:t>
            </w:r>
          </w:p>
          <w:p w14:paraId="78B062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4"/>
                <w:sz w:val="24"/>
                <w:highlight w:val="none"/>
                <w:lang w:val="en-US" w:eastAsia="zh-CN"/>
                <w14:textFill>
                  <w14:solidFill>
                    <w14:schemeClr w14:val="tx1"/>
                  </w14:solidFill>
                </w14:textFill>
              </w:rPr>
              <w:t>本</w:t>
            </w:r>
            <w:r>
              <w:rPr>
                <w:rFonts w:hint="default" w:ascii="Times New Roman" w:hAnsi="Times New Roman" w:cs="Times New Roman"/>
                <w:color w:val="000000" w:themeColor="text1"/>
                <w:kern w:val="24"/>
                <w:sz w:val="24"/>
                <w:highlight w:val="none"/>
                <w14:textFill>
                  <w14:solidFill>
                    <w14:schemeClr w14:val="tx1"/>
                  </w14:solidFill>
                </w14:textFill>
              </w:rPr>
              <w:t>项目</w:t>
            </w:r>
            <w:r>
              <w:rPr>
                <w:rFonts w:hint="default" w:ascii="Times New Roman" w:hAnsi="Times New Roman" w:cs="Times New Roman"/>
                <w:bCs/>
                <w:color w:val="000000" w:themeColor="text1"/>
                <w:kern w:val="0"/>
                <w:sz w:val="24"/>
                <w:highlight w:val="none"/>
                <w14:textFill>
                  <w14:solidFill>
                    <w14:schemeClr w14:val="tx1"/>
                  </w14:solidFill>
                </w14:textFill>
              </w:rPr>
              <w:t>运输车辆</w:t>
            </w:r>
            <w:r>
              <w:rPr>
                <w:rFonts w:hint="default" w:ascii="Times New Roman" w:hAnsi="Times New Roman" w:cs="Times New Roman"/>
                <w:bCs/>
                <w:color w:val="000000" w:themeColor="text1"/>
                <w:kern w:val="0"/>
                <w:sz w:val="24"/>
                <w:highlight w:val="none"/>
                <w:lang w:val="en-US" w:eastAsia="zh-CN"/>
                <w14:textFill>
                  <w14:solidFill>
                    <w14:schemeClr w14:val="tx1"/>
                  </w14:solidFill>
                </w14:textFill>
              </w:rPr>
              <w:t>沿村路向南驶入G331国道</w:t>
            </w:r>
            <w:r>
              <w:rPr>
                <w:rFonts w:hint="default" w:ascii="Times New Roman" w:hAnsi="Times New Roman" w:cs="Times New Roman"/>
                <w:bCs/>
                <w:color w:val="000000" w:themeColor="text1"/>
                <w:kern w:val="0"/>
                <w:sz w:val="24"/>
                <w:highlight w:val="none"/>
                <w14:textFill>
                  <w14:solidFill>
                    <w14:schemeClr w14:val="tx1"/>
                  </w14:solidFill>
                </w14:textFill>
              </w:rPr>
              <w:t>，</w:t>
            </w:r>
            <w:r>
              <w:rPr>
                <w:rFonts w:hint="default" w:ascii="Times New Roman" w:hAnsi="Times New Roman" w:cs="Times New Roman"/>
                <w:color w:val="000000" w:themeColor="text1"/>
                <w:kern w:val="24"/>
                <w:sz w:val="24"/>
                <w:highlight w:val="none"/>
                <w14:textFill>
                  <w14:solidFill>
                    <w14:schemeClr w14:val="tx1"/>
                  </w14:solidFill>
                </w14:textFill>
              </w:rPr>
              <w:t>运输路线</w:t>
            </w:r>
            <w:r>
              <w:rPr>
                <w:rFonts w:hint="default" w:ascii="Times New Roman" w:hAnsi="Times New Roman" w:cs="Times New Roman"/>
                <w:color w:val="000000" w:themeColor="text1"/>
                <w:kern w:val="24"/>
                <w:sz w:val="24"/>
                <w:highlight w:val="none"/>
                <w:lang w:val="en-US" w:eastAsia="zh-CN"/>
                <w14:textFill>
                  <w14:solidFill>
                    <w14:schemeClr w14:val="tx1"/>
                  </w14:solidFill>
                </w14:textFill>
              </w:rPr>
              <w:t>途经均为厂区，</w:t>
            </w:r>
            <w:r>
              <w:rPr>
                <w:rFonts w:hint="default" w:ascii="Times New Roman" w:hAnsi="Times New Roman" w:cs="Times New Roman"/>
                <w:color w:val="000000" w:themeColor="text1"/>
                <w:kern w:val="24"/>
                <w:sz w:val="24"/>
                <w:highlight w:val="none"/>
                <w14:textFill>
                  <w14:solidFill>
                    <w14:schemeClr w14:val="tx1"/>
                  </w14:solidFill>
                </w14:textFill>
              </w:rPr>
              <w:t>不经过居民区等环境敏感目标</w:t>
            </w:r>
            <w:r>
              <w:rPr>
                <w:rFonts w:hint="default" w:ascii="Times New Roman" w:hAnsi="Times New Roman" w:cs="Times New Roman"/>
                <w:color w:val="000000" w:themeColor="text1"/>
                <w:kern w:val="24"/>
                <w:sz w:val="24"/>
                <w:highlight w:val="none"/>
                <w:lang w:eastAsia="zh-CN"/>
                <w14:textFill>
                  <w14:solidFill>
                    <w14:schemeClr w14:val="tx1"/>
                  </w14:solidFill>
                </w14:textFill>
              </w:rPr>
              <w:t>。</w:t>
            </w:r>
          </w:p>
          <w:p w14:paraId="15CC6E85">
            <w:pPr>
              <w:pStyle w:val="1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（2）运输噪声影响分析</w:t>
            </w:r>
          </w:p>
          <w:p w14:paraId="610F16B4">
            <w:pPr>
              <w:pStyle w:val="1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运输车辆行驶噪声源强约为70~85dB（A），对运输交通噪声，禁止使用超过噪声限值的运输车辆，汽车运输机械设备应安装消声器和禁用高音喇叭，机动车辆必须加强维修和保养，保持技术性能良好，在经过运输道路沿途村落时，应限制鸣笛，合理安排运输车辆工作时间，22：00~次日6:00禁止运输工作，产品运输均在昼间进行，加强对运输车辆管理，杜绝超载现象，按期保养车辆保持车辆良好工况，运输车辆在经过沿线敏感目标时控制行驶速度，通过采取以上措施运输沿线公路交通噪声影响是可以接受的。</w:t>
            </w:r>
          </w:p>
          <w:p w14:paraId="175F2B1F">
            <w:pPr>
              <w:pStyle w:val="1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（3）运输道路扬尘影响</w:t>
            </w:r>
          </w:p>
          <w:p w14:paraId="29C82221">
            <w:pPr>
              <w:pStyle w:val="18"/>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根据《扬尘源颗粒物排放清单编制技术指南》中铺装道路扬尘源排放系数计算公式，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计算得出本项目运输车辆行驶1km产生的道路扬尘质量为25.23g/km。</w:t>
            </w:r>
            <w:r>
              <w:rPr>
                <w:rFonts w:hint="default" w:ascii="Times New Roman" w:hAnsi="Times New Roman" w:eastAsia="宋体" w:cs="Times New Roman"/>
                <w:color w:val="auto"/>
                <w:kern w:val="2"/>
                <w:sz w:val="24"/>
                <w:szCs w:val="24"/>
                <w:highlight w:val="none"/>
                <w:lang w:val="en-US" w:eastAsia="zh-CN" w:bidi="ar-SA"/>
              </w:rPr>
              <w:t>本项目运输过程中要加强道路养护，保障路面平整，控制汽车行驶速度，运输车辆采用苫布苫盖，同时采取洒水抑尘的措施，可有效降低汽车运输的起尘量，运输产生的扬尘环境空气的影响较小。</w:t>
            </w:r>
          </w:p>
          <w:p w14:paraId="1FC1FB77">
            <w:pPr>
              <w:jc w:val="center"/>
              <w:rPr>
                <w:rFonts w:hint="default" w:ascii="Times New Roman" w:hAnsi="Times New Roman" w:cs="Times New Roman"/>
                <w:highlight w:val="none"/>
                <w:lang w:val="en-US" w:eastAsia="zh-CN"/>
              </w:rPr>
            </w:pPr>
            <w:r>
              <w:rPr>
                <w:rFonts w:hint="default" w:ascii="Times New Roman" w:hAnsi="Times New Roman" w:cs="Times New Roman"/>
                <w:color w:val="auto"/>
                <w:sz w:val="18"/>
                <w:highlight w:val="none"/>
              </w:rPr>
              <mc:AlternateContent>
                <mc:Choice Requires="wps">
                  <w:drawing>
                    <wp:anchor distT="0" distB="0" distL="114300" distR="114300" simplePos="0" relativeHeight="251700224" behindDoc="0" locked="0" layoutInCell="1" allowOverlap="1">
                      <wp:simplePos x="0" y="0"/>
                      <wp:positionH relativeFrom="column">
                        <wp:posOffset>991870</wp:posOffset>
                      </wp:positionH>
                      <wp:positionV relativeFrom="paragraph">
                        <wp:posOffset>1490345</wp:posOffset>
                      </wp:positionV>
                      <wp:extent cx="781050" cy="361950"/>
                      <wp:effectExtent l="207010" t="6350" r="21590" b="127000"/>
                      <wp:wrapNone/>
                      <wp:docPr id="15" name="矩形标注 15"/>
                      <wp:cNvGraphicFramePr/>
                      <a:graphic xmlns:a="http://schemas.openxmlformats.org/drawingml/2006/main">
                        <a:graphicData uri="http://schemas.microsoft.com/office/word/2010/wordprocessingShape">
                          <wps:wsp>
                            <wps:cNvSpPr/>
                            <wps:spPr>
                              <a:xfrm>
                                <a:off x="0" y="0"/>
                                <a:ext cx="781050" cy="361950"/>
                              </a:xfrm>
                              <a:prstGeom prst="wedgeRectCallout">
                                <a:avLst>
                                  <a:gd name="adj1" fmla="val -70093"/>
                                  <a:gd name="adj2" fmla="val 75614"/>
                                </a:avLst>
                              </a:prstGeom>
                              <a:ln>
                                <a:solidFill>
                                  <a:srgbClr val="FF0000"/>
                                </a:solidFill>
                              </a:ln>
                            </wps:spPr>
                            <wps:style>
                              <a:lnRef idx="2">
                                <a:schemeClr val="accent1"/>
                              </a:lnRef>
                              <a:fillRef idx="0">
                                <a:srgbClr val="FFFFFF"/>
                              </a:fillRef>
                              <a:effectRef idx="0">
                                <a:srgbClr val="FFFFFF"/>
                              </a:effectRef>
                              <a:fontRef idx="minor">
                                <a:schemeClr val="tx1"/>
                              </a:fontRef>
                            </wps:style>
                            <wps:txbx>
                              <w:txbxContent>
                                <w:p w14:paraId="20377C92">
                                  <w:pPr>
                                    <w:jc w:val="center"/>
                                    <w:rPr>
                                      <w:rFonts w:hint="default" w:eastAsia="宋体"/>
                                      <w:color w:val="FF0000"/>
                                      <w:lang w:val="en-US" w:eastAsia="zh-CN"/>
                                    </w:rPr>
                                  </w:pPr>
                                  <w:r>
                                    <w:rPr>
                                      <w:rFonts w:hint="eastAsia"/>
                                      <w:color w:val="FF0000"/>
                                      <w:lang w:val="en-US" w:eastAsia="zh-CN"/>
                                    </w:rPr>
                                    <w:t>G331国道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8.1pt;margin-top:117.35pt;height:28.5pt;width:61.5pt;z-index:251700224;v-text-anchor:middle;mso-width-relative:page;mso-height-relative:page;" filled="f" stroked="t" coordsize="21600,21600" o:gfxdata="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GEHNTXAAAACwEAAA8AAAAAAAAAAQAgAAAAIgAAAGRycy9kb3ducmV2&#10;LnhtbFBLAQIUABQAAAAIAIdO4kCYcJJAqAIAADsFAAAOAAAAAAAAAAEAIAAAACYBAABkcnMvZTJv&#10;RG9jLnhtbFBLBQYAAAAABgAGAFkBAABABgAAAAA=&#10;" adj="-4340,27133">
                      <v:fill on="f" focussize="0,0"/>
                      <v:stroke weight="1pt" color="#FF0000 [3204]" miterlimit="8" joinstyle="miter"/>
                      <v:imagedata o:title=""/>
                      <o:lock v:ext="edit" aspectratio="f"/>
                      <v:textbox>
                        <w:txbxContent>
                          <w:p w14:paraId="20377C92">
                            <w:pPr>
                              <w:jc w:val="center"/>
                              <w:rPr>
                                <w:rFonts w:hint="default" w:eastAsia="宋体"/>
                                <w:color w:val="FF0000"/>
                                <w:lang w:val="en-US" w:eastAsia="zh-CN"/>
                              </w:rPr>
                            </w:pPr>
                            <w:r>
                              <w:rPr>
                                <w:rFonts w:hint="eastAsia"/>
                                <w:color w:val="FF0000"/>
                                <w:lang w:val="en-US" w:eastAsia="zh-CN"/>
                              </w:rPr>
                              <w:t>G331国道</w:t>
                            </w:r>
                          </w:p>
                        </w:txbxContent>
                      </v:textbox>
                    </v:shape>
                  </w:pict>
                </mc:Fallback>
              </mc:AlternateContent>
            </w:r>
            <w:r>
              <w:rPr>
                <w:rFonts w:hint="default" w:ascii="Times New Roman" w:hAnsi="Times New Roman" w:cs="Times New Roman"/>
                <w:color w:val="auto"/>
                <w:sz w:val="18"/>
                <w:highlight w:val="none"/>
              </w:rPr>
              <mc:AlternateContent>
                <mc:Choice Requires="wps">
                  <w:drawing>
                    <wp:anchor distT="0" distB="0" distL="114300" distR="114300" simplePos="0" relativeHeight="251699200" behindDoc="0" locked="0" layoutInCell="1" allowOverlap="1">
                      <wp:simplePos x="0" y="0"/>
                      <wp:positionH relativeFrom="column">
                        <wp:posOffset>4072255</wp:posOffset>
                      </wp:positionH>
                      <wp:positionV relativeFrom="paragraph">
                        <wp:posOffset>3009265</wp:posOffset>
                      </wp:positionV>
                      <wp:extent cx="209550" cy="0"/>
                      <wp:effectExtent l="0" t="9525" r="0" b="9525"/>
                      <wp:wrapNone/>
                      <wp:docPr id="14" name="直接连接符 14"/>
                      <wp:cNvGraphicFramePr/>
                      <a:graphic xmlns:a="http://schemas.openxmlformats.org/drawingml/2006/main">
                        <a:graphicData uri="http://schemas.microsoft.com/office/word/2010/wordprocessingShape">
                          <wps:wsp>
                            <wps:cNvCnPr/>
                            <wps:spPr>
                              <a:xfrm>
                                <a:off x="0" y="0"/>
                                <a:ext cx="209550" cy="0"/>
                              </a:xfrm>
                              <a:prstGeom prst="line">
                                <a:avLst/>
                              </a:prstGeom>
                              <a:ln w="19050">
                                <a:solidFill>
                                  <a:srgbClr val="0A0DD3"/>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0.65pt;margin-top:236.95pt;height:0pt;width:16.5pt;z-index:251699200;mso-width-relative:page;mso-height-relative:page;" filled="f" stroked="t" coordsize="21600,21600" o:gfxdata="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opYsdgA&#10;AAALAQAADwAAAAAAAAABACAAAAAiAAAAZHJzL2Rvd25yZXYueG1sUEsBAhQAFAAAAAgAh07iQK0w&#10;CpnmAQAAswMAAA4AAAAAAAAAAQAgAAAAJwEAAGRycy9lMm9Eb2MueG1sUEsFBgAAAAAGAAYAWQEA&#10;AH8FAAAAAA==&#10;">
                      <v:fill on="f" focussize="0,0"/>
                      <v:stroke weight="1.5pt" color="#0A0DD3 [3204]" miterlimit="8" joinstyle="miter"/>
                      <v:imagedata o:title=""/>
                      <o:lock v:ext="edit" aspectratio="f"/>
                    </v:line>
                  </w:pict>
                </mc:Fallback>
              </mc:AlternateContent>
            </w:r>
            <w:r>
              <w:rPr>
                <w:rFonts w:hint="default" w:ascii="Times New Roman" w:hAnsi="Times New Roman" w:cs="Times New Roman"/>
                <w:color w:val="auto"/>
                <w:sz w:val="18"/>
                <w:highlight w:val="none"/>
              </w:rPr>
              <mc:AlternateContent>
                <mc:Choice Requires="wps">
                  <w:drawing>
                    <wp:anchor distT="0" distB="0" distL="114300" distR="114300" simplePos="0" relativeHeight="251698176" behindDoc="0" locked="0" layoutInCell="1" allowOverlap="1">
                      <wp:simplePos x="0" y="0"/>
                      <wp:positionH relativeFrom="column">
                        <wp:posOffset>4034790</wp:posOffset>
                      </wp:positionH>
                      <wp:positionV relativeFrom="paragraph">
                        <wp:posOffset>2693670</wp:posOffset>
                      </wp:positionV>
                      <wp:extent cx="257175" cy="123825"/>
                      <wp:effectExtent l="6350" t="6350" r="22225" b="22225"/>
                      <wp:wrapNone/>
                      <wp:docPr id="13" name="矩形 13"/>
                      <wp:cNvGraphicFramePr/>
                      <a:graphic xmlns:a="http://schemas.openxmlformats.org/drawingml/2006/main">
                        <a:graphicData uri="http://schemas.microsoft.com/office/word/2010/wordprocessingShape">
                          <wps:wsp>
                            <wps:cNvSpPr/>
                            <wps:spPr>
                              <a:xfrm>
                                <a:off x="0" y="0"/>
                                <a:ext cx="257175" cy="1238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7pt;margin-top:212.1pt;height:9.75pt;width:20.25pt;z-index:251698176;v-text-anchor:middle;mso-width-relative:page;mso-height-relative:page;" filled="f" stroked="t" coordsize="21600,21600" o:gfxdata="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x8kBTYAAAACwEAAA8AAAAAAAAAAQAgAAAAIgAAAGRycy9kb3ducmV2Lnht&#10;bFBLAQIUABQAAAAIAIdO4kB0E1FnawIAAMwEAAAOAAAAAAAAAAEAIAAAACcBAABkcnMvZTJvRG9j&#10;LnhtbFBLBQYAAAAABgAGAFkBAAAEBgAAAAA=&#10;">
                      <v:fill on="f" focussize="0,0"/>
                      <v:stroke weight="1pt" color="#FF0000 [2404]" miterlimit="8" joinstyle="miter"/>
                      <v:imagedata o:title=""/>
                      <o:lock v:ext="edit" aspectratio="f"/>
                    </v:rect>
                  </w:pict>
                </mc:Fallback>
              </mc:AlternateContent>
            </w:r>
            <w:r>
              <w:rPr>
                <w:rFonts w:hint="default" w:ascii="Times New Roman" w:hAnsi="Times New Roman" w:cs="Times New Roman"/>
                <w:color w:val="auto"/>
                <w:highlight w:val="none"/>
              </w:rPr>
              <w:drawing>
                <wp:anchor distT="0" distB="0" distL="114300" distR="114300" simplePos="0" relativeHeight="251697152" behindDoc="0" locked="0" layoutInCell="1" allowOverlap="1">
                  <wp:simplePos x="0" y="0"/>
                  <wp:positionH relativeFrom="column">
                    <wp:posOffset>4550410</wp:posOffset>
                  </wp:positionH>
                  <wp:positionV relativeFrom="paragraph">
                    <wp:posOffset>3175</wp:posOffset>
                  </wp:positionV>
                  <wp:extent cx="742315" cy="684530"/>
                  <wp:effectExtent l="0" t="0" r="635" b="1270"/>
                  <wp:wrapNone/>
                  <wp:docPr id="10" name="图片 4"/>
                  <wp:cNvGraphicFramePr/>
                  <a:graphic xmlns:a="http://schemas.openxmlformats.org/drawingml/2006/main">
                    <a:graphicData uri="http://schemas.openxmlformats.org/drawingml/2006/picture">
                      <pic:pic xmlns:pic="http://schemas.openxmlformats.org/drawingml/2006/picture">
                        <pic:nvPicPr>
                          <pic:cNvPr id="10" name="图片 4"/>
                          <pic:cNvPicPr/>
                        </pic:nvPicPr>
                        <pic:blipFill>
                          <a:blip r:embed="rId30"/>
                          <a:stretch>
                            <a:fillRect/>
                          </a:stretch>
                        </pic:blipFill>
                        <pic:spPr>
                          <a:xfrm>
                            <a:off x="0" y="0"/>
                            <a:ext cx="742315" cy="684530"/>
                          </a:xfrm>
                          <a:prstGeom prst="rect">
                            <a:avLst/>
                          </a:prstGeom>
                          <a:noFill/>
                          <a:ln>
                            <a:noFill/>
                          </a:ln>
                        </pic:spPr>
                      </pic:pic>
                    </a:graphicData>
                  </a:graphic>
                </wp:anchor>
              </w:drawing>
            </w:r>
            <w:r>
              <w:rPr>
                <w:rFonts w:hint="default" w:ascii="Times New Roman" w:hAnsi="Times New Roman" w:cs="Times New Roman"/>
                <w:color w:val="auto"/>
                <w:sz w:val="18"/>
                <w:highlight w:val="none"/>
              </w:rPr>
              <mc:AlternateContent>
                <mc:Choice Requires="wps">
                  <w:drawing>
                    <wp:anchor distT="0" distB="0" distL="114300" distR="114300" simplePos="0" relativeHeight="251696128" behindDoc="0" locked="0" layoutInCell="1" allowOverlap="1">
                      <wp:simplePos x="0" y="0"/>
                      <wp:positionH relativeFrom="column">
                        <wp:posOffset>3893185</wp:posOffset>
                      </wp:positionH>
                      <wp:positionV relativeFrom="paragraph">
                        <wp:posOffset>2334895</wp:posOffset>
                      </wp:positionV>
                      <wp:extent cx="1428115" cy="1075055"/>
                      <wp:effectExtent l="5080" t="4445" r="14605" b="6350"/>
                      <wp:wrapNone/>
                      <wp:docPr id="7" name="文本框 7"/>
                      <wp:cNvGraphicFramePr/>
                      <a:graphic xmlns:a="http://schemas.openxmlformats.org/drawingml/2006/main">
                        <a:graphicData uri="http://schemas.microsoft.com/office/word/2010/wordprocessingShape">
                          <wps:wsp>
                            <wps:cNvSpPr txBox="1"/>
                            <wps:spPr>
                              <a:xfrm>
                                <a:off x="0" y="0"/>
                                <a:ext cx="1428115" cy="1075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55C7DD">
                                  <w:pPr>
                                    <w:keepNext w:val="0"/>
                                    <w:keepLines w:val="0"/>
                                    <w:pageBreakBefore w:val="0"/>
                                    <w:widowControl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图例</w:t>
                                  </w:r>
                                </w:p>
                                <w:p w14:paraId="2E0841BB">
                                  <w:pPr>
                                    <w:pStyle w:val="10"/>
                                    <w:keepNext w:val="0"/>
                                    <w:keepLines w:val="0"/>
                                    <w:pageBreakBefore w:val="0"/>
                                    <w:widowControl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本项目</w:t>
                                  </w:r>
                                </w:p>
                                <w:p w14:paraId="7D3F3D39">
                                  <w:pPr>
                                    <w:pStyle w:val="10"/>
                                    <w:keepNext w:val="0"/>
                                    <w:keepLines w:val="0"/>
                                    <w:pageBreakBefore w:val="0"/>
                                    <w:widowControl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运输路线</w:t>
                                  </w:r>
                                </w:p>
                                <w:p w14:paraId="5EBC52DB">
                                  <w:pPr>
                                    <w:pStyle w:val="10"/>
                                    <w:keepNext w:val="0"/>
                                    <w:keepLines w:val="0"/>
                                    <w:pageBreakBefore w:val="0"/>
                                    <w:widowControl w:val="0"/>
                                    <w:kinsoku/>
                                    <w:wordWrap/>
                                    <w:overflowPunct/>
                                    <w:topLinePunct w:val="0"/>
                                    <w:bidi w:val="0"/>
                                    <w:adjustRightInd/>
                                    <w:snapToGrid/>
                                    <w:spacing w:line="360" w:lineRule="auto"/>
                                    <w:jc w:val="center"/>
                                    <w:textAlignment w:val="auto"/>
                                    <w:rPr>
                                      <w:rFonts w:hint="default"/>
                                      <w:lang w:val="en-US" w:eastAsia="zh-CN"/>
                                    </w:rPr>
                                  </w:pPr>
                                  <w:r>
                                    <w:rPr>
                                      <w:rFonts w:hint="eastAsia"/>
                                      <w:lang w:val="en-US" w:eastAsia="zh-CN"/>
                                    </w:rPr>
                                    <w:t>比例尺：1:18055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55pt;margin-top:183.85pt;height:84.65pt;width:112.45pt;z-index:251696128;mso-width-relative:page;mso-height-relative:page;" fillcolor="#FFFFFF [3201]" filled="t" stroked="t" coordsize="21600,21600" o:gfxdata="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V25JNcA&#10;AAALAQAADwAAAAAAAAABACAAAAAiAAAAZHJzL2Rvd25yZXYueG1sUEsBAhQAFAAAAAgAh07iQDob&#10;y2xZAgAAuAQAAA4AAAAAAAAAAQAgAAAAJgEAAGRycy9lMm9Eb2MueG1sUEsFBgAAAAAGAAYAWQEA&#10;APEFAAAAAA==&#10;">
                      <v:fill on="t" focussize="0,0"/>
                      <v:stroke weight="0.5pt" color="#000000 [3204]" joinstyle="round"/>
                      <v:imagedata o:title=""/>
                      <o:lock v:ext="edit" aspectratio="f"/>
                      <v:textbox>
                        <w:txbxContent>
                          <w:p w14:paraId="7255C7DD">
                            <w:pPr>
                              <w:keepNext w:val="0"/>
                              <w:keepLines w:val="0"/>
                              <w:pageBreakBefore w:val="0"/>
                              <w:widowControl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图例</w:t>
                            </w:r>
                          </w:p>
                          <w:p w14:paraId="2E0841BB">
                            <w:pPr>
                              <w:pStyle w:val="10"/>
                              <w:keepNext w:val="0"/>
                              <w:keepLines w:val="0"/>
                              <w:pageBreakBefore w:val="0"/>
                              <w:widowControl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本项目</w:t>
                            </w:r>
                          </w:p>
                          <w:p w14:paraId="7D3F3D39">
                            <w:pPr>
                              <w:pStyle w:val="10"/>
                              <w:keepNext w:val="0"/>
                              <w:keepLines w:val="0"/>
                              <w:pageBreakBefore w:val="0"/>
                              <w:widowControl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运输路线</w:t>
                            </w:r>
                          </w:p>
                          <w:p w14:paraId="5EBC52DB">
                            <w:pPr>
                              <w:pStyle w:val="10"/>
                              <w:keepNext w:val="0"/>
                              <w:keepLines w:val="0"/>
                              <w:pageBreakBefore w:val="0"/>
                              <w:widowControl w:val="0"/>
                              <w:kinsoku/>
                              <w:wordWrap/>
                              <w:overflowPunct/>
                              <w:topLinePunct w:val="0"/>
                              <w:bidi w:val="0"/>
                              <w:adjustRightInd/>
                              <w:snapToGrid/>
                              <w:spacing w:line="360" w:lineRule="auto"/>
                              <w:jc w:val="center"/>
                              <w:textAlignment w:val="auto"/>
                              <w:rPr>
                                <w:rFonts w:hint="default"/>
                                <w:lang w:val="en-US" w:eastAsia="zh-CN"/>
                              </w:rPr>
                            </w:pPr>
                            <w:r>
                              <w:rPr>
                                <w:rFonts w:hint="eastAsia"/>
                                <w:lang w:val="en-US" w:eastAsia="zh-CN"/>
                              </w:rPr>
                              <w:t>比例尺：1:18055</w:t>
                            </w:r>
                          </w:p>
                        </w:txbxContent>
                      </v:textbox>
                    </v:shape>
                  </w:pict>
                </mc:Fallback>
              </mc:AlternateContent>
            </w:r>
            <w:r>
              <w:rPr>
                <w:rFonts w:hint="default" w:ascii="Times New Roman" w:hAnsi="Times New Roman" w:cs="Times New Roman"/>
                <w:highlight w:val="none"/>
              </w:rPr>
              <w:drawing>
                <wp:inline distT="0" distB="0" distL="114300" distR="114300">
                  <wp:extent cx="5055870" cy="3385185"/>
                  <wp:effectExtent l="0" t="0" r="1143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1"/>
                          <a:stretch>
                            <a:fillRect/>
                          </a:stretch>
                        </pic:blipFill>
                        <pic:spPr>
                          <a:xfrm>
                            <a:off x="0" y="0"/>
                            <a:ext cx="5055870" cy="3385185"/>
                          </a:xfrm>
                          <a:prstGeom prst="rect">
                            <a:avLst/>
                          </a:prstGeom>
                          <a:noFill/>
                          <a:ln>
                            <a:noFill/>
                          </a:ln>
                        </pic:spPr>
                      </pic:pic>
                    </a:graphicData>
                  </a:graphic>
                </wp:inline>
              </w:drawing>
            </w:r>
          </w:p>
          <w:p w14:paraId="2E73FD90">
            <w:pPr>
              <w:pStyle w:val="2"/>
              <w:jc w:val="center"/>
              <w:rPr>
                <w:rFonts w:hint="default" w:ascii="Times New Roman" w:hAnsi="Times New Roman" w:cs="Times New Roman"/>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图4-</w:t>
            </w:r>
            <w:r>
              <w:rPr>
                <w:rFonts w:hint="default" w:ascii="Times New Roman" w:hAnsi="Times New Roman" w:cs="Times New Roman"/>
                <w:b/>
                <w:bCs/>
                <w:color w:val="auto"/>
                <w:kern w:val="2"/>
                <w:sz w:val="24"/>
                <w:szCs w:val="24"/>
                <w:highlight w:val="none"/>
                <w:lang w:val="en-US" w:eastAsia="zh-CN" w:bidi="ar-SA"/>
              </w:rPr>
              <w:t xml:space="preserve">2 </w:t>
            </w:r>
            <w:r>
              <w:rPr>
                <w:rFonts w:hint="default" w:ascii="Times New Roman" w:hAnsi="Times New Roman" w:eastAsia="宋体" w:cs="Times New Roman"/>
                <w:b/>
                <w:bCs/>
                <w:color w:val="auto"/>
                <w:kern w:val="2"/>
                <w:sz w:val="24"/>
                <w:szCs w:val="24"/>
                <w:highlight w:val="none"/>
                <w:lang w:val="en-US" w:eastAsia="zh-CN" w:bidi="ar-SA"/>
              </w:rPr>
              <w:t>运输路线图</w:t>
            </w:r>
          </w:p>
          <w:p w14:paraId="680AE685">
            <w:pPr>
              <w:adjustRightInd w:val="0"/>
              <w:snapToGrid w:val="0"/>
              <w:spacing w:line="480" w:lineRule="exact"/>
              <w:rPr>
                <w:rFonts w:hint="default" w:ascii="Times New Roman" w:hAnsi="Times New Roman" w:cs="Times New Roman"/>
                <w:color w:val="000000" w:themeColor="text1"/>
                <w:highlight w:val="none"/>
                <w:lang w:bidi="ar"/>
                <w14:textFill>
                  <w14:solidFill>
                    <w14:schemeClr w14:val="tx1"/>
                  </w14:solidFill>
                </w14:textFill>
              </w:rPr>
            </w:pPr>
          </w:p>
        </w:tc>
      </w:tr>
    </w:tbl>
    <w:p w14:paraId="2C433A6F">
      <w:pPr>
        <w:adjustRightInd w:val="0"/>
        <w:snapToGrid w:val="0"/>
        <w:spacing w:line="360" w:lineRule="auto"/>
        <w:rPr>
          <w:rFonts w:hint="default" w:ascii="Times New Roman" w:hAnsi="Times New Roman" w:cs="Times New Roman"/>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9F76CFD">
      <w:pPr>
        <w:pStyle w:val="5"/>
        <w:bidi w:val="0"/>
        <w:jc w:val="center"/>
        <w:rPr>
          <w:rFonts w:hint="eastAsia" w:ascii="宋体" w:hAnsi="宋体" w:eastAsia="宋体" w:cs="宋体"/>
          <w:color w:val="000000" w:themeColor="text1"/>
          <w:highlight w:val="none"/>
          <w14:textFill>
            <w14:solidFill>
              <w14:schemeClr w14:val="tx1"/>
            </w14:solidFill>
          </w14:textFill>
        </w:rPr>
      </w:pPr>
      <w:bookmarkStart w:id="19" w:name="_Toc27142"/>
      <w:bookmarkStart w:id="20" w:name="_Toc24056"/>
      <w:r>
        <w:rPr>
          <w:rFonts w:hint="eastAsia" w:ascii="宋体" w:hAnsi="宋体" w:eastAsia="宋体" w:cs="宋体"/>
          <w:color w:val="000000" w:themeColor="text1"/>
          <w:highlight w:val="none"/>
          <w14:textFill>
            <w14:solidFill>
              <w14:schemeClr w14:val="tx1"/>
            </w14:solidFill>
          </w14:textFill>
        </w:rPr>
        <w:t>五、</w:t>
      </w:r>
      <w:bookmarkStart w:id="21" w:name="_Hlk54167917"/>
      <w:r>
        <w:rPr>
          <w:rFonts w:hint="eastAsia" w:ascii="宋体" w:hAnsi="宋体" w:eastAsia="宋体" w:cs="宋体"/>
          <w:color w:val="000000" w:themeColor="text1"/>
          <w:highlight w:val="none"/>
          <w14:textFill>
            <w14:solidFill>
              <w14:schemeClr w14:val="tx1"/>
            </w14:solidFill>
          </w14:textFill>
        </w:rPr>
        <w:t>环境保护措施监督检查清单</w:t>
      </w:r>
      <w:bookmarkEnd w:id="19"/>
      <w:bookmarkEnd w:id="20"/>
      <w:bookmarkEnd w:id="21"/>
    </w:p>
    <w:tbl>
      <w:tblPr>
        <w:tblStyle w:val="2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560"/>
        <w:gridCol w:w="1320"/>
        <w:gridCol w:w="1950"/>
        <w:gridCol w:w="2886"/>
      </w:tblGrid>
      <w:tr w14:paraId="3DBD9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084" w:type="dxa"/>
            <w:tcBorders>
              <w:tl2br w:val="single" w:color="auto" w:sz="4" w:space="0"/>
            </w:tcBorders>
            <w:noWrap w:val="0"/>
            <w:vAlign w:val="top"/>
          </w:tcPr>
          <w:p w14:paraId="0BF27FE9">
            <w:pPr>
              <w:adjustRightInd w:val="0"/>
              <w:snapToGrid w:val="0"/>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内容</w:t>
            </w:r>
          </w:p>
          <w:p w14:paraId="0C18739B">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要素</w:t>
            </w:r>
          </w:p>
        </w:tc>
        <w:tc>
          <w:tcPr>
            <w:tcW w:w="1560" w:type="dxa"/>
            <w:noWrap w:val="0"/>
            <w:vAlign w:val="center"/>
          </w:tcPr>
          <w:p w14:paraId="05793E5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排放口</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编号、</w:t>
            </w:r>
          </w:p>
          <w:p w14:paraId="79DB5D7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名称</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/污染源</w:t>
            </w:r>
          </w:p>
        </w:tc>
        <w:tc>
          <w:tcPr>
            <w:tcW w:w="1320" w:type="dxa"/>
            <w:noWrap w:val="0"/>
            <w:vAlign w:val="center"/>
          </w:tcPr>
          <w:p w14:paraId="20203FF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污染物项目</w:t>
            </w:r>
          </w:p>
        </w:tc>
        <w:tc>
          <w:tcPr>
            <w:tcW w:w="1950" w:type="dxa"/>
            <w:noWrap w:val="0"/>
            <w:vAlign w:val="center"/>
          </w:tcPr>
          <w:p w14:paraId="18FB5F8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环境保护措施</w:t>
            </w:r>
          </w:p>
        </w:tc>
        <w:tc>
          <w:tcPr>
            <w:tcW w:w="2886" w:type="dxa"/>
            <w:noWrap w:val="0"/>
            <w:vAlign w:val="center"/>
          </w:tcPr>
          <w:p w14:paraId="57526A9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执行标准</w:t>
            </w:r>
          </w:p>
        </w:tc>
      </w:tr>
      <w:tr w14:paraId="14AC1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660" w:hRule="atLeast"/>
          <w:jc w:val="center"/>
        </w:trPr>
        <w:tc>
          <w:tcPr>
            <w:tcW w:w="1084" w:type="dxa"/>
            <w:vMerge w:val="restart"/>
            <w:noWrap w:val="0"/>
            <w:vAlign w:val="center"/>
          </w:tcPr>
          <w:p w14:paraId="0142A02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大气环境</w:t>
            </w:r>
          </w:p>
        </w:tc>
        <w:tc>
          <w:tcPr>
            <w:tcW w:w="1560" w:type="dxa"/>
            <w:noWrap w:val="0"/>
            <w:vAlign w:val="center"/>
          </w:tcPr>
          <w:p w14:paraId="12123E08">
            <w:pPr>
              <w:pStyle w:val="36"/>
              <w:ind w:left="0" w:leftChars="0" w:right="0" w:rightChars="0" w:firstLine="0" w:firstLineChars="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储煤场、车辆运输</w:t>
            </w:r>
          </w:p>
        </w:tc>
        <w:tc>
          <w:tcPr>
            <w:tcW w:w="1320" w:type="dxa"/>
            <w:noWrap w:val="0"/>
            <w:vAlign w:val="center"/>
          </w:tcPr>
          <w:p w14:paraId="5A042BFA">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颗粒物、二氧化硫</w:t>
            </w:r>
          </w:p>
        </w:tc>
        <w:tc>
          <w:tcPr>
            <w:tcW w:w="1950" w:type="dxa"/>
            <w:noWrap w:val="0"/>
            <w:vAlign w:val="center"/>
          </w:tcPr>
          <w:p w14:paraId="2B46584A">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储煤点四周设置闭合防风抑尘网，场内堆存煤炭使用绿网苫盖；定期洒水降尘，禁止在重污染天气、大风天气作业；运输车辆进行全面苫盖</w:t>
            </w:r>
          </w:p>
        </w:tc>
        <w:tc>
          <w:tcPr>
            <w:tcW w:w="2886" w:type="dxa"/>
            <w:vMerge w:val="restart"/>
            <w:noWrap w:val="0"/>
            <w:vAlign w:val="center"/>
          </w:tcPr>
          <w:p w14:paraId="7B390E0C">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auto"/>
                <w:szCs w:val="21"/>
                <w:highlight w:val="none"/>
                <w:lang w:val="en-US" w:eastAsia="zh-CN"/>
              </w:rPr>
              <w:t>《煤炭工业污染物排放标准》（GB20426-2006）表5煤炭工业无组织排放限值</w:t>
            </w:r>
          </w:p>
        </w:tc>
      </w:tr>
      <w:tr w14:paraId="7971A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084" w:type="dxa"/>
            <w:vMerge w:val="restart"/>
            <w:noWrap w:val="0"/>
            <w:vAlign w:val="center"/>
          </w:tcPr>
          <w:p w14:paraId="099F084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地表水环境</w:t>
            </w:r>
          </w:p>
        </w:tc>
        <w:tc>
          <w:tcPr>
            <w:tcW w:w="1560" w:type="dxa"/>
            <w:noWrap w:val="0"/>
            <w:vAlign w:val="center"/>
          </w:tcPr>
          <w:p w14:paraId="280811B0">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生活废水</w:t>
            </w:r>
          </w:p>
        </w:tc>
        <w:tc>
          <w:tcPr>
            <w:tcW w:w="1320" w:type="dxa"/>
            <w:noWrap w:val="0"/>
            <w:vAlign w:val="center"/>
          </w:tcPr>
          <w:p w14:paraId="00D340E2">
            <w:pPr>
              <w:pStyle w:val="33"/>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化学需氧量、五日生化需氧量、悬浮物、氨氮</w:t>
            </w:r>
          </w:p>
        </w:tc>
        <w:tc>
          <w:tcPr>
            <w:tcW w:w="1950" w:type="dxa"/>
            <w:noWrap w:val="0"/>
            <w:vAlign w:val="center"/>
          </w:tcPr>
          <w:p w14:paraId="4EB180A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排入防渗旱厕，定期清掏堆肥</w:t>
            </w:r>
          </w:p>
        </w:tc>
        <w:tc>
          <w:tcPr>
            <w:tcW w:w="2886" w:type="dxa"/>
            <w:vMerge w:val="restart"/>
            <w:noWrap w:val="0"/>
            <w:vAlign w:val="center"/>
          </w:tcPr>
          <w:p w14:paraId="269A2C0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不外排</w:t>
            </w:r>
          </w:p>
        </w:tc>
      </w:tr>
      <w:tr w14:paraId="74D57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084" w:type="dxa"/>
            <w:vMerge w:val="continue"/>
            <w:noWrap w:val="0"/>
            <w:vAlign w:val="center"/>
          </w:tcPr>
          <w:p w14:paraId="1A56F2B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560" w:type="dxa"/>
            <w:noWrap w:val="0"/>
            <w:vAlign w:val="center"/>
          </w:tcPr>
          <w:p w14:paraId="6B2DA64B">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初期雨水</w:t>
            </w:r>
          </w:p>
        </w:tc>
        <w:tc>
          <w:tcPr>
            <w:tcW w:w="1320" w:type="dxa"/>
            <w:noWrap w:val="0"/>
            <w:vAlign w:val="center"/>
          </w:tcPr>
          <w:p w14:paraId="363413E4">
            <w:pPr>
              <w:pStyle w:val="33"/>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悬浮物</w:t>
            </w:r>
          </w:p>
        </w:tc>
        <w:tc>
          <w:tcPr>
            <w:tcW w:w="1950" w:type="dxa"/>
            <w:noWrap w:val="0"/>
            <w:vAlign w:val="center"/>
          </w:tcPr>
          <w:p w14:paraId="425A017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建设170m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highlight w:val="none"/>
                <w:lang w:val="en-US" w:eastAsia="zh-CN"/>
                <w14:textFill>
                  <w14:solidFill>
                    <w14:schemeClr w14:val="tx1"/>
                  </w14:solidFill>
                </w14:textFill>
              </w:rPr>
              <w:t>雨水收集池处理将初期雨水收集沉淀后洒水降尘，不外排</w:t>
            </w:r>
          </w:p>
        </w:tc>
        <w:tc>
          <w:tcPr>
            <w:tcW w:w="2886" w:type="dxa"/>
            <w:vMerge w:val="continue"/>
            <w:noWrap w:val="0"/>
            <w:vAlign w:val="center"/>
          </w:tcPr>
          <w:p w14:paraId="13E5D40F">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43F84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084" w:type="dxa"/>
            <w:noWrap w:val="0"/>
            <w:vAlign w:val="center"/>
          </w:tcPr>
          <w:p w14:paraId="6C75EE6F">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声环境</w:t>
            </w:r>
          </w:p>
        </w:tc>
        <w:tc>
          <w:tcPr>
            <w:tcW w:w="1560" w:type="dxa"/>
            <w:noWrap w:val="0"/>
            <w:vAlign w:val="center"/>
          </w:tcPr>
          <w:p w14:paraId="07C71EE8">
            <w:pPr>
              <w:pStyle w:val="36"/>
              <w:ind w:left="0" w:leftChars="0" w:right="0" w:rightChars="0"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设备噪声</w:t>
            </w:r>
          </w:p>
        </w:tc>
        <w:tc>
          <w:tcPr>
            <w:tcW w:w="1320" w:type="dxa"/>
            <w:noWrap w:val="0"/>
            <w:vAlign w:val="center"/>
          </w:tcPr>
          <w:p w14:paraId="4257D3B3">
            <w:pPr>
              <w:pStyle w:val="36"/>
              <w:ind w:left="0" w:leftChars="0" w:right="0" w:rightChars="0"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w:t>
            </w:r>
          </w:p>
        </w:tc>
        <w:tc>
          <w:tcPr>
            <w:tcW w:w="1950" w:type="dxa"/>
            <w:noWrap w:val="0"/>
            <w:vAlign w:val="center"/>
          </w:tcPr>
          <w:p w14:paraId="036CEF1D">
            <w:pPr>
              <w:pStyle w:val="36"/>
              <w:ind w:left="0" w:leftChars="0" w:right="0" w:rightChars="0" w:firstLine="0" w:firstLineChars="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选用低噪声设备，</w:t>
            </w:r>
            <w:r>
              <w:rPr>
                <w:rFonts w:hint="default" w:ascii="Times New Roman" w:hAnsi="Times New Roman" w:cs="Times New Roman"/>
                <w:color w:val="000000" w:themeColor="text1"/>
                <w:szCs w:val="21"/>
                <w:highlight w:val="none"/>
                <w:lang w:val="en-US" w:eastAsia="zh-CN"/>
                <w14:textFill>
                  <w14:solidFill>
                    <w14:schemeClr w14:val="tx1"/>
                  </w14:solidFill>
                </w14:textFill>
              </w:rPr>
              <w:t>加强设备维护</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厂区内限速</w:t>
            </w:r>
          </w:p>
        </w:tc>
        <w:tc>
          <w:tcPr>
            <w:tcW w:w="2886" w:type="dxa"/>
            <w:noWrap w:val="0"/>
            <w:vAlign w:val="center"/>
          </w:tcPr>
          <w:p w14:paraId="1C8D0EAF">
            <w:pPr>
              <w:pStyle w:val="36"/>
              <w:ind w:left="0" w:leftChars="0" w:right="0" w:rightChars="0" w:firstLine="0" w:firstLineChars="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厂界噪声满足</w:t>
            </w:r>
            <w:r>
              <w:rPr>
                <w:rFonts w:hint="default" w:ascii="Times New Roman" w:hAnsi="Times New Roman" w:cs="Times New Roman"/>
                <w:bCs/>
                <w:color w:val="000000" w:themeColor="text1"/>
                <w:szCs w:val="21"/>
                <w:highlight w:val="none"/>
                <w14:textFill>
                  <w14:solidFill>
                    <w14:schemeClr w14:val="tx1"/>
                  </w14:solidFill>
                </w14:textFill>
              </w:rPr>
              <w:t>《工业企业厂界环境噪声排放标准》（GB12348-2008）</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bCs/>
                <w:color w:val="000000" w:themeColor="text1"/>
                <w:szCs w:val="21"/>
                <w:highlight w:val="none"/>
                <w14:textFill>
                  <w14:solidFill>
                    <w14:schemeClr w14:val="tx1"/>
                  </w14:solidFill>
                </w14:textFill>
              </w:rPr>
              <w:t>类</w:t>
            </w:r>
            <w:r>
              <w:rPr>
                <w:rFonts w:hint="default" w:ascii="Times New Roman" w:hAnsi="Times New Roman" w:cs="Times New Roman"/>
                <w:color w:val="000000" w:themeColor="text1"/>
                <w:szCs w:val="21"/>
                <w:highlight w:val="none"/>
                <w14:textFill>
                  <w14:solidFill>
                    <w14:schemeClr w14:val="tx1"/>
                  </w14:solidFill>
                </w14:textFill>
              </w:rPr>
              <w:t>标准</w:t>
            </w:r>
          </w:p>
        </w:tc>
      </w:tr>
      <w:tr w14:paraId="21EB8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84" w:type="dxa"/>
            <w:noWrap w:val="0"/>
            <w:vAlign w:val="center"/>
          </w:tcPr>
          <w:p w14:paraId="0924238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电磁辐射</w:t>
            </w:r>
          </w:p>
        </w:tc>
        <w:tc>
          <w:tcPr>
            <w:tcW w:w="1560" w:type="dxa"/>
            <w:noWrap w:val="0"/>
            <w:vAlign w:val="center"/>
          </w:tcPr>
          <w:p w14:paraId="21C4CD8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1320" w:type="dxa"/>
            <w:noWrap w:val="0"/>
            <w:vAlign w:val="center"/>
          </w:tcPr>
          <w:p w14:paraId="4B8598D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1950" w:type="dxa"/>
            <w:noWrap w:val="0"/>
            <w:vAlign w:val="center"/>
          </w:tcPr>
          <w:p w14:paraId="0344C68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2886" w:type="dxa"/>
            <w:noWrap w:val="0"/>
            <w:vAlign w:val="center"/>
          </w:tcPr>
          <w:p w14:paraId="7595741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r>
      <w:tr w14:paraId="34909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084" w:type="dxa"/>
            <w:noWrap w:val="0"/>
            <w:vAlign w:val="center"/>
          </w:tcPr>
          <w:p w14:paraId="3836C37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固体废物</w:t>
            </w:r>
          </w:p>
        </w:tc>
        <w:tc>
          <w:tcPr>
            <w:tcW w:w="7716" w:type="dxa"/>
            <w:gridSpan w:val="4"/>
            <w:noWrap w:val="0"/>
            <w:vAlign w:val="center"/>
          </w:tcPr>
          <w:p w14:paraId="255DCDF2">
            <w:pPr>
              <w:adjustRightInd w:val="0"/>
              <w:snapToGrid w:val="0"/>
              <w:ind w:firstLine="420"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生活垃圾</w:t>
            </w:r>
            <w:r>
              <w:rPr>
                <w:rFonts w:hint="default" w:ascii="Times New Roman" w:hAnsi="Times New Roman" w:cs="Times New Roman"/>
                <w:color w:val="000000" w:themeColor="text1"/>
                <w:szCs w:val="21"/>
                <w:highlight w:val="none"/>
                <w:lang w:val="en-US" w:eastAsia="zh-CN"/>
                <w14:textFill>
                  <w14:solidFill>
                    <w14:schemeClr w14:val="tx1"/>
                  </w14:solidFill>
                </w14:textFill>
              </w:rPr>
              <w:t>依托</w:t>
            </w:r>
            <w:r>
              <w:rPr>
                <w:rFonts w:hint="default" w:ascii="Times New Roman" w:hAnsi="Times New Roman" w:cs="Times New Roman"/>
                <w:color w:val="000000" w:themeColor="text1"/>
                <w:szCs w:val="21"/>
                <w:highlight w:val="none"/>
                <w14:textFill>
                  <w14:solidFill>
                    <w14:schemeClr w14:val="tx1"/>
                  </w14:solidFill>
                </w14:textFill>
              </w:rPr>
              <w:t>当地环卫部门统一收集处理</w:t>
            </w:r>
            <w:r>
              <w:rPr>
                <w:rFonts w:hint="default" w:ascii="Times New Roman" w:hAnsi="Times New Roman" w:cs="Times New Roman"/>
                <w:color w:val="000000" w:themeColor="text1"/>
                <w:szCs w:val="21"/>
                <w:highlight w:val="none"/>
                <w:lang w:val="en-US" w:eastAsia="zh-CN"/>
                <w14:textFill>
                  <w14:solidFill>
                    <w14:schemeClr w14:val="tx1"/>
                  </w14:solidFill>
                </w14:textFill>
              </w:rPr>
              <w:t>；雨水收集池沉渣</w:t>
            </w:r>
            <w:r>
              <w:rPr>
                <w:rFonts w:hint="default" w:ascii="Times New Roman" w:hAnsi="Times New Roman" w:cs="Times New Roman"/>
                <w:bCs/>
                <w:color w:val="000000" w:themeColor="text1"/>
                <w:szCs w:val="24"/>
                <w:highlight w:val="none"/>
                <w14:textFill>
                  <w14:solidFill>
                    <w14:schemeClr w14:val="tx1"/>
                  </w14:solidFill>
                </w14:textFill>
              </w:rPr>
              <w:t>定期清理后外售综合利用</w:t>
            </w:r>
            <w:r>
              <w:rPr>
                <w:rFonts w:hint="default" w:ascii="Times New Roman" w:hAnsi="Times New Roman" w:cs="Times New Roman"/>
                <w:bCs/>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auto"/>
                <w:szCs w:val="21"/>
                <w:highlight w:val="none"/>
                <w:lang w:val="en-US" w:eastAsia="zh-CN"/>
              </w:rPr>
              <w:t>废机油、废弃含油抹布手套统一暂存于</w:t>
            </w:r>
            <w:r>
              <w:rPr>
                <w:rFonts w:hint="default" w:ascii="Times New Roman" w:hAnsi="Times New Roman" w:cs="Times New Roman"/>
                <w:color w:val="auto"/>
                <w:szCs w:val="21"/>
                <w:highlight w:val="none"/>
                <w:lang w:val="en-US" w:eastAsia="zh-CN"/>
              </w:rPr>
              <w:t>危险废物贮存点</w:t>
            </w:r>
            <w:r>
              <w:rPr>
                <w:rFonts w:hint="default" w:ascii="Times New Roman" w:hAnsi="Times New Roman" w:eastAsia="宋体" w:cs="Times New Roman"/>
                <w:color w:val="auto"/>
                <w:szCs w:val="21"/>
                <w:highlight w:val="none"/>
                <w:lang w:val="en-US" w:eastAsia="zh-CN"/>
              </w:rPr>
              <w:t>，委托有资质单位处置</w:t>
            </w:r>
            <w:r>
              <w:rPr>
                <w:rFonts w:hint="default" w:ascii="Times New Roman" w:hAnsi="Times New Roman" w:eastAsia="宋体" w:cs="Times New Roman"/>
                <w:color w:val="auto"/>
                <w:szCs w:val="21"/>
                <w:highlight w:val="none"/>
                <w:lang w:eastAsia="zh-CN"/>
              </w:rPr>
              <w:t>。</w:t>
            </w:r>
          </w:p>
        </w:tc>
      </w:tr>
      <w:tr w14:paraId="6595B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084" w:type="dxa"/>
            <w:noWrap w:val="0"/>
            <w:vAlign w:val="center"/>
          </w:tcPr>
          <w:p w14:paraId="5E333DA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土壤及地下水污染防治措施</w:t>
            </w:r>
          </w:p>
        </w:tc>
        <w:tc>
          <w:tcPr>
            <w:tcW w:w="7716" w:type="dxa"/>
            <w:gridSpan w:val="4"/>
            <w:noWrap w:val="0"/>
            <w:vAlign w:val="center"/>
          </w:tcPr>
          <w:p w14:paraId="152D2B30">
            <w:pPr>
              <w:adjustRightInd w:val="0"/>
              <w:snapToGrid w:val="0"/>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auto"/>
                <w:sz w:val="21"/>
                <w:szCs w:val="21"/>
                <w:highlight w:val="none"/>
                <w:lang w:val="en-US" w:eastAsia="zh-CN"/>
              </w:rPr>
              <w:t>储煤场地面硬化、车辆进出口及主要通道地面水泥硬化；</w:t>
            </w:r>
            <w:r>
              <w:rPr>
                <w:rFonts w:hint="default" w:ascii="Times New Roman" w:hAnsi="Times New Roman" w:eastAsia="宋体" w:cs="Times New Roman"/>
                <w:color w:val="auto"/>
                <w:sz w:val="21"/>
                <w:szCs w:val="21"/>
                <w:highlight w:val="none"/>
                <w:lang w:val="en-US" w:eastAsia="zh-CN"/>
              </w:rPr>
              <w:t>对厂</w:t>
            </w:r>
            <w:r>
              <w:rPr>
                <w:rFonts w:hint="default" w:ascii="Times New Roman" w:hAnsi="Times New Roman" w:cs="Times New Roman"/>
                <w:color w:val="auto"/>
                <w:sz w:val="21"/>
                <w:szCs w:val="21"/>
                <w:highlight w:val="none"/>
                <w:lang w:val="en-US" w:eastAsia="zh-CN"/>
              </w:rPr>
              <w:t>区内雨水收集池</w:t>
            </w:r>
            <w:r>
              <w:rPr>
                <w:rFonts w:hint="default" w:ascii="Times New Roman" w:hAnsi="Times New Roman" w:eastAsia="宋体" w:cs="Times New Roman"/>
                <w:color w:val="auto"/>
                <w:sz w:val="21"/>
                <w:szCs w:val="21"/>
                <w:highlight w:val="none"/>
                <w:lang w:val="en-US" w:eastAsia="zh-CN"/>
              </w:rPr>
              <w:t>、旱厕进行一般防渗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危险废物贮存点</w:t>
            </w:r>
            <w:r>
              <w:rPr>
                <w:rFonts w:hint="default" w:ascii="Times New Roman" w:hAnsi="Times New Roman" w:eastAsia="宋体" w:cs="Times New Roman"/>
                <w:color w:val="auto"/>
                <w:sz w:val="21"/>
                <w:szCs w:val="21"/>
                <w:highlight w:val="none"/>
                <w:lang w:val="en-US" w:eastAsia="zh-CN"/>
              </w:rPr>
              <w:t>进行重点防渗防渗层为至少2mm厚的防渗人工材料，防渗系数≤10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w:t>
            </w:r>
            <w:r>
              <w:rPr>
                <w:rFonts w:hint="default" w:ascii="Times New Roman" w:hAnsi="Times New Roman" w:cs="Times New Roman"/>
                <w:color w:val="auto"/>
                <w:sz w:val="21"/>
                <w:szCs w:val="21"/>
                <w:highlight w:val="none"/>
                <w:lang w:val="en-US" w:eastAsia="zh-CN"/>
              </w:rPr>
              <w:t>。</w:t>
            </w:r>
          </w:p>
        </w:tc>
      </w:tr>
      <w:tr w14:paraId="35DF6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084" w:type="dxa"/>
            <w:noWrap w:val="0"/>
            <w:vAlign w:val="center"/>
          </w:tcPr>
          <w:p w14:paraId="6809082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生态保护措施</w:t>
            </w:r>
          </w:p>
        </w:tc>
        <w:tc>
          <w:tcPr>
            <w:tcW w:w="7716" w:type="dxa"/>
            <w:gridSpan w:val="4"/>
            <w:noWrap w:val="0"/>
            <w:vAlign w:val="center"/>
          </w:tcPr>
          <w:p w14:paraId="6EB5EC9F">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6FD51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084" w:type="dxa"/>
            <w:noWrap w:val="0"/>
            <w:vAlign w:val="center"/>
          </w:tcPr>
          <w:p w14:paraId="1640D069">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环境风险</w:t>
            </w:r>
          </w:p>
          <w:p w14:paraId="7D9F45BB">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防范措施</w:t>
            </w:r>
          </w:p>
        </w:tc>
        <w:tc>
          <w:tcPr>
            <w:tcW w:w="7716" w:type="dxa"/>
            <w:gridSpan w:val="4"/>
            <w:noWrap w:val="0"/>
            <w:vAlign w:val="center"/>
          </w:tcPr>
          <w:p w14:paraId="41503ED7">
            <w:pPr>
              <w:adjustRightInd w:val="0"/>
              <w:snapToGrid w:val="0"/>
              <w:ind w:left="0" w:leftChars="0" w:firstLine="0" w:firstLine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组织人员定期巡查；</w:t>
            </w:r>
            <w:r>
              <w:rPr>
                <w:rFonts w:hint="default" w:ascii="Times New Roman" w:hAnsi="Times New Roman" w:cs="Times New Roman"/>
                <w:color w:val="000000" w:themeColor="text1"/>
                <w:szCs w:val="21"/>
                <w:highlight w:val="none"/>
                <w14:textFill>
                  <w14:solidFill>
                    <w14:schemeClr w14:val="tx1"/>
                  </w14:solidFill>
                </w14:textFill>
              </w:rPr>
              <w:t>2、设置安全警示标识及公告栏</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3、建立台账</w:t>
            </w:r>
          </w:p>
        </w:tc>
      </w:tr>
      <w:tr w14:paraId="7DAA9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84" w:type="dxa"/>
            <w:noWrap w:val="0"/>
            <w:vAlign w:val="center"/>
          </w:tcPr>
          <w:p w14:paraId="4B533F46">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其他环境</w:t>
            </w:r>
          </w:p>
          <w:p w14:paraId="09B89BB6">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管理要求</w:t>
            </w:r>
          </w:p>
        </w:tc>
        <w:tc>
          <w:tcPr>
            <w:tcW w:w="7716" w:type="dxa"/>
            <w:gridSpan w:val="4"/>
            <w:noWrap w:val="0"/>
            <w:vAlign w:val="center"/>
          </w:tcPr>
          <w:p w14:paraId="41FE58FA">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定期对厂区及周边进行清理保洁，</w:t>
            </w:r>
            <w:r>
              <w:rPr>
                <w:rFonts w:hint="eastAsia" w:ascii="宋体" w:hAnsi="宋体" w:eastAsia="宋体" w:cs="宋体"/>
                <w:color w:val="000000" w:themeColor="text1"/>
                <w:szCs w:val="21"/>
                <w:highlight w:val="none"/>
                <w14:textFill>
                  <w14:solidFill>
                    <w14:schemeClr w14:val="tx1"/>
                  </w14:solidFill>
                </w14:textFill>
              </w:rPr>
              <w:t>保持良好的环境卫生面貌，防止出现</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脏、乱、差</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现象</w:t>
            </w:r>
            <w:r>
              <w:rPr>
                <w:rFonts w:hint="eastAsia" w:ascii="宋体" w:hAnsi="宋体" w:eastAsia="宋体" w:cs="宋体"/>
                <w:color w:val="000000" w:themeColor="text1"/>
                <w:szCs w:val="21"/>
                <w:highlight w:val="none"/>
                <w:lang w:eastAsia="zh-CN"/>
                <w14:textFill>
                  <w14:solidFill>
                    <w14:schemeClr w14:val="tx1"/>
                  </w14:solidFill>
                </w14:textFill>
              </w:rPr>
              <w:t>。</w:t>
            </w:r>
          </w:p>
        </w:tc>
      </w:tr>
    </w:tbl>
    <w:p w14:paraId="0097A640">
      <w:pPr>
        <w:pStyle w:val="17"/>
        <w:jc w:val="center"/>
        <w:outlineLvl w:val="0"/>
        <w:rPr>
          <w:rStyle w:val="49"/>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br w:type="page"/>
      </w:r>
      <w:bookmarkStart w:id="22" w:name="_Toc32071"/>
      <w:bookmarkStart w:id="23" w:name="_Toc25571"/>
      <w:r>
        <w:rPr>
          <w:rStyle w:val="49"/>
          <w:rFonts w:hint="default" w:ascii="Times New Roman" w:hAnsi="Times New Roman" w:cs="Times New Roman"/>
          <w:color w:val="000000" w:themeColor="text1"/>
          <w:highlight w:val="none"/>
          <w14:textFill>
            <w14:solidFill>
              <w14:schemeClr w14:val="tx1"/>
            </w14:solidFill>
          </w14:textFill>
        </w:rPr>
        <w:t>六、结论</w:t>
      </w:r>
      <w:bookmarkEnd w:id="22"/>
      <w:bookmarkEnd w:id="23"/>
    </w:p>
    <w:tbl>
      <w:tblPr>
        <w:tblStyle w:val="20"/>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5DCE0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4EEBEF0">
            <w:pPr>
              <w:spacing w:line="360" w:lineRule="auto"/>
              <w:ind w:firstLine="48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本项目符合国家的产业政策，选址合理。项目在建设和运营中产生的环境影响较小，建设单位认真落实本报告提出的各项污染治理措施，及日常环保管理工作，在确保环保设施正常运行和达标排放前提下，从环保角度考虑，本项目建设可行。</w:t>
            </w:r>
          </w:p>
          <w:p w14:paraId="3E445837">
            <w:pPr>
              <w:widowControl/>
              <w:spacing w:line="480" w:lineRule="atLeast"/>
              <w:ind w:firstLine="420"/>
              <w:rPr>
                <w:rFonts w:hint="default" w:ascii="Times New Roman" w:hAnsi="Times New Roman" w:cs="Times New Roman"/>
                <w:color w:val="000000" w:themeColor="text1"/>
                <w:kern w:val="0"/>
                <w:sz w:val="24"/>
                <w:highlight w:val="none"/>
                <w14:textFill>
                  <w14:solidFill>
                    <w14:schemeClr w14:val="tx1"/>
                  </w14:solidFill>
                </w14:textFill>
              </w:rPr>
            </w:pPr>
          </w:p>
          <w:p w14:paraId="550EC3C8">
            <w:pPr>
              <w:spacing w:line="360" w:lineRule="auto"/>
              <w:rPr>
                <w:rFonts w:hint="default" w:ascii="Times New Roman" w:hAnsi="Times New Roman" w:cs="Times New Roman"/>
                <w:color w:val="000000" w:themeColor="text1"/>
                <w:sz w:val="24"/>
                <w:highlight w:val="none"/>
                <w14:textFill>
                  <w14:solidFill>
                    <w14:schemeClr w14:val="tx1"/>
                  </w14:solidFill>
                </w14:textFill>
              </w:rPr>
            </w:pPr>
          </w:p>
        </w:tc>
      </w:tr>
    </w:tbl>
    <w:p w14:paraId="5288B559">
      <w:pPr>
        <w:rPr>
          <w:rFonts w:hint="default" w:ascii="Times New Roman" w:hAnsi="Times New Roman" w:cs="Times New Roman"/>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F079710">
      <w:pPr>
        <w:pStyle w:val="17"/>
        <w:adjustRightInd w:val="0"/>
        <w:spacing w:before="0" w:beforeAutospacing="0" w:after="0" w:afterAutospacing="0" w:line="360" w:lineRule="auto"/>
        <w:outlineLvl w:val="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bookmarkStart w:id="24" w:name="_Toc29357"/>
      <w:bookmarkStart w:id="25" w:name="_Toc16362"/>
      <w:bookmarkStart w:id="26" w:name="_Toc6080"/>
      <w:bookmarkStart w:id="27" w:name="_Toc3903"/>
      <w:bookmarkStart w:id="28" w:name="_Toc80034807"/>
      <w:bookmarkStart w:id="29" w:name="_Toc31938"/>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t>附表</w:t>
      </w:r>
      <w:bookmarkEnd w:id="24"/>
      <w:bookmarkEnd w:id="25"/>
      <w:bookmarkEnd w:id="26"/>
      <w:bookmarkEnd w:id="27"/>
      <w:bookmarkEnd w:id="28"/>
      <w:bookmarkEnd w:id="29"/>
    </w:p>
    <w:p w14:paraId="3D7E5F26">
      <w:pPr>
        <w:pStyle w:val="17"/>
        <w:adjustRightInd w:val="0"/>
        <w:snapToGrid w:val="0"/>
        <w:spacing w:before="0" w:beforeAutospacing="0" w:after="0" w:afterAutospacing="0" w:line="360" w:lineRule="auto"/>
        <w:jc w:val="center"/>
        <w:outlineLvl w:val="0"/>
        <w:rPr>
          <w:rFonts w:hint="eastAsia" w:ascii="宋体" w:hAnsi="宋体" w:eastAsia="宋体" w:cs="宋体"/>
          <w:snapToGrid w:val="0"/>
          <w:color w:val="000000" w:themeColor="text1"/>
          <w:sz w:val="38"/>
          <w:szCs w:val="38"/>
          <w:highlight w:val="none"/>
          <w14:textFill>
            <w14:solidFill>
              <w14:schemeClr w14:val="tx1"/>
            </w14:solidFill>
          </w14:textFill>
        </w:rPr>
      </w:pPr>
      <w:bookmarkStart w:id="30" w:name="_Toc19411"/>
      <w:bookmarkStart w:id="31" w:name="_Toc16894"/>
      <w:bookmarkStart w:id="32" w:name="_Toc11294"/>
      <w:bookmarkStart w:id="33" w:name="_Toc80034808"/>
      <w:r>
        <w:rPr>
          <w:rFonts w:hint="eastAsia" w:ascii="宋体" w:hAnsi="宋体" w:eastAsia="宋体" w:cs="宋体"/>
          <w:snapToGrid w:val="0"/>
          <w:color w:val="000000" w:themeColor="text1"/>
          <w:sz w:val="38"/>
          <w:szCs w:val="38"/>
          <w:highlight w:val="none"/>
          <w14:textFill>
            <w14:solidFill>
              <w14:schemeClr w14:val="tx1"/>
            </w14:solidFill>
          </w14:textFill>
        </w:rPr>
        <w:t>建设项目污染物排放量汇总表</w:t>
      </w:r>
      <w:bookmarkEnd w:id="30"/>
      <w:bookmarkEnd w:id="31"/>
      <w:bookmarkEnd w:id="32"/>
      <w:bookmarkEnd w:id="33"/>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996"/>
        <w:gridCol w:w="1701"/>
        <w:gridCol w:w="1276"/>
        <w:gridCol w:w="1701"/>
        <w:gridCol w:w="1559"/>
        <w:gridCol w:w="1497"/>
        <w:gridCol w:w="1792"/>
        <w:gridCol w:w="1257"/>
      </w:tblGrid>
      <w:tr w14:paraId="1E806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09" w:type="dxa"/>
            <w:tcBorders>
              <w:tl2br w:val="single" w:color="auto" w:sz="4" w:space="0"/>
            </w:tcBorders>
            <w:tcMar>
              <w:left w:w="28" w:type="dxa"/>
              <w:right w:w="28" w:type="dxa"/>
            </w:tcMar>
            <w:vAlign w:val="center"/>
          </w:tcPr>
          <w:p w14:paraId="4A638F0A">
            <w:pPr>
              <w:pStyle w:val="37"/>
              <w:spacing w:beforeLines="0" w:afterLines="0" w:line="240" w:lineRule="auto"/>
              <w:jc w:val="right"/>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项目</w:t>
            </w:r>
          </w:p>
          <w:p w14:paraId="58319617">
            <w:pPr>
              <w:pStyle w:val="37"/>
              <w:spacing w:beforeLines="0" w:afterLines="0" w:line="240" w:lineRule="auto"/>
              <w:jc w:val="left"/>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分类</w:t>
            </w:r>
          </w:p>
        </w:tc>
        <w:tc>
          <w:tcPr>
            <w:tcW w:w="1996" w:type="dxa"/>
            <w:tcMar>
              <w:left w:w="28" w:type="dxa"/>
              <w:right w:w="28" w:type="dxa"/>
            </w:tcMar>
            <w:vAlign w:val="center"/>
          </w:tcPr>
          <w:p w14:paraId="7B2CB8B3">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污染物名称</w:t>
            </w:r>
          </w:p>
        </w:tc>
        <w:tc>
          <w:tcPr>
            <w:tcW w:w="1701" w:type="dxa"/>
            <w:tcMar>
              <w:left w:w="28" w:type="dxa"/>
              <w:right w:w="28" w:type="dxa"/>
            </w:tcMar>
            <w:vAlign w:val="center"/>
          </w:tcPr>
          <w:p w14:paraId="1C6FB852">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现有工程</w:t>
            </w:r>
          </w:p>
          <w:p w14:paraId="46C99895">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276" w:type="dxa"/>
            <w:tcMar>
              <w:left w:w="28" w:type="dxa"/>
              <w:right w:w="28" w:type="dxa"/>
            </w:tcMar>
            <w:vAlign w:val="center"/>
          </w:tcPr>
          <w:p w14:paraId="6D6BA0BC">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现有工程</w:t>
            </w:r>
          </w:p>
          <w:p w14:paraId="5F207402">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许可排放量</w:t>
            </w:r>
          </w:p>
          <w:p w14:paraId="1B5AE6FE">
            <w:pPr>
              <w:pStyle w:val="37"/>
              <w:spacing w:beforeLines="0" w:afterLines="0"/>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701" w:type="dxa"/>
            <w:tcMar>
              <w:left w:w="28" w:type="dxa"/>
              <w:right w:w="28" w:type="dxa"/>
            </w:tcMar>
            <w:vAlign w:val="center"/>
          </w:tcPr>
          <w:p w14:paraId="560A04EC">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在建工程</w:t>
            </w:r>
          </w:p>
          <w:p w14:paraId="1C229CE2">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559" w:type="dxa"/>
            <w:tcMar>
              <w:left w:w="28" w:type="dxa"/>
              <w:right w:w="28" w:type="dxa"/>
            </w:tcMar>
            <w:vAlign w:val="center"/>
          </w:tcPr>
          <w:p w14:paraId="50BE56D4">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本项目</w:t>
            </w:r>
          </w:p>
          <w:p w14:paraId="3F261A1C">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c>
          <w:tcPr>
            <w:tcW w:w="1497" w:type="dxa"/>
            <w:tcMar>
              <w:left w:w="28" w:type="dxa"/>
              <w:right w:w="28" w:type="dxa"/>
            </w:tcMar>
            <w:vAlign w:val="center"/>
          </w:tcPr>
          <w:p w14:paraId="5ACA858B">
            <w:pPr>
              <w:pStyle w:val="37"/>
              <w:spacing w:beforeLines="0" w:afterLines="0" w:line="240" w:lineRule="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以新带老削减量（新建项目不填）</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end"/>
            </w:r>
          </w:p>
        </w:tc>
        <w:tc>
          <w:tcPr>
            <w:tcW w:w="1792" w:type="dxa"/>
            <w:tcMar>
              <w:left w:w="28" w:type="dxa"/>
              <w:right w:w="28" w:type="dxa"/>
            </w:tcMar>
            <w:vAlign w:val="center"/>
          </w:tcPr>
          <w:p w14:paraId="161F7D1C">
            <w:pPr>
              <w:pStyle w:val="37"/>
              <w:spacing w:beforeLines="0" w:afterLines="0" w:line="240" w:lineRule="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本项目建成后</w:t>
            </w:r>
          </w:p>
          <w:p w14:paraId="424EC400">
            <w:pPr>
              <w:pStyle w:val="37"/>
              <w:spacing w:beforeLines="0" w:afterLines="0" w:line="240" w:lineRule="auto"/>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4"/>
                <w:szCs w:val="24"/>
                <w:highlight w:val="none"/>
                <w14:textFill>
                  <w14:solidFill>
                    <w14:schemeClr w14:val="tx1"/>
                  </w14:solidFill>
                </w14:textFill>
              </w:rPr>
              <w:fldChar w:fldCharType="end"/>
            </w:r>
          </w:p>
        </w:tc>
        <w:tc>
          <w:tcPr>
            <w:tcW w:w="1257" w:type="dxa"/>
            <w:tcMar>
              <w:left w:w="28" w:type="dxa"/>
              <w:right w:w="28" w:type="dxa"/>
            </w:tcMar>
            <w:vAlign w:val="center"/>
          </w:tcPr>
          <w:p w14:paraId="1A93B41E">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t>变化量</w:t>
            </w:r>
          </w:p>
          <w:p w14:paraId="68873669">
            <w:pPr>
              <w:pStyle w:val="37"/>
              <w:spacing w:beforeLines="0" w:afterLines="0" w:line="240" w:lineRule="auto"/>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4"/>
                <w:szCs w:val="24"/>
                <w:highlight w:val="none"/>
                <w14:textFill>
                  <w14:solidFill>
                    <w14:schemeClr w14:val="tx1"/>
                  </w14:solidFill>
                </w14:textFill>
              </w:rPr>
              <w:fldChar w:fldCharType="end"/>
            </w:r>
          </w:p>
        </w:tc>
      </w:tr>
      <w:tr w14:paraId="5CF2B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009" w:type="dxa"/>
            <w:vAlign w:val="center"/>
          </w:tcPr>
          <w:p w14:paraId="770B4C2E">
            <w:pPr>
              <w:pStyle w:val="37"/>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废气</w:t>
            </w:r>
          </w:p>
        </w:tc>
        <w:tc>
          <w:tcPr>
            <w:tcW w:w="1996" w:type="dxa"/>
            <w:vAlign w:val="center"/>
          </w:tcPr>
          <w:p w14:paraId="3BF70ED5">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颗粒物</w:t>
            </w:r>
          </w:p>
        </w:tc>
        <w:tc>
          <w:tcPr>
            <w:tcW w:w="1701" w:type="dxa"/>
            <w:vAlign w:val="center"/>
          </w:tcPr>
          <w:p w14:paraId="7F8D9725">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276" w:type="dxa"/>
            <w:vAlign w:val="center"/>
          </w:tcPr>
          <w:p w14:paraId="431A65BD">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701" w:type="dxa"/>
            <w:vAlign w:val="center"/>
          </w:tcPr>
          <w:p w14:paraId="05B7BBFA">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559" w:type="dxa"/>
            <w:vAlign w:val="center"/>
          </w:tcPr>
          <w:p w14:paraId="1D2BE7C5">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2.242t/a</w:t>
            </w:r>
          </w:p>
        </w:tc>
        <w:tc>
          <w:tcPr>
            <w:tcW w:w="1497" w:type="dxa"/>
            <w:vAlign w:val="center"/>
          </w:tcPr>
          <w:p w14:paraId="039D8D77">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792" w:type="dxa"/>
            <w:vAlign w:val="center"/>
          </w:tcPr>
          <w:p w14:paraId="6544DBC8">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2.242t/a</w:t>
            </w:r>
          </w:p>
        </w:tc>
        <w:tc>
          <w:tcPr>
            <w:tcW w:w="1257" w:type="dxa"/>
            <w:vAlign w:val="center"/>
          </w:tcPr>
          <w:p w14:paraId="255DE0D8">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+2.242t/a</w:t>
            </w:r>
          </w:p>
        </w:tc>
      </w:tr>
      <w:tr w14:paraId="4AE08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009" w:type="dxa"/>
            <w:vAlign w:val="center"/>
          </w:tcPr>
          <w:p w14:paraId="3F058BB6">
            <w:pPr>
              <w:pStyle w:val="37"/>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废水</w:t>
            </w:r>
          </w:p>
        </w:tc>
        <w:tc>
          <w:tcPr>
            <w:tcW w:w="1996" w:type="dxa"/>
            <w:vAlign w:val="center"/>
          </w:tcPr>
          <w:p w14:paraId="465090FB">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701" w:type="dxa"/>
            <w:vAlign w:val="center"/>
          </w:tcPr>
          <w:p w14:paraId="322CE889">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276" w:type="dxa"/>
            <w:vAlign w:val="center"/>
          </w:tcPr>
          <w:p w14:paraId="56F69FF3">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701" w:type="dxa"/>
            <w:vAlign w:val="center"/>
          </w:tcPr>
          <w:p w14:paraId="1E77CC39">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559" w:type="dxa"/>
            <w:vAlign w:val="center"/>
          </w:tcPr>
          <w:p w14:paraId="23F2E203">
            <w:pPr>
              <w:jc w:val="center"/>
              <w:rPr>
                <w:rFonts w:hint="default" w:ascii="Times New Roman" w:hAnsi="Times New Roman" w:eastAsia="宋体" w:cs="Times New Roman"/>
                <w:snapToGrid w:val="0"/>
                <w:color w:val="000000" w:themeColor="text1"/>
                <w:kern w:val="21"/>
                <w:sz w:val="24"/>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497" w:type="dxa"/>
            <w:vAlign w:val="center"/>
          </w:tcPr>
          <w:p w14:paraId="7623683D">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t>/</w:t>
            </w:r>
          </w:p>
        </w:tc>
        <w:tc>
          <w:tcPr>
            <w:tcW w:w="1792" w:type="dxa"/>
            <w:vAlign w:val="center"/>
          </w:tcPr>
          <w:p w14:paraId="0A628B4A">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257" w:type="dxa"/>
            <w:vAlign w:val="center"/>
          </w:tcPr>
          <w:p w14:paraId="3DB96BE3">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r>
      <w:tr w14:paraId="19CAC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009" w:type="dxa"/>
            <w:vMerge w:val="restart"/>
            <w:vAlign w:val="center"/>
          </w:tcPr>
          <w:p w14:paraId="118D4411">
            <w:pPr>
              <w:pStyle w:val="37"/>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t>一般工业固体废物</w:t>
            </w:r>
          </w:p>
        </w:tc>
        <w:tc>
          <w:tcPr>
            <w:tcW w:w="1996" w:type="dxa"/>
            <w:vAlign w:val="center"/>
          </w:tcPr>
          <w:p w14:paraId="4031C7FB">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生活垃圾</w:t>
            </w:r>
          </w:p>
        </w:tc>
        <w:tc>
          <w:tcPr>
            <w:tcW w:w="1701" w:type="dxa"/>
            <w:vAlign w:val="center"/>
          </w:tcPr>
          <w:p w14:paraId="4D3903B9">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276" w:type="dxa"/>
            <w:vAlign w:val="center"/>
          </w:tcPr>
          <w:p w14:paraId="1C8FD532">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701" w:type="dxa"/>
            <w:vAlign w:val="center"/>
          </w:tcPr>
          <w:p w14:paraId="6DADD2B1">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559" w:type="dxa"/>
            <w:vAlign w:val="center"/>
          </w:tcPr>
          <w:p w14:paraId="1B7992F1">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1.2t/a</w:t>
            </w:r>
          </w:p>
        </w:tc>
        <w:tc>
          <w:tcPr>
            <w:tcW w:w="1497" w:type="dxa"/>
            <w:vAlign w:val="center"/>
          </w:tcPr>
          <w:p w14:paraId="6F2C3942">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792" w:type="dxa"/>
            <w:vAlign w:val="center"/>
          </w:tcPr>
          <w:p w14:paraId="43D0D314">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1.2t/a</w:t>
            </w:r>
          </w:p>
        </w:tc>
        <w:tc>
          <w:tcPr>
            <w:tcW w:w="1257" w:type="dxa"/>
            <w:vAlign w:val="center"/>
          </w:tcPr>
          <w:p w14:paraId="34815D51">
            <w:pPr>
              <w:jc w:val="center"/>
              <w:rPr>
                <w:rFonts w:hint="default" w:ascii="Times New Roman" w:hAnsi="Times New Roman" w:eastAsia="宋体" w:cs="Times New Roman"/>
                <w:snapToGrid w:val="0"/>
                <w:color w:val="000000" w:themeColor="text1"/>
                <w:kern w:val="21"/>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+1.2t/a</w:t>
            </w:r>
          </w:p>
        </w:tc>
      </w:tr>
      <w:tr w14:paraId="7A86B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009" w:type="dxa"/>
            <w:vMerge w:val="continue"/>
            <w:vAlign w:val="center"/>
          </w:tcPr>
          <w:p w14:paraId="54D1C3DE">
            <w:pPr>
              <w:pStyle w:val="37"/>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p>
        </w:tc>
        <w:tc>
          <w:tcPr>
            <w:tcW w:w="1996" w:type="dxa"/>
            <w:vAlign w:val="center"/>
          </w:tcPr>
          <w:p w14:paraId="4B9564B6">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收集池沉渣</w:t>
            </w:r>
          </w:p>
        </w:tc>
        <w:tc>
          <w:tcPr>
            <w:tcW w:w="1701" w:type="dxa"/>
            <w:vAlign w:val="center"/>
          </w:tcPr>
          <w:p w14:paraId="5EBEBAFA">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276" w:type="dxa"/>
            <w:vAlign w:val="center"/>
          </w:tcPr>
          <w:p w14:paraId="77ED4849">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701" w:type="dxa"/>
            <w:vAlign w:val="center"/>
          </w:tcPr>
          <w:p w14:paraId="201A0D6E">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559" w:type="dxa"/>
            <w:vAlign w:val="center"/>
          </w:tcPr>
          <w:p w14:paraId="1008B578">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0.8t/a</w:t>
            </w:r>
          </w:p>
        </w:tc>
        <w:tc>
          <w:tcPr>
            <w:tcW w:w="1497" w:type="dxa"/>
            <w:vAlign w:val="center"/>
          </w:tcPr>
          <w:p w14:paraId="09814C1C">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w:t>
            </w:r>
          </w:p>
        </w:tc>
        <w:tc>
          <w:tcPr>
            <w:tcW w:w="1792" w:type="dxa"/>
            <w:vAlign w:val="center"/>
          </w:tcPr>
          <w:p w14:paraId="04A01629">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0.8t/a</w:t>
            </w:r>
          </w:p>
        </w:tc>
        <w:tc>
          <w:tcPr>
            <w:tcW w:w="1257" w:type="dxa"/>
            <w:vAlign w:val="center"/>
          </w:tcPr>
          <w:p w14:paraId="47EB5A6A">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t>+0.8t/a</w:t>
            </w:r>
          </w:p>
        </w:tc>
      </w:tr>
      <w:tr w14:paraId="378A1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009" w:type="dxa"/>
            <w:vAlign w:val="center"/>
          </w:tcPr>
          <w:p w14:paraId="289A0393">
            <w:pPr>
              <w:pStyle w:val="37"/>
              <w:spacing w:beforeLines="0" w:afterLines="0" w:line="240" w:lineRule="auto"/>
              <w:rPr>
                <w:rFonts w:hint="default" w:ascii="Times New Roman" w:hAnsi="Times New Roman" w:eastAsia="宋体"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snapToGrid w:val="0"/>
                <w:color w:val="auto"/>
                <w:kern w:val="21"/>
                <w:sz w:val="24"/>
                <w:szCs w:val="24"/>
                <w:highlight w:val="none"/>
                <w:lang w:val="en-US" w:eastAsia="zh-CN"/>
              </w:rPr>
              <w:t>危险废物</w:t>
            </w:r>
          </w:p>
        </w:tc>
        <w:tc>
          <w:tcPr>
            <w:tcW w:w="1996" w:type="dxa"/>
            <w:vAlign w:val="center"/>
          </w:tcPr>
          <w:p w14:paraId="5AE8AD51">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lang w:val="en-US" w:eastAsia="zh-CN"/>
              </w:rPr>
              <w:t>废机油、废弃含油抹布手套</w:t>
            </w:r>
          </w:p>
        </w:tc>
        <w:tc>
          <w:tcPr>
            <w:tcW w:w="1701" w:type="dxa"/>
            <w:vAlign w:val="center"/>
          </w:tcPr>
          <w:p w14:paraId="6EC3B81A">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rPr>
              <w:t>/</w:t>
            </w:r>
          </w:p>
        </w:tc>
        <w:tc>
          <w:tcPr>
            <w:tcW w:w="1276" w:type="dxa"/>
            <w:vAlign w:val="center"/>
          </w:tcPr>
          <w:p w14:paraId="51A2EBDF">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rPr>
              <w:t>/</w:t>
            </w:r>
          </w:p>
        </w:tc>
        <w:tc>
          <w:tcPr>
            <w:tcW w:w="1701" w:type="dxa"/>
            <w:vAlign w:val="center"/>
          </w:tcPr>
          <w:p w14:paraId="42C848EC">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rPr>
              <w:t>/</w:t>
            </w:r>
          </w:p>
        </w:tc>
        <w:tc>
          <w:tcPr>
            <w:tcW w:w="1559" w:type="dxa"/>
            <w:vAlign w:val="center"/>
          </w:tcPr>
          <w:p w14:paraId="534ACDB2">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lang w:val="en-US" w:eastAsia="zh-CN"/>
              </w:rPr>
              <w:t>0.02t/a</w:t>
            </w:r>
          </w:p>
        </w:tc>
        <w:tc>
          <w:tcPr>
            <w:tcW w:w="1497" w:type="dxa"/>
            <w:vAlign w:val="center"/>
          </w:tcPr>
          <w:p w14:paraId="00B90A88">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lang w:val="en-US" w:eastAsia="zh-CN"/>
              </w:rPr>
              <w:t>/</w:t>
            </w:r>
          </w:p>
        </w:tc>
        <w:tc>
          <w:tcPr>
            <w:tcW w:w="1792" w:type="dxa"/>
            <w:vAlign w:val="center"/>
          </w:tcPr>
          <w:p w14:paraId="79969F95">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lang w:val="en-US" w:eastAsia="zh-CN"/>
              </w:rPr>
              <w:t>0.02t/a</w:t>
            </w:r>
          </w:p>
        </w:tc>
        <w:tc>
          <w:tcPr>
            <w:tcW w:w="1257" w:type="dxa"/>
            <w:vAlign w:val="center"/>
          </w:tcPr>
          <w:p w14:paraId="3485CF27">
            <w:pPr>
              <w:jc w:val="center"/>
              <w:rPr>
                <w:rFonts w:hint="default" w:ascii="Times New Roman" w:hAnsi="Times New Roman" w:eastAsia="宋体" w:cs="Times New Roman"/>
                <w:snapToGrid w:val="0"/>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snapToGrid w:val="0"/>
                <w:color w:val="auto"/>
                <w:kern w:val="21"/>
                <w:sz w:val="24"/>
                <w:highlight w:val="none"/>
                <w:lang w:val="en-US" w:eastAsia="zh-CN"/>
              </w:rPr>
              <w:t>+0.02t/a</w:t>
            </w:r>
          </w:p>
        </w:tc>
      </w:tr>
    </w:tbl>
    <w:p w14:paraId="7B911994">
      <w:pPr>
        <w:pStyle w:val="37"/>
        <w:spacing w:before="192" w:beforeLines="80" w:after="24"/>
        <w:jc w:val="left"/>
        <w:rPr>
          <w:rFonts w:hint="default" w:ascii="Times New Roman" w:hAnsi="Times New Roman" w:cs="Times New Roman"/>
          <w:color w:val="000000" w:themeColor="text1"/>
          <w:highlight w:val="none"/>
          <w14:textFill>
            <w14:solidFill>
              <w14:schemeClr w14:val="tx1"/>
            </w14:solidFill>
          </w14:textFill>
        </w:r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p>
    <w:p w14:paraId="164CAEBC">
      <w:pPr>
        <w:pStyle w:val="18"/>
        <w:ind w:firstLine="0" w:firstLine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7497445</wp:posOffset>
            </wp:positionH>
            <wp:positionV relativeFrom="paragraph">
              <wp:posOffset>-31750</wp:posOffset>
            </wp:positionV>
            <wp:extent cx="695325" cy="685800"/>
            <wp:effectExtent l="0" t="0" r="9525" b="0"/>
            <wp:wrapNone/>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6"/>
                    <a:stretch>
                      <a:fillRect/>
                    </a:stretch>
                  </pic:blipFill>
                  <pic:spPr>
                    <a:xfrm>
                      <a:off x="0" y="0"/>
                      <a:ext cx="695325" cy="685800"/>
                    </a:xfrm>
                    <a:prstGeom prst="rect">
                      <a:avLst/>
                    </a:prstGeom>
                    <a:noFill/>
                    <a:ln>
                      <a:noFill/>
                    </a:ln>
                  </pic:spPr>
                </pic:pic>
              </a:graphicData>
            </a:graphic>
          </wp:anchor>
        </w:drawing>
      </w:r>
      <w:r>
        <w:rPr>
          <w:rFonts w:hint="default" w:ascii="Times New Roman" w:hAnsi="Times New Roman" w:cs="Times New Roman"/>
          <w:b/>
          <w:color w:val="000000" w:themeColor="text1"/>
          <w:kern w:val="2"/>
          <w:sz w:val="24"/>
          <w:szCs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4050665</wp:posOffset>
                </wp:positionH>
                <wp:positionV relativeFrom="paragraph">
                  <wp:posOffset>2213610</wp:posOffset>
                </wp:positionV>
                <wp:extent cx="248285" cy="212725"/>
                <wp:effectExtent l="15875" t="13970" r="21590" b="20955"/>
                <wp:wrapNone/>
                <wp:docPr id="23" name="AutoShape 101"/>
                <wp:cNvGraphicFramePr/>
                <a:graphic xmlns:a="http://schemas.openxmlformats.org/drawingml/2006/main">
                  <a:graphicData uri="http://schemas.microsoft.com/office/word/2010/wordprocessingShape">
                    <wps:wsp>
                      <wps:cNvSpPr>
                        <a:spLocks noChangeArrowheads="1"/>
                      </wps:cNvSpPr>
                      <wps:spPr bwMode="auto">
                        <a:xfrm>
                          <a:off x="0" y="0"/>
                          <a:ext cx="248285" cy="212725"/>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01" o:spid="_x0000_s1026" style="position:absolute;left:0pt;margin-left:318.95pt;margin-top:174.3pt;height:16.75pt;width:19.55pt;z-index:251659264;mso-width-relative:page;mso-height-relative:page;" fillcolor="#FF0000" filled="t" stroked="t" coordsize="248285,212725" o:gfxdata="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sxtMdwAAAALAQAADwAAAAAAAAABACAAAAAiAAAAZHJzL2Rvd25yZXYueG1sUEsBAhQAFAAA&#10;AAgAh07iQCeviSgkAgAAdQQAAA4AAAAAAAAAAQAgAAAAKwEAAGRycy9lMm9Eb2MueG1sUEsFBgAA&#10;AAAGAAYAWQEAAMEFAAAAAA==&#10;" path="m0,81253l94836,81254,124142,0,153448,81254,248284,81253,171559,131470,200866,212724,124142,162506,47418,212724,76725,131470xe">
                <v:path o:connectlocs="124142,0;0,81253;47418,212724;200866,212724;248284,81253" o:connectangles="247,164,82,82,0"/>
                <v:fill on="t" focussize="0,0"/>
                <v:stroke color="#000000" miterlimit="8" joinstyle="miter"/>
                <v:imagedata o:title=""/>
                <o:lock v:ext="edit" aspectratio="f"/>
              </v:shape>
            </w:pict>
          </mc:Fallback>
        </mc:AlternateContent>
      </w:r>
      <w:r>
        <w:rPr>
          <w:rFonts w:hint="default" w:ascii="Times New Roman" w:hAnsi="Times New Roman" w:cs="Times New Roman"/>
          <w:b/>
          <w:color w:val="000000" w:themeColor="text1"/>
          <w:kern w:val="2"/>
          <w:sz w:val="24"/>
          <w:szCs w:val="24"/>
          <w:highlight w:val="none"/>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7052310</wp:posOffset>
                </wp:positionH>
                <wp:positionV relativeFrom="paragraph">
                  <wp:posOffset>4264660</wp:posOffset>
                </wp:positionV>
                <wp:extent cx="1361440" cy="904875"/>
                <wp:effectExtent l="4445" t="4445" r="5715" b="5080"/>
                <wp:wrapNone/>
                <wp:docPr id="24" name="Group 104"/>
                <wp:cNvGraphicFramePr/>
                <a:graphic xmlns:a="http://schemas.openxmlformats.org/drawingml/2006/main">
                  <a:graphicData uri="http://schemas.microsoft.com/office/word/2010/wordprocessingGroup">
                    <wpg:wgp>
                      <wpg:cNvGrpSpPr/>
                      <wpg:grpSpPr>
                        <a:xfrm>
                          <a:off x="0" y="0"/>
                          <a:ext cx="1361494" cy="904875"/>
                          <a:chOff x="11475" y="8370"/>
                          <a:chExt cx="2159" cy="1425"/>
                        </a:xfrm>
                      </wpg:grpSpPr>
                      <wps:wsp>
                        <wps:cNvPr id="25" name="Rectangle 98"/>
                        <wps:cNvSpPr>
                          <a:spLocks noChangeArrowheads="1"/>
                        </wps:cNvSpPr>
                        <wps:spPr bwMode="auto">
                          <a:xfrm>
                            <a:off x="11475" y="8370"/>
                            <a:ext cx="2130" cy="1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 name="Text Box 99"/>
                        <wps:cNvSpPr txBox="1">
                          <a:spLocks noChangeArrowheads="1"/>
                        </wps:cNvSpPr>
                        <wps:spPr bwMode="auto">
                          <a:xfrm>
                            <a:off x="12122" y="8531"/>
                            <a:ext cx="1169" cy="435"/>
                          </a:xfrm>
                          <a:prstGeom prst="rect">
                            <a:avLst/>
                          </a:prstGeom>
                          <a:noFill/>
                          <a:ln>
                            <a:noFill/>
                          </a:ln>
                        </wps:spPr>
                        <wps:txbx>
                          <w:txbxContent>
                            <w:p w14:paraId="18FA3EF3">
                              <w:pPr>
                                <w:rPr>
                                  <w:b/>
                                  <w:bCs/>
                                </w:rPr>
                              </w:pPr>
                              <w:r>
                                <w:rPr>
                                  <w:rFonts w:hint="eastAsia"/>
                                  <w:b/>
                                  <w:bCs/>
                                </w:rPr>
                                <w:t xml:space="preserve">图 </w:t>
                              </w:r>
                              <w:r>
                                <w:rPr>
                                  <w:b/>
                                  <w:bCs/>
                                </w:rPr>
                                <w:t xml:space="preserve"> </w:t>
                              </w:r>
                              <w:r>
                                <w:rPr>
                                  <w:rFonts w:hint="eastAsia"/>
                                  <w:b/>
                                  <w:bCs/>
                                </w:rPr>
                                <w:t>例</w:t>
                              </w:r>
                            </w:p>
                          </w:txbxContent>
                        </wps:txbx>
                        <wps:bodyPr rot="0" vert="horz" wrap="square" lIns="91440" tIns="45720" rIns="91440" bIns="45720" anchor="t" anchorCtr="0" upright="1">
                          <a:noAutofit/>
                        </wps:bodyPr>
                      </wps:wsp>
                      <wps:wsp>
                        <wps:cNvPr id="27" name="Text Box 100"/>
                        <wps:cNvSpPr txBox="1">
                          <a:spLocks noChangeArrowheads="1"/>
                        </wps:cNvSpPr>
                        <wps:spPr bwMode="auto">
                          <a:xfrm>
                            <a:off x="12239" y="9120"/>
                            <a:ext cx="1395" cy="435"/>
                          </a:xfrm>
                          <a:prstGeom prst="rect">
                            <a:avLst/>
                          </a:prstGeom>
                          <a:noFill/>
                          <a:ln>
                            <a:noFill/>
                          </a:ln>
                        </wps:spPr>
                        <wps:txbx>
                          <w:txbxContent>
                            <w:p w14:paraId="5D370A98">
                              <w:pPr>
                                <w:rPr>
                                  <w:b/>
                                  <w:bCs/>
                                </w:rPr>
                              </w:pPr>
                              <w:r>
                                <w:rPr>
                                  <w:rFonts w:hint="eastAsia"/>
                                  <w:b/>
                                  <w:bCs/>
                                </w:rPr>
                                <w:t>本项目位置</w:t>
                              </w:r>
                            </w:p>
                          </w:txbxContent>
                        </wps:txbx>
                        <wps:bodyPr rot="0" vert="horz" wrap="square" lIns="91440" tIns="45720" rIns="91440" bIns="45720" anchor="t" anchorCtr="0" upright="1">
                          <a:noAutofit/>
                        </wps:bodyPr>
                      </wps:wsp>
                      <wps:wsp>
                        <wps:cNvPr id="28" name="AutoShape 102"/>
                        <wps:cNvSpPr>
                          <a:spLocks noChangeArrowheads="1"/>
                        </wps:cNvSpPr>
                        <wps:spPr bwMode="auto">
                          <a:xfrm>
                            <a:off x="11970" y="9120"/>
                            <a:ext cx="360" cy="405"/>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04" o:spid="_x0000_s1026" o:spt="203" style="position:absolute;left:0pt;margin-left:555.3pt;margin-top:335.8pt;height:71.25pt;width:107.2pt;z-index:251660288;mso-width-relative:page;mso-height-relative:page;" coordorigin="11475,8370" coordsize="2159,1425" o:gfxdata="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PITRGnbAAAADQEAAA8AAAAAAAAAAQAgAAAAIgAAAGRycy9kb3ducmV2LnhtbFBL&#10;AQIUABQAAAAIAIdO4kD+AoJxSQMAALQMAAAOAAAAAAAAAAEAIAAAACoBAABkcnMvZTJvRG9jLnht&#10;bFBLBQYAAAAABgAGAFkBAADlBgAAAAA=&#10;">
                <o:lock v:ext="edit" aspectratio="f"/>
                <v:rect id="Rectangle 98" o:spid="_x0000_s1026" o:spt="1" style="position:absolute;left:11475;top:8370;height:1425;width:2130;"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99" o:spid="_x0000_s1026" o:spt="202" type="#_x0000_t202" style="position:absolute;left:12122;top:8531;height:435;width:116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8FA3EF3">
                        <w:pPr>
                          <w:rPr>
                            <w:b/>
                            <w:bCs/>
                          </w:rPr>
                        </w:pPr>
                        <w:r>
                          <w:rPr>
                            <w:rFonts w:hint="eastAsia"/>
                            <w:b/>
                            <w:bCs/>
                          </w:rPr>
                          <w:t xml:space="preserve">图 </w:t>
                        </w:r>
                        <w:r>
                          <w:rPr>
                            <w:b/>
                            <w:bCs/>
                          </w:rPr>
                          <w:t xml:space="preserve"> </w:t>
                        </w:r>
                        <w:r>
                          <w:rPr>
                            <w:rFonts w:hint="eastAsia"/>
                            <w:b/>
                            <w:bCs/>
                          </w:rPr>
                          <w:t>例</w:t>
                        </w:r>
                      </w:p>
                    </w:txbxContent>
                  </v:textbox>
                </v:shape>
                <v:shape id="Text Box 100" o:spid="_x0000_s1026" o:spt="202" type="#_x0000_t202" style="position:absolute;left:12239;top:9120;height:435;width:139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D370A98">
                        <w:pPr>
                          <w:rPr>
                            <w:b/>
                            <w:bCs/>
                          </w:rPr>
                        </w:pPr>
                        <w:r>
                          <w:rPr>
                            <w:rFonts w:hint="eastAsia"/>
                            <w:b/>
                            <w:bCs/>
                          </w:rPr>
                          <w:t>本项目位置</w:t>
                        </w:r>
                      </w:p>
                    </w:txbxContent>
                  </v:textbox>
                </v:shape>
                <v:shape id="AutoShape 102" o:spid="_x0000_s1026" style="position:absolute;left:11970;top:9120;height:405;width:360;" fillcolor="#FF0000" filled="t" stroked="t" coordsize="360,405" o:gfxdata="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0PjLtwAAANsAAAAP&#10;AAAAAAAAAAEAIAAAACIAAABkcnMvZG93bnJldi54bWxQSwECFAAUAAAACACHTuJAMy8FnjsAAAA5&#10;AAAAEAAAAAAAAAABACAAAAAGAQAAZHJzL3NoYXBleG1sLnhtbFBLBQYAAAAABgAGAFsBAACwAwAA&#10;AAA=&#10;" path="m0,154l137,154,180,0,222,154,359,154,248,250,291,404,180,309,68,404,111,250xe">
                  <v:path o:connectlocs="180,0;0,154;68,404;291,404;359,154" o:connectangles="247,164,82,82,0"/>
                  <v:fill on="t" focussize="0,0"/>
                  <v:stroke color="#000000" miterlimit="8" joinstyle="miter"/>
                  <v:imagedata o:title=""/>
                  <o:lock v:ext="edit" aspectratio="f"/>
                </v:shape>
              </v:group>
            </w:pict>
          </mc:Fallback>
        </mc:AlternateContent>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908925" cy="5059045"/>
            <wp:effectExtent l="0" t="0" r="15875"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2"/>
                    <a:stretch>
                      <a:fillRect/>
                    </a:stretch>
                  </pic:blipFill>
                  <pic:spPr>
                    <a:xfrm>
                      <a:off x="0" y="0"/>
                      <a:ext cx="7908925" cy="5059045"/>
                    </a:xfrm>
                    <a:prstGeom prst="rect">
                      <a:avLst/>
                    </a:prstGeom>
                    <a:noFill/>
                    <a:ln>
                      <a:noFill/>
                    </a:ln>
                  </pic:spPr>
                </pic:pic>
              </a:graphicData>
            </a:graphic>
          </wp:inline>
        </w:drawing>
      </w:r>
    </w:p>
    <w:p w14:paraId="00D7D203">
      <w:pPr>
        <w:pStyle w:val="5"/>
        <w:bidi w:val="0"/>
        <w:ind w:left="432" w:leftChars="0" w:hanging="432" w:firstLineChars="0"/>
        <w:jc w:val="center"/>
        <w:outlineLvl w:val="0"/>
        <w:rPr>
          <w:rFonts w:hint="eastAsia" w:ascii="宋体" w:hAnsi="宋体" w:eastAsia="宋体" w:cs="宋体"/>
          <w:color w:val="000000" w:themeColor="text1"/>
          <w:highlight w:val="none"/>
          <w14:textFill>
            <w14:solidFill>
              <w14:schemeClr w14:val="tx1"/>
            </w14:solidFill>
          </w14:textFill>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bookmarkStart w:id="34" w:name="_Toc14351"/>
      <w:bookmarkStart w:id="35" w:name="_Toc24633"/>
      <w:r>
        <w:rPr>
          <w:rFonts w:hint="eastAsia" w:ascii="宋体" w:hAnsi="宋体" w:eastAsia="宋体" w:cs="宋体"/>
          <w:color w:val="000000" w:themeColor="text1"/>
          <w:highlight w:val="none"/>
          <w14:textFill>
            <w14:solidFill>
              <w14:schemeClr w14:val="tx1"/>
            </w14:solidFill>
          </w14:textFill>
        </w:rPr>
        <w:t>附图1 项目地理位置</w:t>
      </w:r>
      <w:bookmarkEnd w:id="34"/>
    </w:p>
    <w:p w14:paraId="60932F5A">
      <w:pPr>
        <w:pStyle w:val="18"/>
        <w:spacing w:line="240" w:lineRule="auto"/>
        <w:ind w:right="113" w:rightChars="0" w:firstLine="0" w:firstLineChars="0"/>
        <w:jc w:val="both"/>
        <w:outlineLvl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76672" behindDoc="0" locked="0" layoutInCell="1" allowOverlap="1">
            <wp:simplePos x="0" y="0"/>
            <wp:positionH relativeFrom="column">
              <wp:posOffset>7496810</wp:posOffset>
            </wp:positionH>
            <wp:positionV relativeFrom="paragraph">
              <wp:posOffset>180975</wp:posOffset>
            </wp:positionV>
            <wp:extent cx="695325" cy="685800"/>
            <wp:effectExtent l="0" t="0" r="9525" b="0"/>
            <wp:wrapNone/>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16"/>
                    <a:stretch>
                      <a:fillRect/>
                    </a:stretch>
                  </pic:blipFill>
                  <pic:spPr>
                    <a:xfrm>
                      <a:off x="0" y="0"/>
                      <a:ext cx="695325" cy="685800"/>
                    </a:xfrm>
                    <a:prstGeom prst="rect">
                      <a:avLst/>
                    </a:prstGeom>
                    <a:noFill/>
                    <a:ln>
                      <a:noFill/>
                    </a:ln>
                  </pic:spPr>
                </pic:pic>
              </a:graphicData>
            </a:graphic>
          </wp:anchor>
        </w:drawing>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-7654290</wp:posOffset>
                </wp:positionH>
                <wp:positionV relativeFrom="paragraph">
                  <wp:posOffset>1814830</wp:posOffset>
                </wp:positionV>
                <wp:extent cx="1174750" cy="304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17475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A7B4A">
                            <w:pPr>
                              <w:rPr>
                                <w:rFonts w:hint="default" w:eastAsia="宋体"/>
                                <w:lang w:val="en-US" w:eastAsia="zh-CN"/>
                              </w:rPr>
                            </w:pPr>
                            <w:r>
                              <w:rPr>
                                <w:rFonts w:hint="eastAsia"/>
                                <w:lang w:val="en-US"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7pt;margin-top:142.9pt;height:24pt;width:92.5pt;z-index:251671552;mso-width-relative:page;mso-height-relative:page;" filled="f" stroked="f" coordsize="21600,21600" o:gfxdata="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auzP3gAAAA8BAAAPAAAAAAAAAAEAIAAAACIA&#10;AABkcnMvZG93bnJldi54bWxQSwECFAAUAAAACACHTuJAjNWQwDwCAABoBAAADgAAAAAAAAABACAA&#10;AAAtAQAAZHJzL2Uyb0RvYy54bWxQSwUGAAAAAAYABgBZAQAA2wUAAAAA&#10;">
                <v:fill on="f" focussize="0,0"/>
                <v:stroke on="f" weight="0.5pt"/>
                <v:imagedata o:title=""/>
                <o:lock v:ext="edit" aspectratio="f"/>
                <v:textbox>
                  <w:txbxContent>
                    <w:p w14:paraId="17FA7B4A">
                      <w:pPr>
                        <w:rPr>
                          <w:rFonts w:hint="default" w:eastAsia="宋体"/>
                          <w:lang w:val="en-US" w:eastAsia="zh-CN"/>
                        </w:rPr>
                      </w:pPr>
                      <w:r>
                        <w:rPr>
                          <w:rFonts w:hint="eastAsia"/>
                          <w:lang w:val="en-US" w:eastAsia="zh-CN"/>
                        </w:rPr>
                        <w:t>本项目位置</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-7268845</wp:posOffset>
                </wp:positionH>
                <wp:positionV relativeFrom="paragraph">
                  <wp:posOffset>2131060</wp:posOffset>
                </wp:positionV>
                <wp:extent cx="127000" cy="104140"/>
                <wp:effectExtent l="16510" t="13335" r="27940" b="15875"/>
                <wp:wrapNone/>
                <wp:docPr id="36" name="五角星 36"/>
                <wp:cNvGraphicFramePr/>
                <a:graphic xmlns:a="http://schemas.openxmlformats.org/drawingml/2006/main">
                  <a:graphicData uri="http://schemas.microsoft.com/office/word/2010/wordprocessingShape">
                    <wps:wsp>
                      <wps:cNvSpPr/>
                      <wps:spPr>
                        <a:xfrm>
                          <a:off x="0" y="0"/>
                          <a:ext cx="127000" cy="104140"/>
                        </a:xfrm>
                        <a:prstGeom prst="star5">
                          <a:avLst>
                            <a:gd name="adj" fmla="val 19114"/>
                            <a:gd name="hf" fmla="val 105146"/>
                            <a:gd name="vf" fmla="val 110557"/>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572.35pt;margin-top:167.8pt;height:8.2pt;width:10pt;z-index:251670528;mso-width-relative:page;mso-height-relative:page;" fillcolor="#FF0000" filled="t" stroked="t" coordsize="127000,104140" o:gfxdata="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q+ym3QAAAA8BAAAPAAAAAAAAAAEAIAAAACIAAABkcnMvZG93&#10;bnJldi54bWxQSwECFAAUAAAACACHTuJAnxhODjQCAACVBAAADgAAAAAAAAABACAAAAAsAQAAZHJz&#10;L2Uyb0RvYy54bWxQSwUGAAAAAAYABgBZAQAA0gUAAAAA&#10;" path="m0,39777l48497,39763,63500,0,78502,39763,126999,39777,87774,64367,102745,104139,63500,79573,24254,104139,39225,64367xe">
                <v:path o:connectlocs="63500,0;0,39777;24254,104139;102745,104139;126999,39777" o:connectangles="247,164,82,82,0"/>
                <v:fill on="t" focussize="0,0"/>
                <v:stroke color="#000000" joinstyle="miter"/>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-7798435</wp:posOffset>
                </wp:positionH>
                <wp:positionV relativeFrom="page">
                  <wp:posOffset>2472055</wp:posOffset>
                </wp:positionV>
                <wp:extent cx="1689100" cy="1304290"/>
                <wp:effectExtent l="4445" t="4445" r="20955" b="786765"/>
                <wp:wrapNone/>
                <wp:docPr id="19" name="圆角矩形标注 19"/>
                <wp:cNvGraphicFramePr/>
                <a:graphic xmlns:a="http://schemas.openxmlformats.org/drawingml/2006/main">
                  <a:graphicData uri="http://schemas.microsoft.com/office/word/2010/wordprocessingShape">
                    <wps:wsp>
                      <wps:cNvSpPr/>
                      <wps:spPr>
                        <a:xfrm>
                          <a:off x="0" y="0"/>
                          <a:ext cx="1689100" cy="1304290"/>
                        </a:xfrm>
                        <a:prstGeom prst="wedgeRoundRectCallout">
                          <a:avLst>
                            <a:gd name="adj1" fmla="val -10714"/>
                            <a:gd name="adj2" fmla="val 108714"/>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7DF6785">
                            <w:r>
                              <w:drawing>
                                <wp:inline distT="0" distB="0" distL="114300" distR="114300">
                                  <wp:extent cx="1330960" cy="1094740"/>
                                  <wp:effectExtent l="0" t="0" r="2540" b="1016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3"/>
                                          <a:stretch>
                                            <a:fillRect/>
                                          </a:stretch>
                                        </pic:blipFill>
                                        <pic:spPr>
                                          <a:xfrm>
                                            <a:off x="0" y="0"/>
                                            <a:ext cx="1330960" cy="109474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62" type="#_x0000_t62" style="position:absolute;left:0pt;margin-left:-614.05pt;margin-top:194.65pt;height:102.7pt;width:133pt;mso-position-vertical-relative:page;z-index:251669504;mso-width-relative:page;mso-height-relative:page;" fillcolor="#FFFFFF" filled="t" stroked="t" coordsize="21600,21600" o:gfxdata="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CWvdndAAAA&#10;DgEAAA8AAAAAAAAAAQAgAAAAIgAAAGRycy9kb3ducmV2LnhtbFBLAQIUABQAAAAIAIdO4kAzQmVy&#10;UQIAAMAEAAAOAAAAAAAAAAEAIAAAACwBAABkcnMvZTJvRG9jLnhtbFBLBQYAAAAABgAGAFkBAADv&#10;BQAAAAA=&#10;" adj="8486,34282,14400">
                <v:fill on="t" focussize="0,0"/>
                <v:stroke color="#000000" joinstyle="miter"/>
                <v:imagedata o:title=""/>
                <o:lock v:ext="edit" aspectratio="f"/>
                <v:textbox>
                  <w:txbxContent>
                    <w:p w14:paraId="77DF6785">
                      <w:r>
                        <w:drawing>
                          <wp:inline distT="0" distB="0" distL="114300" distR="114300">
                            <wp:extent cx="1330960" cy="1094740"/>
                            <wp:effectExtent l="0" t="0" r="2540" b="1016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3"/>
                                    <a:stretch>
                                      <a:fillRect/>
                                    </a:stretch>
                                  </pic:blipFill>
                                  <pic:spPr>
                                    <a:xfrm>
                                      <a:off x="0" y="0"/>
                                      <a:ext cx="1330960" cy="1094740"/>
                                    </a:xfrm>
                                    <a:prstGeom prst="rect">
                                      <a:avLst/>
                                    </a:prstGeom>
                                    <a:noFill/>
                                    <a:ln>
                                      <a:noFill/>
                                    </a:ln>
                                  </pic:spPr>
                                </pic:pic>
                              </a:graphicData>
                            </a:graphic>
                          </wp:inline>
                        </w:drawing>
                      </w:r>
                    </w:p>
                  </w:txbxContent>
                </v:textbox>
              </v:shape>
            </w:pict>
          </mc:Fallback>
        </mc:AlternateContent>
      </w:r>
      <w:bookmarkEnd w:id="35"/>
    </w:p>
    <w:p w14:paraId="3C9262C6">
      <w:pPr>
        <w:pStyle w:val="18"/>
        <w:spacing w:line="240" w:lineRule="auto"/>
        <w:ind w:firstLine="0" w:firstLineChars="0"/>
        <w:jc w:val="center"/>
        <w:outlineLvl w:val="9"/>
        <w:rPr>
          <w:rFonts w:hint="default" w:ascii="Times New Roman" w:hAnsi="Times New Roman" w:eastAsia="黑体" w:cs="Times New Roman"/>
          <w:snapToGrid w:val="0"/>
          <w:color w:val="000000" w:themeColor="text1"/>
          <w:sz w:val="28"/>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18"/>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1677035</wp:posOffset>
                </wp:positionH>
                <wp:positionV relativeFrom="paragraph">
                  <wp:posOffset>889635</wp:posOffset>
                </wp:positionV>
                <wp:extent cx="1161415" cy="314325"/>
                <wp:effectExtent l="0" t="0" r="0" b="0"/>
                <wp:wrapNone/>
                <wp:docPr id="112" name="文本框 112"/>
                <wp:cNvGraphicFramePr/>
                <a:graphic xmlns:a="http://schemas.openxmlformats.org/drawingml/2006/main">
                  <a:graphicData uri="http://schemas.microsoft.com/office/word/2010/wordprocessingShape">
                    <wps:wsp>
                      <wps:cNvSpPr txBox="1"/>
                      <wps:spPr>
                        <a:xfrm>
                          <a:off x="3665220" y="2352675"/>
                          <a:ext cx="116141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31964">
                            <w:pPr>
                              <w:rPr>
                                <w:rFonts w:hint="eastAsia" w:eastAsia="黑体"/>
                                <w:b/>
                                <w:color w:val="FF0000"/>
                                <w:sz w:val="28"/>
                                <w:szCs w:val="30"/>
                                <w:lang w:val="en-US" w:eastAsia="zh-CN"/>
                              </w:rPr>
                            </w:pPr>
                            <w:r>
                              <w:rPr>
                                <w:rFonts w:hint="eastAsia" w:eastAsia="黑体"/>
                                <w:b/>
                                <w:color w:val="FF0000"/>
                                <w:sz w:val="28"/>
                                <w:szCs w:val="30"/>
                                <w:lang w:val="en-US" w:eastAsia="zh-CN"/>
                              </w:rPr>
                              <w:t>雨水收集池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05pt;margin-top:70.05pt;height:24.75pt;width:91.45pt;z-index:251695104;mso-width-relative:page;mso-height-relative:page;" filled="f" stroked="f" coordsize="21600,21600" o:gfxdata="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j2XkHbAAAACwEAAA8AAAAA&#10;AAAAAQAgAAAAIgAAAGRycy9kb3ducmV2LnhtbFBLAQIUABQAAAAIAIdO4kA5bbDbSgIAAHYEAAAO&#10;AAAAAAAAAAEAIAAAACoBAABkcnMvZTJvRG9jLnhtbFBLBQYAAAAABgAGAFkBAADmBQAAAAA=&#10;">
                <v:fill on="f" focussize="0,0"/>
                <v:stroke on="f" weight="0.5pt"/>
                <v:imagedata o:title=""/>
                <o:lock v:ext="edit" aspectratio="f"/>
                <v:textbox>
                  <w:txbxContent>
                    <w:p w14:paraId="60031964">
                      <w:pPr>
                        <w:rPr>
                          <w:rFonts w:hint="eastAsia" w:eastAsia="黑体"/>
                          <w:b/>
                          <w:color w:val="FF0000"/>
                          <w:sz w:val="28"/>
                          <w:szCs w:val="30"/>
                          <w:lang w:val="en-US" w:eastAsia="zh-CN"/>
                        </w:rPr>
                      </w:pPr>
                      <w:r>
                        <w:rPr>
                          <w:rFonts w:hint="eastAsia" w:eastAsia="黑体"/>
                          <w:b/>
                          <w:color w:val="FF0000"/>
                          <w:sz w:val="28"/>
                          <w:szCs w:val="30"/>
                          <w:lang w:val="en-US" w:eastAsia="zh-CN"/>
                        </w:rPr>
                        <w:t>雨水收集池</w:t>
                      </w:r>
                    </w:p>
                  </w:txbxContent>
                </v:textbox>
              </v:shape>
            </w:pict>
          </mc:Fallback>
        </mc:AlternateContent>
      </w:r>
      <w:r>
        <w:rPr>
          <w:rFonts w:hint="default" w:ascii="Times New Roman" w:hAnsi="Times New Roman" w:cs="Times New Roman"/>
          <w:color w:val="000000" w:themeColor="text1"/>
          <w:sz w:val="18"/>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6993255</wp:posOffset>
                </wp:positionH>
                <wp:positionV relativeFrom="paragraph">
                  <wp:posOffset>3561715</wp:posOffset>
                </wp:positionV>
                <wp:extent cx="388620" cy="0"/>
                <wp:effectExtent l="0" t="6350" r="0" b="6350"/>
                <wp:wrapNone/>
                <wp:docPr id="90" name="直接连接符 90"/>
                <wp:cNvGraphicFramePr/>
                <a:graphic xmlns:a="http://schemas.openxmlformats.org/drawingml/2006/main">
                  <a:graphicData uri="http://schemas.microsoft.com/office/word/2010/wordprocessingShape">
                    <wps:wsp>
                      <wps:cNvCnPr/>
                      <wps:spPr>
                        <a:xfrm>
                          <a:off x="0" y="0"/>
                          <a:ext cx="388620" cy="0"/>
                        </a:xfrm>
                        <a:prstGeom prst="line">
                          <a:avLst/>
                        </a:prstGeom>
                        <a:ln>
                          <a:solidFill>
                            <a:srgbClr val="BA242C"/>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50.65pt;margin-top:280.45pt;height:0pt;width:30.6pt;z-index:251675648;mso-width-relative:page;mso-height-relative:page;" filled="f" stroked="t" coordsize="21600,21600" o:gfxdata="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NJIL&#10;2AAAAA0BAAAPAAAAAAAAAAEAIAAAACIAAABkcnMvZG93bnJldi54bWxQSwECFAAUAAAACACHTuJA&#10;ZuYIHOgBAACzAwAADgAAAAAAAAABACAAAAAnAQAAZHJzL2Uyb0RvYy54bWxQSwUGAAAAAAYABgBZ&#10;AQAAgQUAAAAA&#10;">
                <v:fill on="f" focussize="0,0"/>
                <v:stroke weight="1pt" color="#BA242C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7407275</wp:posOffset>
                </wp:positionH>
                <wp:positionV relativeFrom="paragraph">
                  <wp:posOffset>3429000</wp:posOffset>
                </wp:positionV>
                <wp:extent cx="885825" cy="276225"/>
                <wp:effectExtent l="0" t="0" r="0" b="0"/>
                <wp:wrapNone/>
                <wp:docPr id="88"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noFill/>
                        <a:ln>
                          <a:noFill/>
                        </a:ln>
                      </wps:spPr>
                      <wps:txbx>
                        <w:txbxContent>
                          <w:p w14:paraId="5948649D">
                            <w:pPr>
                              <w:rPr>
                                <w:rFonts w:hint="default" w:eastAsia="宋体"/>
                                <w:b/>
                                <w:bCs/>
                                <w:lang w:val="en-US" w:eastAsia="zh-CN"/>
                              </w:rPr>
                            </w:pPr>
                            <w:r>
                              <w:rPr>
                                <w:rFonts w:hint="eastAsia"/>
                                <w:b/>
                                <w:bCs/>
                                <w:lang w:val="en-US" w:eastAsia="zh-CN"/>
                              </w:rPr>
                              <w:t>导流沟</w:t>
                            </w:r>
                          </w:p>
                        </w:txbxContent>
                      </wps:txbx>
                      <wps:bodyPr rot="0" vert="horz" wrap="square" lIns="91440" tIns="45720" rIns="91440" bIns="45720" anchor="t" anchorCtr="0" upright="1">
                        <a:noAutofit/>
                      </wps:bodyPr>
                    </wps:wsp>
                  </a:graphicData>
                </a:graphic>
              </wp:anchor>
            </w:drawing>
          </mc:Choice>
          <mc:Fallback>
            <w:pict>
              <v:shape id="Text Box 100" o:spid="_x0000_s1026" o:spt="202" type="#_x0000_t202" style="position:absolute;left:0pt;margin-left:583.25pt;margin-top:270pt;height:21.75pt;width:69.75pt;z-index:251673600;mso-width-relative:page;mso-height-relative:page;" filled="f" stroked="f" coordsize="21600,21600" o:gfxdata="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0tPPjZAAAADQEAAA8AAAAAAAAAAQAgAAAAIgAA&#10;AGRycy9kb3ducmV2LnhtbFBLAQIUABQAAAAIAIdO4kBlcRjeBwIAABYEAAAOAAAAAAAAAAEAIAAA&#10;ACgBAABkcnMvZTJvRG9jLnhtbFBLBQYAAAAABgAGAFkBAAChBQAAAAA=&#10;">
                <v:fill on="f" focussize="0,0"/>
                <v:stroke on="f"/>
                <v:imagedata o:title=""/>
                <o:lock v:ext="edit" aspectratio="f"/>
                <v:textbox>
                  <w:txbxContent>
                    <w:p w14:paraId="5948649D">
                      <w:pPr>
                        <w:rPr>
                          <w:rFonts w:hint="default" w:eastAsia="宋体"/>
                          <w:b/>
                          <w:bCs/>
                          <w:lang w:val="en-US" w:eastAsia="zh-CN"/>
                        </w:rPr>
                      </w:pPr>
                      <w:r>
                        <w:rPr>
                          <w:rFonts w:hint="eastAsia"/>
                          <w:b/>
                          <w:bCs/>
                          <w:lang w:val="en-US" w:eastAsia="zh-CN"/>
                        </w:rPr>
                        <w:t>导流沟</w:t>
                      </w:r>
                    </w:p>
                  </w:txbxContent>
                </v:textbox>
              </v:shape>
            </w:pict>
          </mc:Fallback>
        </mc:AlternateContent>
      </w:r>
      <w:r>
        <w:rPr>
          <w:rFonts w:hint="default" w:ascii="Times New Roman" w:hAnsi="Times New Roman" w:cs="Times New Roman"/>
          <w:color w:val="000000" w:themeColor="text1"/>
          <w:sz w:val="18"/>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6967220</wp:posOffset>
                </wp:positionH>
                <wp:positionV relativeFrom="paragraph">
                  <wp:posOffset>3318510</wp:posOffset>
                </wp:positionV>
                <wp:extent cx="388620" cy="0"/>
                <wp:effectExtent l="0" t="6350" r="0" b="6350"/>
                <wp:wrapNone/>
                <wp:docPr id="89" name="直接连接符 89"/>
                <wp:cNvGraphicFramePr/>
                <a:graphic xmlns:a="http://schemas.openxmlformats.org/drawingml/2006/main">
                  <a:graphicData uri="http://schemas.microsoft.com/office/word/2010/wordprocessingShape">
                    <wps:wsp>
                      <wps:cNvCnPr/>
                      <wps:spPr>
                        <a:xfrm>
                          <a:off x="7266305" y="5624195"/>
                          <a:ext cx="388620" cy="0"/>
                        </a:xfrm>
                        <a:prstGeom prst="line">
                          <a:avLst/>
                        </a:prstGeom>
                        <a:ln>
                          <a:solidFill>
                            <a:srgbClr val="DCD617"/>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8.6pt;margin-top:261.3pt;height:0pt;width:30.6pt;z-index:251674624;mso-width-relative:page;mso-height-relative:page;" filled="f" stroked="t" coordsize="21600,21600" o:gfxdata="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424YNoAAAANAQAADwAAAAAAAAABACAAAAAiAAAAZHJzL2Rvd25yZXYu&#10;eG1sUEsBAhQAFAAAAAgAh07iQK5aCkH5AQAAvwMAAA4AAAAAAAAAAQAgAAAAKQEAAGRycy9lMm9E&#10;b2MueG1sUEsFBgAAAAAGAAYAWQEAAJQFAAAAAA==&#10;">
                <v:fill on="f" focussize="0,0"/>
                <v:stroke weight="1pt" color="#DCD617 [3204]" miterlimit="8" joinstyle="miter"/>
                <v:imagedata o:title=""/>
                <o:lock v:ext="edit" aspectratio="f"/>
              </v:line>
            </w:pict>
          </mc:Fallback>
        </mc:AlternateContent>
      </w:r>
      <w:r>
        <w:rPr>
          <w:rFonts w:hint="default" w:ascii="Times New Roman" w:hAnsi="Times New Roman" w:cs="Times New Roman"/>
          <w:color w:val="000000" w:themeColor="text1"/>
          <w:sz w:val="18"/>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7003415</wp:posOffset>
                </wp:positionH>
                <wp:positionV relativeFrom="paragraph">
                  <wp:posOffset>2990215</wp:posOffset>
                </wp:positionV>
                <wp:extent cx="320040" cy="184150"/>
                <wp:effectExtent l="0" t="0" r="3810" b="6350"/>
                <wp:wrapNone/>
                <wp:docPr id="93" name="矩形 93"/>
                <wp:cNvGraphicFramePr/>
                <a:graphic xmlns:a="http://schemas.openxmlformats.org/drawingml/2006/main">
                  <a:graphicData uri="http://schemas.microsoft.com/office/word/2010/wordprocessingShape">
                    <wps:wsp>
                      <wps:cNvSpPr/>
                      <wps:spPr>
                        <a:xfrm>
                          <a:off x="7251065" y="5198745"/>
                          <a:ext cx="320040" cy="184150"/>
                        </a:xfrm>
                        <a:prstGeom prst="rect">
                          <a:avLst/>
                        </a:prstGeom>
                        <a:solidFill>
                          <a:srgbClr val="29A8B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1.45pt;margin-top:235.45pt;height:14.5pt;width:25.2pt;z-index:251678720;v-text-anchor:middle;mso-width-relative:page;mso-height-relative:page;" fillcolor="#29A8B1" filled="t" stroked="f" coordsize="21600,21600" o:gfxdata="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7Ouq9wAAAANAQAADwAAAAAAAAABACAA&#10;AAAiAAAAZHJzL2Rvd25yZXYueG1sUEsBAhQAFAAAAAgAh07iQKaOu2V7AgAA2AQAAA4AAAAAAAAA&#10;AQAgAAAAKwEAAGRycy9lMm9Eb2MueG1sUEsFBgAAAAAGAAYAWQEAABgGAAAAAA==&#10;">
                <v:fill on="t" focussize="0,0"/>
                <v:stroke on="f" weight="1pt" miterlimit="8" joinstyle="miter"/>
                <v:imagedata o:title=""/>
                <o:lock v:ext="edit" aspectratio="f"/>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7355205</wp:posOffset>
                </wp:positionH>
                <wp:positionV relativeFrom="paragraph">
                  <wp:posOffset>2967355</wp:posOffset>
                </wp:positionV>
                <wp:extent cx="885825" cy="254635"/>
                <wp:effectExtent l="0" t="0" r="0" b="0"/>
                <wp:wrapNone/>
                <wp:docPr id="92"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885825" cy="254635"/>
                        </a:xfrm>
                        <a:prstGeom prst="rect">
                          <a:avLst/>
                        </a:prstGeom>
                        <a:noFill/>
                        <a:ln>
                          <a:noFill/>
                        </a:ln>
                      </wps:spPr>
                      <wps:txbx>
                        <w:txbxContent>
                          <w:p w14:paraId="2DCAA0D7">
                            <w:pPr>
                              <w:rPr>
                                <w:rFonts w:hint="default" w:eastAsia="宋体"/>
                                <w:b/>
                                <w:bCs/>
                                <w:lang w:val="en-US" w:eastAsia="zh-CN"/>
                              </w:rPr>
                            </w:pPr>
                            <w:r>
                              <w:rPr>
                                <w:rFonts w:hint="eastAsia" w:eastAsia="宋体"/>
                                <w:b/>
                                <w:bCs/>
                                <w:lang w:val="en-US" w:eastAsia="zh-CN"/>
                              </w:rPr>
                              <w:t>储煤场</w:t>
                            </w:r>
                          </w:p>
                        </w:txbxContent>
                      </wps:txbx>
                      <wps:bodyPr rot="0" vert="horz" wrap="square" lIns="91440" tIns="45720" rIns="91440" bIns="45720" anchor="t" anchorCtr="0" upright="1">
                        <a:noAutofit/>
                      </wps:bodyPr>
                    </wps:wsp>
                  </a:graphicData>
                </a:graphic>
              </wp:anchor>
            </w:drawing>
          </mc:Choice>
          <mc:Fallback>
            <w:pict>
              <v:shape id="Text Box 100" o:spid="_x0000_s1026" o:spt="202" type="#_x0000_t202" style="position:absolute;left:0pt;margin-left:579.15pt;margin-top:233.65pt;height:20.05pt;width:69.75pt;z-index:251677696;mso-width-relative:page;mso-height-relative:page;" filled="f" stroked="f" coordsize="21600,21600" o:gfxdata="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ut9W/ZAAAADQEAAA8AAAAAAAAAAQAgAAAA&#10;IgAAAGRycy9kb3ducmV2LnhtbFBLAQIUABQAAAAIAIdO4kCaQ5CJCgIAABYEAAAOAAAAAAAAAAEA&#10;IAAAACgBAABkcnMvZTJvRG9jLnhtbFBLBQYAAAAABgAGAFkBAACkBQAAAAA=&#10;">
                <v:fill on="f" focussize="0,0"/>
                <v:stroke on="f"/>
                <v:imagedata o:title=""/>
                <o:lock v:ext="edit" aspectratio="f"/>
                <v:textbox>
                  <w:txbxContent>
                    <w:p w14:paraId="2DCAA0D7">
                      <w:pPr>
                        <w:rPr>
                          <w:rFonts w:hint="default" w:eastAsia="宋体"/>
                          <w:b/>
                          <w:bCs/>
                          <w:lang w:val="en-US" w:eastAsia="zh-CN"/>
                        </w:rPr>
                      </w:pPr>
                      <w:r>
                        <w:rPr>
                          <w:rFonts w:hint="eastAsia" w:eastAsia="宋体"/>
                          <w:b/>
                          <w:bCs/>
                          <w:lang w:val="en-US" w:eastAsia="zh-CN"/>
                        </w:rPr>
                        <w:t>储煤场</w:t>
                      </w:r>
                    </w:p>
                  </w:txbxContent>
                </v:textbox>
              </v:shape>
            </w:pict>
          </mc:Fallback>
        </mc:AlternateContent>
      </w:r>
      <w:r>
        <w:rPr>
          <w:rFonts w:hint="default" w:ascii="Times New Roman" w:hAnsi="Times New Roman" w:cs="Times New Roman"/>
          <w:b/>
          <w:color w:val="000000" w:themeColor="text1"/>
          <w:kern w:val="2"/>
          <w:sz w:val="24"/>
          <w:szCs w:val="24"/>
          <w:highlight w:val="none"/>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6817995</wp:posOffset>
                </wp:positionH>
                <wp:positionV relativeFrom="paragraph">
                  <wp:posOffset>2527935</wp:posOffset>
                </wp:positionV>
                <wp:extent cx="1430020" cy="1356995"/>
                <wp:effectExtent l="4445" t="4445" r="13335" b="10160"/>
                <wp:wrapNone/>
                <wp:docPr id="83" name="Group 104"/>
                <wp:cNvGraphicFramePr/>
                <a:graphic xmlns:a="http://schemas.openxmlformats.org/drawingml/2006/main">
                  <a:graphicData uri="http://schemas.microsoft.com/office/word/2010/wordprocessingGroup">
                    <wpg:wgp>
                      <wpg:cNvGrpSpPr/>
                      <wpg:grpSpPr>
                        <a:xfrm>
                          <a:off x="0" y="0"/>
                          <a:ext cx="1430020" cy="1356995"/>
                          <a:chOff x="11450" y="8363"/>
                          <a:chExt cx="2895" cy="1425"/>
                        </a:xfrm>
                      </wpg:grpSpPr>
                      <wps:wsp>
                        <wps:cNvPr id="84" name="Rectangle 98"/>
                        <wps:cNvSpPr>
                          <a:spLocks noChangeArrowheads="1"/>
                        </wps:cNvSpPr>
                        <wps:spPr bwMode="auto">
                          <a:xfrm>
                            <a:off x="11450" y="8363"/>
                            <a:ext cx="2895" cy="1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5" name="Text Box 99"/>
                        <wps:cNvSpPr txBox="1">
                          <a:spLocks noChangeArrowheads="1"/>
                        </wps:cNvSpPr>
                        <wps:spPr bwMode="auto">
                          <a:xfrm>
                            <a:off x="12420" y="8520"/>
                            <a:ext cx="1170" cy="435"/>
                          </a:xfrm>
                          <a:prstGeom prst="rect">
                            <a:avLst/>
                          </a:prstGeom>
                          <a:noFill/>
                          <a:ln>
                            <a:noFill/>
                          </a:ln>
                        </wps:spPr>
                        <wps:txbx>
                          <w:txbxContent>
                            <w:p w14:paraId="508F3450">
                              <w:pPr>
                                <w:rPr>
                                  <w:b/>
                                  <w:bCs/>
                                </w:rPr>
                              </w:pPr>
                              <w:r>
                                <w:rPr>
                                  <w:rFonts w:hint="eastAsia"/>
                                  <w:b/>
                                  <w:bCs/>
                                </w:rPr>
                                <w:t>图例</w:t>
                              </w:r>
                            </w:p>
                          </w:txbxContent>
                        </wps:txbx>
                        <wps:bodyPr rot="0" vert="horz" wrap="square" lIns="91440" tIns="45720" rIns="91440" bIns="45720" anchor="t" anchorCtr="0" upright="1">
                          <a:noAutofit/>
                        </wps:bodyPr>
                      </wps:wsp>
                      <wps:wsp>
                        <wps:cNvPr id="86" name="Text Box 100"/>
                        <wps:cNvSpPr txBox="1">
                          <a:spLocks noChangeArrowheads="1"/>
                        </wps:cNvSpPr>
                        <wps:spPr bwMode="auto">
                          <a:xfrm>
                            <a:off x="12495" y="9064"/>
                            <a:ext cx="1846" cy="433"/>
                          </a:xfrm>
                          <a:prstGeom prst="rect">
                            <a:avLst/>
                          </a:prstGeom>
                          <a:noFill/>
                          <a:ln>
                            <a:noFill/>
                          </a:ln>
                        </wps:spPr>
                        <wps:txbx>
                          <w:txbxContent>
                            <w:p w14:paraId="212F230B">
                              <w:pPr>
                                <w:rPr>
                                  <w:rFonts w:hint="eastAsia" w:eastAsia="宋体"/>
                                  <w:b/>
                                  <w:bCs/>
                                  <w:lang w:val="en-US" w:eastAsia="zh-CN"/>
                                </w:rPr>
                              </w:pPr>
                              <w:r>
                                <w:rPr>
                                  <w:rFonts w:hint="eastAsia"/>
                                  <w:b/>
                                  <w:bCs/>
                                  <w:lang w:val="en-US" w:eastAsia="zh-CN"/>
                                </w:rPr>
                                <w:t>防风抑尘网</w:t>
                              </w:r>
                            </w:p>
                          </w:txbxContent>
                        </wps:txbx>
                        <wps:bodyPr rot="0" vert="horz" wrap="square" lIns="91440" tIns="45720" rIns="91440" bIns="45720" anchor="t" anchorCtr="0" upright="1">
                          <a:noAutofit/>
                        </wps:bodyPr>
                      </wps:wsp>
                    </wpg:wgp>
                  </a:graphicData>
                </a:graphic>
              </wp:anchor>
            </w:drawing>
          </mc:Choice>
          <mc:Fallback>
            <w:pict>
              <v:group id="Group 104" o:spid="_x0000_s1026" o:spt="203" style="position:absolute;left:0pt;margin-left:536.85pt;margin-top:199.05pt;height:106.85pt;width:112.6pt;z-index:251672576;mso-width-relative:page;mso-height-relative:page;" coordorigin="11450,8363" coordsize="2895,1425" o:gfxdata="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EzKMd3AAAAA0BAAAPAAAAAAAAAAEAIAAAACIAAABkcnMvZG93bnJldi54bWxQ&#10;SwECFAAUAAAACACHTuJAy2YoKRADAAAdCgAADgAAAAAAAAABACAAAAArAQAAZHJzL2Uyb0RvYy54&#10;bWxQSwUGAAAAAAYABgBZAQAArQYAAAAA&#10;">
                <o:lock v:ext="edit" aspectratio="f"/>
                <v:rect id="Rectangle 98" o:spid="_x0000_s1026" o:spt="1" style="position:absolute;left:11450;top:8363;height:1425;width:2895;"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Text Box 99" o:spid="_x0000_s1026" o:spt="202" type="#_x0000_t202" style="position:absolute;left:12420;top:8520;height:435;width:1170;" filled="f" stroked="f" coordsize="21600,21600" o:gfxdata="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zrDp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08F3450">
                        <w:pPr>
                          <w:rPr>
                            <w:b/>
                            <w:bCs/>
                          </w:rPr>
                        </w:pPr>
                        <w:r>
                          <w:rPr>
                            <w:rFonts w:hint="eastAsia"/>
                            <w:b/>
                            <w:bCs/>
                          </w:rPr>
                          <w:t>图例</w:t>
                        </w:r>
                      </w:p>
                    </w:txbxContent>
                  </v:textbox>
                </v:shape>
                <v:shape id="Text Box 100" o:spid="_x0000_s1026" o:spt="202" type="#_x0000_t202" style="position:absolute;left:12495;top:9064;height:433;width:1846;"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12F230B">
                        <w:pPr>
                          <w:rPr>
                            <w:rFonts w:hint="eastAsia" w:eastAsia="宋体"/>
                            <w:b/>
                            <w:bCs/>
                            <w:lang w:val="en-US" w:eastAsia="zh-CN"/>
                          </w:rPr>
                        </w:pPr>
                        <w:r>
                          <w:rPr>
                            <w:rFonts w:hint="eastAsia"/>
                            <w:b/>
                            <w:bCs/>
                            <w:lang w:val="en-US" w:eastAsia="zh-CN"/>
                          </w:rPr>
                          <w:t>防风抑尘网</w:t>
                        </w:r>
                      </w:p>
                    </w:txbxContent>
                  </v:textbox>
                </v:shape>
              </v:group>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709440" behindDoc="0" locked="0" layoutInCell="1" allowOverlap="1">
                <wp:simplePos x="0" y="0"/>
                <wp:positionH relativeFrom="column">
                  <wp:posOffset>2331085</wp:posOffset>
                </wp:positionH>
                <wp:positionV relativeFrom="paragraph">
                  <wp:posOffset>259715</wp:posOffset>
                </wp:positionV>
                <wp:extent cx="1308100" cy="26860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30810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0342D">
                            <w:pPr>
                              <w:rPr>
                                <w:rFonts w:hint="default" w:eastAsia="宋体"/>
                                <w:color w:val="FF0000"/>
                                <w:lang w:val="en-US" w:eastAsia="zh-CN"/>
                              </w:rPr>
                            </w:pPr>
                            <w:r>
                              <w:rPr>
                                <w:rFonts w:hint="eastAsia"/>
                                <w:color w:val="FF0000"/>
                                <w:lang w:val="en-US" w:eastAsia="zh-CN"/>
                              </w:rPr>
                              <w:t>危险废物贮存点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55pt;margin-top:20.45pt;height:21.15pt;width:103pt;z-index:251709440;mso-width-relative:page;mso-height-relative:page;" filled="f" stroked="f" coordsize="21600,21600" o:gfxdata="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TVF92wAAAAkBAAAPAAAAAAAAAAEAIAAAACIAAABk&#10;cnMvZG93bnJldi54bWxQSwECFAAUAAAACACHTuJACYHQvjwCAABqBAAADgAAAAAAAAABACAAAAAq&#10;AQAAZHJzL2Uyb0RvYy54bWxQSwUGAAAAAAYABgBZAQAA2AUAAAAA&#10;">
                <v:fill on="f" focussize="0,0"/>
                <v:stroke on="f" weight="0.5pt"/>
                <v:imagedata o:title=""/>
                <o:lock v:ext="edit" aspectratio="f"/>
                <v:textbox>
                  <w:txbxContent>
                    <w:p w14:paraId="6000342D">
                      <w:pPr>
                        <w:rPr>
                          <w:rFonts w:hint="default" w:eastAsia="宋体"/>
                          <w:color w:val="FF0000"/>
                          <w:lang w:val="en-US" w:eastAsia="zh-CN"/>
                        </w:rPr>
                      </w:pPr>
                      <w:r>
                        <w:rPr>
                          <w:rFonts w:hint="eastAsia"/>
                          <w:color w:val="FF0000"/>
                          <w:lang w:val="en-US" w:eastAsia="zh-CN"/>
                        </w:rPr>
                        <w:t>危险废物贮存点</w:t>
                      </w:r>
                    </w:p>
                  </w:txbxContent>
                </v:textbox>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710464" behindDoc="0" locked="0" layoutInCell="1" allowOverlap="1">
                <wp:simplePos x="0" y="0"/>
                <wp:positionH relativeFrom="column">
                  <wp:posOffset>1294765</wp:posOffset>
                </wp:positionH>
                <wp:positionV relativeFrom="paragraph">
                  <wp:posOffset>467995</wp:posOffset>
                </wp:positionV>
                <wp:extent cx="986790" cy="562610"/>
                <wp:effectExtent l="0" t="5715" r="3810" b="3175"/>
                <wp:wrapNone/>
                <wp:docPr id="109" name="直接箭头连接符 109"/>
                <wp:cNvGraphicFramePr/>
                <a:graphic xmlns:a="http://schemas.openxmlformats.org/drawingml/2006/main">
                  <a:graphicData uri="http://schemas.microsoft.com/office/word/2010/wordprocessingShape">
                    <wps:wsp>
                      <wps:cNvCnPr/>
                      <wps:spPr>
                        <a:xfrm flipH="1">
                          <a:off x="0" y="0"/>
                          <a:ext cx="986790" cy="5626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1.95pt;margin-top:36.85pt;height:44.3pt;width:77.7pt;z-index:251710464;mso-width-relative:page;mso-height-relative:page;" filled="f" stroked="t" coordsize="21600,21600" o:gfxdata="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ZWr4dgAAAAKAQAADwAAAAAA&#10;AAABACAAAAAiAAAAZHJzL2Rvd25yZXYueG1sUEsBAhQAFAAAAAgAh07iQJZHhmYTAgAA8QMAAA4A&#10;AAAAAAAAAQAgAAAAJwEAAGRycy9lMm9Eb2MueG1sUEsFBgAAAAAGAAYAWQEAAKwFAAAAAA==&#10;">
                <v:fill on="f" focussize="0,0"/>
                <v:stroke weight="1pt" color="#FF0000 [3204]" miterlimit="8" joinstyle="miter" endarrow="open"/>
                <v:imagedata o:title=""/>
                <o:lock v:ext="edit" aspectratio="f"/>
              </v:shape>
            </w:pict>
          </mc:Fallback>
        </mc:AlternateContent>
      </w:r>
      <w:r>
        <w:rPr>
          <w:rFonts w:hint="default" w:ascii="Times New Roman" w:hAnsi="Times New Roman" w:cs="Times New Roman"/>
          <w:highlight w:val="none"/>
        </w:rPr>
        <w:drawing>
          <wp:inline distT="0" distB="0" distL="114300" distR="114300">
            <wp:extent cx="8010525" cy="388620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4"/>
                    <a:stretch>
                      <a:fillRect/>
                    </a:stretch>
                  </pic:blipFill>
                  <pic:spPr>
                    <a:xfrm>
                      <a:off x="0" y="0"/>
                      <a:ext cx="8010525" cy="3886200"/>
                    </a:xfrm>
                    <a:prstGeom prst="rect">
                      <a:avLst/>
                    </a:prstGeom>
                    <a:noFill/>
                    <a:ln>
                      <a:noFill/>
                    </a:ln>
                  </pic:spPr>
                </pic:pic>
              </a:graphicData>
            </a:graphic>
          </wp:inline>
        </w:drawing>
      </w:r>
    </w:p>
    <w:p w14:paraId="2241951A">
      <w:pPr>
        <w:pStyle w:val="5"/>
        <w:bidi w:val="0"/>
        <w:ind w:left="432" w:leftChars="0" w:hanging="432" w:firstLineChars="0"/>
        <w:jc w:val="center"/>
        <w:outlineLvl w:val="0"/>
        <w:rPr>
          <w:rFonts w:hint="eastAsia" w:ascii="宋体" w:hAnsi="宋体" w:eastAsia="宋体" w:cs="宋体"/>
          <w:color w:val="000000" w:themeColor="text1"/>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bookmarkStart w:id="36" w:name="_Toc20694"/>
      <w:bookmarkStart w:id="37" w:name="_Toc29746"/>
      <w:r>
        <w:rPr>
          <w:rFonts w:hint="eastAsia" w:ascii="宋体" w:hAnsi="宋体" w:eastAsia="宋体" w:cs="宋体"/>
          <w:color w:val="000000" w:themeColor="text1"/>
          <w:highlight w:val="none"/>
          <w:lang w:val="en-US" w:eastAsia="zh-CN"/>
          <w14:textFill>
            <w14:solidFill>
              <w14:schemeClr w14:val="tx1"/>
            </w14:solidFill>
          </w14:textFill>
        </w:rPr>
        <w:t>附图2 项目总平面布</w:t>
      </w:r>
      <w:r>
        <w:rPr>
          <w:rFonts w:hint="eastAsia" w:ascii="宋体" w:hAnsi="宋体" w:eastAsia="宋体" w:cs="宋体"/>
          <w:sz w:val="21"/>
          <w:highlight w:val="none"/>
        </w:rPr>
        <mc:AlternateContent>
          <mc:Choice Requires="wps">
            <w:drawing>
              <wp:anchor distT="0" distB="0" distL="114300" distR="114300" simplePos="0" relativeHeight="251713536" behindDoc="0" locked="0" layoutInCell="1" allowOverlap="1">
                <wp:simplePos x="0" y="0"/>
                <wp:positionH relativeFrom="column">
                  <wp:posOffset>1031240</wp:posOffset>
                </wp:positionH>
                <wp:positionV relativeFrom="paragraph">
                  <wp:posOffset>-3313430</wp:posOffset>
                </wp:positionV>
                <wp:extent cx="974725" cy="26860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97472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E5087">
                            <w:pPr>
                              <w:rPr>
                                <w:rFonts w:hint="default" w:eastAsia="宋体"/>
                                <w:color w:val="FF0000"/>
                                <w:lang w:val="en-US" w:eastAsia="zh-CN"/>
                              </w:rPr>
                            </w:pPr>
                            <w:r>
                              <w:rPr>
                                <w:rFonts w:hint="eastAsia"/>
                                <w:color w:val="FF0000"/>
                                <w:lang w:val="en-US"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2pt;margin-top:-260.9pt;height:21.15pt;width:76.75pt;z-index:251713536;mso-width-relative:page;mso-height-relative:page;" filled="f" stroked="f" coordsize="21600,21600" o:gfxdata="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oY6g90AAAANAQAADwAAAAAAAAABACAAAAAi&#10;AAAAZHJzL2Rvd25yZXYueG1sUEsBAhQAFAAAAAgAh07iQJlgqr8+AgAAZwQAAA4AAAAAAAAAAQAg&#10;AAAALAEAAGRycy9lMm9Eb2MueG1sUEsFBgAAAAAGAAYAWQEAANwFAAAAAA==&#10;">
                <v:fill on="f" focussize="0,0"/>
                <v:stroke on="f" weight="0.5pt"/>
                <v:imagedata o:title=""/>
                <o:lock v:ext="edit" aspectratio="f"/>
                <v:textbox>
                  <w:txbxContent>
                    <w:p w14:paraId="12DE5087">
                      <w:pPr>
                        <w:rPr>
                          <w:rFonts w:hint="default" w:eastAsia="宋体"/>
                          <w:color w:val="FF0000"/>
                          <w:lang w:val="en-US" w:eastAsia="zh-CN"/>
                        </w:rPr>
                      </w:pPr>
                      <w:r>
                        <w:rPr>
                          <w:rFonts w:hint="eastAsia"/>
                          <w:color w:val="FF0000"/>
                          <w:lang w:val="en-US" w:eastAsia="zh-CN"/>
                        </w:rPr>
                        <w:t>办公室</w:t>
                      </w:r>
                    </w:p>
                  </w:txbxContent>
                </v:textbox>
              </v:shape>
            </w:pict>
          </mc:Fallback>
        </mc:AlternateContent>
      </w:r>
      <w:r>
        <w:rPr>
          <w:rFonts w:hint="eastAsia" w:ascii="宋体" w:hAnsi="宋体" w:eastAsia="宋体" w:cs="宋体"/>
          <w:color w:val="000000" w:themeColor="text1"/>
          <w:highlight w:val="none"/>
          <w:lang w:val="en-US" w:eastAsia="zh-CN"/>
          <w14:textFill>
            <w14:solidFill>
              <w14:schemeClr w14:val="tx1"/>
            </w14:solidFill>
          </w14:textFill>
        </w:rPr>
        <w:t>置图</w:t>
      </w:r>
      <w:bookmarkEnd w:id="36"/>
      <w:bookmarkEnd w:id="37"/>
    </w:p>
    <w:p w14:paraId="2A22BB03">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6977380</wp:posOffset>
                </wp:positionH>
                <wp:positionV relativeFrom="paragraph">
                  <wp:posOffset>3534410</wp:posOffset>
                </wp:positionV>
                <wp:extent cx="213360" cy="139065"/>
                <wp:effectExtent l="0" t="0" r="15240" b="13335"/>
                <wp:wrapNone/>
                <wp:docPr id="117" name="矩形 117"/>
                <wp:cNvGraphicFramePr/>
                <a:graphic xmlns:a="http://schemas.openxmlformats.org/drawingml/2006/main">
                  <a:graphicData uri="http://schemas.microsoft.com/office/word/2010/wordprocessingShape">
                    <wps:wsp>
                      <wps:cNvSpPr/>
                      <wps:spPr>
                        <a:xfrm>
                          <a:off x="0" y="0"/>
                          <a:ext cx="213360" cy="139065"/>
                        </a:xfrm>
                        <a:prstGeom prst="rect">
                          <a:avLst/>
                        </a:prstGeom>
                        <a:solidFill>
                          <a:srgbClr val="92D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9.4pt;margin-top:278.3pt;height:10.95pt;width:16.8pt;z-index:251712512;v-text-anchor:middle;mso-width-relative:page;mso-height-relative:page;" fillcolor="#92D050" filled="t" stroked="f" coordsize="21600,21600" o:gfxdata="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8mqtDZAAAADQEAAA8AAAAAAAAAAQAgAAAAIgAAAGRycy9kb3ducmV2&#10;LnhtbFBLAQIUABQAAAAIAIdO4kAI22cVbQIAAM4EAAAOAAAAAAAAAAEAIAAAACgBAABkcnMvZTJv&#10;RG9jLnhtbFBLBQYAAAAABgAGAFkBAAAHBgAAAAA=&#10;">
                <v:fill on="t" focussize="0,0"/>
                <v:stroke on="f" weight="1pt" miterlimit="8" joinstyle="miter"/>
                <v:imagedata o:title=""/>
                <o:lock v:ext="edit" aspectratio="f"/>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6981190</wp:posOffset>
                </wp:positionH>
                <wp:positionV relativeFrom="paragraph">
                  <wp:posOffset>3823970</wp:posOffset>
                </wp:positionV>
                <wp:extent cx="213360" cy="139065"/>
                <wp:effectExtent l="6350" t="6350" r="8890" b="6985"/>
                <wp:wrapNone/>
                <wp:docPr id="73" name="矩形 73"/>
                <wp:cNvGraphicFramePr/>
                <a:graphic xmlns:a="http://schemas.openxmlformats.org/drawingml/2006/main">
                  <a:graphicData uri="http://schemas.microsoft.com/office/word/2010/wordprocessingShape">
                    <wps:wsp>
                      <wps:cNvSpPr/>
                      <wps:spPr>
                        <a:xfrm>
                          <a:off x="0" y="0"/>
                          <a:ext cx="213360" cy="139065"/>
                        </a:xfrm>
                        <a:prstGeom prst="rect">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9.7pt;margin-top:301.1pt;height:10.95pt;width:16.8pt;z-index:251685888;v-text-anchor:middle;mso-width-relative:page;mso-height-relative:page;" fillcolor="#FF0000" filled="t" stroked="t" coordsize="21600,21600" o:gfxdata="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eYxOa2QAAAA0BAAAPAAAAAAAAAAEAIAAAACIAAABkcnMvZG93bnJldi54&#10;bWxQSwECFAAUAAAACACHTuJA4XJ9gGsCAAD1BAAADgAAAAAAAAABACAAAAAoAQAAZHJzL2Uyb0Rv&#10;Yy54bWxQSwUGAAAAAAYABgBZAQAABQYAAAAA&#10;">
                <v:fill on="t" focussize="0,0"/>
                <v:stroke weight="1pt" color="#FF0000 [2404]" miterlimit="8" joinstyle="miter"/>
                <v:imagedata o:title=""/>
                <o:lock v:ext="edit" aspectratio="f"/>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7240270</wp:posOffset>
                </wp:positionH>
                <wp:positionV relativeFrom="paragraph">
                  <wp:posOffset>3754755</wp:posOffset>
                </wp:positionV>
                <wp:extent cx="869950" cy="266700"/>
                <wp:effectExtent l="0" t="0" r="0" b="0"/>
                <wp:wrapNone/>
                <wp:docPr id="116" name="Text Box 99"/>
                <wp:cNvGraphicFramePr/>
                <a:graphic xmlns:a="http://schemas.openxmlformats.org/drawingml/2006/main">
                  <a:graphicData uri="http://schemas.microsoft.com/office/word/2010/wordprocessingShape">
                    <wps:wsp>
                      <wps:cNvSpPr txBox="1">
                        <a:spLocks noChangeArrowheads="1"/>
                      </wps:cNvSpPr>
                      <wps:spPr bwMode="auto">
                        <a:xfrm>
                          <a:off x="0" y="0"/>
                          <a:ext cx="869950" cy="266700"/>
                        </a:xfrm>
                        <a:prstGeom prst="rect">
                          <a:avLst/>
                        </a:prstGeom>
                        <a:noFill/>
                        <a:ln>
                          <a:noFill/>
                        </a:ln>
                      </wps:spPr>
                      <wps:txbx>
                        <w:txbxContent>
                          <w:p w14:paraId="25A24832">
                            <w:pPr>
                              <w:rPr>
                                <w:rFonts w:hint="default" w:eastAsia="宋体"/>
                                <w:b/>
                                <w:bCs/>
                                <w:lang w:val="en-US" w:eastAsia="zh-CN"/>
                              </w:rPr>
                            </w:pPr>
                            <w:r>
                              <w:rPr>
                                <w:rFonts w:hint="eastAsia"/>
                                <w:b/>
                                <w:bCs/>
                                <w:lang w:val="en-US" w:eastAsia="zh-CN"/>
                              </w:rPr>
                              <w:t>重点防渗区</w:t>
                            </w:r>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margin-left:570.1pt;margin-top:295.65pt;height:21pt;width:68.5pt;z-index:251711488;mso-width-relative:page;mso-height-relative:page;" filled="f" stroked="f" coordsize="21600,21600" o:gfxdata="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PXFS2QAAAA0BAAAPAAAAAAAAAAEAIAAAACIA&#10;AABkcnMvZG93bnJldi54bWxQSwECFAAUAAAACACHTuJAK/QWewgCAAAWBAAADgAAAAAAAAABACAA&#10;AAAoAQAAZHJzL2Uyb0RvYy54bWxQSwUGAAAAAAYABgBZAQAAogUAAAAA&#10;">
                <v:fill on="f" focussize="0,0"/>
                <v:stroke on="f"/>
                <v:imagedata o:title=""/>
                <o:lock v:ext="edit" aspectratio="f"/>
                <v:textbox>
                  <w:txbxContent>
                    <w:p w14:paraId="25A24832">
                      <w:pPr>
                        <w:rPr>
                          <w:rFonts w:hint="default" w:eastAsia="宋体"/>
                          <w:b/>
                          <w:bCs/>
                          <w:lang w:val="en-US" w:eastAsia="zh-CN"/>
                        </w:rPr>
                      </w:pPr>
                      <w:r>
                        <w:rPr>
                          <w:rFonts w:hint="eastAsia"/>
                          <w:b/>
                          <w:bCs/>
                          <w:lang w:val="en-US" w:eastAsia="zh-CN"/>
                        </w:rPr>
                        <w:t>重点防渗区</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7191375</wp:posOffset>
                </wp:positionH>
                <wp:positionV relativeFrom="paragraph">
                  <wp:posOffset>3462655</wp:posOffset>
                </wp:positionV>
                <wp:extent cx="869950" cy="266700"/>
                <wp:effectExtent l="0" t="0" r="0" b="0"/>
                <wp:wrapNone/>
                <wp:docPr id="94" name="Text Box 99"/>
                <wp:cNvGraphicFramePr/>
                <a:graphic xmlns:a="http://schemas.openxmlformats.org/drawingml/2006/main">
                  <a:graphicData uri="http://schemas.microsoft.com/office/word/2010/wordprocessingShape">
                    <wps:wsp>
                      <wps:cNvSpPr txBox="1">
                        <a:spLocks noChangeArrowheads="1"/>
                      </wps:cNvSpPr>
                      <wps:spPr bwMode="auto">
                        <a:xfrm>
                          <a:off x="0" y="0"/>
                          <a:ext cx="869950" cy="266700"/>
                        </a:xfrm>
                        <a:prstGeom prst="rect">
                          <a:avLst/>
                        </a:prstGeom>
                        <a:noFill/>
                        <a:ln>
                          <a:noFill/>
                        </a:ln>
                      </wps:spPr>
                      <wps:txbx>
                        <w:txbxContent>
                          <w:p w14:paraId="368FB568">
                            <w:pPr>
                              <w:rPr>
                                <w:rFonts w:hint="default" w:eastAsia="宋体"/>
                                <w:b/>
                                <w:bCs/>
                                <w:lang w:val="en-US" w:eastAsia="zh-CN"/>
                              </w:rPr>
                            </w:pPr>
                            <w:r>
                              <w:rPr>
                                <w:rFonts w:hint="eastAsia"/>
                                <w:b/>
                                <w:bCs/>
                                <w:lang w:val="en-US" w:eastAsia="zh-CN"/>
                              </w:rPr>
                              <w:t>一般防渗区</w:t>
                            </w:r>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margin-left:566.25pt;margin-top:272.65pt;height:21pt;width:68.5pt;z-index:251688960;mso-width-relative:page;mso-height-relative:page;" filled="f" stroked="f" coordsize="21600,21600" o:gfxdata="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oyg82QAAAA0BAAAPAAAAAAAAAAEAIAAAACIA&#10;AABkcnMvZG93bnJldi54bWxQSwECFAAUAAAACACHTuJAwPGRWwgCAAAVBAAADgAAAAAAAAABACAA&#10;AAAoAQAAZHJzL2Uyb0RvYy54bWxQSwUGAAAAAAYABgBZAQAAogUAAAAA&#10;">
                <v:fill on="f" focussize="0,0"/>
                <v:stroke on="f"/>
                <v:imagedata o:title=""/>
                <o:lock v:ext="edit" aspectratio="f"/>
                <v:textbox>
                  <w:txbxContent>
                    <w:p w14:paraId="368FB568">
                      <w:pPr>
                        <w:rPr>
                          <w:rFonts w:hint="default" w:eastAsia="宋体"/>
                          <w:b/>
                          <w:bCs/>
                          <w:lang w:val="en-US" w:eastAsia="zh-CN"/>
                        </w:rPr>
                      </w:pPr>
                      <w:r>
                        <w:rPr>
                          <w:rFonts w:hint="eastAsia"/>
                          <w:b/>
                          <w:bCs/>
                          <w:lang w:val="en-US" w:eastAsia="zh-CN"/>
                        </w:rPr>
                        <w:t>一般防渗区</w:t>
                      </w:r>
                    </w:p>
                  </w:txbxContent>
                </v:textbox>
              </v:shape>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6969125</wp:posOffset>
                </wp:positionH>
                <wp:positionV relativeFrom="paragraph">
                  <wp:posOffset>3274060</wp:posOffset>
                </wp:positionV>
                <wp:extent cx="213360" cy="139065"/>
                <wp:effectExtent l="6350" t="6350" r="8890" b="6985"/>
                <wp:wrapNone/>
                <wp:docPr id="82" name="矩形 82"/>
                <wp:cNvGraphicFramePr/>
                <a:graphic xmlns:a="http://schemas.openxmlformats.org/drawingml/2006/main">
                  <a:graphicData uri="http://schemas.microsoft.com/office/word/2010/wordprocessingShape">
                    <wps:wsp>
                      <wps:cNvSpPr/>
                      <wps:spPr>
                        <a:xfrm>
                          <a:off x="0" y="0"/>
                          <a:ext cx="213360" cy="139065"/>
                        </a:xfrm>
                        <a:prstGeom prst="rect">
                          <a:avLst/>
                        </a:prstGeom>
                        <a:solidFill>
                          <a:srgbClr val="29A9B2"/>
                        </a:solidFill>
                        <a:ln>
                          <a:solidFill>
                            <a:srgbClr val="26A5AE"/>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8.75pt;margin-top:257.8pt;height:10.95pt;width:16.8pt;z-index:251686912;v-text-anchor:middle;mso-width-relative:page;mso-height-relative:page;" fillcolor="#29A9B2" filled="t" stroked="t" coordsize="21600,21600" o:gfxdata="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S1vvNcAAAANAQAADwAAAAAAAAABACAAAAAiAAAAZHJz&#10;L2Rvd25yZXYueG1sUEsBAhQAFAAAAAgAh07iQBS+vk93AgAA9QQAAA4AAAAAAAAAAQAgAAAAJgEA&#10;AGRycy9lMm9Eb2MueG1sUEsFBgAAAAAGAAYAWQEAAA8GAAAAAA==&#10;">
                <v:fill on="t" focussize="0,0"/>
                <v:stroke weight="1pt" color="#26A5AE [2404]" miterlimit="8" joinstyle="miter"/>
                <v:imagedata o:title=""/>
                <o:lock v:ext="edit" aspectratio="f"/>
              </v:rect>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7158355</wp:posOffset>
                </wp:positionH>
                <wp:positionV relativeFrom="paragraph">
                  <wp:posOffset>3175635</wp:posOffset>
                </wp:positionV>
                <wp:extent cx="869950" cy="266700"/>
                <wp:effectExtent l="0" t="0" r="0" b="0"/>
                <wp:wrapNone/>
                <wp:docPr id="77" name="Text Box 99"/>
                <wp:cNvGraphicFramePr/>
                <a:graphic xmlns:a="http://schemas.openxmlformats.org/drawingml/2006/main">
                  <a:graphicData uri="http://schemas.microsoft.com/office/word/2010/wordprocessingShape">
                    <wps:wsp>
                      <wps:cNvSpPr txBox="1">
                        <a:spLocks noChangeArrowheads="1"/>
                      </wps:cNvSpPr>
                      <wps:spPr bwMode="auto">
                        <a:xfrm>
                          <a:off x="0" y="0"/>
                          <a:ext cx="869950" cy="266700"/>
                        </a:xfrm>
                        <a:prstGeom prst="rect">
                          <a:avLst/>
                        </a:prstGeom>
                        <a:noFill/>
                        <a:ln>
                          <a:noFill/>
                        </a:ln>
                      </wps:spPr>
                      <wps:txbx>
                        <w:txbxContent>
                          <w:p w14:paraId="609FD77B">
                            <w:pPr>
                              <w:rPr>
                                <w:rFonts w:hint="default" w:eastAsia="宋体"/>
                                <w:b/>
                                <w:bCs/>
                                <w:lang w:val="en-US" w:eastAsia="zh-CN"/>
                              </w:rPr>
                            </w:pPr>
                            <w:r>
                              <w:rPr>
                                <w:rFonts w:hint="eastAsia"/>
                                <w:b/>
                                <w:bCs/>
                                <w:lang w:val="en-US" w:eastAsia="zh-CN"/>
                              </w:rPr>
                              <w:t>简单防渗区</w:t>
                            </w:r>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margin-left:563.65pt;margin-top:250.05pt;height:21pt;width:68.5pt;z-index:251687936;mso-width-relative:page;mso-height-relative:page;" filled="f" stroked="f" coordsize="21600,21600" o:gfxdata="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9hgnNcAAAANAQAADwAAAAAAAAABACAAAAAiAAAA&#10;ZHJzL2Rvd25yZXYueG1sUEsBAhQAFAAAAAgAh07iQAVlyMEIAgAAFQQAAA4AAAAAAAAAAQAgAAAA&#10;JgEAAGRycy9lMm9Eb2MueG1sUEsFBgAAAAAGAAYAWQEAAKAFAAAAAA==&#10;">
                <v:fill on="f" focussize="0,0"/>
                <v:stroke on="f"/>
                <v:imagedata o:title=""/>
                <o:lock v:ext="edit" aspectratio="f"/>
                <v:textbox>
                  <w:txbxContent>
                    <w:p w14:paraId="609FD77B">
                      <w:pPr>
                        <w:rPr>
                          <w:rFonts w:hint="default" w:eastAsia="宋体"/>
                          <w:b/>
                          <w:bCs/>
                          <w:lang w:val="en-US" w:eastAsia="zh-CN"/>
                        </w:rPr>
                      </w:pPr>
                      <w:r>
                        <w:rPr>
                          <w:rFonts w:hint="eastAsia"/>
                          <w:b/>
                          <w:bCs/>
                          <w:lang w:val="en-US" w:eastAsia="zh-CN"/>
                        </w:rPr>
                        <w:t>简单防渗区</w:t>
                      </w:r>
                    </w:p>
                  </w:txbxContent>
                </v:textbox>
              </v:shape>
            </w:pict>
          </mc:Fallback>
        </mc:AlternateContent>
      </w:r>
      <w:r>
        <w:rPr>
          <w:rFonts w:hint="default" w:ascii="Times New Roman" w:hAnsi="Times New Roman" w:cs="Times New Roman"/>
          <w:b/>
          <w:color w:val="000000" w:themeColor="text1"/>
          <w:kern w:val="2"/>
          <w:sz w:val="24"/>
          <w:szCs w:val="24"/>
          <w:highlight w:val="none"/>
          <w14:textFill>
            <w14:solidFill>
              <w14:schemeClr w14:val="tx1"/>
            </w14:solidFill>
          </w14:textFill>
        </w:rPr>
        <mc:AlternateContent>
          <mc:Choice Requires="wpg">
            <w:drawing>
              <wp:anchor distT="0" distB="0" distL="114300" distR="114300" simplePos="0" relativeHeight="251684864" behindDoc="0" locked="0" layoutInCell="1" allowOverlap="1">
                <wp:simplePos x="0" y="0"/>
                <wp:positionH relativeFrom="column">
                  <wp:posOffset>6800850</wp:posOffset>
                </wp:positionH>
                <wp:positionV relativeFrom="paragraph">
                  <wp:posOffset>2687955</wp:posOffset>
                </wp:positionV>
                <wp:extent cx="1298575" cy="1500505"/>
                <wp:effectExtent l="4445" t="4445" r="11430" b="19050"/>
                <wp:wrapNone/>
                <wp:docPr id="75" name="Group 104"/>
                <wp:cNvGraphicFramePr/>
                <a:graphic xmlns:a="http://schemas.openxmlformats.org/drawingml/2006/main">
                  <a:graphicData uri="http://schemas.microsoft.com/office/word/2010/wordprocessingGroup">
                    <wpg:wgp>
                      <wpg:cNvGrpSpPr/>
                      <wpg:grpSpPr>
                        <a:xfrm>
                          <a:off x="0" y="0"/>
                          <a:ext cx="1298575" cy="1500505"/>
                          <a:chOff x="11475" y="8370"/>
                          <a:chExt cx="2895" cy="1425"/>
                        </a:xfrm>
                      </wpg:grpSpPr>
                      <wps:wsp>
                        <wps:cNvPr id="78" name="Rectangle 98"/>
                        <wps:cNvSpPr>
                          <a:spLocks noChangeArrowheads="1"/>
                        </wps:cNvSpPr>
                        <wps:spPr bwMode="auto">
                          <a:xfrm>
                            <a:off x="11475" y="8370"/>
                            <a:ext cx="2895" cy="1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9" name="Text Box 99"/>
                        <wps:cNvSpPr txBox="1">
                          <a:spLocks noChangeArrowheads="1"/>
                        </wps:cNvSpPr>
                        <wps:spPr bwMode="auto">
                          <a:xfrm>
                            <a:off x="12421" y="8520"/>
                            <a:ext cx="1571" cy="435"/>
                          </a:xfrm>
                          <a:prstGeom prst="rect">
                            <a:avLst/>
                          </a:prstGeom>
                          <a:noFill/>
                          <a:ln>
                            <a:noFill/>
                          </a:ln>
                        </wps:spPr>
                        <wps:txbx>
                          <w:txbxContent>
                            <w:p w14:paraId="73B44D4C">
                              <w:pPr>
                                <w:rPr>
                                  <w:b/>
                                  <w:bCs/>
                                </w:rPr>
                              </w:pPr>
                              <w:r>
                                <w:rPr>
                                  <w:rFonts w:hint="eastAsia"/>
                                  <w:b/>
                                  <w:bCs/>
                                </w:rPr>
                                <w:t xml:space="preserve">图 </w:t>
                              </w:r>
                              <w:r>
                                <w:rPr>
                                  <w:b/>
                                  <w:bCs/>
                                </w:rPr>
                                <w:t xml:space="preserve"> </w:t>
                              </w:r>
                              <w:r>
                                <w:rPr>
                                  <w:rFonts w:hint="eastAsia"/>
                                  <w:b/>
                                  <w:bCs/>
                                </w:rPr>
                                <w:t>例</w:t>
                              </w:r>
                            </w:p>
                          </w:txbxContent>
                        </wps:txbx>
                        <wps:bodyPr rot="0" vert="horz" wrap="square" lIns="91440" tIns="45720" rIns="91440" bIns="45720" anchor="t" anchorCtr="0" upright="1">
                          <a:noAutofit/>
                        </wps:bodyPr>
                      </wps:wsp>
                    </wpg:wgp>
                  </a:graphicData>
                </a:graphic>
              </wp:anchor>
            </w:drawing>
          </mc:Choice>
          <mc:Fallback>
            <w:pict>
              <v:group id="Group 104" o:spid="_x0000_s1026" o:spt="203" style="position:absolute;left:0pt;margin-left:535.5pt;margin-top:211.65pt;height:118.15pt;width:102.25pt;z-index:251684864;mso-width-relative:page;mso-height-relative:page;" coordorigin="11475,8370" coordsize="2895,1425" o:gfxdata="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a9iN90AAAANAQAADwAAAAAAAAABACAAAAAiAAAAZHJzL2Rvd25y&#10;ZXYueG1sUEsBAhQAFAAAAAgAh07iQD6/pJLdAgAA4wcAAA4AAAAAAAAAAQAgAAAALAEAAGRycy9l&#10;Mm9Eb2MueG1sUEsFBgAAAAAGAAYAWQEAAHsGAAAAAA==&#10;">
                <o:lock v:ext="edit" aspectratio="f"/>
                <v:rect id="Rectangle 98" o:spid="_x0000_s1026" o:spt="1" style="position:absolute;left:11475;top:8370;height:1425;width:2895;"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shape id="Text Box 99" o:spid="_x0000_s1026" o:spt="202" type="#_x0000_t202" style="position:absolute;left:12421;top:8520;height:435;width:1571;"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3B44D4C">
                        <w:pPr>
                          <w:rPr>
                            <w:b/>
                            <w:bCs/>
                          </w:rPr>
                        </w:pPr>
                        <w:r>
                          <w:rPr>
                            <w:rFonts w:hint="eastAsia"/>
                            <w:b/>
                            <w:bCs/>
                          </w:rPr>
                          <w:t xml:space="preserve">图 </w:t>
                        </w:r>
                        <w:r>
                          <w:rPr>
                            <w:b/>
                            <w:bCs/>
                          </w:rPr>
                          <w:t xml:space="preserve"> </w:t>
                        </w:r>
                        <w:r>
                          <w:rPr>
                            <w:rFonts w:hint="eastAsia"/>
                            <w:b/>
                            <w:bCs/>
                          </w:rPr>
                          <w:t>例</w:t>
                        </w:r>
                      </w:p>
                    </w:txbxContent>
                  </v:textbox>
                </v:shape>
              </v:group>
            </w:pict>
          </mc:Fallback>
        </mc:AlternateContent>
      </w: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89984" behindDoc="0" locked="0" layoutInCell="1" allowOverlap="1">
            <wp:simplePos x="0" y="0"/>
            <wp:positionH relativeFrom="column">
              <wp:posOffset>7292975</wp:posOffset>
            </wp:positionH>
            <wp:positionV relativeFrom="paragraph">
              <wp:posOffset>-34290</wp:posOffset>
            </wp:positionV>
            <wp:extent cx="784860" cy="774065"/>
            <wp:effectExtent l="0" t="0" r="15240" b="6985"/>
            <wp:wrapNone/>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a:picLocks noChangeAspect="1"/>
                    </pic:cNvPicPr>
                  </pic:nvPicPr>
                  <pic:blipFill>
                    <a:blip r:embed="rId16"/>
                    <a:stretch>
                      <a:fillRect/>
                    </a:stretch>
                  </pic:blipFill>
                  <pic:spPr>
                    <a:xfrm>
                      <a:off x="0" y="0"/>
                      <a:ext cx="784860" cy="774065"/>
                    </a:xfrm>
                    <a:prstGeom prst="rect">
                      <a:avLst/>
                    </a:prstGeom>
                    <a:noFill/>
                    <a:ln>
                      <a:noFill/>
                    </a:ln>
                  </pic:spPr>
                </pic:pic>
              </a:graphicData>
            </a:graphic>
          </wp:anchor>
        </w:drawing>
      </w:r>
      <w:r>
        <w:rPr>
          <w:rFonts w:hint="default" w:ascii="Times New Roman" w:hAnsi="Times New Roman" w:cs="Times New Roman"/>
          <w:highlight w:val="none"/>
        </w:rPr>
        <w:drawing>
          <wp:inline distT="0" distB="0" distL="114300" distR="114300">
            <wp:extent cx="7534275" cy="4200525"/>
            <wp:effectExtent l="0" t="0" r="9525" b="9525"/>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35"/>
                    <a:stretch>
                      <a:fillRect/>
                    </a:stretch>
                  </pic:blipFill>
                  <pic:spPr>
                    <a:xfrm>
                      <a:off x="0" y="0"/>
                      <a:ext cx="7534275" cy="4200525"/>
                    </a:xfrm>
                    <a:prstGeom prst="rect">
                      <a:avLst/>
                    </a:prstGeom>
                    <a:noFill/>
                    <a:ln>
                      <a:noFill/>
                    </a:ln>
                  </pic:spPr>
                </pic:pic>
              </a:graphicData>
            </a:graphic>
          </wp:inline>
        </w:drawing>
      </w:r>
    </w:p>
    <w:p w14:paraId="2C3DEF25">
      <w:pPr>
        <w:pStyle w:val="5"/>
        <w:bidi w:val="0"/>
        <w:ind w:left="432" w:leftChars="0" w:hanging="432" w:firstLineChars="0"/>
        <w:jc w:val="center"/>
        <w:outlineLvl w:val="0"/>
        <w:rPr>
          <w:rFonts w:hint="eastAsia" w:ascii="宋体" w:hAnsi="宋体" w:eastAsia="宋体" w:cs="宋体"/>
          <w:color w:val="000000" w:themeColor="text1"/>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bookmarkStart w:id="38" w:name="_Toc734"/>
      <w:r>
        <w:rPr>
          <w:rFonts w:hint="eastAsia" w:ascii="宋体" w:hAnsi="宋体" w:eastAsia="宋体" w:cs="宋体"/>
          <w:color w:val="000000" w:themeColor="text1"/>
          <w:highlight w:val="none"/>
          <w:lang w:val="en-US" w:eastAsia="zh-CN"/>
          <w14:textFill>
            <w14:solidFill>
              <w14:schemeClr w14:val="tx1"/>
            </w14:solidFill>
          </w14:textFill>
        </w:rPr>
        <w:t>附图3 项目分区防渗图</w:t>
      </w:r>
      <w:bookmarkEnd w:id="38"/>
    </w:p>
    <w:p w14:paraId="012D26FF">
      <w:pPr>
        <w:spacing w:after="120" w:afterLines="50"/>
        <w:jc w:val="both"/>
        <w:outlineLvl w:val="9"/>
        <w:rPr>
          <w:rFonts w:hint="default" w:ascii="Times New Roman" w:hAnsi="Times New Roman" w:cs="Times New Roman"/>
          <w:color w:val="000000" w:themeColor="text1"/>
          <w:highlight w:val="none"/>
          <w:lang w:val="en-US" w:eastAsia="zh-CN"/>
          <w14:textFill>
            <w14:solidFill>
              <w14:schemeClr w14:val="tx1"/>
            </w14:solidFill>
          </w14:textFill>
        </w:rPr>
      </w:pPr>
      <w:bookmarkStart w:id="39" w:name="_Toc101338967"/>
      <w:bookmarkStart w:id="40" w:name="_Toc31499"/>
      <w:bookmarkStart w:id="41" w:name="_Toc13064"/>
    </w:p>
    <w:bookmarkEnd w:id="39"/>
    <w:bookmarkEnd w:id="40"/>
    <w:bookmarkEnd w:id="41"/>
    <w:p w14:paraId="589B1047">
      <w:pPr>
        <w:pStyle w:val="18"/>
        <w:ind w:left="10" w:leftChars="0" w:hanging="10" w:hangingChars="6"/>
        <w:jc w:val="center"/>
        <w:outlineLvl w:val="9"/>
        <w:rPr>
          <w:rFonts w:hint="default" w:ascii="Times New Roman" w:hAnsi="Times New Roman" w:cs="Times New Roman"/>
          <w:color w:val="000000" w:themeColor="text1"/>
          <w:highlight w:val="none"/>
          <w14:textFill>
            <w14:solidFill>
              <w14:schemeClr w14:val="tx1"/>
            </w14:solidFill>
          </w14:textFill>
        </w:rPr>
      </w:pPr>
    </w:p>
    <w:p w14:paraId="4E9318BD">
      <w:pPr>
        <w:pStyle w:val="18"/>
        <w:ind w:left="12" w:leftChars="0" w:hanging="12" w:hangingChars="6"/>
        <w:jc w:val="center"/>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6319520</wp:posOffset>
                </wp:positionH>
                <wp:positionV relativeFrom="paragraph">
                  <wp:posOffset>4133215</wp:posOffset>
                </wp:positionV>
                <wp:extent cx="276225" cy="123825"/>
                <wp:effectExtent l="6350" t="6350" r="22225" b="22225"/>
                <wp:wrapNone/>
                <wp:docPr id="87" name="矩形 87"/>
                <wp:cNvGraphicFramePr/>
                <a:graphic xmlns:a="http://schemas.openxmlformats.org/drawingml/2006/main">
                  <a:graphicData uri="http://schemas.microsoft.com/office/word/2010/wordprocessingShape">
                    <wps:wsp>
                      <wps:cNvSpPr/>
                      <wps:spPr>
                        <a:xfrm>
                          <a:off x="0" y="0"/>
                          <a:ext cx="276225" cy="123825"/>
                        </a:xfrm>
                        <a:prstGeom prst="rect">
                          <a:avLst/>
                        </a:prstGeom>
                        <a:solidFill>
                          <a:schemeClr val="accent3">
                            <a:lumMod val="60000"/>
                            <a:lumOff val="40000"/>
                          </a:schemeClr>
                        </a:solidFill>
                        <a:ln>
                          <a:solidFill>
                            <a:schemeClr val="accent3">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7.6pt;margin-top:325.45pt;height:9.75pt;width:21.75pt;z-index:251693056;v-text-anchor:middle;mso-width-relative:page;mso-height-relative:page;" fillcolor="#FED961 [1942]" filled="t" stroked="t" coordsize="21600,21600" o:gfxdata="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aILZTZAAAADAEAAA8AAAAAAAAAAQAgAAAAIgAAAGRycy9kb3ducmV2LnhtbFBLAQIUABQA&#10;AAAIAIdO4kCxxM3PmgIAAGcFAAAOAAAAAAAAAAEAIAAAACgBAABkcnMvZTJvRG9jLnhtbFBLBQYA&#10;AAAABgAGAFkBAAA0BgAAAAA=&#10;">
                <v:fill on="t" focussize="0,0"/>
                <v:stroke weight="1pt" color="#FEE695 [1302]" miterlimit="8" joinstyle="miter"/>
                <v:imagedata o:title=""/>
                <o:lock v:ext="edit" aspectratio="f"/>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6318885</wp:posOffset>
                </wp:positionH>
                <wp:positionV relativeFrom="paragraph">
                  <wp:posOffset>3877945</wp:posOffset>
                </wp:positionV>
                <wp:extent cx="276225" cy="123825"/>
                <wp:effectExtent l="6350" t="6350" r="22225" b="22225"/>
                <wp:wrapNone/>
                <wp:docPr id="81" name="矩形 81"/>
                <wp:cNvGraphicFramePr/>
                <a:graphic xmlns:a="http://schemas.openxmlformats.org/drawingml/2006/main">
                  <a:graphicData uri="http://schemas.microsoft.com/office/word/2010/wordprocessingShape">
                    <wps:wsp>
                      <wps:cNvSpPr/>
                      <wps:spPr>
                        <a:xfrm>
                          <a:off x="0" y="0"/>
                          <a:ext cx="276225" cy="123825"/>
                        </a:xfrm>
                        <a:prstGeom prst="rect">
                          <a:avLst/>
                        </a:prstGeom>
                        <a:noFill/>
                        <a:ln>
                          <a:solidFill>
                            <a:schemeClr val="accent3">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7.55pt;margin-top:305.35pt;height:9.75pt;width:21.75pt;z-index:251692032;v-text-anchor:middle;mso-width-relative:page;mso-height-relative:page;" filled="f" stroked="t" coordsize="21600,21600" o:gfxdata="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5BZOd2wAAAAwBAAAPAAAA&#10;AAAAAAEAIAAAACIAAABkcnMvZG93bnJldi54bWxQSwECFAAUAAAACACHTuJAGyVKMoQCAAAFBQAA&#10;DgAAAAAAAAABACAAAAAqAQAAZHJzL2Uyb0RvYy54bWxQSwUGAAAAAAYABgBZAQAAIAYAAAAA&#10;">
                <v:fill on="f" focussize="0,0"/>
                <v:stroke weight="1pt" color="#FEE695 [1302]" miterlimit="8" joinstyle="miter"/>
                <v:imagedata o:title=""/>
                <o:lock v:ext="edit" aspectratio="f"/>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6334760</wp:posOffset>
                </wp:positionH>
                <wp:positionV relativeFrom="paragraph">
                  <wp:posOffset>3630930</wp:posOffset>
                </wp:positionV>
                <wp:extent cx="276225" cy="123825"/>
                <wp:effectExtent l="6350" t="6350" r="22225" b="22225"/>
                <wp:wrapNone/>
                <wp:docPr id="80" name="矩形 80"/>
                <wp:cNvGraphicFramePr/>
                <a:graphic xmlns:a="http://schemas.openxmlformats.org/drawingml/2006/main">
                  <a:graphicData uri="http://schemas.microsoft.com/office/word/2010/wordprocessingShape">
                    <wps:wsp>
                      <wps:cNvSpPr/>
                      <wps:spPr>
                        <a:xfrm>
                          <a:off x="7952105" y="5252085"/>
                          <a:ext cx="276225" cy="123825"/>
                        </a:xfrm>
                        <a:prstGeom prst="rect">
                          <a:avLst/>
                        </a:prstGeom>
                        <a:noFill/>
                        <a:ln>
                          <a:solidFill>
                            <a:srgbClr val="0070C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8.8pt;margin-top:285.9pt;height:9.75pt;width:21.75pt;z-index:251691008;v-text-anchor:middle;mso-width-relative:page;mso-height-relative:page;" filled="f" stroked="t" coordsize="21600,21600" o:gfxdata="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gGlBNgAAAAMAQAADwAAAAAAAAABACAAAAAiAAAAZHJz&#10;L2Rvd25yZXYueG1sUEsBAhQAFAAAAAgAh07iQKTVNVF2AgAA2AQAAA4AAAAAAAAAAQAgAAAAJwEA&#10;AGRycy9lMm9Eb2MueG1sUEsFBgAAAAAGAAYAWQEAAA8GAAAAAA==&#10;">
                <v:fill on="f" focussize="0,0"/>
                <v:stroke weight="1pt" color="#0070C0 [2404]" miterlimit="8" joinstyle="miter"/>
                <v:imagedata o:title=""/>
                <o:lock v:ext="edit" aspectratio="f"/>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6154420</wp:posOffset>
                </wp:positionH>
                <wp:positionV relativeFrom="paragraph">
                  <wp:posOffset>3277235</wp:posOffset>
                </wp:positionV>
                <wp:extent cx="1657350" cy="1183640"/>
                <wp:effectExtent l="4445" t="4445" r="14605" b="12065"/>
                <wp:wrapNone/>
                <wp:docPr id="20" name="文本框 20"/>
                <wp:cNvGraphicFramePr/>
                <a:graphic xmlns:a="http://schemas.openxmlformats.org/drawingml/2006/main">
                  <a:graphicData uri="http://schemas.microsoft.com/office/word/2010/wordprocessingShape">
                    <wps:wsp>
                      <wps:cNvSpPr txBox="1"/>
                      <wps:spPr>
                        <a:xfrm>
                          <a:off x="7513320" y="5022215"/>
                          <a:ext cx="1657350" cy="1183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9B6673">
                            <w:pPr>
                              <w:keepNext w:val="0"/>
                              <w:keepLines w:val="0"/>
                              <w:pageBreakBefore w:val="0"/>
                              <w:kinsoku/>
                              <w:wordWrap/>
                              <w:overflowPunct/>
                              <w:topLinePunct w:val="0"/>
                              <w:bidi w:val="0"/>
                              <w:adjustRightInd/>
                              <w:spacing w:line="360" w:lineRule="auto"/>
                              <w:ind w:right="0"/>
                              <w:jc w:val="center"/>
                              <w:textAlignment w:val="auto"/>
                              <w:rPr>
                                <w:rFonts w:hint="eastAsia"/>
                                <w:sz w:val="21"/>
                                <w:szCs w:val="21"/>
                                <w:lang w:val="en-US" w:eastAsia="zh-CN"/>
                              </w:rPr>
                            </w:pPr>
                            <w:r>
                              <w:rPr>
                                <w:rFonts w:hint="eastAsia"/>
                                <w:sz w:val="21"/>
                                <w:szCs w:val="21"/>
                                <w:lang w:val="en-US" w:eastAsia="zh-CN"/>
                              </w:rPr>
                              <w:t>图例</w:t>
                            </w:r>
                          </w:p>
                          <w:p w14:paraId="76524914">
                            <w:pPr>
                              <w:pStyle w:val="2"/>
                              <w:keepNext w:val="0"/>
                              <w:keepLines w:val="0"/>
                              <w:pageBreakBefore w:val="0"/>
                              <w:kinsoku/>
                              <w:wordWrap/>
                              <w:overflowPunct/>
                              <w:topLinePunct w:val="0"/>
                              <w:bidi w:val="0"/>
                              <w:adjustRightInd/>
                              <w:spacing w:before="0" w:after="0" w:line="360" w:lineRule="auto"/>
                              <w:ind w:right="0"/>
                              <w:jc w:val="center"/>
                              <w:textAlignment w:val="auto"/>
                              <w:rPr>
                                <w:rFonts w:hint="eastAsia"/>
                                <w:sz w:val="21"/>
                                <w:szCs w:val="21"/>
                                <w:lang w:val="en-US" w:eastAsia="zh-CN"/>
                              </w:rPr>
                            </w:pPr>
                            <w:r>
                              <w:rPr>
                                <w:rFonts w:hint="eastAsia"/>
                                <w:sz w:val="21"/>
                                <w:szCs w:val="21"/>
                                <w:lang w:val="en-US" w:eastAsia="zh-CN"/>
                              </w:rPr>
                              <w:t xml:space="preserve">    声环境保护范围</w:t>
                            </w:r>
                          </w:p>
                          <w:p w14:paraId="4D8394C4">
                            <w:pPr>
                              <w:pStyle w:val="3"/>
                              <w:keepNext w:val="0"/>
                              <w:keepLines w:val="0"/>
                              <w:pageBreakBefore w:val="0"/>
                              <w:kinsoku/>
                              <w:wordWrap/>
                              <w:overflowPunct/>
                              <w:topLinePunct w:val="0"/>
                              <w:bidi w:val="0"/>
                              <w:adjustRightInd/>
                              <w:spacing w:line="360" w:lineRule="auto"/>
                              <w:jc w:val="right"/>
                              <w:textAlignment w:val="auto"/>
                              <w:rPr>
                                <w:rFonts w:hint="eastAsia"/>
                                <w:sz w:val="21"/>
                                <w:szCs w:val="21"/>
                                <w:lang w:val="en-US" w:eastAsia="zh-CN"/>
                              </w:rPr>
                            </w:pPr>
                            <w:r>
                              <w:rPr>
                                <w:rFonts w:hint="eastAsia"/>
                                <w:sz w:val="21"/>
                                <w:szCs w:val="21"/>
                                <w:lang w:val="en-US" w:eastAsia="zh-CN"/>
                              </w:rPr>
                              <w:t>大气环境保护范围</w:t>
                            </w:r>
                          </w:p>
                          <w:p w14:paraId="49BAD6EA">
                            <w:pPr>
                              <w:pStyle w:val="3"/>
                              <w:keepNext w:val="0"/>
                              <w:keepLines w:val="0"/>
                              <w:pageBreakBefore w:val="0"/>
                              <w:kinsoku/>
                              <w:wordWrap/>
                              <w:overflowPunct/>
                              <w:topLinePunct w:val="0"/>
                              <w:bidi w:val="0"/>
                              <w:adjustRightInd/>
                              <w:spacing w:line="360" w:lineRule="auto"/>
                              <w:jc w:val="right"/>
                              <w:textAlignment w:val="auto"/>
                              <w:rPr>
                                <w:rFonts w:hint="default"/>
                                <w:sz w:val="21"/>
                                <w:szCs w:val="21"/>
                                <w:lang w:val="en-US" w:eastAsia="zh-CN"/>
                              </w:rPr>
                            </w:pPr>
                            <w:r>
                              <w:rPr>
                                <w:rFonts w:hint="eastAsia"/>
                                <w:sz w:val="21"/>
                                <w:szCs w:val="21"/>
                                <w:lang w:val="en-US" w:eastAsia="zh-CN"/>
                              </w:rPr>
                              <w:t>大气环境保护目标</w:t>
                            </w:r>
                          </w:p>
                          <w:p w14:paraId="5368CBEE">
                            <w:pPr>
                              <w:pStyle w:val="4"/>
                              <w:rPr>
                                <w:rFonts w:hint="default"/>
                                <w:lang w:val="en-US" w:eastAsia="zh-CN"/>
                              </w:rPr>
                            </w:pPr>
                          </w:p>
                          <w:p w14:paraId="65EAD092">
                            <w:pPr>
                              <w:pStyle w:val="4"/>
                              <w:rPr>
                                <w:rFonts w:hint="eastAsia"/>
                                <w:lang w:val="en-US" w:eastAsia="zh-CN"/>
                              </w:rPr>
                            </w:pPr>
                          </w:p>
                          <w:p w14:paraId="1599775C">
                            <w:pPr>
                              <w:pStyle w:val="4"/>
                              <w:rPr>
                                <w:rFonts w:hint="eastAsia"/>
                                <w:lang w:val="en-US" w:eastAsia="zh-CN"/>
                              </w:rPr>
                            </w:pPr>
                          </w:p>
                          <w:p w14:paraId="3D50489C">
                            <w:pPr>
                              <w:pStyle w:val="4"/>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6pt;margin-top:258.05pt;height:93.2pt;width:130.5pt;z-index:251679744;mso-width-relative:page;mso-height-relative:page;" fillcolor="#FFFFFF [3201]" filled="t" stroked="t" coordsize="21600,21600" o:gfxdata="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x2u8dgAAAAMAQAADwAAAAAAAAABACAAAAAiAAAAZHJzL2Rvd25yZXYueG1sUEsBAhQA&#10;FAAAAAgAh07iQKkbo6ZkAgAAxgQAAA4AAAAAAAAAAQAgAAAAJwEAAGRycy9lMm9Eb2MueG1sUEsF&#10;BgAAAAAGAAYAWQEAAP0FAAAAAA==&#10;">
                <v:fill on="t" focussize="0,0"/>
                <v:stroke weight="0.5pt" color="#000000 [3204]" joinstyle="round"/>
                <v:imagedata o:title=""/>
                <o:lock v:ext="edit" aspectratio="f"/>
                <v:textbox>
                  <w:txbxContent>
                    <w:p w14:paraId="349B6673">
                      <w:pPr>
                        <w:keepNext w:val="0"/>
                        <w:keepLines w:val="0"/>
                        <w:pageBreakBefore w:val="0"/>
                        <w:kinsoku/>
                        <w:wordWrap/>
                        <w:overflowPunct/>
                        <w:topLinePunct w:val="0"/>
                        <w:bidi w:val="0"/>
                        <w:adjustRightInd/>
                        <w:spacing w:line="360" w:lineRule="auto"/>
                        <w:ind w:right="0"/>
                        <w:jc w:val="center"/>
                        <w:textAlignment w:val="auto"/>
                        <w:rPr>
                          <w:rFonts w:hint="eastAsia"/>
                          <w:sz w:val="21"/>
                          <w:szCs w:val="21"/>
                          <w:lang w:val="en-US" w:eastAsia="zh-CN"/>
                        </w:rPr>
                      </w:pPr>
                      <w:r>
                        <w:rPr>
                          <w:rFonts w:hint="eastAsia"/>
                          <w:sz w:val="21"/>
                          <w:szCs w:val="21"/>
                          <w:lang w:val="en-US" w:eastAsia="zh-CN"/>
                        </w:rPr>
                        <w:t>图例</w:t>
                      </w:r>
                    </w:p>
                    <w:p w14:paraId="76524914">
                      <w:pPr>
                        <w:pStyle w:val="2"/>
                        <w:keepNext w:val="0"/>
                        <w:keepLines w:val="0"/>
                        <w:pageBreakBefore w:val="0"/>
                        <w:kinsoku/>
                        <w:wordWrap/>
                        <w:overflowPunct/>
                        <w:topLinePunct w:val="0"/>
                        <w:bidi w:val="0"/>
                        <w:adjustRightInd/>
                        <w:spacing w:before="0" w:after="0" w:line="360" w:lineRule="auto"/>
                        <w:ind w:right="0"/>
                        <w:jc w:val="center"/>
                        <w:textAlignment w:val="auto"/>
                        <w:rPr>
                          <w:rFonts w:hint="eastAsia"/>
                          <w:sz w:val="21"/>
                          <w:szCs w:val="21"/>
                          <w:lang w:val="en-US" w:eastAsia="zh-CN"/>
                        </w:rPr>
                      </w:pPr>
                      <w:r>
                        <w:rPr>
                          <w:rFonts w:hint="eastAsia"/>
                          <w:sz w:val="21"/>
                          <w:szCs w:val="21"/>
                          <w:lang w:val="en-US" w:eastAsia="zh-CN"/>
                        </w:rPr>
                        <w:t xml:space="preserve">    声环境保护范围</w:t>
                      </w:r>
                    </w:p>
                    <w:p w14:paraId="4D8394C4">
                      <w:pPr>
                        <w:pStyle w:val="3"/>
                        <w:keepNext w:val="0"/>
                        <w:keepLines w:val="0"/>
                        <w:pageBreakBefore w:val="0"/>
                        <w:kinsoku/>
                        <w:wordWrap/>
                        <w:overflowPunct/>
                        <w:topLinePunct w:val="0"/>
                        <w:bidi w:val="0"/>
                        <w:adjustRightInd/>
                        <w:spacing w:line="360" w:lineRule="auto"/>
                        <w:jc w:val="right"/>
                        <w:textAlignment w:val="auto"/>
                        <w:rPr>
                          <w:rFonts w:hint="eastAsia"/>
                          <w:sz w:val="21"/>
                          <w:szCs w:val="21"/>
                          <w:lang w:val="en-US" w:eastAsia="zh-CN"/>
                        </w:rPr>
                      </w:pPr>
                      <w:r>
                        <w:rPr>
                          <w:rFonts w:hint="eastAsia"/>
                          <w:sz w:val="21"/>
                          <w:szCs w:val="21"/>
                          <w:lang w:val="en-US" w:eastAsia="zh-CN"/>
                        </w:rPr>
                        <w:t>大气环境保护范围</w:t>
                      </w:r>
                    </w:p>
                    <w:p w14:paraId="49BAD6EA">
                      <w:pPr>
                        <w:pStyle w:val="3"/>
                        <w:keepNext w:val="0"/>
                        <w:keepLines w:val="0"/>
                        <w:pageBreakBefore w:val="0"/>
                        <w:kinsoku/>
                        <w:wordWrap/>
                        <w:overflowPunct/>
                        <w:topLinePunct w:val="0"/>
                        <w:bidi w:val="0"/>
                        <w:adjustRightInd/>
                        <w:spacing w:line="360" w:lineRule="auto"/>
                        <w:jc w:val="right"/>
                        <w:textAlignment w:val="auto"/>
                        <w:rPr>
                          <w:rFonts w:hint="default"/>
                          <w:sz w:val="21"/>
                          <w:szCs w:val="21"/>
                          <w:lang w:val="en-US" w:eastAsia="zh-CN"/>
                        </w:rPr>
                      </w:pPr>
                      <w:r>
                        <w:rPr>
                          <w:rFonts w:hint="eastAsia"/>
                          <w:sz w:val="21"/>
                          <w:szCs w:val="21"/>
                          <w:lang w:val="en-US" w:eastAsia="zh-CN"/>
                        </w:rPr>
                        <w:t>大气环境保护目标</w:t>
                      </w:r>
                    </w:p>
                    <w:p w14:paraId="5368CBEE">
                      <w:pPr>
                        <w:pStyle w:val="4"/>
                        <w:rPr>
                          <w:rFonts w:hint="default"/>
                          <w:lang w:val="en-US" w:eastAsia="zh-CN"/>
                        </w:rPr>
                      </w:pPr>
                    </w:p>
                    <w:p w14:paraId="65EAD092">
                      <w:pPr>
                        <w:pStyle w:val="4"/>
                        <w:rPr>
                          <w:rFonts w:hint="eastAsia"/>
                          <w:lang w:val="en-US" w:eastAsia="zh-CN"/>
                        </w:rPr>
                      </w:pPr>
                    </w:p>
                    <w:p w14:paraId="1599775C">
                      <w:pPr>
                        <w:pStyle w:val="4"/>
                        <w:rPr>
                          <w:rFonts w:hint="eastAsia"/>
                          <w:lang w:val="en-US" w:eastAsia="zh-CN"/>
                        </w:rPr>
                      </w:pPr>
                    </w:p>
                    <w:p w14:paraId="3D50489C">
                      <w:pPr>
                        <w:pStyle w:val="4"/>
                        <w:rPr>
                          <w:rFonts w:hint="default"/>
                          <w:lang w:val="en-US" w:eastAsia="zh-CN"/>
                        </w:rPr>
                      </w:pP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80768" behindDoc="0" locked="0" layoutInCell="1" allowOverlap="1">
            <wp:simplePos x="0" y="0"/>
            <wp:positionH relativeFrom="column">
              <wp:posOffset>7089775</wp:posOffset>
            </wp:positionH>
            <wp:positionV relativeFrom="paragraph">
              <wp:posOffset>13335</wp:posOffset>
            </wp:positionV>
            <wp:extent cx="732790" cy="722630"/>
            <wp:effectExtent l="0" t="0" r="10160" b="1270"/>
            <wp:wrapNone/>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6"/>
                    <a:stretch>
                      <a:fillRect/>
                    </a:stretch>
                  </pic:blipFill>
                  <pic:spPr>
                    <a:xfrm>
                      <a:off x="0" y="0"/>
                      <a:ext cx="732790" cy="722630"/>
                    </a:xfrm>
                    <a:prstGeom prst="rect">
                      <a:avLst/>
                    </a:prstGeom>
                    <a:noFill/>
                    <a:ln>
                      <a:noFill/>
                    </a:ln>
                  </pic:spPr>
                </pic:pic>
              </a:graphicData>
            </a:graphic>
          </wp:anchor>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7196455" cy="4441825"/>
            <wp:effectExtent l="0" t="0" r="4445" b="15875"/>
            <wp:docPr id="106" name="图片 106" descr="环境保护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环境保护目标"/>
                    <pic:cNvPicPr>
                      <a:picLocks noChangeAspect="1"/>
                    </pic:cNvPicPr>
                  </pic:nvPicPr>
                  <pic:blipFill>
                    <a:blip r:embed="rId36"/>
                    <a:stretch>
                      <a:fillRect/>
                    </a:stretch>
                  </pic:blipFill>
                  <pic:spPr>
                    <a:xfrm>
                      <a:off x="0" y="0"/>
                      <a:ext cx="7196455" cy="4441825"/>
                    </a:xfrm>
                    <a:prstGeom prst="rect">
                      <a:avLst/>
                    </a:prstGeom>
                  </pic:spPr>
                </pic:pic>
              </a:graphicData>
            </a:graphic>
          </wp:inline>
        </w:drawing>
      </w:r>
    </w:p>
    <w:p w14:paraId="73E5B072">
      <w:pPr>
        <w:pStyle w:val="5"/>
        <w:bidi w:val="0"/>
        <w:ind w:left="432" w:leftChars="0" w:hanging="432" w:firstLineChars="0"/>
        <w:jc w:val="center"/>
        <w:outlineLvl w:val="0"/>
        <w:rPr>
          <w:rFonts w:hint="eastAsia" w:ascii="宋体" w:hAnsi="宋体" w:eastAsia="宋体" w:cs="宋体"/>
          <w:color w:val="000000" w:themeColor="text1"/>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bookmarkStart w:id="42" w:name="_Toc26398"/>
      <w:bookmarkStart w:id="43" w:name="_Toc28291"/>
      <w:r>
        <w:rPr>
          <w:rFonts w:hint="eastAsia" w:ascii="宋体" w:hAnsi="宋体" w:eastAsia="宋体" w:cs="宋体"/>
          <w:color w:val="000000" w:themeColor="text1"/>
          <w:highlight w:val="none"/>
          <w:lang w:val="en-US" w:eastAsia="zh-CN"/>
          <w14:textFill>
            <w14:solidFill>
              <w14:schemeClr w14:val="tx1"/>
            </w14:solidFill>
          </w14:textFill>
        </w:rPr>
        <w:t>附图4 环境保护目标图</w:t>
      </w:r>
      <w:bookmarkEnd w:id="42"/>
      <w:bookmarkEnd w:id="43"/>
    </w:p>
    <w:p w14:paraId="5B4391E8">
      <w:pPr>
        <w:jc w:val="center"/>
        <w:rPr>
          <w:rFonts w:hint="default" w:ascii="Times New Roman" w:hAnsi="Times New Roman" w:cs="Times New Roman"/>
          <w:color w:val="000000" w:themeColor="text1"/>
          <w:highlight w:val="none"/>
          <w14:textFill>
            <w14:solidFill>
              <w14:schemeClr w14:val="tx1"/>
            </w14:solidFill>
          </w14:textFill>
        </w:rPr>
      </w:pPr>
    </w:p>
    <w:tbl>
      <w:tblPr>
        <w:tblStyle w:val="21"/>
        <w:tblW w:w="47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9"/>
        <w:gridCol w:w="4311"/>
      </w:tblGrid>
      <w:tr w14:paraId="4BDD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1" w:hRule="atLeast"/>
          <w:jc w:val="center"/>
        </w:trPr>
        <w:tc>
          <w:tcPr>
            <w:tcW w:w="2505" w:type="pct"/>
            <w:noWrap w:val="0"/>
            <w:vAlign w:val="center"/>
          </w:tcPr>
          <w:p w14:paraId="0C4D5C8B">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drawing>
                <wp:inline distT="0" distB="0" distL="114300" distR="114300">
                  <wp:extent cx="2600325" cy="2054860"/>
                  <wp:effectExtent l="0" t="0" r="9525" b="2540"/>
                  <wp:docPr id="99" name="图片 99" descr="c83b35529ec9fd0d456967f6d8f3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83b35529ec9fd0d456967f6d8f33b7"/>
                          <pic:cNvPicPr>
                            <a:picLocks noChangeAspect="1"/>
                          </pic:cNvPicPr>
                        </pic:nvPicPr>
                        <pic:blipFill>
                          <a:blip r:embed="rId37"/>
                          <a:stretch>
                            <a:fillRect/>
                          </a:stretch>
                        </pic:blipFill>
                        <pic:spPr>
                          <a:xfrm>
                            <a:off x="0" y="0"/>
                            <a:ext cx="2600325" cy="2054860"/>
                          </a:xfrm>
                          <a:prstGeom prst="rect">
                            <a:avLst/>
                          </a:prstGeom>
                        </pic:spPr>
                      </pic:pic>
                    </a:graphicData>
                  </a:graphic>
                </wp:inline>
              </w:drawing>
            </w:r>
          </w:p>
        </w:tc>
        <w:tc>
          <w:tcPr>
            <w:tcW w:w="2494" w:type="pct"/>
            <w:noWrap w:val="0"/>
            <w:vAlign w:val="center"/>
          </w:tcPr>
          <w:p w14:paraId="363AD8D4">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drawing>
                <wp:inline distT="0" distB="0" distL="114300" distR="114300">
                  <wp:extent cx="2588260" cy="2087880"/>
                  <wp:effectExtent l="0" t="0" r="2540" b="7620"/>
                  <wp:docPr id="97" name="图片 97" descr="b4437b5f2e8d1eb0deff332ee588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b4437b5f2e8d1eb0deff332ee588bec"/>
                          <pic:cNvPicPr>
                            <a:picLocks noChangeAspect="1"/>
                          </pic:cNvPicPr>
                        </pic:nvPicPr>
                        <pic:blipFill>
                          <a:blip r:embed="rId38"/>
                          <a:stretch>
                            <a:fillRect/>
                          </a:stretch>
                        </pic:blipFill>
                        <pic:spPr>
                          <a:xfrm>
                            <a:off x="0" y="0"/>
                            <a:ext cx="2588260" cy="2087880"/>
                          </a:xfrm>
                          <a:prstGeom prst="rect">
                            <a:avLst/>
                          </a:prstGeom>
                        </pic:spPr>
                      </pic:pic>
                    </a:graphicData>
                  </a:graphic>
                </wp:inline>
              </w:drawing>
            </w:r>
          </w:p>
        </w:tc>
      </w:tr>
      <w:tr w14:paraId="215B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5" w:type="pct"/>
            <w:noWrap w:val="0"/>
            <w:vAlign w:val="center"/>
          </w:tcPr>
          <w:p w14:paraId="2FD6968C">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项目</w:t>
            </w:r>
            <w:r>
              <w:rPr>
                <w:rFonts w:hint="default" w:ascii="Times New Roman" w:hAnsi="Times New Roman" w:cs="Times New Roman"/>
                <w:color w:val="000000" w:themeColor="text1"/>
                <w:spacing w:val="0"/>
                <w:kern w:val="2"/>
                <w:sz w:val="21"/>
                <w:szCs w:val="24"/>
                <w:highlight w:val="none"/>
                <w:vertAlign w:val="baseline"/>
                <w:lang w:val="en-US" w:eastAsia="zh-CN" w:bidi="ar-SA"/>
                <w14:textFill>
                  <w14:solidFill>
                    <w14:schemeClr w14:val="tx1"/>
                  </w14:solidFill>
                </w14:textFill>
              </w:rPr>
              <w:t>东</w:t>
            </w: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侧</w:t>
            </w:r>
          </w:p>
        </w:tc>
        <w:tc>
          <w:tcPr>
            <w:tcW w:w="2494" w:type="pct"/>
            <w:noWrap w:val="0"/>
            <w:vAlign w:val="center"/>
          </w:tcPr>
          <w:p w14:paraId="0865816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项目</w:t>
            </w:r>
            <w:r>
              <w:rPr>
                <w:rFonts w:hint="default" w:ascii="Times New Roman" w:hAnsi="Times New Roman" w:cs="Times New Roman"/>
                <w:color w:val="000000" w:themeColor="text1"/>
                <w:spacing w:val="0"/>
                <w:kern w:val="2"/>
                <w:sz w:val="21"/>
                <w:szCs w:val="24"/>
                <w:highlight w:val="none"/>
                <w:vertAlign w:val="baseline"/>
                <w:lang w:val="en-US" w:eastAsia="zh-CN" w:bidi="ar-SA"/>
                <w14:textFill>
                  <w14:solidFill>
                    <w14:schemeClr w14:val="tx1"/>
                  </w14:solidFill>
                </w14:textFill>
              </w:rPr>
              <w:t>南</w:t>
            </w: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侧</w:t>
            </w:r>
          </w:p>
        </w:tc>
      </w:tr>
      <w:tr w14:paraId="54ED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7" w:hRule="atLeast"/>
          <w:jc w:val="center"/>
        </w:trPr>
        <w:tc>
          <w:tcPr>
            <w:tcW w:w="2505" w:type="pct"/>
            <w:noWrap w:val="0"/>
            <w:vAlign w:val="center"/>
          </w:tcPr>
          <w:p w14:paraId="5A837652">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drawing>
                <wp:inline distT="0" distB="0" distL="114300" distR="114300">
                  <wp:extent cx="2600325" cy="1893570"/>
                  <wp:effectExtent l="0" t="0" r="9525" b="11430"/>
                  <wp:docPr id="98" name="图片 98" descr="7342b5be66564f7d0a0e23194705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42b5be66564f7d0a0e23194705d16"/>
                          <pic:cNvPicPr>
                            <a:picLocks noChangeAspect="1"/>
                          </pic:cNvPicPr>
                        </pic:nvPicPr>
                        <pic:blipFill>
                          <a:blip r:embed="rId39"/>
                          <a:stretch>
                            <a:fillRect/>
                          </a:stretch>
                        </pic:blipFill>
                        <pic:spPr>
                          <a:xfrm>
                            <a:off x="0" y="0"/>
                            <a:ext cx="2600325" cy="1893570"/>
                          </a:xfrm>
                          <a:prstGeom prst="rect">
                            <a:avLst/>
                          </a:prstGeom>
                        </pic:spPr>
                      </pic:pic>
                    </a:graphicData>
                  </a:graphic>
                </wp:inline>
              </w:drawing>
            </w:r>
          </w:p>
        </w:tc>
        <w:tc>
          <w:tcPr>
            <w:tcW w:w="2494" w:type="pct"/>
            <w:noWrap w:val="0"/>
            <w:vAlign w:val="center"/>
          </w:tcPr>
          <w:p w14:paraId="2781E7AC">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drawing>
                <wp:inline distT="0" distB="0" distL="114300" distR="114300">
                  <wp:extent cx="2600325" cy="1856105"/>
                  <wp:effectExtent l="0" t="0" r="9525" b="10795"/>
                  <wp:docPr id="96" name="图片 96" descr="a25fcd5dd5a92819356e84bc72a7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a25fcd5dd5a92819356e84bc72a7c75"/>
                          <pic:cNvPicPr>
                            <a:picLocks noChangeAspect="1"/>
                          </pic:cNvPicPr>
                        </pic:nvPicPr>
                        <pic:blipFill>
                          <a:blip r:embed="rId40"/>
                          <a:stretch>
                            <a:fillRect/>
                          </a:stretch>
                        </pic:blipFill>
                        <pic:spPr>
                          <a:xfrm>
                            <a:off x="0" y="0"/>
                            <a:ext cx="2600325" cy="1856105"/>
                          </a:xfrm>
                          <a:prstGeom prst="rect">
                            <a:avLst/>
                          </a:prstGeom>
                        </pic:spPr>
                      </pic:pic>
                    </a:graphicData>
                  </a:graphic>
                </wp:inline>
              </w:drawing>
            </w:r>
          </w:p>
        </w:tc>
      </w:tr>
      <w:tr w14:paraId="5A5C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5" w:type="pct"/>
            <w:noWrap w:val="0"/>
            <w:vAlign w:val="center"/>
          </w:tcPr>
          <w:p w14:paraId="202B714C">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项目</w:t>
            </w:r>
            <w:r>
              <w:rPr>
                <w:rFonts w:hint="default" w:ascii="Times New Roman" w:hAnsi="Times New Roman" w:cs="Times New Roman"/>
                <w:color w:val="000000" w:themeColor="text1"/>
                <w:spacing w:val="0"/>
                <w:kern w:val="2"/>
                <w:sz w:val="21"/>
                <w:szCs w:val="24"/>
                <w:highlight w:val="none"/>
                <w:vertAlign w:val="baseline"/>
                <w:lang w:val="en-US" w:eastAsia="zh-CN" w:bidi="ar-SA"/>
                <w14:textFill>
                  <w14:solidFill>
                    <w14:schemeClr w14:val="tx1"/>
                  </w14:solidFill>
                </w14:textFill>
              </w:rPr>
              <w:t>西</w:t>
            </w: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侧</w:t>
            </w:r>
          </w:p>
        </w:tc>
        <w:tc>
          <w:tcPr>
            <w:tcW w:w="2494" w:type="pct"/>
            <w:noWrap w:val="0"/>
            <w:vAlign w:val="center"/>
          </w:tcPr>
          <w:p w14:paraId="20413622">
            <w:pPr>
              <w:keepNext w:val="0"/>
              <w:keepLines w:val="0"/>
              <w:pageBreakBefore w:val="0"/>
              <w:widowControl w:val="0"/>
              <w:kinsoku/>
              <w:wordWrap/>
              <w:overflowPunct/>
              <w:topLinePunct w:val="0"/>
              <w:autoSpaceDE/>
              <w:autoSpaceDN/>
              <w:bidi w:val="0"/>
              <w:adjustRightInd/>
              <w:snapToGrid/>
              <w:spacing w:after="0"/>
              <w:ind w:firstLine="210" w:firstLineChars="100"/>
              <w:jc w:val="center"/>
              <w:textAlignment w:val="auto"/>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项目</w:t>
            </w:r>
            <w:r>
              <w:rPr>
                <w:rFonts w:hint="default" w:ascii="Times New Roman" w:hAnsi="Times New Roman" w:cs="Times New Roman"/>
                <w:color w:val="000000" w:themeColor="text1"/>
                <w:spacing w:val="0"/>
                <w:kern w:val="2"/>
                <w:sz w:val="21"/>
                <w:szCs w:val="24"/>
                <w:highlight w:val="none"/>
                <w:vertAlign w:val="baseline"/>
                <w:lang w:val="en-US" w:eastAsia="zh-CN" w:bidi="ar-SA"/>
                <w14:textFill>
                  <w14:solidFill>
                    <w14:schemeClr w14:val="tx1"/>
                  </w14:solidFill>
                </w14:textFill>
              </w:rPr>
              <w:t>北</w:t>
            </w:r>
            <w:r>
              <w:rPr>
                <w:rFonts w:hint="default" w:ascii="Times New Roman" w:hAnsi="Times New Roman" w:eastAsia="宋体" w:cs="Times New Roman"/>
                <w:color w:val="000000" w:themeColor="text1"/>
                <w:spacing w:val="0"/>
                <w:kern w:val="2"/>
                <w:sz w:val="21"/>
                <w:szCs w:val="24"/>
                <w:highlight w:val="none"/>
                <w:vertAlign w:val="baseline"/>
                <w:lang w:val="en-US" w:eastAsia="zh-CN" w:bidi="ar-SA"/>
                <w14:textFill>
                  <w14:solidFill>
                    <w14:schemeClr w14:val="tx1"/>
                  </w14:solidFill>
                </w14:textFill>
              </w:rPr>
              <w:t>侧</w:t>
            </w:r>
          </w:p>
        </w:tc>
      </w:tr>
    </w:tbl>
    <w:p w14:paraId="2ED8E034">
      <w:pPr>
        <w:pStyle w:val="5"/>
        <w:bidi w:val="0"/>
        <w:ind w:left="432" w:leftChars="0" w:hanging="432" w:firstLineChars="0"/>
        <w:jc w:val="center"/>
        <w:outlineLvl w:val="0"/>
        <w:rPr>
          <w:rFonts w:hint="eastAsia" w:ascii="宋体" w:hAnsi="宋体" w:eastAsia="宋体" w:cs="宋体"/>
          <w:color w:val="000000" w:themeColor="text1"/>
          <w:highlight w:val="none"/>
          <w:lang w:val="en-US" w:eastAsia="zh-CN"/>
          <w14:textFill>
            <w14:solidFill>
              <w14:schemeClr w14:val="tx1"/>
            </w14:solidFill>
          </w14:textFill>
        </w:rPr>
      </w:pPr>
      <w:bookmarkStart w:id="44" w:name="_Toc463"/>
      <w:bookmarkStart w:id="45" w:name="_Toc30596"/>
      <w:bookmarkStart w:id="46" w:name="_Toc23372"/>
      <w:r>
        <w:rPr>
          <w:rFonts w:hint="eastAsia" w:ascii="宋体" w:hAnsi="宋体" w:eastAsia="宋体" w:cs="宋体"/>
          <w:color w:val="000000" w:themeColor="text1"/>
          <w:highlight w:val="none"/>
          <w14:textFill>
            <w14:solidFill>
              <w14:schemeClr w14:val="tx1"/>
            </w14:solidFill>
          </w14:textFill>
        </w:rPr>
        <w:t>附图</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lang w:val="en-US" w:eastAsia="zh-CN"/>
          <w14:textFill>
            <w14:solidFill>
              <w14:schemeClr w14:val="tx1"/>
            </w14:solidFill>
          </w14:textFill>
        </w:rPr>
        <w:t>现场照片</w:t>
      </w:r>
      <w:bookmarkEnd w:id="44"/>
      <w:bookmarkEnd w:id="45"/>
      <w:bookmarkEnd w:id="46"/>
    </w:p>
    <w:p w14:paraId="60E4FA62">
      <w:pPr>
        <w:pStyle w:val="18"/>
        <w:rPr>
          <w:rFonts w:hint="default" w:ascii="Times New Roman" w:hAnsi="Times New Roman" w:cs="Times New Roman"/>
          <w:color w:val="000000" w:themeColor="text1"/>
          <w:highlight w:val="none"/>
          <w:lang w:val="en-US"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852087B">
      <w:pPr>
        <w:pStyle w:val="5"/>
        <w:bidi w:val="0"/>
        <w:rPr>
          <w:rFonts w:hint="default" w:ascii="Times New Roman" w:hAnsi="Times New Roman" w:cs="Times New Roman"/>
          <w:color w:val="000000" w:themeColor="text1"/>
          <w:highlight w:val="none"/>
          <w14:textFill>
            <w14:solidFill>
              <w14:schemeClr w14:val="tx1"/>
            </w14:solidFill>
          </w14:textFill>
        </w:rPr>
      </w:pPr>
      <w:bookmarkStart w:id="47" w:name="_Toc9975"/>
      <w:bookmarkStart w:id="48" w:name="_Toc1292"/>
      <w:r>
        <w:rPr>
          <w:rFonts w:hint="eastAsia" w:ascii="宋体" w:hAnsi="宋体" w:eastAsia="宋体" w:cs="宋体"/>
          <w:color w:val="000000" w:themeColor="text1"/>
          <w:highlight w:val="none"/>
          <w14:textFill>
            <w14:solidFill>
              <w14:schemeClr w14:val="tx1"/>
            </w14:solidFill>
          </w14:textFill>
        </w:rPr>
        <w:t>附件1 营业执照</w:t>
      </w:r>
      <w:bookmarkEnd w:id="47"/>
      <w:bookmarkEnd w:id="48"/>
    </w:p>
    <w:p w14:paraId="0BDB14C6">
      <w:pPr>
        <w:pStyle w:val="18"/>
        <w:ind w:firstLine="0" w:firstLineChars="0"/>
        <w:jc w:val="center"/>
        <w:rPr>
          <w:rFonts w:hint="default" w:ascii="Times New Roman" w:hAnsi="Times New Roman" w:eastAsia="黑体" w:cs="Times New Roman"/>
          <w:snapToGrid w:val="0"/>
          <w:color w:val="000000" w:themeColor="text1"/>
          <w:sz w:val="32"/>
          <w:szCs w:val="32"/>
          <w:highlight w:val="none"/>
          <w:lang w:eastAsia="zh-CN"/>
          <w14:textFill>
            <w14:solidFill>
              <w14:schemeClr w14:val="tx1"/>
            </w14:solidFill>
          </w14:textFill>
        </w:rPr>
        <w:sectPr>
          <w:footerReference r:id="rId6"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黑体" w:cs="Times New Roman"/>
          <w:snapToGrid w:val="0"/>
          <w:color w:val="000000" w:themeColor="text1"/>
          <w:sz w:val="32"/>
          <w:szCs w:val="32"/>
          <w:highlight w:val="none"/>
          <w:lang w:eastAsia="zh-CN"/>
          <w14:textFill>
            <w14:solidFill>
              <w14:schemeClr w14:val="tx1"/>
            </w14:solidFill>
          </w14:textFill>
        </w:rPr>
        <w:drawing>
          <wp:inline distT="0" distB="0" distL="114300" distR="114300">
            <wp:extent cx="7474585" cy="4871720"/>
            <wp:effectExtent l="0" t="0" r="12065" b="5080"/>
            <wp:docPr id="29" name="图片 29"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营业执照"/>
                    <pic:cNvPicPr>
                      <a:picLocks noChangeAspect="1"/>
                    </pic:cNvPicPr>
                  </pic:nvPicPr>
                  <pic:blipFill>
                    <a:blip r:embed="rId41"/>
                    <a:stretch>
                      <a:fillRect/>
                    </a:stretch>
                  </pic:blipFill>
                  <pic:spPr>
                    <a:xfrm>
                      <a:off x="0" y="0"/>
                      <a:ext cx="7474585" cy="4871720"/>
                    </a:xfrm>
                    <a:prstGeom prst="rect">
                      <a:avLst/>
                    </a:prstGeom>
                  </pic:spPr>
                </pic:pic>
              </a:graphicData>
            </a:graphic>
          </wp:inline>
        </w:drawing>
      </w:r>
    </w:p>
    <w:p w14:paraId="074FC7BF">
      <w:pPr>
        <w:pStyle w:val="18"/>
        <w:widowControl w:val="0"/>
        <w:snapToGrid/>
        <w:ind w:firstLine="0" w:firstLineChars="0"/>
        <w:jc w:val="left"/>
        <w:outlineLvl w:val="0"/>
        <w:rPr>
          <w:rStyle w:val="49"/>
          <w:rFonts w:hint="eastAsia" w:ascii="宋体" w:hAnsi="宋体" w:eastAsia="宋体" w:cs="宋体"/>
          <w:color w:val="000000" w:themeColor="text1"/>
          <w:highlight w:val="none"/>
          <w:lang w:val="en-US" w:eastAsia="zh-CN"/>
          <w14:textFill>
            <w14:solidFill>
              <w14:schemeClr w14:val="tx1"/>
            </w14:solidFill>
          </w14:textFill>
        </w:rPr>
      </w:pPr>
      <w:bookmarkStart w:id="49" w:name="_Toc2448"/>
      <w:bookmarkStart w:id="50" w:name="_Toc25313"/>
      <w:bookmarkStart w:id="51" w:name="_Toc612"/>
      <w:bookmarkStart w:id="52" w:name="_Toc32464"/>
      <w:bookmarkStart w:id="53" w:name="_Toc32188"/>
      <w:r>
        <w:rPr>
          <w:rStyle w:val="49"/>
          <w:rFonts w:hint="eastAsia" w:ascii="宋体" w:hAnsi="宋体" w:eastAsia="宋体" w:cs="宋体"/>
          <w:color w:val="000000" w:themeColor="text1"/>
          <w:highlight w:val="none"/>
          <w:lang w:val="en-US" w:eastAsia="zh-CN"/>
          <w14:textFill>
            <w14:solidFill>
              <w14:schemeClr w14:val="tx1"/>
            </w14:solidFill>
          </w14:textFill>
        </w:rPr>
        <w:t xml:space="preserve">附件2 </w:t>
      </w:r>
      <w:bookmarkEnd w:id="49"/>
      <w:bookmarkEnd w:id="50"/>
      <w:bookmarkEnd w:id="51"/>
      <w:r>
        <w:rPr>
          <w:rStyle w:val="49"/>
          <w:rFonts w:hint="eastAsia" w:ascii="宋体" w:hAnsi="宋体" w:eastAsia="宋体" w:cs="宋体"/>
          <w:color w:val="000000" w:themeColor="text1"/>
          <w:highlight w:val="none"/>
          <w:lang w:val="en-US" w:eastAsia="zh-CN"/>
          <w14:textFill>
            <w14:solidFill>
              <w14:schemeClr w14:val="tx1"/>
            </w14:solidFill>
          </w14:textFill>
        </w:rPr>
        <w:t>勘测定界图</w:t>
      </w:r>
      <w:bookmarkEnd w:id="52"/>
      <w:bookmarkEnd w:id="53"/>
    </w:p>
    <w:p w14:paraId="6A2D58CF">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drawing>
          <wp:inline distT="0" distB="0" distL="114300" distR="114300">
            <wp:extent cx="5093970" cy="7848600"/>
            <wp:effectExtent l="0" t="0" r="0" b="11430"/>
            <wp:docPr id="34" name="图片 34" descr="测绘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测绘 (2)"/>
                    <pic:cNvPicPr>
                      <a:picLocks noChangeAspect="1"/>
                    </pic:cNvPicPr>
                  </pic:nvPicPr>
                  <pic:blipFill>
                    <a:blip r:embed="rId42"/>
                    <a:stretch>
                      <a:fillRect/>
                    </a:stretch>
                  </pic:blipFill>
                  <pic:spPr>
                    <a:xfrm rot="16200000">
                      <a:off x="0" y="0"/>
                      <a:ext cx="5093970" cy="7848600"/>
                    </a:xfrm>
                    <a:prstGeom prst="rect">
                      <a:avLst/>
                    </a:prstGeom>
                  </pic:spPr>
                </pic:pic>
              </a:graphicData>
            </a:graphic>
          </wp:inline>
        </w:drawing>
      </w:r>
    </w:p>
    <w:p w14:paraId="179DB961">
      <w:pPr>
        <w:pStyle w:val="18"/>
        <w:widowControl w:val="0"/>
        <w:snapToGrid/>
        <w:ind w:firstLine="0" w:firstLineChars="0"/>
        <w:jc w:val="center"/>
        <w:outlineLvl w:val="0"/>
        <w:rPr>
          <w:rFonts w:hint="default" w:ascii="Times New Roman" w:hAnsi="Times New Roman" w:cs="Times New Roman"/>
          <w:color w:val="000000" w:themeColor="text1"/>
          <w:highlight w:val="none"/>
          <w:lang w:val="en-US" w:eastAsia="zh-CN"/>
          <w14:textFill>
            <w14:solidFill>
              <w14:schemeClr w14:val="tx1"/>
            </w14:solidFill>
          </w14:textFill>
        </w:rPr>
        <w:sectPr>
          <w:footerReference r:id="rId7"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pPr>
      <w:bookmarkStart w:id="54" w:name="_Toc22409"/>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762875" cy="4798695"/>
            <wp:effectExtent l="0" t="0" r="9525" b="1905"/>
            <wp:docPr id="33" name="图片 33" descr="测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测绘"/>
                    <pic:cNvPicPr>
                      <a:picLocks noChangeAspect="1"/>
                    </pic:cNvPicPr>
                  </pic:nvPicPr>
                  <pic:blipFill>
                    <a:blip r:embed="rId43"/>
                    <a:stretch>
                      <a:fillRect/>
                    </a:stretch>
                  </pic:blipFill>
                  <pic:spPr>
                    <a:xfrm>
                      <a:off x="0" y="0"/>
                      <a:ext cx="7762875" cy="4798695"/>
                    </a:xfrm>
                    <a:prstGeom prst="rect">
                      <a:avLst/>
                    </a:prstGeom>
                  </pic:spPr>
                </pic:pic>
              </a:graphicData>
            </a:graphic>
          </wp:inline>
        </w:drawing>
      </w:r>
      <w:bookmarkEnd w:id="54"/>
    </w:p>
    <w:p w14:paraId="220FCA56">
      <w:pPr>
        <w:pStyle w:val="5"/>
        <w:bidi w:val="0"/>
        <w:ind w:left="432" w:leftChars="0" w:hanging="432" w:firstLineChars="0"/>
        <w:outlineLvl w:val="0"/>
        <w:rPr>
          <w:rFonts w:hint="eastAsia" w:ascii="宋体" w:hAnsi="宋体" w:eastAsia="宋体" w:cs="宋体"/>
          <w:color w:val="000000" w:themeColor="text1"/>
          <w:highlight w:val="none"/>
          <w:lang w:val="en-US" w:eastAsia="zh-CN"/>
          <w14:textFill>
            <w14:solidFill>
              <w14:schemeClr w14:val="tx1"/>
            </w14:solidFill>
          </w14:textFill>
        </w:rPr>
      </w:pPr>
      <w:bookmarkStart w:id="55" w:name="_Toc18296"/>
      <w:bookmarkStart w:id="56" w:name="_Toc22307"/>
      <w:r>
        <w:rPr>
          <w:rFonts w:hint="eastAsia" w:ascii="宋体" w:hAnsi="宋体" w:eastAsia="宋体" w:cs="宋体"/>
          <w:color w:val="000000" w:themeColor="text1"/>
          <w:highlight w:val="none"/>
          <w:lang w:val="en-US" w:eastAsia="zh-CN"/>
          <w14:textFill>
            <w14:solidFill>
              <w14:schemeClr w14:val="tx1"/>
            </w14:solidFill>
          </w14:textFill>
        </w:rPr>
        <w:t>附件3租赁协议</w:t>
      </w:r>
      <w:bookmarkEnd w:id="55"/>
      <w:bookmarkEnd w:id="56"/>
    </w:p>
    <w:p w14:paraId="47F47722">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drawing>
          <wp:inline distT="0" distB="0" distL="114300" distR="114300">
            <wp:extent cx="4793615" cy="7851775"/>
            <wp:effectExtent l="0" t="0" r="6985" b="15875"/>
            <wp:docPr id="70" name="图片 70" descr="631c58e4318fda319fef2aa86178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31c58e4318fda319fef2aa861783f7"/>
                    <pic:cNvPicPr>
                      <a:picLocks noChangeAspect="1"/>
                    </pic:cNvPicPr>
                  </pic:nvPicPr>
                  <pic:blipFill>
                    <a:blip r:embed="rId44"/>
                    <a:stretch>
                      <a:fillRect/>
                    </a:stretch>
                  </pic:blipFill>
                  <pic:spPr>
                    <a:xfrm>
                      <a:off x="0" y="0"/>
                      <a:ext cx="4793615" cy="7851775"/>
                    </a:xfrm>
                    <a:prstGeom prst="rect">
                      <a:avLst/>
                    </a:prstGeom>
                  </pic:spPr>
                </pic:pic>
              </a:graphicData>
            </a:graphic>
          </wp:inline>
        </w:drawing>
      </w:r>
    </w:p>
    <w:p w14:paraId="6CB5E61E">
      <w:pPr>
        <w:pStyle w:val="2"/>
        <w:rPr>
          <w:rFonts w:hint="default" w:ascii="Times New Roman" w:hAnsi="Times New Roman" w:cs="Times New Roman"/>
          <w:highlight w:val="none"/>
          <w:lang w:val="en-US" w:eastAsia="zh-CN"/>
        </w:rPr>
      </w:pPr>
    </w:p>
    <w:p w14:paraId="20129E54">
      <w:pPr>
        <w:pStyle w:val="2"/>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附件4 土地使用证明</w:t>
      </w:r>
    </w:p>
    <w:p w14:paraId="705525A9">
      <w:pPr>
        <w:pStyle w:val="2"/>
        <w:rPr>
          <w:rFonts w:hint="default" w:ascii="Times New Roman" w:hAnsi="Times New Roman" w:cs="Times New Roman"/>
          <w:highlight w:val="none"/>
          <w:lang w:val="en-US" w:eastAsia="zh-CN"/>
        </w:rPr>
        <w:sectPr>
          <w:pgSz w:w="11906" w:h="16838"/>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highlight w:val="none"/>
          <w:lang w:val="en-US" w:eastAsia="zh-CN"/>
        </w:rPr>
        <w:drawing>
          <wp:inline distT="0" distB="0" distL="114300" distR="114300">
            <wp:extent cx="5588635" cy="7451725"/>
            <wp:effectExtent l="0" t="0" r="12065" b="15875"/>
            <wp:docPr id="71" name="图片 71" descr="6e05c8c7c4829b9a00f576f099eb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6e05c8c7c4829b9a00f576f099eb0ea"/>
                    <pic:cNvPicPr>
                      <a:picLocks noChangeAspect="1"/>
                    </pic:cNvPicPr>
                  </pic:nvPicPr>
                  <pic:blipFill>
                    <a:blip r:embed="rId45"/>
                    <a:stretch>
                      <a:fillRect/>
                    </a:stretch>
                  </pic:blipFill>
                  <pic:spPr>
                    <a:xfrm>
                      <a:off x="0" y="0"/>
                      <a:ext cx="5588635" cy="7451725"/>
                    </a:xfrm>
                    <a:prstGeom prst="rect">
                      <a:avLst/>
                    </a:prstGeom>
                  </pic:spPr>
                </pic:pic>
              </a:graphicData>
            </a:graphic>
          </wp:inline>
        </w:drawing>
      </w:r>
    </w:p>
    <w:p w14:paraId="38DA47BB">
      <w:pPr>
        <w:pStyle w:val="5"/>
        <w:bidi w:val="0"/>
        <w:ind w:left="432" w:leftChars="0" w:hanging="432" w:firstLineChars="0"/>
        <w:outlineLvl w:val="0"/>
        <w:rPr>
          <w:rFonts w:hint="eastAsia" w:ascii="宋体" w:hAnsi="宋体" w:eastAsia="宋体" w:cs="宋体"/>
          <w:color w:val="000000" w:themeColor="text1"/>
          <w:highlight w:val="none"/>
          <w:lang w:val="en-US" w:eastAsia="zh-CN"/>
          <w14:textFill>
            <w14:solidFill>
              <w14:schemeClr w14:val="tx1"/>
            </w14:solidFill>
          </w14:textFill>
        </w:rPr>
      </w:pPr>
      <w:bookmarkStart w:id="57" w:name="_Toc31891"/>
      <w:bookmarkStart w:id="58" w:name="_Toc25812"/>
      <w:r>
        <w:rPr>
          <w:rFonts w:hint="eastAsia" w:ascii="宋体" w:hAnsi="宋体" w:eastAsia="宋体" w:cs="宋体"/>
          <w:color w:val="000000" w:themeColor="text1"/>
          <w:highlight w:val="none"/>
          <w:lang w:val="en-US" w:eastAsia="zh-CN"/>
          <w14:textFill>
            <w14:solidFill>
              <w14:schemeClr w14:val="tx1"/>
            </w14:solidFill>
          </w14:textFill>
        </w:rPr>
        <w:t>附件5检测报告</w:t>
      </w:r>
      <w:bookmarkEnd w:id="57"/>
      <w:bookmarkEnd w:id="58"/>
    </w:p>
    <w:p w14:paraId="766426DD">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highlight w:val="none"/>
        </w:rPr>
        <w:drawing>
          <wp:inline distT="0" distB="0" distL="114300" distR="114300">
            <wp:extent cx="5243195" cy="7384415"/>
            <wp:effectExtent l="0" t="0" r="14605" b="6985"/>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46"/>
                    <a:stretch>
                      <a:fillRect/>
                    </a:stretch>
                  </pic:blipFill>
                  <pic:spPr>
                    <a:xfrm>
                      <a:off x="0" y="0"/>
                      <a:ext cx="5243195" cy="7384415"/>
                    </a:xfrm>
                    <a:prstGeom prst="rect">
                      <a:avLst/>
                    </a:prstGeom>
                    <a:noFill/>
                    <a:ln>
                      <a:noFill/>
                    </a:ln>
                  </pic:spPr>
                </pic:pic>
              </a:graphicData>
            </a:graphic>
          </wp:inline>
        </w:drawing>
      </w:r>
    </w:p>
    <w:p w14:paraId="0ED1141F">
      <w:pPr>
        <w:pStyle w:val="2"/>
        <w:jc w:val="center"/>
        <w:rPr>
          <w:rFonts w:hint="default" w:ascii="Times New Roman" w:hAnsi="Times New Roman" w:cs="Times New Roman"/>
          <w:color w:val="000000" w:themeColor="text1"/>
          <w:highlight w:val="none"/>
          <w:lang w:val="en-US" w:eastAsia="zh-CN"/>
          <w14:textFill>
            <w14:solidFill>
              <w14:schemeClr w14:val="tx1"/>
            </w14:solidFill>
          </w14:textFill>
        </w:rPr>
        <w:sectPr>
          <w:pgSz w:w="11906" w:h="16838"/>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highlight w:val="none"/>
        </w:rPr>
        <w:drawing>
          <wp:inline distT="0" distB="0" distL="114300" distR="114300">
            <wp:extent cx="5473700" cy="7692390"/>
            <wp:effectExtent l="0" t="0" r="12700" b="3810"/>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47"/>
                    <a:stretch>
                      <a:fillRect/>
                    </a:stretch>
                  </pic:blipFill>
                  <pic:spPr>
                    <a:xfrm>
                      <a:off x="0" y="0"/>
                      <a:ext cx="5473700" cy="769239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325745" cy="7493000"/>
            <wp:effectExtent l="0" t="0" r="8255" b="12700"/>
            <wp:docPr id="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pic:cNvPicPr>
                      <a:picLocks noChangeAspect="1"/>
                    </pic:cNvPicPr>
                  </pic:nvPicPr>
                  <pic:blipFill>
                    <a:blip r:embed="rId48"/>
                    <a:stretch>
                      <a:fillRect/>
                    </a:stretch>
                  </pic:blipFill>
                  <pic:spPr>
                    <a:xfrm>
                      <a:off x="0" y="0"/>
                      <a:ext cx="5325745" cy="749300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100320" cy="7116445"/>
            <wp:effectExtent l="0" t="0" r="5080" b="8255"/>
            <wp:docPr id="1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
                    <pic:cNvPicPr>
                      <a:picLocks noChangeAspect="1"/>
                    </pic:cNvPicPr>
                  </pic:nvPicPr>
                  <pic:blipFill>
                    <a:blip r:embed="rId49"/>
                    <a:stretch>
                      <a:fillRect/>
                    </a:stretch>
                  </pic:blipFill>
                  <pic:spPr>
                    <a:xfrm>
                      <a:off x="0" y="0"/>
                      <a:ext cx="5100320" cy="711644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4930775" cy="6939280"/>
            <wp:effectExtent l="0" t="0" r="3175" b="13970"/>
            <wp:docPr id="10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
                    <pic:cNvPicPr>
                      <a:picLocks noChangeAspect="1"/>
                    </pic:cNvPicPr>
                  </pic:nvPicPr>
                  <pic:blipFill>
                    <a:blip r:embed="rId50"/>
                    <a:stretch>
                      <a:fillRect/>
                    </a:stretch>
                  </pic:blipFill>
                  <pic:spPr>
                    <a:xfrm>
                      <a:off x="0" y="0"/>
                      <a:ext cx="4930775" cy="6939280"/>
                    </a:xfrm>
                    <a:prstGeom prst="rect">
                      <a:avLst/>
                    </a:prstGeom>
                    <a:noFill/>
                    <a:ln>
                      <a:noFill/>
                    </a:ln>
                  </pic:spPr>
                </pic:pic>
              </a:graphicData>
            </a:graphic>
          </wp:inline>
        </w:drawing>
      </w:r>
    </w:p>
    <w:p w14:paraId="695CD821">
      <w:pPr>
        <w:pStyle w:val="5"/>
        <w:bidi w:val="0"/>
        <w:ind w:left="432" w:leftChars="0" w:hanging="432" w:firstLineChars="0"/>
        <w:outlineLvl w:val="0"/>
        <w:rPr>
          <w:rFonts w:hint="eastAsia" w:ascii="宋体" w:hAnsi="宋体" w:eastAsia="宋体" w:cs="宋体"/>
          <w:color w:val="000000" w:themeColor="text1"/>
          <w:highlight w:val="none"/>
          <w:lang w:val="en-US" w:eastAsia="zh-CN"/>
          <w14:textFill>
            <w14:solidFill>
              <w14:schemeClr w14:val="tx1"/>
            </w14:solidFill>
          </w14:textFill>
        </w:rPr>
      </w:pPr>
      <w:bookmarkStart w:id="59" w:name="_Toc8307"/>
      <w:bookmarkStart w:id="60" w:name="_Toc21940"/>
      <w:r>
        <w:rPr>
          <w:rFonts w:hint="eastAsia" w:ascii="宋体" w:hAnsi="宋体" w:eastAsia="宋体" w:cs="宋体"/>
          <w:color w:val="000000" w:themeColor="text1"/>
          <w:highlight w:val="none"/>
          <w:lang w:val="en-US" w:eastAsia="zh-CN"/>
          <w14:textFill>
            <w14:solidFill>
              <w14:schemeClr w14:val="tx1"/>
            </w14:solidFill>
          </w14:textFill>
        </w:rPr>
        <w:t>附件6鸡西市禹欣煤炭销售有限公司生态环境分区管控分析报告</w:t>
      </w:r>
      <w:bookmarkEnd w:id="59"/>
      <w:bookmarkEnd w:id="60"/>
    </w:p>
    <w:p w14:paraId="0F426754">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681595" cy="5142230"/>
            <wp:effectExtent l="0" t="0" r="14605" b="127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51"/>
                    <a:stretch>
                      <a:fillRect/>
                    </a:stretch>
                  </pic:blipFill>
                  <pic:spPr>
                    <a:xfrm>
                      <a:off x="0" y="0"/>
                      <a:ext cx="7681595" cy="5142230"/>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765415" cy="5497195"/>
            <wp:effectExtent l="0" t="0" r="6985" b="825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2"/>
                    <a:stretch>
                      <a:fillRect/>
                    </a:stretch>
                  </pic:blipFill>
                  <pic:spPr>
                    <a:xfrm>
                      <a:off x="0" y="0"/>
                      <a:ext cx="7765415" cy="5497195"/>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613015" cy="5398135"/>
            <wp:effectExtent l="0" t="0" r="6985" b="1206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53"/>
                    <a:stretch>
                      <a:fillRect/>
                    </a:stretch>
                  </pic:blipFill>
                  <pic:spPr>
                    <a:xfrm>
                      <a:off x="0" y="0"/>
                      <a:ext cx="7613015" cy="5398135"/>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557135" cy="5340350"/>
            <wp:effectExtent l="0" t="0" r="5715" b="1270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54"/>
                    <a:stretch>
                      <a:fillRect/>
                    </a:stretch>
                  </pic:blipFill>
                  <pic:spPr>
                    <a:xfrm>
                      <a:off x="0" y="0"/>
                      <a:ext cx="7557135" cy="5340350"/>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571740" cy="5359400"/>
            <wp:effectExtent l="0" t="0" r="10160" b="1270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55"/>
                    <a:stretch>
                      <a:fillRect/>
                    </a:stretch>
                  </pic:blipFill>
                  <pic:spPr>
                    <a:xfrm>
                      <a:off x="0" y="0"/>
                      <a:ext cx="7571740" cy="5359400"/>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765415" cy="5491480"/>
            <wp:effectExtent l="0" t="0" r="6985" b="1397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56"/>
                    <a:stretch>
                      <a:fillRect/>
                    </a:stretch>
                  </pic:blipFill>
                  <pic:spPr>
                    <a:xfrm>
                      <a:off x="0" y="0"/>
                      <a:ext cx="7765415" cy="5491480"/>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670165" cy="5407660"/>
            <wp:effectExtent l="0" t="0" r="6985" b="254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57"/>
                    <a:stretch>
                      <a:fillRect/>
                    </a:stretch>
                  </pic:blipFill>
                  <pic:spPr>
                    <a:xfrm>
                      <a:off x="0" y="0"/>
                      <a:ext cx="7670165" cy="5407660"/>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537450" cy="5335905"/>
            <wp:effectExtent l="0" t="0" r="6350" b="1714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58"/>
                    <a:stretch>
                      <a:fillRect/>
                    </a:stretch>
                  </pic:blipFill>
                  <pic:spPr>
                    <a:xfrm>
                      <a:off x="0" y="0"/>
                      <a:ext cx="7537450" cy="5335905"/>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651115" cy="5418455"/>
            <wp:effectExtent l="0" t="0" r="6985" b="10795"/>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59"/>
                    <a:stretch>
                      <a:fillRect/>
                    </a:stretch>
                  </pic:blipFill>
                  <pic:spPr>
                    <a:xfrm>
                      <a:off x="0" y="0"/>
                      <a:ext cx="7651115" cy="5418455"/>
                    </a:xfrm>
                    <a:prstGeom prst="rect">
                      <a:avLst/>
                    </a:prstGeom>
                    <a:noFill/>
                    <a:ln>
                      <a:noFill/>
                    </a:ln>
                  </pic:spPr>
                </pic:pic>
              </a:graphicData>
            </a:graphic>
          </wp:inline>
        </w:drawing>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7843520" cy="5557520"/>
            <wp:effectExtent l="0" t="0" r="5080" b="5080"/>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60"/>
                    <a:stretch>
                      <a:fillRect/>
                    </a:stretch>
                  </pic:blipFill>
                  <pic:spPr>
                    <a:xfrm>
                      <a:off x="0" y="0"/>
                      <a:ext cx="7843520" cy="5557520"/>
                    </a:xfrm>
                    <a:prstGeom prst="rect">
                      <a:avLst/>
                    </a:prstGeom>
                    <a:noFill/>
                    <a:ln>
                      <a:noFill/>
                    </a:ln>
                  </pic:spPr>
                </pic:pic>
              </a:graphicData>
            </a:graphic>
          </wp:inline>
        </w:drawing>
      </w:r>
    </w:p>
    <w:sectPr>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6101"/>
    </w:sdtPr>
    <w:sdtContent>
      <w:p w14:paraId="2F32AD2D">
        <w:pPr>
          <w:pStyle w:val="12"/>
          <w:ind w:left="2250" w:hanging="1200"/>
          <w:jc w:val="center"/>
        </w:pPr>
        <w:r>
          <w:fldChar w:fldCharType="begin"/>
        </w:r>
        <w:r>
          <w:instrText xml:space="preserve">PAGE   \* MERGEFORMAT</w:instrText>
        </w:r>
        <w:r>
          <w:fldChar w:fldCharType="separate"/>
        </w:r>
        <w:r>
          <w:rPr>
            <w:lang w:val="zh-CN"/>
          </w:rPr>
          <w:t>37</w:t>
        </w:r>
        <w:r>
          <w:fldChar w:fldCharType="end"/>
        </w:r>
      </w:p>
    </w:sdtContent>
  </w:sdt>
  <w:p w14:paraId="114BC687">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5197D">
    <w:pPr>
      <w:pStyle w:val="12"/>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205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24D2FFE">
                          <w:pPr>
                            <w:pStyle w:val="12"/>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7"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PlfknQAAAAAwEAAA8AAAAAAAAAAQAgAAAAIgAAAGRy&#10;cy9kb3ducmV2LnhtbFBLAQIUABQAAAAIAIdO4kC44zq7DQIAAAUEAAAOAAAAAAAAAAEAIAAAAB8B&#10;AABkcnMvZTJvRG9jLnhtbFBLBQYAAAAABgAGAFkBAACeBQAAAAA=&#10;">
              <v:fill on="f" focussize="0,0"/>
              <v:stroke on="f"/>
              <v:imagedata o:title=""/>
              <o:lock v:ext="edit" aspectratio="f"/>
              <v:textbox inset="0mm,0mm,0mm,0mm" style="mso-fit-shape-to-text:t;">
                <w:txbxContent>
                  <w:p w14:paraId="324D2FFE">
                    <w:pPr>
                      <w:pStyle w:val="12"/>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C2022">
    <w:pPr>
      <w:pStyle w:val="12"/>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205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69DEB36">
                          <w:pPr>
                            <w:pStyle w:val="12"/>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8"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PlfknQAAAAAwEAAA8AAAAAAAAAAQAgAAAAIgAAAGRy&#10;cy9kb3ducmV2LnhtbFBLAQIUABQAAAAIAIdO4kCTA4c/DQIAAAUEAAAOAAAAAAAAAAEAIAAAAB8B&#10;AABkcnMvZTJvRG9jLnhtbFBLBQYAAAAABgAGAFkBAACeBQAAAAA=&#10;">
              <v:fill on="f" focussize="0,0"/>
              <v:stroke on="f"/>
              <v:imagedata o:title=""/>
              <o:lock v:ext="edit" aspectratio="f"/>
              <v:textbox inset="0mm,0mm,0mm,0mm" style="mso-fit-shape-to-text:t;">
                <w:txbxContent>
                  <w:p w14:paraId="769DEB36">
                    <w:pPr>
                      <w:pStyle w:val="12"/>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3554E">
    <w:pPr>
      <w:pStyle w:val="12"/>
      <w:jc w:val="center"/>
      <w:rPr>
        <w:rFonts w:ascii="宋体" w:hAnsi="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205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0B1DED65">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4"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SdAAAAADAQAADwAAAAAAAAABACAAAAAiAAAAZHJz&#10;L2Rvd25yZXYueG1sUEsBAhQAFAAAAAgAh07iQLqVVFoMAgAABQQAAA4AAAAAAAAAAQAgAAAAHwEA&#10;AGRycy9lMm9Eb2MueG1sUEsFBgAAAAAGAAYAWQEAAJ0FAAAAAA==&#10;">
              <v:fill on="f" focussize="0,0"/>
              <v:stroke on="f"/>
              <v:imagedata o:title=""/>
              <o:lock v:ext="edit" aspectratio="f"/>
              <v:textbox inset="0mm,0mm,0mm,0mm" style="mso-fit-shape-to-text:t;">
                <w:txbxContent>
                  <w:p w14:paraId="0B1DED65">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24E0D">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6E41A4">
                          <w:pPr>
                            <w:pStyle w:val="12"/>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WqTcMBAACP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a5apNwwEAAI8DAAAOAAAAAAAAAAEAIAAAAB4BAABkcnMvZTJvRG9jLnhtbFBL&#10;BQYAAAAABgAGAFkBAABTBQAAAAA=&#10;">
              <v:fill on="f" focussize="0,0"/>
              <v:stroke on="f"/>
              <v:imagedata o:title=""/>
              <o:lock v:ext="edit" aspectratio="f"/>
              <v:textbox inset="0mm,0mm,0mm,0mm" style="mso-fit-shape-to-text:t;">
                <w:txbxContent>
                  <w:p w14:paraId="116E41A4">
                    <w:pPr>
                      <w:pStyle w:val="1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C8A51D"/>
    <w:multiLevelType w:val="singleLevel"/>
    <w:tmpl w:val="C4C8A51D"/>
    <w:lvl w:ilvl="0" w:tentative="0">
      <w:start w:val="1"/>
      <w:numFmt w:val="decimal"/>
      <w:suff w:val="nothing"/>
      <w:lvlText w:val="%1、"/>
      <w:lvlJc w:val="left"/>
    </w:lvl>
  </w:abstractNum>
  <w:abstractNum w:abstractNumId="1">
    <w:nsid w:val="77DDEF2C"/>
    <w:multiLevelType w:val="singleLevel"/>
    <w:tmpl w:val="77DDEF2C"/>
    <w:lvl w:ilvl="0" w:tentative="0">
      <w:start w:val="1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hNGY3YzRjNDgxMjI3YTk3YTcyN2Y1NGJkYWFkZWMifQ=="/>
  </w:docVars>
  <w:rsids>
    <w:rsidRoot w:val="00CD52C7"/>
    <w:rsid w:val="001B0790"/>
    <w:rsid w:val="00BF7CE5"/>
    <w:rsid w:val="00CD52C7"/>
    <w:rsid w:val="01F575DE"/>
    <w:rsid w:val="02861AEE"/>
    <w:rsid w:val="030B73A9"/>
    <w:rsid w:val="03710AF1"/>
    <w:rsid w:val="0560706F"/>
    <w:rsid w:val="05705CF1"/>
    <w:rsid w:val="06CA4FF0"/>
    <w:rsid w:val="070E0675"/>
    <w:rsid w:val="073A6AAB"/>
    <w:rsid w:val="07F67816"/>
    <w:rsid w:val="08144141"/>
    <w:rsid w:val="0936544F"/>
    <w:rsid w:val="09D84328"/>
    <w:rsid w:val="0A4F2F7E"/>
    <w:rsid w:val="0B903FA1"/>
    <w:rsid w:val="100917CE"/>
    <w:rsid w:val="10142F30"/>
    <w:rsid w:val="110908DD"/>
    <w:rsid w:val="111873EF"/>
    <w:rsid w:val="131F390F"/>
    <w:rsid w:val="14777F31"/>
    <w:rsid w:val="14B5670C"/>
    <w:rsid w:val="154850ED"/>
    <w:rsid w:val="166030CC"/>
    <w:rsid w:val="18CB43A7"/>
    <w:rsid w:val="18EF1E30"/>
    <w:rsid w:val="199D43B0"/>
    <w:rsid w:val="19A862A5"/>
    <w:rsid w:val="19DE6FEA"/>
    <w:rsid w:val="19EB1402"/>
    <w:rsid w:val="1A75281D"/>
    <w:rsid w:val="1A7C17A2"/>
    <w:rsid w:val="1B08398B"/>
    <w:rsid w:val="1B2913A0"/>
    <w:rsid w:val="1C0A168B"/>
    <w:rsid w:val="1D350C4E"/>
    <w:rsid w:val="1D4E7594"/>
    <w:rsid w:val="1D9204B7"/>
    <w:rsid w:val="1DF269E2"/>
    <w:rsid w:val="1DF61EC7"/>
    <w:rsid w:val="1E557644"/>
    <w:rsid w:val="1F7E2174"/>
    <w:rsid w:val="20EC6A53"/>
    <w:rsid w:val="212D0CAE"/>
    <w:rsid w:val="219F72D0"/>
    <w:rsid w:val="21E23923"/>
    <w:rsid w:val="23986063"/>
    <w:rsid w:val="23F9269A"/>
    <w:rsid w:val="240E769E"/>
    <w:rsid w:val="24151E4A"/>
    <w:rsid w:val="243B19E5"/>
    <w:rsid w:val="248F7DBD"/>
    <w:rsid w:val="25D074A1"/>
    <w:rsid w:val="25F5283E"/>
    <w:rsid w:val="273C2EE6"/>
    <w:rsid w:val="281652A8"/>
    <w:rsid w:val="29221D08"/>
    <w:rsid w:val="2A1268FC"/>
    <w:rsid w:val="2ADB5543"/>
    <w:rsid w:val="2B1E09DB"/>
    <w:rsid w:val="2BAB31DB"/>
    <w:rsid w:val="2CB95D87"/>
    <w:rsid w:val="2DD37125"/>
    <w:rsid w:val="2E334A71"/>
    <w:rsid w:val="2E5F13C2"/>
    <w:rsid w:val="2F923078"/>
    <w:rsid w:val="30766A4C"/>
    <w:rsid w:val="318209DA"/>
    <w:rsid w:val="31BE5023"/>
    <w:rsid w:val="32787D56"/>
    <w:rsid w:val="3294613F"/>
    <w:rsid w:val="32A55811"/>
    <w:rsid w:val="331B3B35"/>
    <w:rsid w:val="33845E82"/>
    <w:rsid w:val="338D1240"/>
    <w:rsid w:val="33B201E6"/>
    <w:rsid w:val="34C07A23"/>
    <w:rsid w:val="35586B6B"/>
    <w:rsid w:val="35EC30D8"/>
    <w:rsid w:val="361B20DC"/>
    <w:rsid w:val="38450DC8"/>
    <w:rsid w:val="387754B2"/>
    <w:rsid w:val="38E726E0"/>
    <w:rsid w:val="39111E53"/>
    <w:rsid w:val="39495149"/>
    <w:rsid w:val="3C8905E6"/>
    <w:rsid w:val="3CB207AE"/>
    <w:rsid w:val="3D2C1E6B"/>
    <w:rsid w:val="3F174129"/>
    <w:rsid w:val="42BA0E65"/>
    <w:rsid w:val="43C13C6A"/>
    <w:rsid w:val="44C71617"/>
    <w:rsid w:val="45B61DB8"/>
    <w:rsid w:val="45CF2E79"/>
    <w:rsid w:val="462036D5"/>
    <w:rsid w:val="473016F6"/>
    <w:rsid w:val="474F7946"/>
    <w:rsid w:val="4AA743C5"/>
    <w:rsid w:val="4B842010"/>
    <w:rsid w:val="4F0A4871"/>
    <w:rsid w:val="50185A4D"/>
    <w:rsid w:val="52A8522F"/>
    <w:rsid w:val="52AF1B41"/>
    <w:rsid w:val="5362726B"/>
    <w:rsid w:val="53BC706A"/>
    <w:rsid w:val="54147C88"/>
    <w:rsid w:val="54DD3A21"/>
    <w:rsid w:val="56074E9B"/>
    <w:rsid w:val="5721105B"/>
    <w:rsid w:val="57BA0598"/>
    <w:rsid w:val="58FE4D8A"/>
    <w:rsid w:val="5B10545C"/>
    <w:rsid w:val="5B8B1199"/>
    <w:rsid w:val="5BB0570C"/>
    <w:rsid w:val="5BBC1352"/>
    <w:rsid w:val="5D2D5C2F"/>
    <w:rsid w:val="5D6E1FD6"/>
    <w:rsid w:val="5E345B18"/>
    <w:rsid w:val="5F13572D"/>
    <w:rsid w:val="5F1C7B4C"/>
    <w:rsid w:val="5F93241B"/>
    <w:rsid w:val="616C4DE5"/>
    <w:rsid w:val="6189617B"/>
    <w:rsid w:val="62467BC8"/>
    <w:rsid w:val="629435B8"/>
    <w:rsid w:val="62ED138B"/>
    <w:rsid w:val="63AC58EF"/>
    <w:rsid w:val="63E15DFA"/>
    <w:rsid w:val="63FC2885"/>
    <w:rsid w:val="65491356"/>
    <w:rsid w:val="658657AB"/>
    <w:rsid w:val="67743146"/>
    <w:rsid w:val="6A70612A"/>
    <w:rsid w:val="6BB32772"/>
    <w:rsid w:val="6C09134C"/>
    <w:rsid w:val="6CB05239"/>
    <w:rsid w:val="6D6F47F8"/>
    <w:rsid w:val="70F33611"/>
    <w:rsid w:val="70FE448F"/>
    <w:rsid w:val="71445C1A"/>
    <w:rsid w:val="735026CE"/>
    <w:rsid w:val="738F7621"/>
    <w:rsid w:val="753A02D4"/>
    <w:rsid w:val="76041EAA"/>
    <w:rsid w:val="78BA0A49"/>
    <w:rsid w:val="78CC645D"/>
    <w:rsid w:val="79B56435"/>
    <w:rsid w:val="7DEF77B2"/>
    <w:rsid w:val="7E680A67"/>
    <w:rsid w:val="7E8D6E52"/>
    <w:rsid w:val="7EB02B41"/>
    <w:rsid w:val="7FC5261C"/>
    <w:rsid w:val="7FE37372"/>
    <w:rsid w:val="FFFF2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9"/>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widowControl/>
      <w:snapToGrid w:val="0"/>
      <w:spacing w:before="60" w:after="160" w:line="259" w:lineRule="auto"/>
      <w:ind w:right="113"/>
    </w:pPr>
    <w:rPr>
      <w:kern w:val="0"/>
      <w:sz w:val="18"/>
      <w:szCs w:val="20"/>
    </w:rPr>
  </w:style>
  <w:style w:type="paragraph" w:customStyle="1" w:styleId="3">
    <w:name w:val="Normal (Web)1"/>
    <w:basedOn w:val="1"/>
    <w:next w:val="4"/>
    <w:autoRedefine/>
    <w:qFormat/>
    <w:uiPriority w:val="0"/>
    <w:pPr>
      <w:widowControl/>
      <w:jc w:val="left"/>
    </w:pPr>
    <w:rPr>
      <w:rFonts w:ascii="宋体"/>
      <w:kern w:val="0"/>
      <w:sz w:val="24"/>
      <w:szCs w:val="21"/>
    </w:rPr>
  </w:style>
  <w:style w:type="paragraph" w:customStyle="1" w:styleId="4">
    <w:name w:val="Date1"/>
    <w:basedOn w:val="1"/>
    <w:next w:val="1"/>
    <w:autoRedefine/>
    <w:qFormat/>
    <w:uiPriority w:val="99"/>
    <w:pPr>
      <w:ind w:left="2500" w:leftChars="2500"/>
    </w:pPr>
  </w:style>
  <w:style w:type="paragraph" w:styleId="6">
    <w:name w:val="Normal Indent"/>
    <w:basedOn w:val="1"/>
    <w:next w:val="1"/>
    <w:autoRedefine/>
    <w:qFormat/>
    <w:uiPriority w:val="0"/>
    <w:pPr>
      <w:spacing w:line="460" w:lineRule="atLeast"/>
      <w:ind w:firstLine="420"/>
    </w:pPr>
    <w:rPr>
      <w:sz w:val="24"/>
      <w:szCs w:val="20"/>
    </w:rPr>
  </w:style>
  <w:style w:type="paragraph" w:styleId="7">
    <w:name w:val="caption"/>
    <w:basedOn w:val="1"/>
    <w:next w:val="1"/>
    <w:autoRedefine/>
    <w:qFormat/>
    <w:uiPriority w:val="35"/>
    <w:pPr>
      <w:widowControl/>
      <w:adjustRightInd w:val="0"/>
      <w:snapToGrid w:val="0"/>
      <w:jc w:val="center"/>
    </w:pPr>
    <w:rPr>
      <w:rFonts w:eastAsia="黑体"/>
      <w:kern w:val="0"/>
      <w:sz w:val="24"/>
    </w:rPr>
  </w:style>
  <w:style w:type="paragraph" w:styleId="8">
    <w:name w:val="annotation text"/>
    <w:basedOn w:val="1"/>
    <w:autoRedefine/>
    <w:semiHidden/>
    <w:qFormat/>
    <w:uiPriority w:val="0"/>
    <w:pPr>
      <w:jc w:val="left"/>
    </w:pPr>
    <w:rPr>
      <w:kern w:val="0"/>
      <w:sz w:val="24"/>
      <w:szCs w:val="20"/>
    </w:rPr>
  </w:style>
  <w:style w:type="paragraph" w:styleId="9">
    <w:name w:val="Body Text Indent"/>
    <w:basedOn w:val="1"/>
    <w:next w:val="1"/>
    <w:autoRedefine/>
    <w:qFormat/>
    <w:uiPriority w:val="0"/>
    <w:pPr>
      <w:spacing w:after="120"/>
      <w:ind w:left="420" w:leftChars="200"/>
    </w:pPr>
    <w:rPr>
      <w:kern w:val="0"/>
      <w:sz w:val="24"/>
      <w:szCs w:val="20"/>
    </w:rPr>
  </w:style>
  <w:style w:type="paragraph" w:styleId="10">
    <w:name w:val="Plain Text"/>
    <w:basedOn w:val="1"/>
    <w:autoRedefine/>
    <w:qFormat/>
    <w:uiPriority w:val="0"/>
    <w:rPr>
      <w:rFonts w:ascii="宋体" w:hAnsi="Courier New" w:eastAsia="宋体" w:cs="Times New Roman"/>
      <w:szCs w:val="20"/>
    </w:rPr>
  </w:style>
  <w:style w:type="paragraph" w:styleId="11">
    <w:name w:val="Body Text Indent 2"/>
    <w:basedOn w:val="1"/>
    <w:qFormat/>
    <w:uiPriority w:val="99"/>
    <w:pPr>
      <w:spacing w:after="120" w:line="480" w:lineRule="auto"/>
      <w:ind w:left="420" w:leftChars="200"/>
    </w:pPr>
  </w:style>
  <w:style w:type="paragraph" w:styleId="12">
    <w:name w:val="footer"/>
    <w:basedOn w:val="1"/>
    <w:autoRedefine/>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autoRedefine/>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5">
    <w:name w:val="toc 2"/>
    <w:basedOn w:val="1"/>
    <w:next w:val="1"/>
    <w:autoRedefine/>
    <w:qFormat/>
    <w:uiPriority w:val="39"/>
    <w:pPr>
      <w:ind w:left="210"/>
      <w:jc w:val="left"/>
    </w:pPr>
    <w:rPr>
      <w:smallCaps/>
      <w:sz w:val="20"/>
      <w:szCs w:val="20"/>
    </w:rPr>
  </w:style>
  <w:style w:type="paragraph" w:styleId="16">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17">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paragraph" w:styleId="18">
    <w:name w:val="Body Text First Indent"/>
    <w:basedOn w:val="2"/>
    <w:next w:val="1"/>
    <w:autoRedefine/>
    <w:qFormat/>
    <w:uiPriority w:val="0"/>
    <w:pPr>
      <w:ind w:firstLine="420" w:firstLineChars="100"/>
    </w:pPr>
  </w:style>
  <w:style w:type="paragraph" w:styleId="19">
    <w:name w:val="Body Text First Indent 2"/>
    <w:basedOn w:val="9"/>
    <w:next w:val="1"/>
    <w:autoRedefine/>
    <w:qFormat/>
    <w:uiPriority w:val="0"/>
    <w:pPr>
      <w:ind w:firstLine="420" w:firstLineChars="200"/>
    </w:pPr>
    <w:rPr>
      <w:rFonts w:ascii="Calibri" w:hAnsi="Calibri" w:cs="Calibri"/>
      <w:kern w:val="2"/>
      <w:sz w:val="21"/>
      <w:szCs w:val="24"/>
    </w:r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paragraph" w:customStyle="1" w:styleId="24">
    <w:name w:val="样式 正文首行缩进 + 首行缩进:  2 字符1"/>
    <w:basedOn w:val="1"/>
    <w:next w:val="14"/>
    <w:autoRedefine/>
    <w:qFormat/>
    <w:uiPriority w:val="0"/>
    <w:pPr>
      <w:spacing w:line="360" w:lineRule="auto"/>
      <w:ind w:firstLine="480" w:firstLineChars="200"/>
    </w:pPr>
    <w:rPr>
      <w:sz w:val="24"/>
    </w:rPr>
  </w:style>
  <w:style w:type="paragraph" w:customStyle="1" w:styleId="25">
    <w:name w:val="样式 正文缩进正文缩进2正文缩进 Char Char正文缩进 Char Char Char Char正文缩进 Char ..."/>
    <w:basedOn w:val="6"/>
    <w:autoRedefine/>
    <w:qFormat/>
    <w:uiPriority w:val="0"/>
    <w:pPr>
      <w:spacing w:line="240" w:lineRule="auto"/>
      <w:ind w:firstLine="0" w:firstLineChars="0"/>
    </w:pPr>
    <w:rPr>
      <w:rFonts w:ascii="Times New Roman" w:hAnsi="Times New Roman" w:eastAsia="宋体" w:cs="Times New Roman"/>
      <w:w w:val="80"/>
      <w:sz w:val="18"/>
      <w:szCs w:val="15"/>
    </w:rPr>
  </w:style>
  <w:style w:type="paragraph" w:customStyle="1" w:styleId="26">
    <w:name w:val="样式 正文文本缩进 + 行距: 1.5 倍行距"/>
    <w:basedOn w:val="9"/>
    <w:autoRedefine/>
    <w:qFormat/>
    <w:uiPriority w:val="0"/>
    <w:pPr>
      <w:snapToGrid/>
      <w:spacing w:before="0" w:after="120" w:line="360" w:lineRule="auto"/>
      <w:ind w:left="90" w:leftChars="32" w:firstLine="560" w:firstLineChars="200"/>
    </w:pPr>
    <w:rPr>
      <w:rFonts w:ascii="Times New Roman" w:eastAsia="宋体" w:cs="宋体"/>
    </w:rPr>
  </w:style>
  <w:style w:type="paragraph" w:customStyle="1" w:styleId="27">
    <w:name w:val="Default"/>
    <w:basedOn w:val="28"/>
    <w:next w:val="1"/>
    <w:autoRedefine/>
    <w:qFormat/>
    <w:uiPriority w:val="0"/>
    <w:pPr>
      <w:widowControl w:val="0"/>
      <w:autoSpaceDE w:val="0"/>
      <w:autoSpaceDN w:val="0"/>
    </w:pPr>
    <w:rPr>
      <w:rFonts w:hAnsi="Times New Roman" w:cs="宋体"/>
      <w:color w:val="000000"/>
      <w:szCs w:val="24"/>
    </w:rPr>
  </w:style>
  <w:style w:type="paragraph" w:customStyle="1" w:styleId="28">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29">
    <w:name w:val="【正文】"/>
    <w:basedOn w:val="1"/>
    <w:next w:val="16"/>
    <w:autoRedefine/>
    <w:qFormat/>
    <w:uiPriority w:val="0"/>
    <w:pPr>
      <w:ind w:firstLine="480"/>
    </w:pPr>
    <w:rPr>
      <w:sz w:val="24"/>
    </w:rPr>
  </w:style>
  <w:style w:type="paragraph" w:customStyle="1" w:styleId="30">
    <w:name w:val="内容"/>
    <w:basedOn w:val="1"/>
    <w:autoRedefine/>
    <w:qFormat/>
    <w:uiPriority w:val="0"/>
    <w:pPr>
      <w:spacing w:before="156" w:beforeLines="50" w:after="156" w:afterLines="50"/>
      <w:ind w:firstLine="200" w:firstLineChars="200"/>
    </w:pPr>
    <w:rPr>
      <w:color w:val="000000"/>
      <w:sz w:val="24"/>
    </w:rPr>
  </w:style>
  <w:style w:type="paragraph" w:customStyle="1" w:styleId="31">
    <w:name w:val="表中字"/>
    <w:autoRedefine/>
    <w:qFormat/>
    <w:uiPriority w:val="0"/>
    <w:pPr>
      <w:jc w:val="center"/>
    </w:pPr>
    <w:rPr>
      <w:rFonts w:ascii="Times New Roman" w:hAnsi="Times New Roman" w:eastAsia="宋体" w:cs="Times New Roman"/>
      <w:kern w:val="2"/>
      <w:sz w:val="21"/>
      <w:szCs w:val="22"/>
      <w:lang w:val="zh-CN" w:eastAsia="zh-CN" w:bidi="ar-SA"/>
    </w:rPr>
  </w:style>
  <w:style w:type="character" w:customStyle="1" w:styleId="32">
    <w:name w:val="NormalCharacter"/>
    <w:autoRedefine/>
    <w:semiHidden/>
    <w:qFormat/>
    <w:uiPriority w:val="0"/>
    <w:rPr>
      <w:rFonts w:ascii="Times New Roman" w:hAnsi="Times New Roman" w:eastAsia="宋体" w:cs="Times New Roman"/>
      <w:kern w:val="2"/>
      <w:sz w:val="21"/>
      <w:szCs w:val="24"/>
      <w:lang w:val="en-US" w:eastAsia="zh-CN" w:bidi="ar-SA"/>
    </w:rPr>
  </w:style>
  <w:style w:type="paragraph" w:customStyle="1" w:styleId="33">
    <w:name w:val="表中文字"/>
    <w:basedOn w:val="1"/>
    <w:autoRedefine/>
    <w:qFormat/>
    <w:uiPriority w:val="0"/>
    <w:pPr>
      <w:jc w:val="center"/>
    </w:pPr>
  </w:style>
  <w:style w:type="paragraph" w:customStyle="1" w:styleId="34">
    <w:name w:val="Table Paragraph"/>
    <w:basedOn w:val="1"/>
    <w:autoRedefine/>
    <w:qFormat/>
    <w:uiPriority w:val="0"/>
    <w:pPr>
      <w:autoSpaceDE w:val="0"/>
      <w:autoSpaceDN w:val="0"/>
      <w:jc w:val="center"/>
    </w:pPr>
    <w:rPr>
      <w:rFonts w:hint="eastAsia" w:ascii="仿宋" w:hAnsi="仿宋" w:eastAsia="仿宋"/>
      <w:kern w:val="0"/>
      <w:sz w:val="22"/>
      <w:szCs w:val="22"/>
    </w:rPr>
  </w:style>
  <w:style w:type="paragraph" w:customStyle="1" w:styleId="35">
    <w:name w:val="正文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6">
    <w:name w:val="表格内容"/>
    <w:autoRedefine/>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37">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8">
    <w:name w:val="首行缩进表格正文"/>
    <w:basedOn w:val="1"/>
    <w:autoRedefine/>
    <w:qFormat/>
    <w:uiPriority w:val="0"/>
    <w:pPr>
      <w:spacing w:line="360" w:lineRule="auto"/>
      <w:ind w:firstLine="720" w:firstLineChars="200"/>
      <w:jc w:val="left"/>
    </w:pPr>
    <w:rPr>
      <w:rFonts w:ascii="Times New Roman" w:hAnsi="Times New Roman" w:eastAsia="宋体"/>
    </w:rPr>
  </w:style>
  <w:style w:type="paragraph" w:customStyle="1" w:styleId="39">
    <w:name w:val="【表中文字】"/>
    <w:basedOn w:val="1"/>
    <w:autoRedefine/>
    <w:qFormat/>
    <w:uiPriority w:val="0"/>
    <w:pPr>
      <w:spacing w:line="240" w:lineRule="auto"/>
      <w:jc w:val="center"/>
    </w:pPr>
    <w:rPr>
      <w:rFonts w:ascii="Calibri" w:hAnsi="Calibri" w:eastAsia="宋体" w:cs="Times New Roman"/>
      <w:sz w:val="21"/>
      <w:szCs w:val="22"/>
    </w:rPr>
  </w:style>
  <w:style w:type="paragraph" w:customStyle="1" w:styleId="40">
    <w:name w:val="表格文字"/>
    <w:basedOn w:val="10"/>
    <w:next w:val="1"/>
    <w:autoRedefine/>
    <w:qFormat/>
    <w:uiPriority w:val="0"/>
    <w:pPr>
      <w:spacing w:before="60" w:after="60" w:line="360" w:lineRule="auto"/>
      <w:ind w:firstLine="640"/>
    </w:pPr>
    <w:rPr>
      <w:rFonts w:ascii="Calibri" w:hAnsi="Calibri" w:cs="Times New Roman"/>
    </w:rPr>
  </w:style>
  <w:style w:type="paragraph" w:customStyle="1" w:styleId="41">
    <w:name w:val="文本正文"/>
    <w:autoRedefine/>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42">
    <w:name w:val="样式 文本正文 + Calibri 黑色 Char"/>
    <w:link w:val="43"/>
    <w:autoRedefine/>
    <w:qFormat/>
    <w:uiPriority w:val="0"/>
    <w:rPr>
      <w:color w:val="000000"/>
    </w:rPr>
  </w:style>
  <w:style w:type="paragraph" w:customStyle="1" w:styleId="43">
    <w:name w:val="样式 文本正文 + Calibri 黑色"/>
    <w:basedOn w:val="41"/>
    <w:link w:val="42"/>
    <w:autoRedefine/>
    <w:qFormat/>
    <w:uiPriority w:val="0"/>
    <w:rPr>
      <w:color w:val="000000"/>
    </w:rPr>
  </w:style>
  <w:style w:type="paragraph" w:customStyle="1" w:styleId="44">
    <w:name w:val="样式 黑体 居中 行距: 1.5 倍行距"/>
    <w:basedOn w:val="1"/>
    <w:autoRedefine/>
    <w:qFormat/>
    <w:uiPriority w:val="0"/>
    <w:pPr>
      <w:spacing w:line="360" w:lineRule="auto"/>
      <w:jc w:val="center"/>
    </w:pPr>
    <w:rPr>
      <w:rFonts w:hint="eastAsia" w:ascii="黑体" w:hAnsi="黑体" w:eastAsia="黑体"/>
      <w:kern w:val="0"/>
      <w:sz w:val="24"/>
      <w:szCs w:val="20"/>
    </w:rPr>
  </w:style>
  <w:style w:type="paragraph" w:customStyle="1" w:styleId="45">
    <w:name w:val="雪表头"/>
    <w:basedOn w:val="1"/>
    <w:next w:val="1"/>
    <w:autoRedefine/>
    <w:qFormat/>
    <w:uiPriority w:val="0"/>
    <w:pPr>
      <w:keepNext/>
      <w:spacing w:line="500" w:lineRule="exact"/>
      <w:jc w:val="center"/>
    </w:pPr>
    <w:rPr>
      <w:rFonts w:hint="default" w:ascii="Times New Roman" w:eastAsia="黑体"/>
      <w:kern w:val="2"/>
      <w:szCs w:val="24"/>
    </w:rPr>
  </w:style>
  <w:style w:type="paragraph" w:customStyle="1" w:styleId="46">
    <w:name w:val="表格中文字"/>
    <w:basedOn w:val="1"/>
    <w:autoRedefine/>
    <w:qFormat/>
    <w:uiPriority w:val="0"/>
    <w:pPr>
      <w:spacing w:line="360" w:lineRule="exact"/>
      <w:ind w:firstLine="0" w:firstLineChars="0"/>
      <w:jc w:val="center"/>
    </w:pPr>
    <w:rPr>
      <w:kern w:val="0"/>
      <w:sz w:val="21"/>
      <w:szCs w:val="21"/>
    </w:rPr>
  </w:style>
  <w:style w:type="paragraph" w:customStyle="1" w:styleId="47">
    <w:name w:val="表表头"/>
    <w:basedOn w:val="1"/>
    <w:autoRedefine/>
    <w:qFormat/>
    <w:uiPriority w:val="0"/>
    <w:pPr>
      <w:ind w:firstLine="0" w:firstLineChars="0"/>
      <w:jc w:val="center"/>
    </w:pPr>
    <w:rPr>
      <w:rFonts w:eastAsia="黑体"/>
    </w:rPr>
  </w:style>
  <w:style w:type="paragraph" w:customStyle="1" w:styleId="48">
    <w:name w:val="表文"/>
    <w:basedOn w:val="10"/>
    <w:next w:val="1"/>
    <w:autoRedefine/>
    <w:qFormat/>
    <w:uiPriority w:val="0"/>
    <w:pPr>
      <w:jc w:val="center"/>
    </w:pPr>
    <w:rPr>
      <w:szCs w:val="20"/>
    </w:rPr>
  </w:style>
  <w:style w:type="character" w:customStyle="1" w:styleId="49">
    <w:name w:val="标题 1 Char"/>
    <w:link w:val="5"/>
    <w:qFormat/>
    <w:uiPriority w:val="99"/>
    <w:rPr>
      <w:rFonts w:eastAsia="黑体"/>
      <w:b/>
      <w:bCs/>
      <w:color w:val="000000"/>
      <w:kern w:val="44"/>
      <w:sz w:val="30"/>
      <w:szCs w:val="30"/>
    </w:rPr>
  </w:style>
  <w:style w:type="paragraph" w:customStyle="1" w:styleId="50">
    <w:name w:val="BodyText"/>
    <w:basedOn w:val="1"/>
    <w:autoRedefine/>
    <w:qFormat/>
    <w:uiPriority w:val="0"/>
    <w:pPr>
      <w:textAlignment w:val="baseline"/>
    </w:pPr>
    <w:rPr>
      <w:rFonts w:ascii="宋体" w:hAnsi="宋体"/>
      <w:szCs w:val="21"/>
    </w:rPr>
  </w:style>
  <w:style w:type="paragraph" w:customStyle="1" w:styleId="51">
    <w:name w:val="环评正文"/>
    <w:basedOn w:val="1"/>
    <w:autoRedefine/>
    <w:qFormat/>
    <w:uiPriority w:val="0"/>
    <w:pPr>
      <w:spacing w:line="360" w:lineRule="auto"/>
      <w:ind w:firstLine="200" w:firstLineChars="200"/>
    </w:pPr>
    <w:rPr>
      <w:rFonts w:ascii="Cambria Math" w:hAnsi="Cambria Math" w:eastAsia="Arial" w:cs="Cambria Math"/>
      <w:sz w:val="24"/>
    </w:rPr>
  </w:style>
  <w:style w:type="paragraph" w:customStyle="1" w:styleId="52">
    <w:name w:val="【表头】"/>
    <w:basedOn w:val="53"/>
    <w:next w:val="1"/>
    <w:autoRedefine/>
    <w:qFormat/>
    <w:uiPriority w:val="0"/>
    <w:pPr>
      <w:spacing w:line="460" w:lineRule="exact"/>
      <w:jc w:val="center"/>
    </w:pPr>
    <w:rPr>
      <w:b/>
      <w:sz w:val="24"/>
    </w:rPr>
  </w:style>
  <w:style w:type="paragraph" w:customStyle="1" w:styleId="53">
    <w:name w:val="0"/>
    <w:basedOn w:val="1"/>
    <w:autoRedefine/>
    <w:qFormat/>
    <w:uiPriority w:val="99"/>
    <w:pPr>
      <w:widowControl/>
      <w:snapToGrid w:val="0"/>
      <w:jc w:val="left"/>
    </w:pPr>
    <w:rPr>
      <w:rFonts w:ascii="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0.png"/><Relationship Id="rId6" Type="http://schemas.openxmlformats.org/officeDocument/2006/relationships/footer" Target="footer4.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wmf"/><Relationship Id="rId28" Type="http://schemas.openxmlformats.org/officeDocument/2006/relationships/oleObject" Target="embeddings/oleObject2.bin"/><Relationship Id="rId27" Type="http://schemas.openxmlformats.org/officeDocument/2006/relationships/image" Target="media/image18.wmf"/><Relationship Id="rId26" Type="http://schemas.openxmlformats.org/officeDocument/2006/relationships/oleObject" Target="embeddings/oleObject1.bin"/><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767</Words>
  <Characters>831</Characters>
  <Lines>0</Lines>
  <Paragraphs>0</Paragraphs>
  <TotalTime>65</TotalTime>
  <ScaleCrop>false</ScaleCrop>
  <LinksUpToDate>false</LinksUpToDate>
  <CharactersWithSpaces>893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2023-10-26T22:18:00Z</dcterms:created>
  <dc:creator>小哲</dc:creator>
  <cp:lastModifiedBy>F-Hawk</cp:lastModifiedBy>
  <cp:lastPrinted>2024-07-30T00:44:00Z</cp:lastPrinted>
  <dcterms:modified xsi:type="dcterms:W3CDTF">2025-04-27T02:21:47Z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63B591864D0A40A7B71F077958BDFD27_13</vt:lpwstr>
  </property>
  <property fmtid="{D5CDD505-2E9C-101B-9397-08002B2CF9AE}" pid="4" name="KSOTemplateDocerSaveRecord">
    <vt:lpwstr>eyJoZGlkIjoiYTBmMzQ1MTAwZDg4M2M3ZGE5ODhkNTE5MjAwOTUxYTkiLCJ1c2VySWQiOiI0MjMxNjkwOTIifQ==</vt:lpwstr>
  </property>
</Properties>
</file>